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1100" w:lineRule="exact"/>
        <w:jc w:val="center"/>
        <w:rPr>
          <w:rFonts w:hint="eastAsia" w:asciiTheme="minorEastAsia" w:hAnsiTheme="minorEastAsia" w:eastAsiaTheme="minorEastAsia"/>
          <w:b/>
          <w:color w:val="000000" w:themeColor="text1"/>
          <w:spacing w:val="28"/>
          <w:sz w:val="32"/>
          <w:szCs w:val="32"/>
          <w:highlight w:val="none"/>
        </w:rPr>
      </w:pPr>
      <w:r>
        <w:rPr>
          <w:rFonts w:hint="eastAsia" w:asciiTheme="minorEastAsia" w:hAnsiTheme="minorEastAsia" w:eastAsiaTheme="minorEastAsia"/>
          <w:b/>
          <w:color w:val="FF0000"/>
          <w:spacing w:val="28"/>
          <w:sz w:val="32"/>
          <w:szCs w:val="32"/>
        </w:rPr>
        <w:t xml:space="preserve">                </w:t>
      </w:r>
      <w:r>
        <w:rPr>
          <w:rFonts w:hint="eastAsia" w:asciiTheme="minorEastAsia" w:hAnsiTheme="minorEastAsia" w:eastAsiaTheme="minorEastAsia"/>
          <w:b/>
          <w:color w:val="000000" w:themeColor="text1"/>
          <w:spacing w:val="28"/>
          <w:sz w:val="32"/>
          <w:szCs w:val="32"/>
          <w:highlight w:val="none"/>
        </w:rPr>
        <w:t>【2023】-WG-750</w:t>
      </w:r>
    </w:p>
    <w:p>
      <w:pPr>
        <w:adjustRightInd w:val="0"/>
        <w:snapToGrid w:val="0"/>
        <w:spacing w:line="1100" w:lineRule="exact"/>
        <w:jc w:val="center"/>
        <w:rPr>
          <w:rFonts w:ascii="仿宋_GB2312" w:hAnsi="宋体" w:eastAsia="仿宋_GB2312"/>
          <w:b/>
          <w:color w:val="000000" w:themeColor="text1"/>
          <w:spacing w:val="28"/>
          <w:sz w:val="52"/>
          <w:szCs w:val="48"/>
          <w:highlight w:val="none"/>
        </w:rPr>
      </w:pPr>
      <w:r>
        <w:rPr>
          <w:rFonts w:ascii="仿宋_GB2312" w:hAnsi="宋体" w:eastAsia="仿宋_GB2312"/>
          <w:b/>
          <w:color w:val="000000" w:themeColor="text1"/>
          <w:spacing w:val="28"/>
          <w:sz w:val="52"/>
          <w:szCs w:val="48"/>
          <w:highlight w:val="none"/>
        </w:rPr>
        <w:t>江苏长江水务股份有限公司</w:t>
      </w:r>
    </w:p>
    <w:p>
      <w:pPr>
        <w:adjustRightInd w:val="0"/>
        <w:snapToGrid w:val="0"/>
        <w:spacing w:line="1100" w:lineRule="exact"/>
        <w:jc w:val="center"/>
        <w:rPr>
          <w:rFonts w:ascii="仿宋_GB2312" w:hAnsi="宋体" w:eastAsia="仿宋_GB2312"/>
          <w:b/>
          <w:snapToGrid w:val="0"/>
          <w:color w:val="000000" w:themeColor="text1"/>
          <w:sz w:val="52"/>
          <w:szCs w:val="52"/>
          <w:highlight w:val="none"/>
        </w:rPr>
      </w:pPr>
      <w:r>
        <w:rPr>
          <w:rFonts w:hint="eastAsia" w:ascii="仿宋_GB2312" w:hAnsi="宋体" w:eastAsia="仿宋_GB2312"/>
          <w:b/>
          <w:color w:val="000000" w:themeColor="text1"/>
          <w:spacing w:val="-2"/>
          <w:sz w:val="52"/>
          <w:szCs w:val="48"/>
          <w:highlight w:val="none"/>
        </w:rPr>
        <w:t>水质中心全自动固相萃取仪、全自动平行浓缩仪</w:t>
      </w:r>
      <w:r>
        <w:rPr>
          <w:rFonts w:hint="eastAsia" w:ascii="仿宋_GB2312" w:hAnsi="宋体" w:eastAsia="仿宋_GB2312"/>
          <w:b/>
          <w:color w:val="000000" w:themeColor="text1"/>
          <w:spacing w:val="28"/>
          <w:sz w:val="52"/>
          <w:szCs w:val="48"/>
          <w:highlight w:val="none"/>
        </w:rPr>
        <w:t>招标文件</w:t>
      </w:r>
    </w:p>
    <w:p>
      <w:pPr>
        <w:adjustRightInd w:val="0"/>
        <w:snapToGrid w:val="0"/>
        <w:spacing w:line="360" w:lineRule="auto"/>
        <w:ind w:firstLine="1446" w:firstLineChars="200"/>
        <w:jc w:val="center"/>
        <w:rPr>
          <w:rFonts w:ascii="仿宋_GB2312" w:hAnsi="宋体" w:eastAsia="仿宋_GB2312"/>
          <w:b/>
          <w:snapToGrid w:val="0"/>
          <w:color w:val="000000" w:themeColor="text1"/>
          <w:sz w:val="72"/>
          <w:highlight w:val="none"/>
        </w:rPr>
      </w:pPr>
    </w:p>
    <w:p>
      <w:pPr>
        <w:adjustRightInd w:val="0"/>
        <w:snapToGrid w:val="0"/>
        <w:spacing w:line="360" w:lineRule="auto"/>
        <w:ind w:firstLine="1446" w:firstLineChars="200"/>
        <w:jc w:val="center"/>
        <w:rPr>
          <w:rFonts w:ascii="仿宋_GB2312" w:hAnsi="宋体" w:eastAsia="仿宋_GB2312"/>
          <w:b/>
          <w:snapToGrid w:val="0"/>
          <w:color w:val="000000" w:themeColor="text1"/>
          <w:sz w:val="72"/>
          <w:highlight w:val="none"/>
        </w:rPr>
      </w:pPr>
    </w:p>
    <w:p>
      <w:pPr>
        <w:adjustRightInd w:val="0"/>
        <w:snapToGrid w:val="0"/>
        <w:spacing w:line="360" w:lineRule="auto"/>
        <w:ind w:firstLine="1446" w:firstLineChars="200"/>
        <w:jc w:val="center"/>
        <w:rPr>
          <w:rFonts w:ascii="仿宋_GB2312" w:hAnsi="宋体" w:eastAsia="仿宋_GB2312"/>
          <w:b/>
          <w:snapToGrid w:val="0"/>
          <w:color w:val="000000" w:themeColor="text1"/>
          <w:sz w:val="72"/>
          <w:highlight w:val="none"/>
        </w:rPr>
      </w:pPr>
    </w:p>
    <w:p>
      <w:pPr>
        <w:adjustRightInd w:val="0"/>
        <w:snapToGrid w:val="0"/>
        <w:spacing w:line="480" w:lineRule="auto"/>
        <w:ind w:firstLine="1193" w:firstLineChars="396"/>
        <w:rPr>
          <w:rFonts w:ascii="仿宋_GB2312" w:hAnsi="宋体" w:eastAsia="仿宋_GB2312"/>
          <w:b/>
          <w:bCs/>
          <w:snapToGrid w:val="0"/>
          <w:color w:val="000000" w:themeColor="text1"/>
          <w:sz w:val="30"/>
          <w:highlight w:val="none"/>
        </w:rPr>
      </w:pPr>
    </w:p>
    <w:p>
      <w:pPr>
        <w:adjustRightInd w:val="0"/>
        <w:snapToGrid w:val="0"/>
        <w:spacing w:line="480" w:lineRule="auto"/>
        <w:ind w:firstLine="1193" w:firstLineChars="396"/>
        <w:rPr>
          <w:rFonts w:ascii="仿宋_GB2312" w:hAnsi="宋体" w:eastAsia="仿宋_GB2312"/>
          <w:b/>
          <w:bCs/>
          <w:snapToGrid w:val="0"/>
          <w:color w:val="000000" w:themeColor="text1"/>
          <w:sz w:val="30"/>
          <w:highlight w:val="none"/>
        </w:rPr>
      </w:pPr>
    </w:p>
    <w:p>
      <w:pPr>
        <w:adjustRightInd w:val="0"/>
        <w:snapToGrid w:val="0"/>
        <w:spacing w:line="480" w:lineRule="auto"/>
        <w:ind w:firstLine="1193" w:firstLineChars="396"/>
        <w:rPr>
          <w:rFonts w:ascii="仿宋_GB2312" w:hAnsi="宋体" w:eastAsia="仿宋_GB2312"/>
          <w:b/>
          <w:bCs/>
          <w:snapToGrid w:val="0"/>
          <w:color w:val="000000" w:themeColor="text1"/>
          <w:sz w:val="28"/>
          <w:highlight w:val="none"/>
        </w:rPr>
      </w:pPr>
      <w:r>
        <w:rPr>
          <w:rFonts w:hint="eastAsia" w:ascii="仿宋_GB2312" w:hAnsi="宋体" w:eastAsia="仿宋_GB2312"/>
          <w:b/>
          <w:bCs/>
          <w:snapToGrid w:val="0"/>
          <w:color w:val="000000" w:themeColor="text1"/>
          <w:sz w:val="30"/>
          <w:highlight w:val="none"/>
        </w:rPr>
        <w:t>招     标      人：江苏长江水务股份有限公司</w:t>
      </w:r>
    </w:p>
    <w:p>
      <w:pPr>
        <w:spacing w:line="460" w:lineRule="exact"/>
        <w:jc w:val="center"/>
        <w:rPr>
          <w:rFonts w:ascii="仿宋_GB2312" w:hAnsi="宋体" w:eastAsia="仿宋_GB2312"/>
          <w:b/>
          <w:bCs/>
          <w:snapToGrid w:val="0"/>
          <w:color w:val="000000" w:themeColor="text1"/>
          <w:sz w:val="30"/>
          <w:highlight w:val="none"/>
        </w:rPr>
      </w:pPr>
      <w:r>
        <w:rPr>
          <w:rFonts w:hint="eastAsia" w:ascii="仿宋_GB2312" w:hAnsi="宋体" w:eastAsia="仿宋_GB2312"/>
          <w:b/>
          <w:bCs/>
          <w:snapToGrid w:val="0"/>
          <w:color w:val="000000" w:themeColor="text1"/>
          <w:sz w:val="30"/>
          <w:highlight w:val="none"/>
        </w:rPr>
        <w:t xml:space="preserve">发    放    日   期： </w:t>
      </w:r>
      <w:r>
        <w:rPr>
          <w:rFonts w:hint="eastAsia" w:ascii="仿宋_GB2312" w:hAnsi="宋体" w:eastAsia="仿宋_GB2312"/>
          <w:b/>
          <w:bCs/>
          <w:snapToGrid w:val="0"/>
          <w:color w:val="000000" w:themeColor="text1"/>
          <w:sz w:val="30"/>
          <w:highlight w:val="none"/>
          <w:u w:val="single"/>
        </w:rPr>
        <w:t xml:space="preserve"> 2023</w:t>
      </w:r>
      <w:r>
        <w:rPr>
          <w:rFonts w:hint="eastAsia" w:ascii="仿宋_GB2312" w:hAnsi="宋体" w:eastAsia="仿宋_GB2312"/>
          <w:b/>
          <w:bCs/>
          <w:snapToGrid w:val="0"/>
          <w:color w:val="000000" w:themeColor="text1"/>
          <w:sz w:val="30"/>
          <w:highlight w:val="none"/>
        </w:rPr>
        <w:t>年</w:t>
      </w:r>
      <w:r>
        <w:rPr>
          <w:rFonts w:hint="eastAsia" w:ascii="仿宋_GB2312" w:hAnsi="宋体" w:eastAsia="仿宋_GB2312"/>
          <w:b/>
          <w:bCs/>
          <w:snapToGrid w:val="0"/>
          <w:color w:val="000000" w:themeColor="text1"/>
          <w:sz w:val="30"/>
          <w:highlight w:val="none"/>
          <w:u w:val="single"/>
          <w:lang w:val="en-US" w:eastAsia="zh-CN"/>
        </w:rPr>
        <w:t>4</w:t>
      </w:r>
      <w:r>
        <w:rPr>
          <w:rFonts w:hint="eastAsia" w:ascii="仿宋_GB2312" w:hAnsi="宋体" w:eastAsia="仿宋_GB2312"/>
          <w:b/>
          <w:bCs/>
          <w:snapToGrid w:val="0"/>
          <w:color w:val="000000" w:themeColor="text1"/>
          <w:sz w:val="30"/>
          <w:highlight w:val="none"/>
        </w:rPr>
        <w:t>月</w:t>
      </w:r>
      <w:r>
        <w:rPr>
          <w:rFonts w:hint="eastAsia" w:ascii="仿宋_GB2312" w:hAnsi="宋体" w:eastAsia="仿宋_GB2312"/>
          <w:b/>
          <w:bCs/>
          <w:snapToGrid w:val="0"/>
          <w:color w:val="000000" w:themeColor="text1"/>
          <w:sz w:val="30"/>
          <w:highlight w:val="none"/>
          <w:u w:val="single"/>
          <w:lang w:val="en-US" w:eastAsia="zh-CN"/>
        </w:rPr>
        <w:t>28</w:t>
      </w:r>
      <w:r>
        <w:rPr>
          <w:rFonts w:hint="eastAsia" w:ascii="仿宋_GB2312" w:hAnsi="宋体" w:eastAsia="仿宋_GB2312"/>
          <w:b/>
          <w:bCs/>
          <w:snapToGrid w:val="0"/>
          <w:color w:val="000000" w:themeColor="text1"/>
          <w:sz w:val="30"/>
          <w:highlight w:val="none"/>
        </w:rPr>
        <w:t>日</w:t>
      </w:r>
    </w:p>
    <w:p>
      <w:pPr>
        <w:rPr>
          <w:rFonts w:ascii="仿宋_GB2312" w:hAnsi="宋体" w:eastAsia="仿宋_GB2312"/>
          <w:b/>
          <w:bCs/>
          <w:snapToGrid w:val="0"/>
          <w:color w:val="000000" w:themeColor="text1"/>
          <w:sz w:val="30"/>
          <w:highlight w:val="none"/>
        </w:rPr>
      </w:pPr>
      <w:r>
        <w:rPr>
          <w:rFonts w:hint="eastAsia" w:ascii="仿宋_GB2312" w:hAnsi="宋体" w:eastAsia="仿宋_GB2312"/>
          <w:b/>
          <w:bCs/>
          <w:snapToGrid w:val="0"/>
          <w:color w:val="000000" w:themeColor="text1"/>
          <w:sz w:val="30"/>
          <w:highlight w:val="none"/>
        </w:rPr>
        <w:br w:type="page"/>
      </w:r>
    </w:p>
    <w:p>
      <w:pPr>
        <w:pStyle w:val="10"/>
        <w:rPr>
          <w:color w:val="000000" w:themeColor="text1"/>
          <w:highlight w:val="none"/>
        </w:rPr>
      </w:pPr>
    </w:p>
    <w:p>
      <w:pPr>
        <w:spacing w:line="360" w:lineRule="auto"/>
        <w:jc w:val="center"/>
        <w:outlineLvl w:val="0"/>
        <w:rPr>
          <w:rFonts w:ascii="宋体" w:hAnsi="宋体"/>
          <w:b/>
          <w:color w:val="000000" w:themeColor="text1"/>
          <w:sz w:val="36"/>
          <w:szCs w:val="36"/>
          <w:highlight w:val="none"/>
        </w:rPr>
      </w:pPr>
      <w:r>
        <w:rPr>
          <w:rFonts w:hint="eastAsia" w:ascii="宋体" w:hAnsi="宋体"/>
          <w:b/>
          <w:color w:val="000000" w:themeColor="text1"/>
          <w:sz w:val="36"/>
          <w:szCs w:val="36"/>
          <w:highlight w:val="none"/>
        </w:rPr>
        <w:t>前  附  表</w:t>
      </w:r>
    </w:p>
    <w:tbl>
      <w:tblPr>
        <w:tblStyle w:val="8"/>
        <w:tblW w:w="5391" w:type="pct"/>
        <w:tblInd w:w="-3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6"/>
        <w:gridCol w:w="1759"/>
        <w:gridCol w:w="869"/>
        <w:gridCol w:w="2659"/>
        <w:gridCol w:w="820"/>
        <w:gridCol w:w="24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362" w:type="pct"/>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color w:val="000000" w:themeColor="text1"/>
                <w:szCs w:val="21"/>
                <w:highlight w:val="none"/>
              </w:rPr>
            </w:pPr>
            <w:r>
              <w:rPr>
                <w:rFonts w:hint="eastAsia" w:ascii="宋体" w:hAnsi="宋体"/>
                <w:color w:val="000000" w:themeColor="text1"/>
                <w:szCs w:val="21"/>
                <w:highlight w:val="none"/>
              </w:rPr>
              <w:t>序号</w:t>
            </w:r>
          </w:p>
        </w:tc>
        <w:tc>
          <w:tcPr>
            <w:tcW w:w="957" w:type="pct"/>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color w:val="000000" w:themeColor="text1"/>
                <w:szCs w:val="21"/>
                <w:highlight w:val="none"/>
              </w:rPr>
            </w:pPr>
            <w:r>
              <w:rPr>
                <w:rFonts w:hint="eastAsia" w:ascii="宋体" w:hAnsi="宋体"/>
                <w:color w:val="000000" w:themeColor="text1"/>
                <w:szCs w:val="21"/>
                <w:highlight w:val="none"/>
              </w:rPr>
              <w:t>项    目</w:t>
            </w:r>
          </w:p>
        </w:tc>
        <w:tc>
          <w:tcPr>
            <w:tcW w:w="3680" w:type="pct"/>
            <w:gridSpan w:val="4"/>
            <w:tcBorders>
              <w:top w:val="single" w:color="auto" w:sz="4" w:space="0"/>
              <w:left w:val="single" w:color="auto" w:sz="4" w:space="0"/>
              <w:bottom w:val="single" w:color="auto" w:sz="4" w:space="0"/>
              <w:right w:val="single" w:color="auto" w:sz="4" w:space="0"/>
            </w:tcBorders>
            <w:noWrap/>
            <w:vAlign w:val="center"/>
          </w:tcPr>
          <w:p>
            <w:pPr>
              <w:spacing w:line="360" w:lineRule="auto"/>
              <w:ind w:firstLine="2415" w:firstLineChars="1150"/>
              <w:rPr>
                <w:rFonts w:ascii="宋体" w:hAnsi="宋体"/>
                <w:color w:val="000000" w:themeColor="text1"/>
                <w:szCs w:val="21"/>
                <w:highlight w:val="none"/>
              </w:rPr>
            </w:pPr>
            <w:r>
              <w:rPr>
                <w:rFonts w:hint="eastAsia" w:ascii="宋体" w:hAnsi="宋体"/>
                <w:color w:val="000000" w:themeColor="text1"/>
                <w:szCs w:val="21"/>
                <w:highlight w:val="none"/>
              </w:rPr>
              <w:t>内    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26" w:hRule="atLeast"/>
        </w:trPr>
        <w:tc>
          <w:tcPr>
            <w:tcW w:w="362" w:type="pct"/>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color w:val="000000" w:themeColor="text1"/>
                <w:szCs w:val="21"/>
                <w:highlight w:val="none"/>
              </w:rPr>
            </w:pPr>
            <w:r>
              <w:rPr>
                <w:rFonts w:hint="eastAsia" w:ascii="宋体" w:hAnsi="宋体"/>
                <w:color w:val="000000" w:themeColor="text1"/>
                <w:szCs w:val="21"/>
                <w:highlight w:val="none"/>
              </w:rPr>
              <w:t>1</w:t>
            </w:r>
          </w:p>
        </w:tc>
        <w:tc>
          <w:tcPr>
            <w:tcW w:w="957" w:type="pct"/>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color w:val="000000" w:themeColor="text1"/>
                <w:szCs w:val="21"/>
                <w:highlight w:val="none"/>
              </w:rPr>
            </w:pPr>
            <w:r>
              <w:rPr>
                <w:rFonts w:hint="eastAsia" w:ascii="宋体" w:hAnsi="宋体"/>
                <w:color w:val="000000" w:themeColor="text1"/>
                <w:szCs w:val="21"/>
                <w:highlight w:val="none"/>
              </w:rPr>
              <w:t>项目名称</w:t>
            </w:r>
          </w:p>
        </w:tc>
        <w:tc>
          <w:tcPr>
            <w:tcW w:w="3680" w:type="pct"/>
            <w:gridSpan w:val="4"/>
            <w:tcBorders>
              <w:top w:val="single" w:color="auto" w:sz="4" w:space="0"/>
              <w:left w:val="single" w:color="auto" w:sz="4" w:space="0"/>
              <w:bottom w:val="single" w:color="auto" w:sz="4" w:space="0"/>
              <w:right w:val="single" w:color="auto" w:sz="4" w:space="0"/>
            </w:tcBorders>
            <w:noWrap/>
            <w:vAlign w:val="center"/>
          </w:tcPr>
          <w:p>
            <w:pPr>
              <w:adjustRightInd w:val="0"/>
              <w:snapToGrid w:val="0"/>
              <w:rPr>
                <w:rFonts w:ascii="宋体" w:hAnsi="宋体"/>
                <w:color w:val="000000" w:themeColor="text1"/>
                <w:szCs w:val="21"/>
                <w:highlight w:val="none"/>
              </w:rPr>
            </w:pPr>
            <w:r>
              <w:rPr>
                <w:rFonts w:hint="eastAsia" w:ascii="宋体" w:hAnsi="宋体"/>
                <w:color w:val="000000" w:themeColor="text1"/>
                <w:szCs w:val="21"/>
                <w:highlight w:val="none"/>
              </w:rPr>
              <w:t>江苏长江水务股份有限公</w:t>
            </w:r>
            <w:r>
              <w:rPr>
                <w:rFonts w:hint="eastAsia" w:ascii="宋体" w:hAnsi="宋体" w:cs="宋体"/>
                <w:color w:val="000000" w:themeColor="text1"/>
                <w:szCs w:val="21"/>
                <w:highlight w:val="none"/>
              </w:rPr>
              <w:t>司</w:t>
            </w:r>
            <w:r>
              <w:rPr>
                <w:rFonts w:hint="eastAsia" w:ascii="宋体" w:hAnsi="宋体" w:cs="宋体"/>
                <w:bCs/>
                <w:color w:val="000000" w:themeColor="text1"/>
                <w:spacing w:val="-2"/>
                <w:szCs w:val="21"/>
                <w:highlight w:val="none"/>
              </w:rPr>
              <w:t>水质中心固相萃取仪、浓缩仪采购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trPr>
        <w:tc>
          <w:tcPr>
            <w:tcW w:w="362" w:type="pct"/>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color w:val="000000" w:themeColor="text1"/>
                <w:szCs w:val="21"/>
                <w:highlight w:val="none"/>
              </w:rPr>
            </w:pPr>
            <w:r>
              <w:rPr>
                <w:rFonts w:hint="eastAsia" w:ascii="宋体" w:hAnsi="宋体"/>
                <w:color w:val="000000" w:themeColor="text1"/>
                <w:szCs w:val="21"/>
                <w:highlight w:val="none"/>
              </w:rPr>
              <w:t>2</w:t>
            </w:r>
          </w:p>
        </w:tc>
        <w:tc>
          <w:tcPr>
            <w:tcW w:w="957" w:type="pct"/>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color w:val="000000" w:themeColor="text1"/>
                <w:szCs w:val="21"/>
                <w:highlight w:val="none"/>
              </w:rPr>
            </w:pPr>
            <w:r>
              <w:rPr>
                <w:rFonts w:hint="eastAsia" w:ascii="宋体" w:hAnsi="宋体"/>
                <w:color w:val="000000" w:themeColor="text1"/>
                <w:szCs w:val="21"/>
                <w:highlight w:val="none"/>
              </w:rPr>
              <w:t>招标方式</w:t>
            </w:r>
          </w:p>
        </w:tc>
        <w:tc>
          <w:tcPr>
            <w:tcW w:w="3680" w:type="pct"/>
            <w:gridSpan w:val="4"/>
            <w:tcBorders>
              <w:top w:val="single" w:color="auto" w:sz="4" w:space="0"/>
              <w:left w:val="single" w:color="auto" w:sz="4" w:space="0"/>
              <w:bottom w:val="single" w:color="auto" w:sz="4" w:space="0"/>
              <w:right w:val="single" w:color="auto" w:sz="4" w:space="0"/>
            </w:tcBorders>
            <w:noWrap/>
            <w:vAlign w:val="center"/>
          </w:tcPr>
          <w:p>
            <w:pPr>
              <w:spacing w:line="288" w:lineRule="auto"/>
              <w:rPr>
                <w:rFonts w:ascii="宋体" w:hAnsi="宋体"/>
                <w:color w:val="000000" w:themeColor="text1"/>
                <w:szCs w:val="21"/>
                <w:highlight w:val="none"/>
              </w:rPr>
            </w:pPr>
            <w:r>
              <w:rPr>
                <w:rFonts w:hint="eastAsia" w:ascii="宋体" w:hAnsi="宋体"/>
                <w:color w:val="000000" w:themeColor="text1"/>
                <w:szCs w:val="21"/>
                <w:highlight w:val="none"/>
              </w:rPr>
              <w:t>公开招标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trPr>
        <w:tc>
          <w:tcPr>
            <w:tcW w:w="362" w:type="pct"/>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color w:val="000000" w:themeColor="text1"/>
                <w:szCs w:val="21"/>
                <w:highlight w:val="none"/>
              </w:rPr>
            </w:pPr>
            <w:r>
              <w:rPr>
                <w:rFonts w:hint="eastAsia" w:ascii="宋体" w:hAnsi="宋体"/>
                <w:color w:val="000000" w:themeColor="text1"/>
                <w:szCs w:val="21"/>
                <w:highlight w:val="none"/>
              </w:rPr>
              <w:t>3</w:t>
            </w:r>
          </w:p>
        </w:tc>
        <w:tc>
          <w:tcPr>
            <w:tcW w:w="957" w:type="pct"/>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color w:val="000000" w:themeColor="text1"/>
                <w:szCs w:val="21"/>
                <w:highlight w:val="none"/>
              </w:rPr>
            </w:pPr>
            <w:r>
              <w:rPr>
                <w:rFonts w:hint="eastAsia" w:ascii="宋体" w:hAnsi="宋体"/>
                <w:color w:val="000000" w:themeColor="text1"/>
                <w:szCs w:val="21"/>
                <w:highlight w:val="none"/>
              </w:rPr>
              <w:t>招标内容</w:t>
            </w:r>
          </w:p>
        </w:tc>
        <w:tc>
          <w:tcPr>
            <w:tcW w:w="3680" w:type="pct"/>
            <w:gridSpan w:val="4"/>
            <w:tcBorders>
              <w:top w:val="single" w:color="auto" w:sz="4" w:space="0"/>
              <w:left w:val="single" w:color="auto" w:sz="4" w:space="0"/>
              <w:bottom w:val="single" w:color="auto" w:sz="4" w:space="0"/>
              <w:right w:val="single" w:color="auto" w:sz="4" w:space="0"/>
            </w:tcBorders>
            <w:noWrap/>
            <w:vAlign w:val="center"/>
          </w:tcPr>
          <w:p>
            <w:pPr>
              <w:spacing w:line="288" w:lineRule="auto"/>
              <w:rPr>
                <w:rFonts w:ascii="宋体" w:hAnsi="宋体"/>
                <w:color w:val="000000" w:themeColor="text1"/>
                <w:spacing w:val="-12"/>
                <w:szCs w:val="21"/>
                <w:highlight w:val="none"/>
              </w:rPr>
            </w:pPr>
            <w:r>
              <w:rPr>
                <w:rFonts w:hint="eastAsia" w:ascii="宋体" w:hAnsi="宋体" w:cs="宋体"/>
                <w:bCs/>
                <w:color w:val="000000" w:themeColor="text1"/>
                <w:spacing w:val="-2"/>
                <w:szCs w:val="21"/>
                <w:highlight w:val="none"/>
              </w:rPr>
              <w:t>水质中心全自动固相萃取仪、全自动平行浓缩仪采购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4" w:hRule="atLeast"/>
        </w:trPr>
        <w:tc>
          <w:tcPr>
            <w:tcW w:w="362" w:type="pct"/>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color w:val="000000" w:themeColor="text1"/>
                <w:szCs w:val="21"/>
                <w:highlight w:val="none"/>
              </w:rPr>
            </w:pPr>
            <w:r>
              <w:rPr>
                <w:rFonts w:hint="eastAsia" w:ascii="宋体" w:hAnsi="宋体"/>
                <w:color w:val="000000" w:themeColor="text1"/>
                <w:szCs w:val="21"/>
                <w:highlight w:val="none"/>
              </w:rPr>
              <w:t>4</w:t>
            </w:r>
          </w:p>
        </w:tc>
        <w:tc>
          <w:tcPr>
            <w:tcW w:w="957" w:type="pct"/>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color w:val="000000" w:themeColor="text1"/>
                <w:szCs w:val="21"/>
                <w:highlight w:val="none"/>
              </w:rPr>
            </w:pPr>
            <w:r>
              <w:rPr>
                <w:rFonts w:hint="eastAsia" w:ascii="宋体" w:hAnsi="宋体"/>
                <w:color w:val="000000" w:themeColor="text1"/>
                <w:szCs w:val="21"/>
                <w:highlight w:val="none"/>
              </w:rPr>
              <w:t>质保期与付款方式</w:t>
            </w:r>
          </w:p>
        </w:tc>
        <w:tc>
          <w:tcPr>
            <w:tcW w:w="3680" w:type="pct"/>
            <w:gridSpan w:val="4"/>
            <w:tcBorders>
              <w:top w:val="single" w:color="auto" w:sz="4" w:space="0"/>
              <w:left w:val="single" w:color="auto" w:sz="4" w:space="0"/>
              <w:bottom w:val="single" w:color="auto" w:sz="4" w:space="0"/>
              <w:right w:val="single" w:color="auto" w:sz="4" w:space="0"/>
            </w:tcBorders>
            <w:noWrap/>
            <w:vAlign w:val="center"/>
          </w:tcPr>
          <w:p>
            <w:pPr>
              <w:spacing w:line="288" w:lineRule="auto"/>
              <w:rPr>
                <w:rFonts w:ascii="宋体" w:hAnsi="宋体"/>
                <w:color w:val="000000" w:themeColor="text1"/>
                <w:spacing w:val="-8"/>
                <w:szCs w:val="21"/>
                <w:highlight w:val="none"/>
              </w:rPr>
            </w:pPr>
            <w:r>
              <w:rPr>
                <w:rFonts w:hint="eastAsia" w:ascii="宋体" w:hAnsi="宋体"/>
                <w:bCs/>
                <w:iCs/>
                <w:color w:val="000000" w:themeColor="text1"/>
                <w:spacing w:val="-8"/>
                <w:szCs w:val="21"/>
                <w:highlight w:val="none"/>
              </w:rPr>
              <w:t>质保期不低于1年（以中标方质保期为准）。无预付款。验收合格后，连续30天试运行无故障且各项技术指标达到合同要求后开全额发票，买受人自收讫发票之日起三个月内</w:t>
            </w:r>
            <w:r>
              <w:rPr>
                <w:rFonts w:hint="eastAsia" w:ascii="宋体" w:hAnsi="宋体"/>
                <w:color w:val="000000" w:themeColor="text1"/>
                <w:szCs w:val="21"/>
                <w:highlight w:val="none"/>
              </w:rPr>
              <w:t>支付至合同总价的95%，余款5%作为质保金，在质保期满且无质量问题后根据出卖人的书面申请无息付清。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trPr>
        <w:tc>
          <w:tcPr>
            <w:tcW w:w="362" w:type="pct"/>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color w:val="000000" w:themeColor="text1"/>
                <w:szCs w:val="21"/>
                <w:highlight w:val="none"/>
              </w:rPr>
            </w:pPr>
            <w:r>
              <w:rPr>
                <w:rFonts w:hint="eastAsia" w:ascii="宋体" w:hAnsi="宋体"/>
                <w:color w:val="000000" w:themeColor="text1"/>
                <w:szCs w:val="21"/>
                <w:highlight w:val="none"/>
              </w:rPr>
              <w:t>5</w:t>
            </w:r>
          </w:p>
        </w:tc>
        <w:tc>
          <w:tcPr>
            <w:tcW w:w="957" w:type="pct"/>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color w:val="000000" w:themeColor="text1"/>
                <w:szCs w:val="21"/>
                <w:highlight w:val="none"/>
              </w:rPr>
            </w:pPr>
            <w:r>
              <w:rPr>
                <w:rFonts w:hint="eastAsia" w:ascii="宋体" w:hAnsi="宋体"/>
                <w:color w:val="000000" w:themeColor="text1"/>
                <w:szCs w:val="21"/>
                <w:highlight w:val="none"/>
              </w:rPr>
              <w:t>最高限价</w:t>
            </w:r>
          </w:p>
        </w:tc>
        <w:tc>
          <w:tcPr>
            <w:tcW w:w="3680" w:type="pct"/>
            <w:gridSpan w:val="4"/>
            <w:tcBorders>
              <w:top w:val="single" w:color="auto" w:sz="4" w:space="0"/>
              <w:left w:val="single" w:color="auto" w:sz="4" w:space="0"/>
              <w:bottom w:val="single" w:color="auto" w:sz="4" w:space="0"/>
              <w:right w:val="single" w:color="auto" w:sz="4" w:space="0"/>
            </w:tcBorders>
            <w:noWrap/>
            <w:vAlign w:val="center"/>
          </w:tcPr>
          <w:p>
            <w:pPr>
              <w:spacing w:line="360" w:lineRule="auto"/>
              <w:rPr>
                <w:rFonts w:ascii="宋体" w:hAnsi="宋体"/>
                <w:b/>
                <w:color w:val="000000" w:themeColor="text1"/>
                <w:szCs w:val="21"/>
                <w:highlight w:val="none"/>
              </w:rPr>
            </w:pPr>
            <w:r>
              <w:rPr>
                <w:rFonts w:hint="eastAsia" w:ascii="宋体" w:hAnsi="宋体"/>
                <w:b/>
                <w:color w:val="000000" w:themeColor="text1"/>
                <w:szCs w:val="21"/>
                <w:highlight w:val="none"/>
              </w:rPr>
              <w:t>60万元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trPr>
        <w:tc>
          <w:tcPr>
            <w:tcW w:w="362" w:type="pct"/>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color w:val="000000" w:themeColor="text1"/>
                <w:szCs w:val="21"/>
                <w:highlight w:val="none"/>
              </w:rPr>
            </w:pPr>
            <w:r>
              <w:rPr>
                <w:rFonts w:hint="eastAsia" w:ascii="宋体" w:hAnsi="宋体"/>
                <w:color w:val="000000" w:themeColor="text1"/>
                <w:szCs w:val="21"/>
                <w:highlight w:val="none"/>
              </w:rPr>
              <w:t>6</w:t>
            </w:r>
          </w:p>
        </w:tc>
        <w:tc>
          <w:tcPr>
            <w:tcW w:w="957" w:type="pct"/>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color w:val="000000" w:themeColor="text1"/>
                <w:szCs w:val="21"/>
                <w:highlight w:val="none"/>
              </w:rPr>
            </w:pPr>
            <w:r>
              <w:rPr>
                <w:rFonts w:hint="eastAsia" w:ascii="宋体" w:hAnsi="宋体"/>
                <w:color w:val="000000" w:themeColor="text1"/>
                <w:szCs w:val="21"/>
                <w:highlight w:val="none"/>
              </w:rPr>
              <w:t>交货期/供货期</w:t>
            </w:r>
          </w:p>
        </w:tc>
        <w:tc>
          <w:tcPr>
            <w:tcW w:w="3680" w:type="pct"/>
            <w:gridSpan w:val="4"/>
            <w:tcBorders>
              <w:top w:val="single" w:color="auto" w:sz="4" w:space="0"/>
              <w:left w:val="single" w:color="auto" w:sz="4" w:space="0"/>
              <w:bottom w:val="single" w:color="auto" w:sz="4" w:space="0"/>
              <w:right w:val="single" w:color="auto" w:sz="4" w:space="0"/>
            </w:tcBorders>
            <w:noWrap/>
            <w:vAlign w:val="center"/>
          </w:tcPr>
          <w:p>
            <w:pPr>
              <w:spacing w:line="360" w:lineRule="auto"/>
              <w:rPr>
                <w:rFonts w:ascii="宋体" w:hAnsi="宋体"/>
                <w:b/>
                <w:color w:val="000000" w:themeColor="text1"/>
                <w:szCs w:val="21"/>
                <w:highlight w:val="none"/>
              </w:rPr>
            </w:pPr>
            <w:r>
              <w:rPr>
                <w:rFonts w:hint="eastAsia" w:ascii="宋体" w:hAnsi="宋体"/>
                <w:color w:val="000000" w:themeColor="text1"/>
                <w:szCs w:val="21"/>
                <w:highlight w:val="none"/>
              </w:rPr>
              <w:t>中标签订合同并生效后，买受人供货通知送达之日起30日之内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3" w:hRule="atLeast"/>
        </w:trPr>
        <w:tc>
          <w:tcPr>
            <w:tcW w:w="362" w:type="pct"/>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color w:val="000000" w:themeColor="text1"/>
                <w:szCs w:val="21"/>
                <w:highlight w:val="none"/>
              </w:rPr>
            </w:pPr>
            <w:r>
              <w:rPr>
                <w:rFonts w:hint="eastAsia" w:ascii="宋体" w:hAnsi="宋体"/>
                <w:color w:val="000000" w:themeColor="text1"/>
                <w:szCs w:val="21"/>
                <w:highlight w:val="none"/>
              </w:rPr>
              <w:t>7</w:t>
            </w:r>
          </w:p>
        </w:tc>
        <w:tc>
          <w:tcPr>
            <w:tcW w:w="957" w:type="pct"/>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color w:val="000000" w:themeColor="text1"/>
                <w:szCs w:val="21"/>
                <w:highlight w:val="none"/>
              </w:rPr>
            </w:pPr>
            <w:r>
              <w:rPr>
                <w:rFonts w:hint="eastAsia" w:ascii="宋体" w:hAnsi="宋体"/>
                <w:color w:val="000000" w:themeColor="text1"/>
                <w:szCs w:val="21"/>
                <w:highlight w:val="none"/>
              </w:rPr>
              <w:t>目的地</w:t>
            </w:r>
          </w:p>
        </w:tc>
        <w:tc>
          <w:tcPr>
            <w:tcW w:w="3680" w:type="pct"/>
            <w:gridSpan w:val="4"/>
            <w:tcBorders>
              <w:top w:val="single" w:color="auto" w:sz="4" w:space="0"/>
              <w:left w:val="single" w:color="auto" w:sz="4" w:space="0"/>
              <w:bottom w:val="single" w:color="auto" w:sz="4" w:space="0"/>
              <w:right w:val="single" w:color="auto" w:sz="4" w:space="0"/>
            </w:tcBorders>
            <w:noWrap/>
            <w:vAlign w:val="center"/>
          </w:tcPr>
          <w:p>
            <w:pPr>
              <w:spacing w:line="360" w:lineRule="auto"/>
              <w:rPr>
                <w:rFonts w:ascii="宋体" w:hAnsi="宋体"/>
                <w:color w:val="000000" w:themeColor="text1"/>
                <w:szCs w:val="21"/>
                <w:highlight w:val="none"/>
              </w:rPr>
            </w:pPr>
            <w:r>
              <w:rPr>
                <w:rFonts w:hint="eastAsia" w:ascii="宋体" w:hAnsi="宋体"/>
                <w:color w:val="000000" w:themeColor="text1"/>
                <w:szCs w:val="21"/>
                <w:highlight w:val="none"/>
              </w:rPr>
              <w:t>招标方指定的地点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trPr>
        <w:tc>
          <w:tcPr>
            <w:tcW w:w="362" w:type="pct"/>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color w:val="000000" w:themeColor="text1"/>
                <w:szCs w:val="21"/>
                <w:highlight w:val="none"/>
              </w:rPr>
            </w:pPr>
            <w:r>
              <w:rPr>
                <w:rFonts w:hint="eastAsia" w:ascii="宋体" w:hAnsi="宋体"/>
                <w:color w:val="000000" w:themeColor="text1"/>
                <w:szCs w:val="21"/>
                <w:highlight w:val="none"/>
              </w:rPr>
              <w:t>8</w:t>
            </w:r>
          </w:p>
        </w:tc>
        <w:tc>
          <w:tcPr>
            <w:tcW w:w="957" w:type="pct"/>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color w:val="000000" w:themeColor="text1"/>
                <w:szCs w:val="21"/>
                <w:highlight w:val="none"/>
              </w:rPr>
            </w:pPr>
            <w:r>
              <w:rPr>
                <w:rFonts w:hint="eastAsia" w:ascii="宋体" w:hAnsi="宋体"/>
                <w:color w:val="000000" w:themeColor="text1"/>
                <w:szCs w:val="21"/>
                <w:highlight w:val="none"/>
              </w:rPr>
              <w:t>采购单位</w:t>
            </w:r>
          </w:p>
        </w:tc>
        <w:tc>
          <w:tcPr>
            <w:tcW w:w="3680" w:type="pct"/>
            <w:gridSpan w:val="4"/>
            <w:tcBorders>
              <w:top w:val="single" w:color="auto" w:sz="4" w:space="0"/>
              <w:left w:val="single" w:color="auto" w:sz="4" w:space="0"/>
              <w:bottom w:val="single" w:color="auto" w:sz="4" w:space="0"/>
              <w:right w:val="single" w:color="auto" w:sz="4" w:space="0"/>
            </w:tcBorders>
            <w:noWrap/>
            <w:vAlign w:val="center"/>
          </w:tcPr>
          <w:p>
            <w:pPr>
              <w:spacing w:line="360" w:lineRule="auto"/>
              <w:rPr>
                <w:rFonts w:ascii="宋体" w:hAnsi="宋体"/>
                <w:color w:val="000000" w:themeColor="text1"/>
                <w:szCs w:val="21"/>
                <w:highlight w:val="none"/>
              </w:rPr>
            </w:pPr>
            <w:r>
              <w:rPr>
                <w:rFonts w:hint="eastAsia" w:ascii="宋体" w:hAnsi="宋体"/>
                <w:color w:val="000000" w:themeColor="text1"/>
                <w:szCs w:val="21"/>
                <w:highlight w:val="none"/>
              </w:rPr>
              <w:t>江苏长江水务股份有限公司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362" w:type="pct"/>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color w:val="000000" w:themeColor="text1"/>
                <w:szCs w:val="21"/>
                <w:highlight w:val="none"/>
              </w:rPr>
            </w:pPr>
            <w:r>
              <w:rPr>
                <w:rFonts w:hint="eastAsia" w:ascii="宋体" w:hAnsi="宋体"/>
                <w:color w:val="000000" w:themeColor="text1"/>
                <w:szCs w:val="21"/>
                <w:highlight w:val="none"/>
              </w:rPr>
              <w:t>9</w:t>
            </w:r>
          </w:p>
        </w:tc>
        <w:tc>
          <w:tcPr>
            <w:tcW w:w="957" w:type="pct"/>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color w:val="000000" w:themeColor="text1"/>
                <w:szCs w:val="21"/>
                <w:highlight w:val="none"/>
              </w:rPr>
            </w:pPr>
            <w:r>
              <w:rPr>
                <w:rFonts w:hint="eastAsia" w:ascii="宋体" w:hAnsi="宋体"/>
                <w:color w:val="000000" w:themeColor="text1"/>
                <w:szCs w:val="21"/>
                <w:highlight w:val="none"/>
              </w:rPr>
              <w:t>投标文件份数</w:t>
            </w:r>
          </w:p>
        </w:tc>
        <w:tc>
          <w:tcPr>
            <w:tcW w:w="3680" w:type="pct"/>
            <w:gridSpan w:val="4"/>
            <w:tcBorders>
              <w:top w:val="single" w:color="auto" w:sz="4" w:space="0"/>
              <w:left w:val="single" w:color="auto" w:sz="4" w:space="0"/>
              <w:bottom w:val="single" w:color="auto" w:sz="4" w:space="0"/>
              <w:right w:val="single" w:color="auto" w:sz="4" w:space="0"/>
            </w:tcBorders>
            <w:noWrap/>
            <w:vAlign w:val="center"/>
          </w:tcPr>
          <w:p>
            <w:pPr>
              <w:spacing w:line="360" w:lineRule="auto"/>
              <w:rPr>
                <w:rFonts w:ascii="宋体" w:hAnsi="宋体"/>
                <w:color w:val="000000" w:themeColor="text1"/>
                <w:szCs w:val="21"/>
                <w:highlight w:val="none"/>
              </w:rPr>
            </w:pPr>
            <w:r>
              <w:rPr>
                <w:rFonts w:hint="eastAsia" w:ascii="宋体" w:hAnsi="宋体"/>
                <w:color w:val="000000" w:themeColor="text1"/>
                <w:szCs w:val="21"/>
                <w:highlight w:val="none"/>
              </w:rPr>
              <w:t>正本一份，副本四份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trPr>
        <w:tc>
          <w:tcPr>
            <w:tcW w:w="362" w:type="pct"/>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color w:val="000000" w:themeColor="text1"/>
                <w:szCs w:val="21"/>
                <w:highlight w:val="none"/>
              </w:rPr>
            </w:pPr>
            <w:r>
              <w:rPr>
                <w:rFonts w:hint="eastAsia" w:ascii="宋体" w:hAnsi="宋体"/>
                <w:color w:val="000000" w:themeColor="text1"/>
                <w:szCs w:val="21"/>
                <w:highlight w:val="none"/>
              </w:rPr>
              <w:t>10</w:t>
            </w:r>
          </w:p>
        </w:tc>
        <w:tc>
          <w:tcPr>
            <w:tcW w:w="957" w:type="pct"/>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color w:val="000000" w:themeColor="text1"/>
                <w:szCs w:val="21"/>
                <w:highlight w:val="none"/>
              </w:rPr>
            </w:pPr>
            <w:r>
              <w:rPr>
                <w:rFonts w:hint="eastAsia" w:ascii="宋体" w:hAnsi="宋体"/>
                <w:color w:val="000000" w:themeColor="text1"/>
                <w:szCs w:val="21"/>
                <w:highlight w:val="none"/>
              </w:rPr>
              <w:t>投标有效期</w:t>
            </w:r>
          </w:p>
        </w:tc>
        <w:tc>
          <w:tcPr>
            <w:tcW w:w="3680" w:type="pct"/>
            <w:gridSpan w:val="4"/>
            <w:tcBorders>
              <w:top w:val="single" w:color="auto" w:sz="4" w:space="0"/>
              <w:left w:val="single" w:color="auto" w:sz="4" w:space="0"/>
              <w:bottom w:val="single" w:color="auto" w:sz="4" w:space="0"/>
              <w:right w:val="single" w:color="auto" w:sz="4" w:space="0"/>
            </w:tcBorders>
            <w:noWrap/>
            <w:vAlign w:val="center"/>
          </w:tcPr>
          <w:p>
            <w:pPr>
              <w:spacing w:line="360" w:lineRule="auto"/>
              <w:jc w:val="left"/>
              <w:rPr>
                <w:rFonts w:ascii="宋体" w:hAnsi="宋体"/>
                <w:color w:val="000000" w:themeColor="text1"/>
                <w:szCs w:val="21"/>
                <w:highlight w:val="none"/>
              </w:rPr>
            </w:pPr>
            <w:r>
              <w:rPr>
                <w:rFonts w:hint="eastAsia" w:ascii="宋体" w:hAnsi="宋体"/>
                <w:color w:val="000000" w:themeColor="text1"/>
                <w:szCs w:val="21"/>
                <w:highlight w:val="none"/>
              </w:rPr>
              <w:t>从投标截止日起90天内有效，如中标有效期延止合同终止。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trPr>
        <w:tc>
          <w:tcPr>
            <w:tcW w:w="362" w:type="pct"/>
            <w:tcBorders>
              <w:top w:val="single" w:color="auto" w:sz="4" w:space="0"/>
              <w:left w:val="single" w:color="auto" w:sz="4" w:space="0"/>
              <w:bottom w:val="single" w:color="auto" w:sz="4" w:space="0"/>
              <w:right w:val="single" w:color="auto" w:sz="4" w:space="0"/>
            </w:tcBorders>
            <w:noWrap/>
            <w:vAlign w:val="center"/>
          </w:tcPr>
          <w:p>
            <w:pPr>
              <w:spacing w:line="340" w:lineRule="exact"/>
              <w:jc w:val="center"/>
              <w:rPr>
                <w:rFonts w:ascii="宋体" w:hAnsi="宋体"/>
                <w:color w:val="000000" w:themeColor="text1"/>
                <w:szCs w:val="21"/>
                <w:highlight w:val="none"/>
              </w:rPr>
            </w:pPr>
            <w:r>
              <w:rPr>
                <w:rFonts w:hint="eastAsia" w:ascii="宋体" w:hAnsi="宋体"/>
                <w:color w:val="000000" w:themeColor="text1"/>
                <w:szCs w:val="21"/>
                <w:highlight w:val="none"/>
              </w:rPr>
              <w:t>11</w:t>
            </w:r>
          </w:p>
        </w:tc>
        <w:tc>
          <w:tcPr>
            <w:tcW w:w="957" w:type="pct"/>
            <w:tcBorders>
              <w:top w:val="single" w:color="auto" w:sz="4" w:space="0"/>
              <w:left w:val="single" w:color="auto" w:sz="4" w:space="0"/>
              <w:bottom w:val="single" w:color="auto" w:sz="4" w:space="0"/>
              <w:right w:val="single" w:color="auto" w:sz="4" w:space="0"/>
            </w:tcBorders>
            <w:noWrap/>
            <w:vAlign w:val="center"/>
          </w:tcPr>
          <w:p>
            <w:pPr>
              <w:spacing w:line="320" w:lineRule="exact"/>
              <w:jc w:val="center"/>
              <w:rPr>
                <w:rFonts w:ascii="宋体" w:hAnsi="宋体"/>
                <w:color w:val="000000" w:themeColor="text1"/>
                <w:szCs w:val="21"/>
                <w:highlight w:val="none"/>
              </w:rPr>
            </w:pPr>
            <w:r>
              <w:rPr>
                <w:rFonts w:hint="eastAsia" w:ascii="宋体" w:hAnsi="宋体"/>
                <w:color w:val="000000" w:themeColor="text1"/>
                <w:szCs w:val="21"/>
                <w:highlight w:val="none"/>
              </w:rPr>
              <w:t>答疑时间</w:t>
            </w:r>
          </w:p>
        </w:tc>
        <w:tc>
          <w:tcPr>
            <w:tcW w:w="3680" w:type="pct"/>
            <w:gridSpan w:val="4"/>
            <w:tcBorders>
              <w:top w:val="single" w:color="auto" w:sz="4" w:space="0"/>
              <w:left w:val="single" w:color="auto" w:sz="4" w:space="0"/>
              <w:bottom w:val="single" w:color="auto" w:sz="4" w:space="0"/>
              <w:right w:val="single" w:color="auto" w:sz="4" w:space="0"/>
            </w:tcBorders>
            <w:noWrap/>
            <w:vAlign w:val="center"/>
          </w:tcPr>
          <w:p>
            <w:pPr>
              <w:spacing w:line="320" w:lineRule="exact"/>
              <w:rPr>
                <w:rFonts w:ascii="宋体" w:hAnsi="宋体"/>
                <w:color w:val="000000" w:themeColor="text1"/>
                <w:szCs w:val="21"/>
                <w:highlight w:val="none"/>
              </w:rPr>
            </w:pPr>
            <w:r>
              <w:rPr>
                <w:rFonts w:hint="eastAsia" w:ascii="宋体" w:hAnsi="宋体"/>
                <w:color w:val="000000" w:themeColor="text1"/>
                <w:szCs w:val="21"/>
                <w:highlight w:val="none"/>
              </w:rPr>
              <w:t>投标截止日前三天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atLeast"/>
        </w:trPr>
        <w:tc>
          <w:tcPr>
            <w:tcW w:w="362" w:type="pct"/>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color w:val="000000" w:themeColor="text1"/>
                <w:szCs w:val="21"/>
                <w:highlight w:val="none"/>
              </w:rPr>
            </w:pPr>
            <w:r>
              <w:rPr>
                <w:rFonts w:hint="eastAsia" w:ascii="宋体" w:hAnsi="宋体"/>
                <w:color w:val="000000" w:themeColor="text1"/>
                <w:szCs w:val="21"/>
                <w:highlight w:val="none"/>
              </w:rPr>
              <w:t>12</w:t>
            </w:r>
          </w:p>
        </w:tc>
        <w:tc>
          <w:tcPr>
            <w:tcW w:w="957" w:type="pct"/>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color w:val="000000" w:themeColor="text1"/>
                <w:szCs w:val="21"/>
                <w:highlight w:val="none"/>
              </w:rPr>
            </w:pPr>
            <w:r>
              <w:rPr>
                <w:rFonts w:hint="eastAsia" w:ascii="宋体" w:hAnsi="宋体"/>
                <w:color w:val="000000" w:themeColor="text1"/>
                <w:szCs w:val="21"/>
                <w:highlight w:val="none"/>
              </w:rPr>
              <w:t>投标截止时间</w:t>
            </w:r>
          </w:p>
        </w:tc>
        <w:tc>
          <w:tcPr>
            <w:tcW w:w="3680" w:type="pct"/>
            <w:gridSpan w:val="4"/>
            <w:tcBorders>
              <w:top w:val="single" w:color="auto" w:sz="4" w:space="0"/>
              <w:left w:val="single" w:color="auto" w:sz="4" w:space="0"/>
              <w:bottom w:val="single" w:color="auto" w:sz="4" w:space="0"/>
              <w:right w:val="single" w:color="auto" w:sz="4" w:space="0"/>
            </w:tcBorders>
            <w:noWrap/>
            <w:vAlign w:val="center"/>
          </w:tcPr>
          <w:p>
            <w:pPr>
              <w:spacing w:line="360" w:lineRule="auto"/>
              <w:rPr>
                <w:rFonts w:ascii="宋体" w:hAnsi="宋体"/>
                <w:color w:val="000000" w:themeColor="text1"/>
                <w:szCs w:val="21"/>
                <w:highlight w:val="none"/>
              </w:rPr>
            </w:pPr>
            <w:r>
              <w:rPr>
                <w:rFonts w:hint="eastAsia" w:ascii="宋体" w:hAnsi="宋体"/>
                <w:color w:val="000000" w:themeColor="text1"/>
                <w:szCs w:val="21"/>
                <w:highlight w:val="none"/>
              </w:rPr>
              <w:t>2023年</w:t>
            </w:r>
            <w:r>
              <w:rPr>
                <w:rFonts w:hint="eastAsia" w:ascii="宋体" w:hAnsi="宋体"/>
                <w:color w:val="000000" w:themeColor="text1"/>
                <w:szCs w:val="21"/>
                <w:highlight w:val="none"/>
                <w:lang w:val="en-US" w:eastAsia="zh-CN"/>
              </w:rPr>
              <w:t>5</w:t>
            </w:r>
            <w:r>
              <w:rPr>
                <w:rFonts w:hint="eastAsia" w:ascii="宋体" w:hAnsi="宋体"/>
                <w:color w:val="000000" w:themeColor="text1"/>
                <w:szCs w:val="21"/>
                <w:highlight w:val="none"/>
              </w:rPr>
              <w:t>月</w:t>
            </w:r>
            <w:r>
              <w:rPr>
                <w:rFonts w:hint="eastAsia" w:ascii="宋体" w:hAnsi="宋体"/>
                <w:color w:val="000000" w:themeColor="text1"/>
                <w:szCs w:val="21"/>
                <w:highlight w:val="none"/>
                <w:lang w:val="en-US" w:eastAsia="zh-CN"/>
              </w:rPr>
              <w:t>10</w:t>
            </w:r>
            <w:bookmarkStart w:id="3" w:name="_GoBack"/>
            <w:bookmarkEnd w:id="3"/>
            <w:r>
              <w:rPr>
                <w:rFonts w:hint="eastAsia" w:ascii="宋体" w:hAnsi="宋体"/>
                <w:color w:val="000000" w:themeColor="text1"/>
                <w:szCs w:val="21"/>
                <w:highlight w:val="none"/>
              </w:rPr>
              <w:t xml:space="preserve">日上午 9:00  </w:t>
            </w:r>
            <w:r>
              <w:rPr>
                <w:rFonts w:hint="eastAsia" w:ascii="宋体" w:hAnsi="宋体" w:cs="宋体"/>
                <w:color w:val="000000" w:themeColor="text1"/>
                <w:kern w:val="0"/>
                <w:szCs w:val="21"/>
                <w:highlight w:val="none"/>
              </w:rPr>
              <w:t>（北京时间）</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91" w:hRule="atLeast"/>
        </w:trPr>
        <w:tc>
          <w:tcPr>
            <w:tcW w:w="362" w:type="pct"/>
            <w:tcBorders>
              <w:top w:val="single" w:color="auto" w:sz="4" w:space="0"/>
              <w:left w:val="single" w:color="auto" w:sz="8" w:space="0"/>
              <w:bottom w:val="single" w:color="auto" w:sz="4" w:space="0"/>
              <w:right w:val="single" w:color="auto" w:sz="4" w:space="0"/>
            </w:tcBorders>
            <w:noWrap/>
            <w:vAlign w:val="center"/>
          </w:tcPr>
          <w:p>
            <w:pPr>
              <w:spacing w:line="360" w:lineRule="auto"/>
              <w:jc w:val="center"/>
              <w:rPr>
                <w:rFonts w:ascii="宋体" w:hAnsi="宋体"/>
                <w:color w:val="000000" w:themeColor="text1"/>
                <w:szCs w:val="21"/>
                <w:highlight w:val="none"/>
              </w:rPr>
            </w:pPr>
            <w:r>
              <w:rPr>
                <w:rFonts w:hint="eastAsia" w:ascii="宋体" w:hAnsi="宋体"/>
                <w:color w:val="000000" w:themeColor="text1"/>
                <w:szCs w:val="21"/>
                <w:highlight w:val="none"/>
              </w:rPr>
              <w:t>13</w:t>
            </w:r>
          </w:p>
        </w:tc>
        <w:tc>
          <w:tcPr>
            <w:tcW w:w="957" w:type="pct"/>
            <w:tcBorders>
              <w:top w:val="single" w:color="auto" w:sz="4" w:space="0"/>
              <w:left w:val="single" w:color="auto" w:sz="8" w:space="0"/>
              <w:bottom w:val="single" w:color="auto" w:sz="4" w:space="0"/>
              <w:right w:val="single" w:color="auto" w:sz="4" w:space="0"/>
            </w:tcBorders>
            <w:noWrap/>
            <w:vAlign w:val="center"/>
          </w:tcPr>
          <w:p>
            <w:pPr>
              <w:spacing w:line="360" w:lineRule="auto"/>
              <w:jc w:val="center"/>
              <w:rPr>
                <w:rFonts w:ascii="宋体" w:hAnsi="宋体"/>
                <w:color w:val="000000" w:themeColor="text1"/>
                <w:szCs w:val="21"/>
                <w:highlight w:val="none"/>
              </w:rPr>
            </w:pPr>
            <w:r>
              <w:rPr>
                <w:rFonts w:hint="eastAsia" w:ascii="宋体" w:hAnsi="宋体"/>
                <w:color w:val="000000" w:themeColor="text1"/>
                <w:szCs w:val="21"/>
                <w:highlight w:val="none"/>
              </w:rPr>
              <w:t>投标文件递交</w:t>
            </w:r>
          </w:p>
        </w:tc>
        <w:tc>
          <w:tcPr>
            <w:tcW w:w="3680" w:type="pct"/>
            <w:gridSpan w:val="4"/>
            <w:tcBorders>
              <w:top w:val="single" w:color="auto" w:sz="4" w:space="0"/>
              <w:left w:val="single" w:color="auto" w:sz="4" w:space="0"/>
              <w:bottom w:val="single" w:color="auto" w:sz="4" w:space="0"/>
              <w:right w:val="single" w:color="auto" w:sz="8" w:space="0"/>
            </w:tcBorders>
            <w:noWrap/>
            <w:vAlign w:val="center"/>
          </w:tcPr>
          <w:p>
            <w:pPr>
              <w:spacing w:line="360" w:lineRule="auto"/>
              <w:rPr>
                <w:rFonts w:ascii="宋体" w:hAnsi="宋体"/>
                <w:color w:val="000000" w:themeColor="text1"/>
                <w:szCs w:val="21"/>
                <w:highlight w:val="none"/>
              </w:rPr>
            </w:pPr>
            <w:r>
              <w:rPr>
                <w:rFonts w:hint="eastAsia" w:ascii="宋体" w:hAnsi="宋体"/>
                <w:color w:val="000000" w:themeColor="text1"/>
                <w:szCs w:val="21"/>
                <w:highlight w:val="none"/>
              </w:rPr>
              <w:t>扬州市文汇东路249号 江苏长江水务股份有限公司物资供应处</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8" w:hRule="atLeast"/>
        </w:trPr>
        <w:tc>
          <w:tcPr>
            <w:tcW w:w="362" w:type="pct"/>
            <w:tcBorders>
              <w:top w:val="single" w:color="auto" w:sz="4" w:space="0"/>
              <w:left w:val="single" w:color="auto" w:sz="8" w:space="0"/>
              <w:bottom w:val="single" w:color="auto" w:sz="4" w:space="0"/>
              <w:right w:val="single" w:color="auto" w:sz="4" w:space="0"/>
            </w:tcBorders>
            <w:noWrap/>
            <w:vAlign w:val="center"/>
          </w:tcPr>
          <w:p>
            <w:pPr>
              <w:jc w:val="center"/>
              <w:rPr>
                <w:rFonts w:ascii="宋体" w:hAnsi="宋体"/>
                <w:color w:val="000000" w:themeColor="text1"/>
                <w:szCs w:val="21"/>
                <w:highlight w:val="none"/>
              </w:rPr>
            </w:pPr>
            <w:r>
              <w:rPr>
                <w:rFonts w:hint="eastAsia" w:ascii="宋体" w:hAnsi="宋体"/>
                <w:color w:val="000000" w:themeColor="text1"/>
                <w:szCs w:val="21"/>
                <w:highlight w:val="none"/>
              </w:rPr>
              <w:t>14</w:t>
            </w:r>
          </w:p>
        </w:tc>
        <w:tc>
          <w:tcPr>
            <w:tcW w:w="957" w:type="pct"/>
            <w:tcBorders>
              <w:top w:val="single" w:color="auto" w:sz="4" w:space="0"/>
              <w:left w:val="single" w:color="auto" w:sz="8" w:space="0"/>
              <w:bottom w:val="single" w:color="auto" w:sz="4" w:space="0"/>
              <w:right w:val="single" w:color="auto" w:sz="4" w:space="0"/>
            </w:tcBorders>
            <w:noWrap/>
            <w:vAlign w:val="center"/>
          </w:tcPr>
          <w:p>
            <w:pPr>
              <w:jc w:val="center"/>
              <w:rPr>
                <w:rFonts w:ascii="宋体" w:hAnsi="宋体"/>
                <w:color w:val="000000" w:themeColor="text1"/>
                <w:szCs w:val="21"/>
                <w:highlight w:val="none"/>
              </w:rPr>
            </w:pPr>
            <w:r>
              <w:rPr>
                <w:rFonts w:hint="eastAsia" w:ascii="宋体" w:hAnsi="宋体"/>
                <w:color w:val="000000" w:themeColor="text1"/>
                <w:szCs w:val="21"/>
                <w:highlight w:val="none"/>
              </w:rPr>
              <w:t>开标时间</w:t>
            </w:r>
          </w:p>
        </w:tc>
        <w:tc>
          <w:tcPr>
            <w:tcW w:w="473" w:type="pct"/>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color w:val="000000" w:themeColor="text1"/>
                <w:szCs w:val="21"/>
                <w:highlight w:val="none"/>
              </w:rPr>
            </w:pPr>
            <w:r>
              <w:rPr>
                <w:rFonts w:hint="eastAsia" w:ascii="宋体" w:hAnsi="宋体"/>
                <w:color w:val="000000" w:themeColor="text1"/>
                <w:szCs w:val="21"/>
                <w:highlight w:val="none"/>
              </w:rPr>
              <w:t>时间</w:t>
            </w:r>
          </w:p>
        </w:tc>
        <w:tc>
          <w:tcPr>
            <w:tcW w:w="1447" w:type="pct"/>
            <w:tcBorders>
              <w:top w:val="single" w:color="auto" w:sz="4" w:space="0"/>
              <w:left w:val="single" w:color="auto" w:sz="4" w:space="0"/>
              <w:bottom w:val="single" w:color="auto" w:sz="4" w:space="0"/>
              <w:right w:val="single" w:color="auto" w:sz="4" w:space="0"/>
            </w:tcBorders>
            <w:noWrap/>
            <w:vAlign w:val="center"/>
          </w:tcPr>
          <w:p>
            <w:pPr>
              <w:rPr>
                <w:rFonts w:ascii="宋体" w:hAnsi="宋体"/>
                <w:color w:val="000000" w:themeColor="text1"/>
                <w:szCs w:val="21"/>
                <w:highlight w:val="none"/>
              </w:rPr>
            </w:pPr>
            <w:r>
              <w:rPr>
                <w:rFonts w:ascii="宋体" w:hAnsi="宋体"/>
                <w:color w:val="000000" w:themeColor="text1"/>
                <w:szCs w:val="21"/>
                <w:highlight w:val="none"/>
              </w:rPr>
              <w:t>20</w:t>
            </w:r>
            <w:r>
              <w:rPr>
                <w:rFonts w:hint="eastAsia" w:ascii="宋体" w:hAnsi="宋体"/>
                <w:color w:val="000000" w:themeColor="text1"/>
                <w:szCs w:val="21"/>
                <w:highlight w:val="none"/>
              </w:rPr>
              <w:t>23年</w:t>
            </w:r>
            <w:r>
              <w:rPr>
                <w:rFonts w:hint="eastAsia" w:ascii="宋体" w:hAnsi="宋体"/>
                <w:color w:val="000000" w:themeColor="text1"/>
                <w:szCs w:val="21"/>
                <w:highlight w:val="none"/>
                <w:lang w:val="en-US" w:eastAsia="zh-CN"/>
              </w:rPr>
              <w:t>5</w:t>
            </w:r>
            <w:r>
              <w:rPr>
                <w:rFonts w:hint="eastAsia" w:ascii="宋体" w:hAnsi="宋体"/>
                <w:color w:val="000000" w:themeColor="text1"/>
                <w:szCs w:val="21"/>
                <w:highlight w:val="none"/>
              </w:rPr>
              <w:t>月</w:t>
            </w:r>
            <w:r>
              <w:rPr>
                <w:rFonts w:hint="eastAsia" w:ascii="宋体" w:hAnsi="宋体"/>
                <w:color w:val="000000" w:themeColor="text1"/>
                <w:szCs w:val="21"/>
                <w:highlight w:val="none"/>
                <w:lang w:val="en-US" w:eastAsia="zh-CN"/>
              </w:rPr>
              <w:t>10</w:t>
            </w:r>
            <w:r>
              <w:rPr>
                <w:rFonts w:hint="eastAsia" w:ascii="宋体" w:hAnsi="宋体"/>
                <w:color w:val="000000" w:themeColor="text1"/>
                <w:szCs w:val="21"/>
                <w:highlight w:val="none"/>
              </w:rPr>
              <w:t>日上午9</w:t>
            </w:r>
            <w:r>
              <w:rPr>
                <w:rFonts w:ascii="宋体" w:hAnsi="宋体"/>
                <w:color w:val="000000" w:themeColor="text1"/>
                <w:szCs w:val="21"/>
                <w:highlight w:val="none"/>
              </w:rPr>
              <w:t>:</w:t>
            </w:r>
            <w:r>
              <w:rPr>
                <w:rFonts w:hint="eastAsia" w:ascii="宋体" w:hAnsi="宋体"/>
                <w:color w:val="000000" w:themeColor="text1"/>
                <w:szCs w:val="21"/>
                <w:highlight w:val="none"/>
              </w:rPr>
              <w:t>3</w:t>
            </w:r>
            <w:r>
              <w:rPr>
                <w:rFonts w:ascii="宋体" w:hAnsi="宋体"/>
                <w:color w:val="000000" w:themeColor="text1"/>
                <w:szCs w:val="21"/>
                <w:highlight w:val="none"/>
              </w:rPr>
              <w:t>0</w:t>
            </w:r>
            <w:r>
              <w:rPr>
                <w:rFonts w:hint="eastAsia" w:ascii="宋体" w:hAnsi="宋体" w:cs="宋体"/>
                <w:color w:val="000000" w:themeColor="text1"/>
                <w:kern w:val="0"/>
                <w:szCs w:val="21"/>
                <w:highlight w:val="none"/>
              </w:rPr>
              <w:t>（北京时间）</w:t>
            </w:r>
          </w:p>
        </w:tc>
        <w:tc>
          <w:tcPr>
            <w:tcW w:w="446" w:type="pct"/>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color w:val="000000" w:themeColor="text1"/>
                <w:szCs w:val="21"/>
                <w:highlight w:val="none"/>
              </w:rPr>
            </w:pPr>
            <w:r>
              <w:rPr>
                <w:rFonts w:hint="eastAsia" w:ascii="宋体" w:hAnsi="宋体"/>
                <w:color w:val="000000" w:themeColor="text1"/>
                <w:szCs w:val="21"/>
                <w:highlight w:val="none"/>
              </w:rPr>
              <w:t>地址</w:t>
            </w:r>
          </w:p>
        </w:tc>
        <w:tc>
          <w:tcPr>
            <w:tcW w:w="1312" w:type="pct"/>
            <w:tcBorders>
              <w:top w:val="single" w:color="auto" w:sz="4" w:space="0"/>
              <w:left w:val="single" w:color="auto" w:sz="4" w:space="0"/>
              <w:bottom w:val="single" w:color="auto" w:sz="4" w:space="0"/>
              <w:right w:val="single" w:color="auto" w:sz="8" w:space="0"/>
            </w:tcBorders>
            <w:noWrap/>
            <w:vAlign w:val="center"/>
          </w:tcPr>
          <w:p>
            <w:pPr>
              <w:rPr>
                <w:rFonts w:ascii="宋体" w:hAnsi="宋体"/>
                <w:color w:val="000000" w:themeColor="text1"/>
                <w:szCs w:val="21"/>
                <w:highlight w:val="none"/>
              </w:rPr>
            </w:pPr>
            <w:r>
              <w:rPr>
                <w:rFonts w:hint="eastAsia" w:ascii="宋体" w:hAnsi="宋体"/>
                <w:color w:val="000000" w:themeColor="text1"/>
                <w:szCs w:val="21"/>
                <w:highlight w:val="none"/>
              </w:rPr>
              <w:t>江苏长江水务股份有限公司东大楼三楼会议室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4" w:hRule="atLeast"/>
        </w:trPr>
        <w:tc>
          <w:tcPr>
            <w:tcW w:w="362" w:type="pct"/>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color w:val="000000" w:themeColor="text1"/>
                <w:szCs w:val="21"/>
                <w:highlight w:val="none"/>
              </w:rPr>
            </w:pPr>
            <w:r>
              <w:rPr>
                <w:rFonts w:hint="eastAsia" w:ascii="宋体" w:hAnsi="宋体"/>
                <w:color w:val="000000" w:themeColor="text1"/>
                <w:szCs w:val="21"/>
                <w:highlight w:val="none"/>
              </w:rPr>
              <w:t>15</w:t>
            </w:r>
          </w:p>
        </w:tc>
        <w:tc>
          <w:tcPr>
            <w:tcW w:w="957" w:type="pct"/>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color w:val="000000" w:themeColor="text1"/>
                <w:szCs w:val="21"/>
                <w:highlight w:val="none"/>
              </w:rPr>
            </w:pPr>
            <w:r>
              <w:rPr>
                <w:rFonts w:hint="eastAsia" w:ascii="宋体" w:hAnsi="宋体"/>
                <w:color w:val="000000" w:themeColor="text1"/>
                <w:szCs w:val="21"/>
                <w:highlight w:val="none"/>
              </w:rPr>
              <w:t>标书装订及密封要求</w:t>
            </w:r>
          </w:p>
        </w:tc>
        <w:tc>
          <w:tcPr>
            <w:tcW w:w="3680" w:type="pct"/>
            <w:gridSpan w:val="4"/>
            <w:tcBorders>
              <w:top w:val="single" w:color="auto" w:sz="4" w:space="0"/>
              <w:left w:val="single" w:color="auto" w:sz="4" w:space="0"/>
              <w:bottom w:val="single" w:color="auto" w:sz="4" w:space="0"/>
              <w:right w:val="single" w:color="auto" w:sz="4" w:space="0"/>
            </w:tcBorders>
            <w:noWrap/>
            <w:vAlign w:val="center"/>
          </w:tcPr>
          <w:p>
            <w:pPr>
              <w:spacing w:line="288" w:lineRule="auto"/>
              <w:rPr>
                <w:rFonts w:ascii="宋体" w:hAnsi="宋体"/>
                <w:color w:val="000000" w:themeColor="text1"/>
                <w:szCs w:val="21"/>
                <w:highlight w:val="none"/>
              </w:rPr>
            </w:pPr>
            <w:r>
              <w:rPr>
                <w:rFonts w:hint="eastAsia" w:ascii="宋体" w:hAnsi="宋体"/>
                <w:color w:val="000000" w:themeColor="text1"/>
                <w:szCs w:val="21"/>
                <w:highlight w:val="none"/>
              </w:rPr>
              <w:t>所有封袋上应写明招标人名称、工程名称和标段及投标人的名称。</w:t>
            </w:r>
          </w:p>
          <w:p>
            <w:pPr>
              <w:spacing w:line="288" w:lineRule="auto"/>
              <w:rPr>
                <w:rFonts w:ascii="宋体" w:hAnsi="宋体"/>
                <w:color w:val="000000" w:themeColor="text1"/>
                <w:szCs w:val="21"/>
                <w:highlight w:val="none"/>
              </w:rPr>
            </w:pPr>
            <w:r>
              <w:rPr>
                <w:rFonts w:hint="eastAsia" w:ascii="宋体" w:hAnsi="宋体"/>
                <w:color w:val="000000" w:themeColor="text1"/>
                <w:szCs w:val="21"/>
                <w:highlight w:val="none"/>
              </w:rPr>
              <w:t>所有投标文件都必须在封袋加盖投标单位法人公章及其法定代表人或授权委托人印鉴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2" w:hRule="atLeast"/>
        </w:trPr>
        <w:tc>
          <w:tcPr>
            <w:tcW w:w="362" w:type="pct"/>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color w:val="000000" w:themeColor="text1"/>
                <w:szCs w:val="21"/>
                <w:highlight w:val="none"/>
              </w:rPr>
            </w:pPr>
            <w:r>
              <w:rPr>
                <w:rFonts w:hint="eastAsia" w:ascii="宋体" w:hAnsi="宋体"/>
                <w:color w:val="000000" w:themeColor="text1"/>
                <w:szCs w:val="21"/>
                <w:highlight w:val="none"/>
              </w:rPr>
              <w:t>16</w:t>
            </w:r>
          </w:p>
        </w:tc>
        <w:tc>
          <w:tcPr>
            <w:tcW w:w="957" w:type="pct"/>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color w:val="000000" w:themeColor="text1"/>
                <w:szCs w:val="21"/>
                <w:highlight w:val="none"/>
              </w:rPr>
            </w:pPr>
            <w:r>
              <w:rPr>
                <w:rFonts w:hint="eastAsia" w:ascii="宋体" w:hAnsi="宋体"/>
                <w:color w:val="000000" w:themeColor="text1"/>
                <w:szCs w:val="21"/>
                <w:highlight w:val="none"/>
              </w:rPr>
              <w:t>其他</w:t>
            </w:r>
          </w:p>
        </w:tc>
        <w:tc>
          <w:tcPr>
            <w:tcW w:w="3680" w:type="pct"/>
            <w:gridSpan w:val="4"/>
            <w:tcBorders>
              <w:top w:val="single" w:color="auto" w:sz="4" w:space="0"/>
              <w:left w:val="single" w:color="auto" w:sz="4" w:space="0"/>
              <w:bottom w:val="single" w:color="auto" w:sz="4" w:space="0"/>
              <w:right w:val="single" w:color="auto" w:sz="4" w:space="0"/>
            </w:tcBorders>
            <w:noWrap/>
            <w:vAlign w:val="center"/>
          </w:tcPr>
          <w:p>
            <w:pPr>
              <w:numPr>
                <w:ilvl w:val="0"/>
                <w:numId w:val="1"/>
              </w:numPr>
              <w:spacing w:line="288" w:lineRule="auto"/>
              <w:rPr>
                <w:rFonts w:ascii="宋体" w:hAnsi="宋体"/>
                <w:color w:val="000000" w:themeColor="text1"/>
                <w:szCs w:val="21"/>
                <w:highlight w:val="none"/>
              </w:rPr>
            </w:pPr>
            <w:r>
              <w:rPr>
                <w:rFonts w:hint="eastAsia" w:ascii="宋体" w:hAnsi="宋体"/>
                <w:color w:val="000000" w:themeColor="text1"/>
                <w:szCs w:val="21"/>
                <w:highlight w:val="none"/>
              </w:rPr>
              <w:t>下文中与“前附表”内容不一致的，以“前附表”为准；</w:t>
            </w:r>
          </w:p>
          <w:p>
            <w:pPr>
              <w:numPr>
                <w:ilvl w:val="0"/>
                <w:numId w:val="1"/>
              </w:numPr>
              <w:spacing w:line="288" w:lineRule="auto"/>
              <w:rPr>
                <w:rFonts w:ascii="宋体" w:hAnsi="宋体"/>
                <w:color w:val="000000" w:themeColor="text1"/>
                <w:szCs w:val="21"/>
                <w:highlight w:val="none"/>
              </w:rPr>
            </w:pPr>
            <w:r>
              <w:rPr>
                <w:rFonts w:hint="eastAsia" w:ascii="宋体" w:hAnsi="宋体"/>
                <w:color w:val="000000" w:themeColor="text1"/>
                <w:szCs w:val="21"/>
                <w:highlight w:val="none"/>
              </w:rPr>
              <w:t>本招标文件的解释权属于江苏长江水务股份有限公司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05" w:hRule="atLeast"/>
        </w:trPr>
        <w:tc>
          <w:tcPr>
            <w:tcW w:w="362" w:type="pct"/>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color w:val="000000" w:themeColor="text1"/>
                <w:szCs w:val="21"/>
                <w:highlight w:val="none"/>
              </w:rPr>
            </w:pPr>
            <w:r>
              <w:rPr>
                <w:rFonts w:hint="eastAsia" w:ascii="宋体" w:hAnsi="宋体"/>
                <w:color w:val="000000" w:themeColor="text1"/>
                <w:szCs w:val="21"/>
                <w:highlight w:val="none"/>
              </w:rPr>
              <w:t>17</w:t>
            </w:r>
          </w:p>
        </w:tc>
        <w:tc>
          <w:tcPr>
            <w:tcW w:w="957" w:type="pct"/>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color w:val="000000" w:themeColor="text1"/>
                <w:szCs w:val="21"/>
                <w:highlight w:val="none"/>
              </w:rPr>
            </w:pPr>
            <w:r>
              <w:rPr>
                <w:rFonts w:hint="eastAsia" w:ascii="宋体" w:hAnsi="宋体"/>
                <w:color w:val="000000" w:themeColor="text1"/>
                <w:szCs w:val="21"/>
                <w:highlight w:val="none"/>
              </w:rPr>
              <w:t>联系方式</w:t>
            </w:r>
          </w:p>
        </w:tc>
        <w:tc>
          <w:tcPr>
            <w:tcW w:w="3680" w:type="pct"/>
            <w:gridSpan w:val="4"/>
            <w:tcBorders>
              <w:top w:val="single" w:color="auto" w:sz="4" w:space="0"/>
              <w:left w:val="single" w:color="auto" w:sz="4" w:space="0"/>
              <w:bottom w:val="single" w:color="auto" w:sz="4" w:space="0"/>
              <w:right w:val="single" w:color="auto" w:sz="4" w:space="0"/>
            </w:tcBorders>
            <w:noWrap/>
            <w:vAlign w:val="center"/>
          </w:tcPr>
          <w:p>
            <w:pPr>
              <w:adjustRightInd w:val="0"/>
              <w:spacing w:line="288" w:lineRule="auto"/>
              <w:rPr>
                <w:rFonts w:ascii="宋体" w:hAnsi="宋体"/>
                <w:color w:val="000000" w:themeColor="text1"/>
                <w:szCs w:val="21"/>
                <w:highlight w:val="none"/>
              </w:rPr>
            </w:pPr>
            <w:r>
              <w:rPr>
                <w:rFonts w:hint="eastAsia" w:ascii="宋体" w:hAnsi="宋体"/>
                <w:color w:val="000000" w:themeColor="text1"/>
                <w:szCs w:val="21"/>
                <w:highlight w:val="none"/>
              </w:rPr>
              <w:t xml:space="preserve">招标人：江苏长江水务股份有限公司 </w:t>
            </w:r>
          </w:p>
          <w:p>
            <w:pPr>
              <w:adjustRightInd w:val="0"/>
              <w:spacing w:line="288" w:lineRule="auto"/>
              <w:rPr>
                <w:rFonts w:ascii="宋体" w:hAnsi="宋体"/>
                <w:color w:val="000000" w:themeColor="text1"/>
                <w:szCs w:val="21"/>
                <w:highlight w:val="none"/>
              </w:rPr>
            </w:pPr>
            <w:r>
              <w:rPr>
                <w:rFonts w:hint="eastAsia" w:ascii="宋体" w:hAnsi="宋体"/>
                <w:color w:val="000000" w:themeColor="text1"/>
                <w:szCs w:val="21"/>
                <w:highlight w:val="none"/>
              </w:rPr>
              <w:t xml:space="preserve"> 地  址：扬州市文汇东路249号</w:t>
            </w:r>
          </w:p>
          <w:p>
            <w:pPr>
              <w:adjustRightInd w:val="0"/>
              <w:spacing w:line="288" w:lineRule="auto"/>
              <w:rPr>
                <w:rFonts w:ascii="宋体" w:hAnsi="宋体"/>
                <w:color w:val="000000" w:themeColor="text1"/>
                <w:szCs w:val="21"/>
                <w:highlight w:val="none"/>
              </w:rPr>
            </w:pPr>
            <w:r>
              <w:rPr>
                <w:rFonts w:hint="eastAsia" w:ascii="宋体" w:hAnsi="宋体"/>
                <w:color w:val="000000" w:themeColor="text1"/>
                <w:szCs w:val="21"/>
                <w:highlight w:val="none"/>
              </w:rPr>
              <w:t xml:space="preserve">电  话：0514-82980012  </w:t>
            </w:r>
          </w:p>
          <w:p>
            <w:pPr>
              <w:adjustRightInd w:val="0"/>
              <w:spacing w:line="288" w:lineRule="auto"/>
              <w:rPr>
                <w:rFonts w:ascii="宋体" w:hAnsi="宋体"/>
                <w:color w:val="000000" w:themeColor="text1"/>
                <w:szCs w:val="21"/>
                <w:highlight w:val="none"/>
              </w:rPr>
            </w:pPr>
            <w:r>
              <w:rPr>
                <w:rFonts w:hint="eastAsia" w:ascii="宋体" w:hAnsi="宋体"/>
                <w:color w:val="000000" w:themeColor="text1"/>
                <w:szCs w:val="21"/>
                <w:highlight w:val="none"/>
              </w:rPr>
              <w:t xml:space="preserve"> 联系人：王彪</w:t>
            </w:r>
          </w:p>
        </w:tc>
      </w:tr>
    </w:tbl>
    <w:p>
      <w:pPr>
        <w:autoSpaceDE w:val="0"/>
        <w:autoSpaceDN w:val="0"/>
        <w:adjustRightInd w:val="0"/>
        <w:snapToGrid w:val="0"/>
        <w:spacing w:line="480" w:lineRule="exact"/>
        <w:ind w:firstLine="527" w:firstLineChars="250"/>
        <w:rPr>
          <w:rFonts w:ascii="宋体" w:hAnsi="宋体"/>
          <w:b/>
          <w:color w:val="000000" w:themeColor="text1"/>
          <w:szCs w:val="21"/>
          <w:highlight w:val="none"/>
        </w:rPr>
      </w:pPr>
      <w:r>
        <w:rPr>
          <w:rFonts w:hint="eastAsia" w:ascii="宋体" w:hAnsi="宋体"/>
          <w:b/>
          <w:color w:val="000000" w:themeColor="text1"/>
          <w:szCs w:val="21"/>
          <w:highlight w:val="none"/>
        </w:rPr>
        <w:t>一、总    则</w:t>
      </w:r>
    </w:p>
    <w:p>
      <w:pPr>
        <w:autoSpaceDE w:val="0"/>
        <w:autoSpaceDN w:val="0"/>
        <w:adjustRightInd w:val="0"/>
        <w:snapToGrid w:val="0"/>
        <w:spacing w:line="480" w:lineRule="exact"/>
        <w:ind w:firstLine="561"/>
        <w:rPr>
          <w:rFonts w:ascii="宋体" w:hAnsi="宋体"/>
          <w:b/>
          <w:color w:val="000000" w:themeColor="text1"/>
          <w:szCs w:val="21"/>
          <w:highlight w:val="none"/>
        </w:rPr>
      </w:pPr>
      <w:r>
        <w:rPr>
          <w:rFonts w:hint="eastAsia" w:ascii="宋体" w:hAnsi="宋体"/>
          <w:b/>
          <w:color w:val="000000" w:themeColor="text1"/>
          <w:szCs w:val="21"/>
          <w:highlight w:val="none"/>
        </w:rPr>
        <w:t>1、招标项目概况</w:t>
      </w:r>
    </w:p>
    <w:p>
      <w:pPr>
        <w:autoSpaceDE w:val="0"/>
        <w:autoSpaceDN w:val="0"/>
        <w:adjustRightInd w:val="0"/>
        <w:snapToGrid w:val="0"/>
        <w:spacing w:line="480" w:lineRule="exact"/>
        <w:ind w:left="105" w:leftChars="50" w:firstLine="455" w:firstLineChars="217"/>
        <w:rPr>
          <w:rFonts w:ascii="宋体" w:hAnsi="宋体"/>
          <w:b/>
          <w:bCs/>
          <w:color w:val="000000" w:themeColor="text1"/>
          <w:szCs w:val="21"/>
          <w:highlight w:val="none"/>
        </w:rPr>
      </w:pPr>
      <w:r>
        <w:rPr>
          <w:rFonts w:hint="eastAsia" w:ascii="宋体" w:hAnsi="宋体"/>
          <w:color w:val="000000" w:themeColor="text1"/>
          <w:szCs w:val="21"/>
          <w:highlight w:val="none"/>
        </w:rPr>
        <w:t>1.1因我公司水质化验需要，需采购</w:t>
      </w:r>
      <w:r>
        <w:rPr>
          <w:rFonts w:hint="eastAsia" w:ascii="宋体" w:hAnsi="宋体" w:cs="宋体"/>
          <w:bCs/>
          <w:color w:val="000000" w:themeColor="text1"/>
          <w:spacing w:val="-2"/>
          <w:szCs w:val="21"/>
          <w:highlight w:val="none"/>
        </w:rPr>
        <w:t>全自动固相萃取仪、全自动平行浓缩仪</w:t>
      </w:r>
      <w:r>
        <w:rPr>
          <w:rFonts w:hint="eastAsia" w:ascii="宋体" w:hAnsi="宋体"/>
          <w:color w:val="000000" w:themeColor="text1"/>
          <w:szCs w:val="21"/>
          <w:highlight w:val="none"/>
        </w:rPr>
        <w:t>。本招标项目已具备招标条件，现对本项目进行公开招标。</w:t>
      </w:r>
    </w:p>
    <w:p>
      <w:pPr>
        <w:autoSpaceDE w:val="0"/>
        <w:autoSpaceDN w:val="0"/>
        <w:adjustRightInd w:val="0"/>
        <w:snapToGrid w:val="0"/>
        <w:spacing w:line="480" w:lineRule="exact"/>
        <w:ind w:firstLine="561"/>
        <w:rPr>
          <w:rFonts w:ascii="宋体" w:hAnsi="宋体"/>
          <w:b/>
          <w:color w:val="000000" w:themeColor="text1"/>
          <w:szCs w:val="21"/>
          <w:highlight w:val="none"/>
        </w:rPr>
      </w:pPr>
      <w:r>
        <w:rPr>
          <w:rFonts w:hint="eastAsia" w:ascii="宋体" w:hAnsi="宋体"/>
          <w:b/>
          <w:color w:val="000000" w:themeColor="text1"/>
          <w:szCs w:val="21"/>
          <w:highlight w:val="none"/>
        </w:rPr>
        <w:t>2、投标费用</w:t>
      </w:r>
    </w:p>
    <w:p>
      <w:pPr>
        <w:autoSpaceDE w:val="0"/>
        <w:autoSpaceDN w:val="0"/>
        <w:adjustRightInd w:val="0"/>
        <w:snapToGrid w:val="0"/>
        <w:spacing w:line="480" w:lineRule="exact"/>
        <w:ind w:firstLine="561"/>
        <w:rPr>
          <w:rFonts w:ascii="宋体" w:hAnsi="宋体"/>
          <w:color w:val="000000" w:themeColor="text1"/>
          <w:szCs w:val="21"/>
          <w:highlight w:val="none"/>
        </w:rPr>
      </w:pPr>
      <w:r>
        <w:rPr>
          <w:rFonts w:hint="eastAsia" w:ascii="宋体" w:hAnsi="宋体"/>
          <w:color w:val="000000" w:themeColor="text1"/>
          <w:szCs w:val="21"/>
          <w:highlight w:val="none"/>
        </w:rPr>
        <w:t>2.1投标人应承担其编制投标文件与递交投标文件所涉及的一切费用。不管投标结果如何，招标人对上述费用不负任何责任。</w:t>
      </w:r>
    </w:p>
    <w:p>
      <w:pPr>
        <w:autoSpaceDE w:val="0"/>
        <w:autoSpaceDN w:val="0"/>
        <w:adjustRightInd w:val="0"/>
        <w:snapToGrid w:val="0"/>
        <w:spacing w:line="480" w:lineRule="exact"/>
        <w:ind w:firstLine="561"/>
        <w:rPr>
          <w:rFonts w:ascii="宋体" w:hAnsi="宋体"/>
          <w:b/>
          <w:color w:val="000000" w:themeColor="text1"/>
          <w:szCs w:val="21"/>
          <w:highlight w:val="none"/>
        </w:rPr>
      </w:pPr>
      <w:r>
        <w:rPr>
          <w:rFonts w:hint="eastAsia" w:ascii="宋体" w:hAnsi="宋体"/>
          <w:b/>
          <w:color w:val="000000" w:themeColor="text1"/>
          <w:szCs w:val="21"/>
          <w:highlight w:val="none"/>
        </w:rPr>
        <w:t>3、保密</w:t>
      </w:r>
    </w:p>
    <w:p>
      <w:pPr>
        <w:autoSpaceDE w:val="0"/>
        <w:autoSpaceDN w:val="0"/>
        <w:adjustRightInd w:val="0"/>
        <w:snapToGrid w:val="0"/>
        <w:spacing w:line="480" w:lineRule="exact"/>
        <w:ind w:firstLine="561"/>
        <w:rPr>
          <w:rFonts w:ascii="宋体" w:hAnsi="宋体"/>
          <w:color w:val="000000" w:themeColor="text1"/>
          <w:szCs w:val="21"/>
          <w:highlight w:val="none"/>
        </w:rPr>
      </w:pPr>
      <w:r>
        <w:rPr>
          <w:rFonts w:hint="eastAsia" w:ascii="宋体" w:hAnsi="宋体"/>
          <w:color w:val="000000" w:themeColor="text1"/>
          <w:szCs w:val="21"/>
          <w:highlight w:val="none"/>
        </w:rPr>
        <w:t>参与招标投标活动的各方应对招标文件和投标文件中的商业和技术等秘密保密，违者应对由此造成的后果承担法律责任。</w:t>
      </w:r>
    </w:p>
    <w:p>
      <w:pPr>
        <w:autoSpaceDE w:val="0"/>
        <w:autoSpaceDN w:val="0"/>
        <w:adjustRightInd w:val="0"/>
        <w:snapToGrid w:val="0"/>
        <w:spacing w:line="480" w:lineRule="exact"/>
        <w:ind w:firstLine="561"/>
        <w:rPr>
          <w:rFonts w:ascii="宋体" w:hAnsi="宋体"/>
          <w:b/>
          <w:color w:val="000000" w:themeColor="text1"/>
          <w:szCs w:val="21"/>
          <w:highlight w:val="none"/>
        </w:rPr>
      </w:pPr>
      <w:r>
        <w:rPr>
          <w:rFonts w:hint="eastAsia" w:ascii="宋体" w:hAnsi="宋体"/>
          <w:b/>
          <w:color w:val="000000" w:themeColor="text1"/>
          <w:szCs w:val="21"/>
          <w:highlight w:val="none"/>
        </w:rPr>
        <w:t>4、合格的投标人</w:t>
      </w:r>
    </w:p>
    <w:p>
      <w:pPr>
        <w:spacing w:line="360" w:lineRule="auto"/>
        <w:ind w:firstLine="525" w:firstLineChars="250"/>
        <w:rPr>
          <w:rFonts w:ascii="宋体" w:hAnsi="宋体"/>
          <w:color w:val="000000" w:themeColor="text1"/>
          <w:szCs w:val="21"/>
          <w:highlight w:val="none"/>
        </w:rPr>
      </w:pPr>
      <w:r>
        <w:rPr>
          <w:rFonts w:hint="eastAsia" w:ascii="宋体" w:hAnsi="宋体"/>
          <w:color w:val="000000" w:themeColor="text1"/>
          <w:szCs w:val="21"/>
          <w:highlight w:val="none"/>
        </w:rPr>
        <w:t>4.1投标人必须是中华人民共和国境内注册的企业法人，应遵守中国有关的法律、法规，严格执行国家标准。</w:t>
      </w:r>
    </w:p>
    <w:p>
      <w:pPr>
        <w:autoSpaceDE w:val="0"/>
        <w:autoSpaceDN w:val="0"/>
        <w:adjustRightInd w:val="0"/>
        <w:snapToGrid w:val="0"/>
        <w:spacing w:line="480" w:lineRule="exact"/>
        <w:ind w:firstLine="561"/>
        <w:rPr>
          <w:color w:val="000000" w:themeColor="text1"/>
          <w:highlight w:val="none"/>
        </w:rPr>
      </w:pPr>
      <w:r>
        <w:rPr>
          <w:rFonts w:hint="eastAsia" w:ascii="宋体" w:hAnsi="宋体"/>
          <w:color w:val="000000" w:themeColor="text1"/>
          <w:szCs w:val="21"/>
          <w:highlight w:val="none"/>
        </w:rPr>
        <w:t>4.2代理人具有针对本次投标的投标人法人授权委托书原件。</w:t>
      </w:r>
    </w:p>
    <w:p>
      <w:pPr>
        <w:autoSpaceDE w:val="0"/>
        <w:autoSpaceDN w:val="0"/>
        <w:adjustRightInd w:val="0"/>
        <w:snapToGrid w:val="0"/>
        <w:spacing w:line="480" w:lineRule="exact"/>
        <w:ind w:firstLine="561"/>
        <w:rPr>
          <w:rFonts w:ascii="宋体" w:hAnsi="宋体"/>
          <w:b/>
          <w:color w:val="000000" w:themeColor="text1"/>
          <w:szCs w:val="21"/>
          <w:highlight w:val="none"/>
        </w:rPr>
      </w:pPr>
    </w:p>
    <w:p>
      <w:pPr>
        <w:autoSpaceDE w:val="0"/>
        <w:autoSpaceDN w:val="0"/>
        <w:adjustRightInd w:val="0"/>
        <w:snapToGrid w:val="0"/>
        <w:spacing w:line="360" w:lineRule="auto"/>
        <w:ind w:firstLine="422" w:firstLineChars="200"/>
        <w:rPr>
          <w:rFonts w:ascii="宋体" w:hAnsi="宋体"/>
          <w:b/>
          <w:color w:val="000000" w:themeColor="text1"/>
          <w:szCs w:val="21"/>
          <w:highlight w:val="none"/>
        </w:rPr>
      </w:pPr>
      <w:r>
        <w:rPr>
          <w:rFonts w:hint="eastAsia" w:ascii="宋体" w:hAnsi="宋体"/>
          <w:b/>
          <w:color w:val="000000" w:themeColor="text1"/>
          <w:szCs w:val="21"/>
          <w:highlight w:val="none"/>
        </w:rPr>
        <w:t>二、招标货物清单及技术规格要求</w:t>
      </w:r>
    </w:p>
    <w:p>
      <w:pPr>
        <w:pStyle w:val="4"/>
        <w:spacing w:line="360" w:lineRule="auto"/>
        <w:rPr>
          <w:rFonts w:ascii="宋体" w:hAnsi="宋体" w:eastAsia="宋体" w:cs="宋体"/>
          <w:b/>
          <w:bCs/>
          <w:color w:val="000000" w:themeColor="text1"/>
          <w:sz w:val="21"/>
          <w:szCs w:val="21"/>
          <w:highlight w:val="none"/>
        </w:rPr>
      </w:pPr>
      <w:r>
        <w:rPr>
          <w:rFonts w:hint="eastAsia" w:ascii="宋体" w:hAnsi="宋体" w:eastAsia="宋体" w:cs="宋体"/>
          <w:b/>
          <w:bCs/>
          <w:color w:val="000000" w:themeColor="text1"/>
          <w:sz w:val="21"/>
          <w:szCs w:val="21"/>
          <w:highlight w:val="none"/>
        </w:rPr>
        <w:t>（一）招标货物清单</w:t>
      </w:r>
    </w:p>
    <w:p>
      <w:pPr>
        <w:pStyle w:val="4"/>
        <w:spacing w:line="360" w:lineRule="auto"/>
        <w:ind w:firstLine="632" w:firstLineChars="300"/>
        <w:rPr>
          <w:rFonts w:ascii="宋体" w:hAnsi="宋体" w:eastAsia="宋体" w:cs="宋体"/>
          <w:bCs/>
          <w:color w:val="000000" w:themeColor="text1"/>
          <w:spacing w:val="-2"/>
          <w:sz w:val="21"/>
          <w:szCs w:val="21"/>
          <w:highlight w:val="none"/>
        </w:rPr>
      </w:pPr>
      <w:r>
        <w:rPr>
          <w:rFonts w:hint="eastAsia" w:ascii="宋体" w:hAnsi="宋体" w:eastAsia="宋体" w:cs="宋体"/>
          <w:b/>
          <w:color w:val="000000" w:themeColor="text1"/>
          <w:sz w:val="21"/>
          <w:szCs w:val="21"/>
          <w:highlight w:val="none"/>
        </w:rPr>
        <w:t>1、招标货物名称：</w:t>
      </w:r>
      <w:r>
        <w:rPr>
          <w:rFonts w:hint="eastAsia" w:ascii="宋体" w:hAnsi="宋体" w:eastAsia="宋体" w:cs="宋体"/>
          <w:bCs/>
          <w:color w:val="000000" w:themeColor="text1"/>
          <w:spacing w:val="-2"/>
          <w:sz w:val="21"/>
          <w:szCs w:val="21"/>
          <w:highlight w:val="none"/>
        </w:rPr>
        <w:t>全自动固相萃取仪、全自动平行浓缩仪</w:t>
      </w:r>
    </w:p>
    <w:p>
      <w:pPr>
        <w:pStyle w:val="7"/>
        <w:spacing w:line="360" w:lineRule="auto"/>
        <w:ind w:left="420" w:leftChars="200" w:firstLine="211" w:firstLineChars="100"/>
        <w:rPr>
          <w:rFonts w:ascii="宋体" w:hAnsi="宋体" w:cs="宋体"/>
          <w:color w:val="000000" w:themeColor="text1"/>
          <w:szCs w:val="21"/>
          <w:highlight w:val="none"/>
        </w:rPr>
      </w:pPr>
      <w:r>
        <w:rPr>
          <w:rFonts w:hint="eastAsia" w:ascii="宋体" w:hAnsi="宋体" w:cs="宋体"/>
          <w:b/>
          <w:color w:val="000000" w:themeColor="text1"/>
          <w:szCs w:val="21"/>
          <w:highlight w:val="none"/>
        </w:rPr>
        <w:t>2、订货量</w:t>
      </w:r>
      <w:r>
        <w:rPr>
          <w:rFonts w:hint="eastAsia" w:ascii="宋体" w:hAnsi="宋体" w:cs="宋体"/>
          <w:color w:val="000000" w:themeColor="text1"/>
          <w:szCs w:val="21"/>
          <w:highlight w:val="none"/>
        </w:rPr>
        <w:t>：各1台套</w:t>
      </w:r>
    </w:p>
    <w:p>
      <w:pPr>
        <w:pStyle w:val="7"/>
        <w:spacing w:line="360" w:lineRule="auto"/>
        <w:ind w:left="420" w:leftChars="200" w:firstLine="211" w:firstLineChars="100"/>
        <w:rPr>
          <w:rFonts w:ascii="宋体" w:hAnsi="宋体" w:cs="宋体"/>
          <w:color w:val="000000" w:themeColor="text1"/>
          <w:szCs w:val="21"/>
          <w:highlight w:val="none"/>
        </w:rPr>
      </w:pPr>
      <w:r>
        <w:rPr>
          <w:rFonts w:hint="eastAsia" w:ascii="宋体" w:hAnsi="宋体" w:cs="宋体"/>
          <w:b/>
          <w:color w:val="000000" w:themeColor="text1"/>
          <w:szCs w:val="21"/>
          <w:highlight w:val="none"/>
        </w:rPr>
        <w:t>3、最高投标限价：</w:t>
      </w:r>
      <w:r>
        <w:rPr>
          <w:rFonts w:hint="eastAsia" w:ascii="宋体" w:hAnsi="宋体" w:cs="宋体"/>
          <w:color w:val="000000" w:themeColor="text1"/>
          <w:szCs w:val="21"/>
          <w:highlight w:val="none"/>
        </w:rPr>
        <w:t>60万元，投标报价超过者按否决投标处理。</w:t>
      </w:r>
    </w:p>
    <w:p>
      <w:pPr>
        <w:pStyle w:val="7"/>
        <w:spacing w:line="360" w:lineRule="auto"/>
        <w:ind w:left="420" w:leftChars="200" w:firstLine="211" w:firstLineChars="100"/>
        <w:rPr>
          <w:rFonts w:ascii="宋体" w:hAnsi="宋体" w:cs="宋体"/>
          <w:color w:val="000000" w:themeColor="text1"/>
          <w:szCs w:val="21"/>
          <w:highlight w:val="none"/>
        </w:rPr>
      </w:pPr>
      <w:r>
        <w:rPr>
          <w:rFonts w:hint="eastAsia" w:ascii="宋体" w:hAnsi="宋体" w:cs="宋体"/>
          <w:b/>
          <w:color w:val="000000" w:themeColor="text1"/>
          <w:szCs w:val="21"/>
          <w:highlight w:val="none"/>
        </w:rPr>
        <w:t>4、交货地点：</w:t>
      </w:r>
      <w:r>
        <w:rPr>
          <w:rFonts w:hint="eastAsia" w:ascii="宋体" w:hAnsi="宋体" w:cs="宋体"/>
          <w:bCs/>
          <w:color w:val="000000" w:themeColor="text1"/>
          <w:szCs w:val="21"/>
          <w:highlight w:val="none"/>
        </w:rPr>
        <w:t>用户指定地点</w:t>
      </w:r>
    </w:p>
    <w:p>
      <w:pPr>
        <w:pStyle w:val="4"/>
        <w:spacing w:line="360" w:lineRule="auto"/>
        <w:ind w:firstLine="632" w:firstLineChars="300"/>
        <w:rPr>
          <w:rFonts w:ascii="宋体" w:hAnsi="宋体" w:eastAsia="宋体" w:cs="宋体"/>
          <w:color w:val="000000" w:themeColor="text1"/>
          <w:sz w:val="21"/>
          <w:szCs w:val="21"/>
          <w:highlight w:val="none"/>
        </w:rPr>
      </w:pPr>
      <w:r>
        <w:rPr>
          <w:rFonts w:hint="eastAsia" w:ascii="宋体" w:hAnsi="宋体" w:eastAsia="宋体" w:cs="宋体"/>
          <w:b/>
          <w:color w:val="000000" w:themeColor="text1"/>
          <w:sz w:val="21"/>
          <w:szCs w:val="21"/>
          <w:highlight w:val="none"/>
        </w:rPr>
        <w:t xml:space="preserve">5、交货期: </w:t>
      </w:r>
      <w:r>
        <w:rPr>
          <w:rFonts w:hint="eastAsia" w:ascii="宋体" w:hAnsi="宋体" w:eastAsia="宋体" w:cs="宋体"/>
          <w:bCs/>
          <w:color w:val="000000" w:themeColor="text1"/>
          <w:sz w:val="21"/>
          <w:szCs w:val="21"/>
          <w:highlight w:val="none"/>
        </w:rPr>
        <w:t>合同签订后1</w:t>
      </w:r>
      <w:r>
        <w:rPr>
          <w:rFonts w:hint="eastAsia" w:ascii="宋体" w:hAnsi="宋体" w:eastAsia="宋体" w:cs="宋体"/>
          <w:color w:val="000000" w:themeColor="text1"/>
          <w:sz w:val="21"/>
          <w:szCs w:val="21"/>
          <w:highlight w:val="none"/>
        </w:rPr>
        <w:t>个月内交货，具体时间由合同确定</w:t>
      </w:r>
    </w:p>
    <w:p>
      <w:pPr>
        <w:pStyle w:val="4"/>
        <w:spacing w:line="360" w:lineRule="auto"/>
        <w:ind w:firstLine="422" w:firstLineChars="200"/>
        <w:rPr>
          <w:rFonts w:ascii="宋体" w:hAnsi="宋体" w:eastAsia="宋体" w:cs="宋体"/>
          <w:b/>
          <w:bCs/>
          <w:color w:val="000000" w:themeColor="text1"/>
          <w:sz w:val="21"/>
          <w:szCs w:val="21"/>
          <w:highlight w:val="none"/>
        </w:rPr>
      </w:pPr>
      <w:r>
        <w:rPr>
          <w:rFonts w:hint="eastAsia" w:ascii="宋体" w:hAnsi="宋体" w:eastAsia="宋体" w:cs="宋体"/>
          <w:b/>
          <w:bCs/>
          <w:color w:val="000000" w:themeColor="text1"/>
          <w:sz w:val="21"/>
          <w:szCs w:val="21"/>
          <w:highlight w:val="none"/>
        </w:rPr>
        <w:t>（二）技术规格要求</w:t>
      </w:r>
    </w:p>
    <w:p>
      <w:pPr>
        <w:spacing w:line="360" w:lineRule="auto"/>
        <w:jc w:val="center"/>
        <w:rPr>
          <w:rFonts w:ascii="宋体" w:hAnsi="宋体" w:cs="宋体"/>
          <w:b/>
          <w:color w:val="000000" w:themeColor="text1"/>
          <w:szCs w:val="21"/>
          <w:highlight w:val="none"/>
        </w:rPr>
      </w:pPr>
      <w:r>
        <w:rPr>
          <w:rFonts w:hint="eastAsia" w:ascii="宋体" w:hAnsi="宋体" w:cs="宋体"/>
          <w:b/>
          <w:color w:val="000000" w:themeColor="text1"/>
          <w:szCs w:val="21"/>
          <w:highlight w:val="none"/>
        </w:rPr>
        <w:t>全自动固相萃取仪指标要求</w:t>
      </w:r>
    </w:p>
    <w:p>
      <w:pPr>
        <w:spacing w:line="360" w:lineRule="auto"/>
        <w:ind w:firstLine="420" w:firstLineChars="200"/>
        <w:jc w:val="left"/>
        <w:rPr>
          <w:rFonts w:ascii="宋体" w:hAnsi="宋体" w:cs="宋体"/>
          <w:color w:val="000000" w:themeColor="text1"/>
          <w:kern w:val="0"/>
          <w:szCs w:val="21"/>
          <w:highlight w:val="none"/>
        </w:rPr>
      </w:pPr>
      <w:r>
        <w:rPr>
          <w:rFonts w:hint="eastAsia" w:ascii="宋体" w:hAnsi="宋体" w:cs="宋体"/>
          <w:color w:val="000000" w:themeColor="text1"/>
          <w:kern w:val="0"/>
          <w:szCs w:val="21"/>
          <w:highlight w:val="none"/>
        </w:rPr>
        <w:t xml:space="preserve">1. 工作条件    </w:t>
      </w:r>
    </w:p>
    <w:p>
      <w:pPr>
        <w:spacing w:line="360" w:lineRule="auto"/>
        <w:ind w:firstLine="420" w:firstLineChars="200"/>
        <w:rPr>
          <w:rFonts w:ascii="宋体" w:hAnsi="宋体" w:cs="宋体"/>
          <w:color w:val="000000" w:themeColor="text1"/>
          <w:kern w:val="0"/>
          <w:szCs w:val="21"/>
          <w:highlight w:val="none"/>
        </w:rPr>
      </w:pPr>
      <w:r>
        <w:rPr>
          <w:rFonts w:hint="eastAsia" w:ascii="宋体" w:hAnsi="宋体" w:cs="宋体"/>
          <w:color w:val="000000" w:themeColor="text1"/>
          <w:kern w:val="0"/>
          <w:szCs w:val="21"/>
          <w:highlight w:val="none"/>
        </w:rPr>
        <w:t xml:space="preserve"> 1.1  工作温度: 10 - 40 C</w:t>
      </w:r>
    </w:p>
    <w:p>
      <w:pPr>
        <w:spacing w:line="360" w:lineRule="auto"/>
        <w:ind w:firstLine="420" w:firstLineChars="200"/>
        <w:rPr>
          <w:rFonts w:ascii="宋体" w:hAnsi="宋体" w:cs="宋体"/>
          <w:color w:val="000000" w:themeColor="text1"/>
          <w:kern w:val="0"/>
          <w:szCs w:val="21"/>
          <w:highlight w:val="none"/>
        </w:rPr>
      </w:pPr>
      <w:r>
        <w:rPr>
          <w:rFonts w:hint="eastAsia" w:ascii="宋体" w:hAnsi="宋体" w:cs="宋体"/>
          <w:color w:val="000000" w:themeColor="text1"/>
          <w:kern w:val="0"/>
          <w:szCs w:val="21"/>
          <w:highlight w:val="none"/>
        </w:rPr>
        <w:t xml:space="preserve"> 1.2  湿度: 20 - 80 %</w:t>
      </w:r>
    </w:p>
    <w:p>
      <w:pPr>
        <w:spacing w:line="360" w:lineRule="auto"/>
        <w:ind w:firstLine="420" w:firstLineChars="200"/>
        <w:rPr>
          <w:rFonts w:ascii="宋体" w:hAnsi="宋体" w:cs="宋体"/>
          <w:color w:val="000000" w:themeColor="text1"/>
          <w:kern w:val="0"/>
          <w:szCs w:val="21"/>
          <w:highlight w:val="none"/>
        </w:rPr>
      </w:pPr>
      <w:r>
        <w:rPr>
          <w:rFonts w:hint="eastAsia" w:ascii="宋体" w:hAnsi="宋体" w:cs="宋体"/>
          <w:color w:val="000000" w:themeColor="text1"/>
          <w:kern w:val="0"/>
          <w:szCs w:val="21"/>
          <w:highlight w:val="none"/>
        </w:rPr>
        <w:t xml:space="preserve"> 1.3  电源: 单相200-240 V, 50/60 Hz</w:t>
      </w:r>
    </w:p>
    <w:p>
      <w:pPr>
        <w:spacing w:line="360" w:lineRule="auto"/>
        <w:ind w:firstLine="420" w:firstLineChars="200"/>
        <w:rPr>
          <w:rFonts w:ascii="宋体" w:hAnsi="宋体" w:cs="宋体"/>
          <w:color w:val="000000" w:themeColor="text1"/>
          <w:kern w:val="0"/>
          <w:szCs w:val="21"/>
          <w:highlight w:val="none"/>
        </w:rPr>
      </w:pPr>
      <w:r>
        <w:rPr>
          <w:rFonts w:hint="eastAsia" w:ascii="宋体" w:hAnsi="宋体" w:cs="宋体"/>
          <w:color w:val="000000" w:themeColor="text1"/>
          <w:kern w:val="0"/>
          <w:szCs w:val="21"/>
          <w:highlight w:val="none"/>
        </w:rPr>
        <w:t>2. 技术规格及要求</w:t>
      </w:r>
    </w:p>
    <w:p>
      <w:pPr>
        <w:spacing w:line="360" w:lineRule="auto"/>
        <w:ind w:firstLine="420" w:firstLineChars="200"/>
        <w:rPr>
          <w:rFonts w:ascii="宋体" w:hAnsi="宋体" w:cs="宋体"/>
          <w:color w:val="000000" w:themeColor="text1"/>
          <w:kern w:val="0"/>
          <w:szCs w:val="21"/>
          <w:highlight w:val="none"/>
        </w:rPr>
      </w:pPr>
      <w:r>
        <w:rPr>
          <w:rFonts w:hint="eastAsia" w:ascii="宋体" w:hAnsi="宋体" w:cs="宋体"/>
          <w:color w:val="000000" w:themeColor="text1"/>
          <w:kern w:val="0"/>
          <w:szCs w:val="21"/>
          <w:highlight w:val="none"/>
        </w:rPr>
        <w:t>2.1 功能要求：用于食品、药品、饮料、血液、尿液、土壤、水样等样品提取液中痕量有机物的萃取和净化，尤其适合于小体积液体样品中痕量有机物的分析，是气相、液相色谱或质谱仪器的样品前处理制备系统，能够很好的嵌入整个前处理流程，提高前处理的效率。</w:t>
      </w:r>
    </w:p>
    <w:p>
      <w:pPr>
        <w:spacing w:line="360" w:lineRule="auto"/>
        <w:ind w:firstLine="420" w:firstLineChars="200"/>
        <w:rPr>
          <w:rFonts w:ascii="宋体" w:hAnsi="宋体" w:cs="宋体"/>
          <w:color w:val="000000" w:themeColor="text1"/>
          <w:kern w:val="0"/>
          <w:szCs w:val="21"/>
          <w:highlight w:val="none"/>
        </w:rPr>
      </w:pPr>
      <w:r>
        <w:rPr>
          <w:rFonts w:hint="eastAsia" w:ascii="宋体" w:hAnsi="宋体" w:cs="宋体"/>
          <w:color w:val="000000" w:themeColor="text1"/>
          <w:kern w:val="0"/>
          <w:szCs w:val="21"/>
          <w:highlight w:val="none"/>
        </w:rPr>
        <w:t>2.2 可自动完成固相萃取的全过程（柱活化、上样、淋洗、吹干、洗脱、分步收集）。</w:t>
      </w:r>
    </w:p>
    <w:p>
      <w:pPr>
        <w:spacing w:line="360" w:lineRule="auto"/>
        <w:ind w:firstLine="420" w:firstLineChars="200"/>
        <w:rPr>
          <w:rFonts w:ascii="宋体" w:hAnsi="宋体" w:cs="宋体"/>
          <w:color w:val="000000" w:themeColor="text1"/>
          <w:kern w:val="0"/>
          <w:szCs w:val="21"/>
          <w:highlight w:val="none"/>
        </w:rPr>
      </w:pPr>
      <w:r>
        <w:rPr>
          <w:rFonts w:hint="eastAsia" w:ascii="宋体" w:hAnsi="宋体" w:cs="宋体"/>
          <w:color w:val="000000" w:themeColor="text1"/>
          <w:kern w:val="0"/>
          <w:szCs w:val="21"/>
          <w:highlight w:val="none"/>
        </w:rPr>
        <w:t>2.3 萃取通道：8通道，8个样品同时活化、同时上样、同时洗脱。</w:t>
      </w:r>
    </w:p>
    <w:p>
      <w:pPr>
        <w:spacing w:line="360" w:lineRule="auto"/>
        <w:ind w:firstLine="420" w:firstLineChars="200"/>
        <w:rPr>
          <w:rFonts w:ascii="宋体" w:hAnsi="宋体" w:cs="宋体"/>
          <w:color w:val="000000" w:themeColor="text1"/>
          <w:kern w:val="0"/>
          <w:szCs w:val="21"/>
          <w:highlight w:val="none"/>
        </w:rPr>
      </w:pPr>
      <w:r>
        <w:rPr>
          <w:rFonts w:hint="eastAsia" w:ascii="宋体" w:hAnsi="宋体" w:cs="宋体"/>
          <w:color w:val="000000" w:themeColor="text1"/>
          <w:kern w:val="0"/>
          <w:szCs w:val="21"/>
          <w:highlight w:val="none"/>
        </w:rPr>
        <w:t>2.4连续处理样品能力：使用1ml、3ml、6ml、12ml固相萃取柱可连续自动化处理48个样品；</w:t>
      </w:r>
    </w:p>
    <w:p>
      <w:pPr>
        <w:spacing w:line="360" w:lineRule="auto"/>
        <w:ind w:firstLine="420" w:firstLineChars="200"/>
        <w:rPr>
          <w:rFonts w:ascii="宋体" w:hAnsi="宋体" w:cs="宋体"/>
          <w:color w:val="000000" w:themeColor="text1"/>
          <w:kern w:val="0"/>
          <w:szCs w:val="21"/>
          <w:highlight w:val="none"/>
        </w:rPr>
      </w:pPr>
      <w:r>
        <w:rPr>
          <w:rFonts w:hint="eastAsia" w:ascii="宋体" w:hAnsi="宋体" w:cs="宋体"/>
          <w:color w:val="000000" w:themeColor="text1"/>
          <w:kern w:val="0"/>
          <w:szCs w:val="21"/>
          <w:highlight w:val="none"/>
        </w:rPr>
        <w:t>2.5 能够依靠自身机械动作自动移除免疫亲和柱盖帽，免疫亲和柱盖帽收集槽收集自动脱离的商品柱盖帽。（需要提供自动脱离柱盖帽的过程实拍图片并说明）</w:t>
      </w:r>
    </w:p>
    <w:p>
      <w:pPr>
        <w:spacing w:line="360" w:lineRule="auto"/>
        <w:ind w:firstLine="420" w:firstLineChars="200"/>
        <w:rPr>
          <w:rFonts w:ascii="宋体" w:hAnsi="宋体" w:cs="宋体"/>
          <w:color w:val="000000" w:themeColor="text1"/>
          <w:kern w:val="0"/>
          <w:szCs w:val="21"/>
          <w:highlight w:val="none"/>
        </w:rPr>
      </w:pPr>
      <w:r>
        <w:rPr>
          <w:rFonts w:hint="eastAsia" w:ascii="宋体" w:hAnsi="宋体" w:cs="宋体"/>
          <w:color w:val="000000" w:themeColor="text1"/>
          <w:kern w:val="0"/>
          <w:szCs w:val="21"/>
          <w:highlight w:val="none"/>
        </w:rPr>
        <w:t>2.6 主机配备≥8套12通阀，12通阀可切换选择8种溶剂、以及样品、萃取、空气、排废。</w:t>
      </w:r>
    </w:p>
    <w:p>
      <w:pPr>
        <w:spacing w:line="360" w:lineRule="auto"/>
        <w:ind w:firstLine="420" w:firstLineChars="200"/>
        <w:rPr>
          <w:rFonts w:ascii="宋体" w:hAnsi="宋体" w:cs="宋体"/>
          <w:color w:val="000000" w:themeColor="text1"/>
          <w:kern w:val="0"/>
          <w:szCs w:val="21"/>
          <w:highlight w:val="none"/>
        </w:rPr>
      </w:pPr>
      <w:r>
        <w:rPr>
          <w:rFonts w:hint="eastAsia" w:ascii="宋体" w:hAnsi="宋体" w:cs="宋体"/>
          <w:color w:val="000000" w:themeColor="text1"/>
          <w:kern w:val="0"/>
          <w:szCs w:val="21"/>
          <w:highlight w:val="none"/>
        </w:rPr>
        <w:t>2.7 8个或以上独立高精度注射泵，流速：0.1-100mL/min。</w:t>
      </w:r>
    </w:p>
    <w:p>
      <w:pPr>
        <w:spacing w:line="360" w:lineRule="auto"/>
        <w:ind w:firstLine="420" w:firstLineChars="200"/>
        <w:rPr>
          <w:rFonts w:ascii="宋体" w:hAnsi="宋体" w:cs="宋体"/>
          <w:color w:val="000000" w:themeColor="text1"/>
          <w:kern w:val="0"/>
          <w:szCs w:val="21"/>
          <w:highlight w:val="none"/>
        </w:rPr>
      </w:pPr>
      <w:r>
        <w:rPr>
          <w:rFonts w:hint="eastAsia" w:ascii="宋体" w:hAnsi="宋体" w:cs="宋体"/>
          <w:color w:val="000000" w:themeColor="text1"/>
          <w:kern w:val="0"/>
          <w:szCs w:val="21"/>
          <w:highlight w:val="none"/>
        </w:rPr>
        <w:t>2.8 ≥8种有机溶剂供活化、淋洗时选择，8个溶剂通过独立管道连接溶剂选择阀，并且具有自动清洗管道功能。</w:t>
      </w:r>
    </w:p>
    <w:p>
      <w:pPr>
        <w:spacing w:line="360" w:lineRule="auto"/>
        <w:ind w:firstLine="420" w:firstLineChars="200"/>
        <w:rPr>
          <w:rFonts w:ascii="宋体" w:hAnsi="宋体" w:cs="宋体"/>
          <w:color w:val="000000" w:themeColor="text1"/>
          <w:kern w:val="0"/>
          <w:szCs w:val="21"/>
          <w:highlight w:val="none"/>
        </w:rPr>
      </w:pPr>
      <w:r>
        <w:rPr>
          <w:rFonts w:hint="eastAsia" w:ascii="宋体" w:hAnsi="宋体" w:cs="宋体"/>
          <w:color w:val="000000" w:themeColor="text1"/>
          <w:kern w:val="0"/>
          <w:szCs w:val="21"/>
          <w:highlight w:val="none"/>
        </w:rPr>
        <w:t>2.9 固相萃取柱架由导轨自动推出仪器，仪器通过柱插杆，自动下降插入固相萃取小柱密封，并可自动顺序完成萃取柱密封。</w:t>
      </w:r>
    </w:p>
    <w:p>
      <w:pPr>
        <w:spacing w:line="360" w:lineRule="auto"/>
        <w:ind w:firstLine="420" w:firstLineChars="200"/>
        <w:rPr>
          <w:rFonts w:ascii="宋体" w:hAnsi="宋体" w:cs="宋体"/>
          <w:color w:val="000000" w:themeColor="text1"/>
          <w:kern w:val="0"/>
          <w:szCs w:val="21"/>
          <w:highlight w:val="none"/>
        </w:rPr>
      </w:pPr>
      <w:r>
        <w:rPr>
          <w:rFonts w:hint="eastAsia" w:ascii="宋体" w:hAnsi="宋体" w:cs="宋体"/>
          <w:color w:val="000000" w:themeColor="text1"/>
          <w:kern w:val="0"/>
          <w:szCs w:val="21"/>
          <w:highlight w:val="none"/>
        </w:rPr>
        <w:t>2.10 萃取柱防积液技术：柱插杆底部紧贴SPE柱填料上方，柱插杆能够完全填充SPE柱填料上方的空气间隙，溶剂直接进入萃取柱填料中，不滞留在SPE柱塞板上方，保证设定的液体流速和体积即为液体流过SPE柱的流速和体积。</w:t>
      </w:r>
    </w:p>
    <w:p>
      <w:pPr>
        <w:spacing w:line="360" w:lineRule="auto"/>
        <w:ind w:firstLine="420" w:firstLineChars="200"/>
        <w:rPr>
          <w:rFonts w:ascii="宋体" w:hAnsi="宋体" w:cs="宋体"/>
          <w:color w:val="000000" w:themeColor="text1"/>
          <w:kern w:val="0"/>
          <w:szCs w:val="21"/>
          <w:highlight w:val="none"/>
        </w:rPr>
      </w:pPr>
      <w:r>
        <w:rPr>
          <w:rFonts w:hint="eastAsia" w:ascii="宋体" w:hAnsi="宋体" w:cs="宋体"/>
          <w:color w:val="000000" w:themeColor="text1"/>
          <w:kern w:val="0"/>
          <w:szCs w:val="21"/>
          <w:highlight w:val="none"/>
        </w:rPr>
        <w:t>2.11 萃取柱密封位置可设定，萃取柱由O形环密封圈于内壁密封，可由软件任意设置萃取柱的密封圈的内壁密封高度，密封圈下降高度可设定范围：2.0cm-5.0cm。（需要提供密封圈下降高度设置的软件界面截图及不同密封位置的实拍图片并说明）</w:t>
      </w:r>
    </w:p>
    <w:p>
      <w:pPr>
        <w:spacing w:line="360" w:lineRule="auto"/>
        <w:ind w:firstLine="420" w:firstLineChars="200"/>
        <w:rPr>
          <w:rFonts w:ascii="宋体" w:hAnsi="宋体" w:cs="宋体"/>
          <w:color w:val="000000" w:themeColor="text1"/>
          <w:kern w:val="0"/>
          <w:szCs w:val="21"/>
          <w:highlight w:val="none"/>
        </w:rPr>
      </w:pPr>
      <w:r>
        <w:rPr>
          <w:rFonts w:hint="eastAsia" w:ascii="宋体" w:hAnsi="宋体" w:cs="宋体"/>
          <w:color w:val="000000" w:themeColor="text1"/>
          <w:kern w:val="0"/>
          <w:szCs w:val="21"/>
          <w:highlight w:val="none"/>
        </w:rPr>
        <w:t>2.12 样品架，收集架，SPE柱架都可以独立自动移动，具备自动定位的功能。（需要提供样品架，前后移动距离≥12cm，SPE柱架独立移动前后位置的实拍图片并说明）</w:t>
      </w:r>
    </w:p>
    <w:p>
      <w:pPr>
        <w:spacing w:line="360" w:lineRule="auto"/>
        <w:ind w:firstLine="420" w:firstLineChars="200"/>
        <w:rPr>
          <w:rFonts w:ascii="宋体" w:hAnsi="宋体" w:cs="宋体"/>
          <w:color w:val="000000" w:themeColor="text1"/>
          <w:kern w:val="0"/>
          <w:szCs w:val="21"/>
          <w:highlight w:val="none"/>
        </w:rPr>
      </w:pPr>
      <w:r>
        <w:rPr>
          <w:rFonts w:hint="eastAsia" w:ascii="宋体" w:hAnsi="宋体" w:cs="宋体"/>
          <w:color w:val="000000" w:themeColor="text1"/>
          <w:kern w:val="0"/>
          <w:szCs w:val="21"/>
          <w:highlight w:val="none"/>
        </w:rPr>
        <w:t>2.13 收集架有升降功能，可调任意收集架位置。（需要提供收集架不同位置的图片并说明）</w:t>
      </w:r>
    </w:p>
    <w:p>
      <w:pPr>
        <w:spacing w:line="360" w:lineRule="auto"/>
        <w:ind w:firstLine="420" w:firstLineChars="200"/>
        <w:rPr>
          <w:rFonts w:ascii="宋体" w:hAnsi="宋体" w:cs="宋体"/>
          <w:color w:val="000000" w:themeColor="text1"/>
          <w:szCs w:val="21"/>
          <w:highlight w:val="none"/>
        </w:rPr>
      </w:pPr>
      <w:r>
        <w:rPr>
          <w:rFonts w:hint="eastAsia" w:ascii="宋体" w:hAnsi="宋体" w:cs="宋体"/>
          <w:color w:val="000000" w:themeColor="text1"/>
          <w:kern w:val="0"/>
          <w:szCs w:val="21"/>
          <w:highlight w:val="none"/>
        </w:rPr>
        <w:t>2.14 大体积样品批处理能力：样品架可自动推出仪器外部，客户仅需装载大体积上样架即可实现1L以上大体积水样的萃取与富集；溶剂通道数8种不变，样品同时处理8个，可连续处理48个的大体积水样。（需提供大体积套件放置于样品架并至于仪器主机外部的实拍图片并说明）</w:t>
      </w:r>
    </w:p>
    <w:p>
      <w:pPr>
        <w:spacing w:line="360" w:lineRule="auto"/>
        <w:ind w:firstLine="420" w:firstLineChars="200"/>
        <w:rPr>
          <w:rFonts w:ascii="宋体" w:hAnsi="宋体" w:cs="宋体"/>
          <w:color w:val="000000" w:themeColor="text1"/>
          <w:kern w:val="0"/>
          <w:szCs w:val="21"/>
          <w:highlight w:val="none"/>
        </w:rPr>
      </w:pPr>
      <w:r>
        <w:rPr>
          <w:rFonts w:hint="eastAsia" w:ascii="宋体" w:hAnsi="宋体" w:cs="宋体"/>
          <w:color w:val="000000" w:themeColor="text1"/>
          <w:kern w:val="0"/>
          <w:szCs w:val="21"/>
          <w:highlight w:val="none"/>
        </w:rPr>
        <w:t>2.15 具有氮气自动吹扫，在线干燥SPE柱功能。且采用单独外接氮气+三通阀切换，保证恒定流速和连续性，吹干效果好。</w:t>
      </w:r>
    </w:p>
    <w:p>
      <w:pPr>
        <w:spacing w:line="360" w:lineRule="auto"/>
        <w:ind w:firstLine="420" w:firstLineChars="200"/>
        <w:rPr>
          <w:rFonts w:ascii="宋体" w:hAnsi="宋体" w:cs="宋体"/>
          <w:color w:val="000000" w:themeColor="text1"/>
          <w:kern w:val="0"/>
          <w:szCs w:val="21"/>
          <w:highlight w:val="none"/>
        </w:rPr>
      </w:pPr>
      <w:r>
        <w:rPr>
          <w:rFonts w:hint="eastAsia" w:ascii="宋体" w:hAnsi="宋体" w:cs="宋体"/>
          <w:color w:val="000000" w:themeColor="text1"/>
          <w:kern w:val="0"/>
          <w:szCs w:val="21"/>
          <w:highlight w:val="none"/>
        </w:rPr>
        <w:t>2.16 气压输入：最大100psi（6.9bar）；气压输出：0-20psi（1.4bar）。</w:t>
      </w:r>
    </w:p>
    <w:p>
      <w:pPr>
        <w:spacing w:line="360" w:lineRule="auto"/>
        <w:ind w:firstLine="420" w:firstLineChars="200"/>
        <w:rPr>
          <w:rFonts w:ascii="宋体" w:hAnsi="宋体" w:cs="宋体"/>
          <w:color w:val="000000" w:themeColor="text1"/>
          <w:kern w:val="0"/>
          <w:szCs w:val="21"/>
          <w:highlight w:val="none"/>
        </w:rPr>
      </w:pPr>
      <w:r>
        <w:rPr>
          <w:rFonts w:hint="eastAsia" w:ascii="宋体" w:hAnsi="宋体" w:cs="宋体"/>
          <w:color w:val="000000" w:themeColor="text1"/>
          <w:kern w:val="0"/>
          <w:szCs w:val="21"/>
          <w:highlight w:val="none"/>
        </w:rPr>
        <w:t>2.17 具有串柱功能，可同时放置72个1/3/6ml固相萃取小柱。同时确保收集体积不少于48个60ml样品。</w:t>
      </w:r>
    </w:p>
    <w:p>
      <w:pPr>
        <w:spacing w:line="360" w:lineRule="auto"/>
        <w:ind w:firstLine="420" w:firstLineChars="200"/>
        <w:rPr>
          <w:rFonts w:ascii="宋体" w:hAnsi="宋体" w:cs="宋体"/>
          <w:color w:val="000000" w:themeColor="text1"/>
          <w:kern w:val="0"/>
          <w:szCs w:val="21"/>
          <w:highlight w:val="none"/>
        </w:rPr>
      </w:pPr>
      <w:r>
        <w:rPr>
          <w:rFonts w:hint="eastAsia" w:ascii="宋体" w:hAnsi="宋体" w:cs="宋体"/>
          <w:color w:val="000000" w:themeColor="text1"/>
          <w:kern w:val="0"/>
          <w:szCs w:val="21"/>
          <w:highlight w:val="none"/>
        </w:rPr>
        <w:t>2.18 排废模块功能：排废槽电机驱动，自动前后移动，排废槽高度高于收集瓶架，多层隔断自动位移区分废液种类，排废槽底部直接连接废液管路中间无空气接触，可将废水、废有机溶剂、其他危废分开回收处理，提升排废效果。（需提供排废槽前后机械移动，并高于样品架的实拍图片并说明）</w:t>
      </w:r>
    </w:p>
    <w:p>
      <w:pPr>
        <w:spacing w:line="360" w:lineRule="auto"/>
        <w:ind w:firstLine="420" w:firstLineChars="200"/>
        <w:rPr>
          <w:rFonts w:ascii="宋体" w:hAnsi="宋体" w:cs="宋体"/>
          <w:color w:val="000000" w:themeColor="text1"/>
          <w:kern w:val="0"/>
          <w:szCs w:val="21"/>
          <w:highlight w:val="none"/>
        </w:rPr>
      </w:pPr>
      <w:r>
        <w:rPr>
          <w:rFonts w:hint="eastAsia" w:ascii="宋体" w:hAnsi="宋体" w:cs="宋体"/>
          <w:color w:val="000000" w:themeColor="text1"/>
          <w:kern w:val="0"/>
          <w:szCs w:val="21"/>
          <w:highlight w:val="none"/>
        </w:rPr>
        <w:t>2.19 具备废液排放和报警模块，废液到达所设定液面高度，自动报警，同时能够高效的对挥发性有害气体进行过滤，同时带有无接触液位检测声光报警，防止液体溢出。（提供实机图片证明）</w:t>
      </w:r>
    </w:p>
    <w:p>
      <w:pPr>
        <w:spacing w:line="360" w:lineRule="auto"/>
        <w:ind w:firstLine="420" w:firstLineChars="200"/>
        <w:rPr>
          <w:rFonts w:ascii="宋体" w:hAnsi="宋体" w:cs="宋体"/>
          <w:color w:val="000000" w:themeColor="text1"/>
          <w:kern w:val="0"/>
          <w:szCs w:val="21"/>
          <w:highlight w:val="none"/>
        </w:rPr>
      </w:pPr>
      <w:r>
        <w:rPr>
          <w:rFonts w:hint="eastAsia" w:ascii="宋体" w:hAnsi="宋体" w:cs="宋体"/>
          <w:color w:val="000000" w:themeColor="text1"/>
          <w:kern w:val="0"/>
          <w:szCs w:val="21"/>
          <w:highlight w:val="none"/>
        </w:rPr>
        <w:t>2.20 独立清洗柱密封杆/针清洗功能：具备≥8个独立清洗位置，可对≥8个柱密封杆/针自动进行内外壁清洗，清洗后可通过独立排废泵排废，≥8种清洗溶剂可选。（需提供柱密封杆/针于独立清洗位清洗，以及清洗槽带有排废管路的实拍图片并说明）</w:t>
      </w:r>
    </w:p>
    <w:p>
      <w:pPr>
        <w:autoSpaceDE w:val="0"/>
        <w:autoSpaceDN w:val="0"/>
        <w:adjustRightInd w:val="0"/>
        <w:spacing w:line="360" w:lineRule="auto"/>
        <w:ind w:firstLine="420" w:firstLineChars="200"/>
        <w:rPr>
          <w:rFonts w:ascii="宋体" w:hAnsi="宋体" w:cs="宋体"/>
          <w:color w:val="000000" w:themeColor="text1"/>
          <w:kern w:val="0"/>
          <w:szCs w:val="21"/>
          <w:highlight w:val="none"/>
        </w:rPr>
      </w:pPr>
      <w:r>
        <w:rPr>
          <w:rFonts w:hint="eastAsia" w:ascii="宋体" w:hAnsi="宋体" w:cs="宋体"/>
          <w:color w:val="000000" w:themeColor="text1"/>
          <w:kern w:val="0"/>
          <w:szCs w:val="21"/>
          <w:highlight w:val="none"/>
        </w:rPr>
        <w:t>2.21 紧凑化设计：整机可放入通风橱内，溶剂瓶架集合在主机上方，节约实验室空间。</w:t>
      </w:r>
    </w:p>
    <w:p>
      <w:pPr>
        <w:autoSpaceDE w:val="0"/>
        <w:autoSpaceDN w:val="0"/>
        <w:adjustRightInd w:val="0"/>
        <w:spacing w:line="360" w:lineRule="auto"/>
        <w:ind w:firstLine="420" w:firstLineChars="200"/>
        <w:rPr>
          <w:rFonts w:ascii="宋体" w:hAnsi="宋体" w:cs="宋体"/>
          <w:color w:val="000000" w:themeColor="text1"/>
          <w:kern w:val="0"/>
          <w:szCs w:val="21"/>
          <w:highlight w:val="none"/>
        </w:rPr>
      </w:pPr>
      <w:r>
        <w:rPr>
          <w:rFonts w:hint="eastAsia" w:ascii="宋体" w:hAnsi="宋体" w:cs="宋体"/>
          <w:color w:val="000000" w:themeColor="text1"/>
          <w:kern w:val="0"/>
          <w:szCs w:val="21"/>
          <w:highlight w:val="none"/>
        </w:rPr>
        <w:t>2.22 无水硫酸钠在线除水功能：具备≥48位放置6mL无水硫酸钠柱的安装位，仪器运行前直接放置标准6ml无水硫酸钠商品柱，收集步骤中固相萃取柱末端自动对接到无水硫酸钠柱上端，洗脱液从无水硫酸钠柱末端直接滴入收集管完成在线除水。</w:t>
      </w:r>
    </w:p>
    <w:p>
      <w:pPr>
        <w:autoSpaceDE w:val="0"/>
        <w:autoSpaceDN w:val="0"/>
        <w:adjustRightInd w:val="0"/>
        <w:spacing w:line="360" w:lineRule="auto"/>
        <w:ind w:firstLine="420" w:firstLineChars="200"/>
        <w:rPr>
          <w:rFonts w:ascii="宋体" w:hAnsi="宋体" w:cs="宋体"/>
          <w:color w:val="000000" w:themeColor="text1"/>
          <w:kern w:val="0"/>
          <w:szCs w:val="21"/>
          <w:highlight w:val="none"/>
        </w:rPr>
      </w:pPr>
      <w:r>
        <w:rPr>
          <w:rFonts w:hint="eastAsia" w:ascii="宋体" w:hAnsi="宋体" w:cs="宋体"/>
          <w:color w:val="000000" w:themeColor="text1"/>
          <w:kern w:val="0"/>
          <w:szCs w:val="21"/>
          <w:highlight w:val="none"/>
        </w:rPr>
        <w:t>2.23 具备在线水样过滤模块，在运行过程中自动对水样进行在线过滤，通过≥35mm的微孔滤膜将水样中的颗粒和悬浮物过滤，最大可连续完成≥30位样品的在线过滤，每个样品均可配置独立的微孔滤膜。（提供实机图片证明）</w:t>
      </w:r>
    </w:p>
    <w:p>
      <w:pPr>
        <w:autoSpaceDE w:val="0"/>
        <w:autoSpaceDN w:val="0"/>
        <w:adjustRightInd w:val="0"/>
        <w:spacing w:line="360" w:lineRule="auto"/>
        <w:ind w:firstLine="420" w:firstLineChars="200"/>
        <w:rPr>
          <w:rFonts w:ascii="宋体" w:hAnsi="宋体" w:cs="宋体"/>
          <w:color w:val="000000" w:themeColor="text1"/>
          <w:kern w:val="0"/>
          <w:szCs w:val="21"/>
          <w:highlight w:val="none"/>
        </w:rPr>
      </w:pPr>
      <w:r>
        <w:rPr>
          <w:rFonts w:hint="eastAsia" w:ascii="宋体" w:hAnsi="宋体" w:cs="宋体"/>
          <w:color w:val="000000" w:themeColor="text1"/>
          <w:kern w:val="0"/>
          <w:szCs w:val="21"/>
          <w:highlight w:val="none"/>
        </w:rPr>
        <w:t>2.24 收集管主动对齐功能，收集管能够快速对齐萃取柱末端，防止部分收集液飞溅造成交叉污染。（提供实机图片证明）</w:t>
      </w:r>
    </w:p>
    <w:p>
      <w:pPr>
        <w:autoSpaceDE w:val="0"/>
        <w:autoSpaceDN w:val="0"/>
        <w:adjustRightInd w:val="0"/>
        <w:spacing w:line="360" w:lineRule="auto"/>
        <w:ind w:firstLine="420" w:firstLineChars="200"/>
        <w:rPr>
          <w:rFonts w:ascii="宋体" w:hAnsi="宋体" w:cs="宋体"/>
          <w:color w:val="000000" w:themeColor="text1"/>
          <w:kern w:val="0"/>
          <w:szCs w:val="21"/>
          <w:highlight w:val="none"/>
        </w:rPr>
      </w:pPr>
      <w:r>
        <w:rPr>
          <w:rFonts w:hint="eastAsia" w:ascii="宋体" w:hAnsi="宋体" w:cs="宋体"/>
          <w:color w:val="000000" w:themeColor="text1"/>
          <w:kern w:val="0"/>
          <w:szCs w:val="21"/>
          <w:highlight w:val="none"/>
        </w:rPr>
        <w:t>2.25 主机有一键控制按钮，按钮可控制快速推出样品架、收集架和柱盘架前后位置，方便样品架、收集架和柱盘架更换。（需提供主机一键按钮功能键图片技术证明）</w:t>
      </w:r>
    </w:p>
    <w:p>
      <w:pPr>
        <w:widowControl/>
        <w:spacing w:line="360" w:lineRule="auto"/>
        <w:ind w:firstLine="420" w:firstLineChars="200"/>
        <w:rPr>
          <w:rFonts w:ascii="宋体" w:hAnsi="宋体" w:cs="宋体"/>
          <w:color w:val="000000" w:themeColor="text1"/>
          <w:kern w:val="0"/>
          <w:szCs w:val="21"/>
          <w:highlight w:val="none"/>
        </w:rPr>
      </w:pPr>
      <w:r>
        <w:rPr>
          <w:rFonts w:hint="eastAsia" w:ascii="宋体" w:hAnsi="宋体" w:cs="宋体"/>
          <w:color w:val="000000" w:themeColor="text1"/>
          <w:kern w:val="0"/>
          <w:szCs w:val="21"/>
          <w:highlight w:val="none"/>
        </w:rPr>
        <w:t>2.26 为防止技术指标虚假响应，中标合同签订之前需提供所投型号样机试用。</w:t>
      </w:r>
    </w:p>
    <w:p>
      <w:pPr>
        <w:widowControl/>
        <w:spacing w:line="360" w:lineRule="auto"/>
        <w:ind w:firstLine="420" w:firstLineChars="200"/>
        <w:rPr>
          <w:rFonts w:ascii="宋体" w:hAnsi="宋体" w:cs="宋体"/>
          <w:color w:val="000000" w:themeColor="text1"/>
          <w:kern w:val="0"/>
          <w:szCs w:val="21"/>
          <w:highlight w:val="none"/>
        </w:rPr>
      </w:pPr>
      <w:r>
        <w:rPr>
          <w:rFonts w:hint="eastAsia" w:ascii="宋体" w:hAnsi="宋体" w:cs="宋体"/>
          <w:color w:val="000000" w:themeColor="text1"/>
          <w:kern w:val="0"/>
          <w:szCs w:val="21"/>
          <w:highlight w:val="none"/>
        </w:rPr>
        <w:t>2.27供货验收合格后2年内免费提供2个名额进行售后技术培训。</w:t>
      </w:r>
    </w:p>
    <w:p>
      <w:pPr>
        <w:spacing w:line="360" w:lineRule="auto"/>
        <w:ind w:firstLine="420" w:firstLineChars="200"/>
        <w:rPr>
          <w:rFonts w:ascii="宋体" w:hAnsi="宋体" w:cs="宋体"/>
          <w:color w:val="000000" w:themeColor="text1"/>
          <w:kern w:val="0"/>
          <w:szCs w:val="21"/>
          <w:highlight w:val="none"/>
        </w:rPr>
      </w:pPr>
    </w:p>
    <w:p>
      <w:pPr>
        <w:spacing w:line="360" w:lineRule="auto"/>
        <w:ind w:firstLine="420" w:firstLineChars="200"/>
        <w:rPr>
          <w:rFonts w:ascii="宋体" w:hAnsi="宋体" w:cs="宋体"/>
          <w:color w:val="000000" w:themeColor="text1"/>
          <w:kern w:val="0"/>
          <w:szCs w:val="21"/>
          <w:highlight w:val="none"/>
        </w:rPr>
      </w:pPr>
      <w:r>
        <w:rPr>
          <w:rFonts w:hint="eastAsia" w:ascii="宋体" w:hAnsi="宋体" w:cs="宋体"/>
          <w:color w:val="000000" w:themeColor="text1"/>
          <w:kern w:val="0"/>
          <w:szCs w:val="21"/>
          <w:highlight w:val="none"/>
        </w:rPr>
        <w:t>2.27 软件</w:t>
      </w:r>
    </w:p>
    <w:p>
      <w:pPr>
        <w:spacing w:line="360" w:lineRule="auto"/>
        <w:ind w:firstLine="420" w:firstLineChars="200"/>
        <w:rPr>
          <w:rFonts w:ascii="宋体" w:hAnsi="宋体" w:cs="宋体"/>
          <w:color w:val="000000" w:themeColor="text1"/>
          <w:kern w:val="0"/>
          <w:szCs w:val="21"/>
          <w:highlight w:val="none"/>
        </w:rPr>
      </w:pPr>
      <w:r>
        <w:rPr>
          <w:rFonts w:hint="eastAsia" w:ascii="宋体" w:hAnsi="宋体" w:cs="宋体"/>
          <w:color w:val="000000" w:themeColor="text1"/>
          <w:kern w:val="0"/>
          <w:szCs w:val="21"/>
          <w:highlight w:val="none"/>
        </w:rPr>
        <w:t>2.27.1 基于Windows操作系统的控制软件，操作简单易懂，可实时显示工作状态。</w:t>
      </w:r>
    </w:p>
    <w:p>
      <w:pPr>
        <w:spacing w:line="360" w:lineRule="auto"/>
        <w:ind w:firstLine="420" w:firstLineChars="200"/>
        <w:rPr>
          <w:rFonts w:ascii="宋体" w:hAnsi="宋体" w:cs="宋体"/>
          <w:color w:val="000000" w:themeColor="text1"/>
          <w:kern w:val="0"/>
          <w:szCs w:val="21"/>
          <w:highlight w:val="none"/>
        </w:rPr>
      </w:pPr>
      <w:r>
        <w:rPr>
          <w:rFonts w:hint="eastAsia" w:ascii="宋体" w:hAnsi="宋体" w:cs="宋体"/>
          <w:color w:val="000000" w:themeColor="text1"/>
          <w:kern w:val="0"/>
          <w:szCs w:val="21"/>
          <w:highlight w:val="none"/>
        </w:rPr>
        <w:t>2.27.2 控制软件与SPE主机通过Wifi、蓝牙等无线连接，可将其放在远离实验台位置或办公区域，不占用实验室空间，也可防止有机溶剂对其腐蚀或损坏。</w:t>
      </w:r>
    </w:p>
    <w:p>
      <w:pPr>
        <w:spacing w:line="360" w:lineRule="auto"/>
        <w:ind w:firstLine="420" w:firstLineChars="200"/>
        <w:rPr>
          <w:rFonts w:ascii="宋体" w:hAnsi="宋体" w:cs="宋体"/>
          <w:color w:val="000000" w:themeColor="text1"/>
          <w:kern w:val="0"/>
          <w:szCs w:val="21"/>
          <w:highlight w:val="none"/>
        </w:rPr>
      </w:pPr>
      <w:r>
        <w:rPr>
          <w:rFonts w:hint="eastAsia" w:ascii="宋体" w:hAnsi="宋体" w:cs="宋体"/>
          <w:color w:val="000000" w:themeColor="text1"/>
          <w:kern w:val="0"/>
          <w:szCs w:val="21"/>
          <w:highlight w:val="none"/>
        </w:rPr>
        <w:t>2.27.3 软件具有方法编辑错误智能提醒功能，方便用户操作使用。</w:t>
      </w:r>
    </w:p>
    <w:p>
      <w:pPr>
        <w:spacing w:line="360" w:lineRule="auto"/>
        <w:ind w:firstLine="420" w:firstLineChars="200"/>
        <w:rPr>
          <w:rFonts w:ascii="宋体" w:hAnsi="宋体" w:cs="宋体"/>
          <w:color w:val="000000" w:themeColor="text1"/>
          <w:kern w:val="0"/>
          <w:szCs w:val="21"/>
          <w:highlight w:val="none"/>
        </w:rPr>
      </w:pPr>
      <w:r>
        <w:rPr>
          <w:rFonts w:hint="eastAsia" w:ascii="宋体" w:hAnsi="宋体" w:cs="宋体"/>
          <w:color w:val="000000" w:themeColor="text1"/>
          <w:kern w:val="0"/>
          <w:szCs w:val="21"/>
          <w:highlight w:val="none"/>
        </w:rPr>
        <w:t>2.27.4 全方位日志，实时监控，仪器报警智能预判，保证全程可追溯。</w:t>
      </w:r>
    </w:p>
    <w:p>
      <w:pPr>
        <w:spacing w:line="360" w:lineRule="auto"/>
        <w:ind w:firstLine="420" w:firstLineChars="200"/>
        <w:rPr>
          <w:rFonts w:ascii="宋体" w:hAnsi="宋体" w:cs="宋体"/>
          <w:color w:val="000000" w:themeColor="text1"/>
          <w:kern w:val="0"/>
          <w:szCs w:val="21"/>
          <w:highlight w:val="none"/>
        </w:rPr>
      </w:pPr>
      <w:r>
        <w:rPr>
          <w:rFonts w:hint="eastAsia" w:ascii="宋体" w:hAnsi="宋体" w:cs="宋体"/>
          <w:color w:val="000000" w:themeColor="text1"/>
          <w:kern w:val="0"/>
          <w:szCs w:val="21"/>
          <w:highlight w:val="none"/>
        </w:rPr>
        <w:t>3. 仪器配置</w:t>
      </w:r>
    </w:p>
    <w:p>
      <w:pPr>
        <w:spacing w:line="360" w:lineRule="auto"/>
        <w:ind w:firstLine="420" w:firstLineChars="200"/>
        <w:rPr>
          <w:rFonts w:ascii="宋体" w:hAnsi="宋体" w:cs="宋体"/>
          <w:color w:val="000000" w:themeColor="text1"/>
          <w:kern w:val="0"/>
          <w:szCs w:val="21"/>
          <w:highlight w:val="none"/>
        </w:rPr>
      </w:pPr>
      <w:r>
        <w:rPr>
          <w:rFonts w:hint="eastAsia" w:ascii="宋体" w:hAnsi="宋体" w:cs="宋体"/>
          <w:color w:val="000000" w:themeColor="text1"/>
          <w:kern w:val="0"/>
          <w:szCs w:val="21"/>
          <w:highlight w:val="none"/>
        </w:rPr>
        <w:t>3.1 全自动固相萃取仪主机 1台</w:t>
      </w:r>
    </w:p>
    <w:p>
      <w:pPr>
        <w:spacing w:line="360" w:lineRule="auto"/>
        <w:ind w:firstLine="420" w:firstLineChars="200"/>
        <w:rPr>
          <w:rFonts w:ascii="宋体" w:hAnsi="宋体" w:cs="宋体"/>
          <w:color w:val="000000" w:themeColor="text1"/>
          <w:kern w:val="0"/>
          <w:szCs w:val="21"/>
          <w:highlight w:val="none"/>
        </w:rPr>
      </w:pPr>
      <w:r>
        <w:rPr>
          <w:rFonts w:hint="eastAsia" w:ascii="宋体" w:hAnsi="宋体" w:cs="宋体"/>
          <w:color w:val="000000" w:themeColor="text1"/>
          <w:kern w:val="0"/>
          <w:szCs w:val="21"/>
          <w:highlight w:val="none"/>
        </w:rPr>
        <w:t xml:space="preserve">3.2 表面处理进样针套件 8套 </w:t>
      </w:r>
    </w:p>
    <w:p>
      <w:pPr>
        <w:spacing w:line="360" w:lineRule="auto"/>
        <w:ind w:firstLine="420" w:firstLineChars="200"/>
        <w:rPr>
          <w:rFonts w:ascii="宋体" w:hAnsi="宋体" w:cs="宋体"/>
          <w:color w:val="000000" w:themeColor="text1"/>
          <w:kern w:val="0"/>
          <w:szCs w:val="21"/>
          <w:highlight w:val="none"/>
        </w:rPr>
      </w:pPr>
      <w:r>
        <w:rPr>
          <w:rFonts w:hint="eastAsia" w:ascii="宋体" w:hAnsi="宋体" w:cs="宋体"/>
          <w:color w:val="000000" w:themeColor="text1"/>
          <w:kern w:val="0"/>
          <w:szCs w:val="21"/>
          <w:highlight w:val="none"/>
        </w:rPr>
        <w:t>3.3 高精度注射泵（已装入主机） 8套</w:t>
      </w:r>
    </w:p>
    <w:p>
      <w:pPr>
        <w:spacing w:line="360" w:lineRule="auto"/>
        <w:ind w:firstLine="420" w:firstLineChars="200"/>
        <w:rPr>
          <w:rFonts w:ascii="宋体" w:hAnsi="宋体" w:cs="宋体"/>
          <w:color w:val="000000" w:themeColor="text1"/>
          <w:kern w:val="0"/>
          <w:szCs w:val="21"/>
          <w:highlight w:val="none"/>
        </w:rPr>
      </w:pPr>
      <w:r>
        <w:rPr>
          <w:rFonts w:hint="eastAsia" w:ascii="宋体" w:hAnsi="宋体" w:cs="宋体"/>
          <w:color w:val="000000" w:themeColor="text1"/>
          <w:kern w:val="0"/>
          <w:szCs w:val="21"/>
          <w:highlight w:val="none"/>
        </w:rPr>
        <w:t>3.4 12通阀模组（已装入主机） 8套</w:t>
      </w:r>
    </w:p>
    <w:p>
      <w:pPr>
        <w:spacing w:line="360" w:lineRule="auto"/>
        <w:ind w:firstLine="420" w:firstLineChars="200"/>
        <w:rPr>
          <w:rFonts w:ascii="宋体" w:hAnsi="宋体" w:cs="宋体"/>
          <w:color w:val="000000" w:themeColor="text1"/>
          <w:kern w:val="0"/>
          <w:szCs w:val="21"/>
          <w:highlight w:val="none"/>
        </w:rPr>
      </w:pPr>
      <w:r>
        <w:rPr>
          <w:rFonts w:hint="eastAsia" w:ascii="宋体" w:hAnsi="宋体" w:cs="宋体"/>
          <w:color w:val="000000" w:themeColor="text1"/>
          <w:kern w:val="0"/>
          <w:szCs w:val="21"/>
          <w:highlight w:val="none"/>
        </w:rPr>
        <w:t>3.5 3ml萃取套件 1套</w:t>
      </w:r>
    </w:p>
    <w:p>
      <w:pPr>
        <w:spacing w:line="360" w:lineRule="auto"/>
        <w:ind w:firstLine="420" w:firstLineChars="200"/>
        <w:rPr>
          <w:rFonts w:ascii="宋体" w:hAnsi="宋体" w:cs="宋体"/>
          <w:color w:val="000000" w:themeColor="text1"/>
          <w:kern w:val="0"/>
          <w:szCs w:val="21"/>
          <w:highlight w:val="none"/>
        </w:rPr>
      </w:pPr>
      <w:r>
        <w:rPr>
          <w:rFonts w:hint="eastAsia" w:ascii="宋体" w:hAnsi="宋体" w:cs="宋体"/>
          <w:color w:val="000000" w:themeColor="text1"/>
          <w:kern w:val="0"/>
          <w:szCs w:val="21"/>
          <w:highlight w:val="none"/>
        </w:rPr>
        <w:t>3.6 6ml萃取套件 1套</w:t>
      </w:r>
    </w:p>
    <w:p>
      <w:pPr>
        <w:spacing w:line="360" w:lineRule="auto"/>
        <w:ind w:firstLine="420" w:firstLineChars="200"/>
        <w:rPr>
          <w:rFonts w:ascii="宋体" w:hAnsi="宋体" w:cs="宋体"/>
          <w:color w:val="000000" w:themeColor="text1"/>
          <w:kern w:val="0"/>
          <w:szCs w:val="21"/>
          <w:highlight w:val="none"/>
        </w:rPr>
      </w:pPr>
      <w:r>
        <w:rPr>
          <w:rFonts w:hint="eastAsia" w:ascii="宋体" w:hAnsi="宋体" w:cs="宋体"/>
          <w:color w:val="000000" w:themeColor="text1"/>
          <w:kern w:val="0"/>
          <w:szCs w:val="21"/>
          <w:highlight w:val="none"/>
        </w:rPr>
        <w:t>3.7 废液模块 1组</w:t>
      </w:r>
    </w:p>
    <w:p>
      <w:pPr>
        <w:spacing w:line="360" w:lineRule="auto"/>
        <w:ind w:firstLine="420" w:firstLineChars="200"/>
        <w:rPr>
          <w:rFonts w:ascii="宋体" w:hAnsi="宋体" w:cs="宋体"/>
          <w:color w:val="000000" w:themeColor="text1"/>
          <w:kern w:val="0"/>
          <w:szCs w:val="21"/>
          <w:highlight w:val="none"/>
        </w:rPr>
      </w:pPr>
      <w:r>
        <w:rPr>
          <w:rFonts w:hint="eastAsia" w:ascii="宋体" w:hAnsi="宋体" w:cs="宋体"/>
          <w:color w:val="000000" w:themeColor="text1"/>
          <w:kern w:val="0"/>
          <w:szCs w:val="21"/>
          <w:highlight w:val="none"/>
        </w:rPr>
        <w:t>3.8 进样针内外壁清洗工作站 1套</w:t>
      </w:r>
    </w:p>
    <w:p>
      <w:pPr>
        <w:spacing w:line="360" w:lineRule="auto"/>
        <w:ind w:firstLine="420" w:firstLineChars="200"/>
        <w:rPr>
          <w:rFonts w:ascii="宋体" w:hAnsi="宋体" w:cs="宋体"/>
          <w:color w:val="000000" w:themeColor="text1"/>
          <w:kern w:val="0"/>
          <w:szCs w:val="21"/>
          <w:highlight w:val="none"/>
        </w:rPr>
      </w:pPr>
      <w:r>
        <w:rPr>
          <w:rFonts w:hint="eastAsia" w:ascii="宋体" w:hAnsi="宋体" w:cs="宋体"/>
          <w:color w:val="000000" w:themeColor="text1"/>
          <w:kern w:val="0"/>
          <w:szCs w:val="21"/>
          <w:highlight w:val="none"/>
        </w:rPr>
        <w:t>3.9 溶剂瓶套件 8套</w:t>
      </w:r>
    </w:p>
    <w:p>
      <w:pPr>
        <w:spacing w:line="360" w:lineRule="auto"/>
        <w:ind w:firstLine="420" w:firstLineChars="200"/>
        <w:rPr>
          <w:rFonts w:ascii="宋体" w:hAnsi="宋体" w:cs="宋体"/>
          <w:color w:val="000000" w:themeColor="text1"/>
          <w:kern w:val="0"/>
          <w:szCs w:val="21"/>
          <w:highlight w:val="none"/>
        </w:rPr>
      </w:pPr>
      <w:r>
        <w:rPr>
          <w:rFonts w:hint="eastAsia" w:ascii="宋体" w:hAnsi="宋体" w:cs="宋体"/>
          <w:color w:val="000000" w:themeColor="text1"/>
          <w:kern w:val="0"/>
          <w:szCs w:val="21"/>
          <w:highlight w:val="none"/>
        </w:rPr>
        <w:t>3.10 48位20ml样品和收集套件 1套</w:t>
      </w:r>
    </w:p>
    <w:p>
      <w:pPr>
        <w:spacing w:line="360" w:lineRule="auto"/>
        <w:ind w:firstLine="420" w:firstLineChars="200"/>
        <w:rPr>
          <w:rFonts w:ascii="宋体" w:hAnsi="宋体" w:cs="宋体"/>
          <w:color w:val="000000" w:themeColor="text1"/>
          <w:kern w:val="0"/>
          <w:szCs w:val="21"/>
          <w:highlight w:val="none"/>
        </w:rPr>
      </w:pPr>
      <w:r>
        <w:rPr>
          <w:rFonts w:hint="eastAsia" w:ascii="宋体" w:hAnsi="宋体" w:cs="宋体"/>
          <w:color w:val="000000" w:themeColor="text1"/>
          <w:kern w:val="0"/>
          <w:szCs w:val="21"/>
          <w:highlight w:val="none"/>
        </w:rPr>
        <w:t>3.11 48位大体积套件 1套</w:t>
      </w:r>
    </w:p>
    <w:p>
      <w:pPr>
        <w:spacing w:line="360" w:lineRule="auto"/>
        <w:ind w:firstLine="420" w:firstLineChars="200"/>
        <w:rPr>
          <w:rFonts w:ascii="宋体" w:hAnsi="宋体" w:cs="宋体"/>
          <w:color w:val="000000" w:themeColor="text1"/>
          <w:kern w:val="0"/>
          <w:szCs w:val="21"/>
          <w:highlight w:val="none"/>
        </w:rPr>
      </w:pPr>
      <w:r>
        <w:rPr>
          <w:rFonts w:hint="eastAsia" w:ascii="宋体" w:hAnsi="宋体" w:cs="宋体"/>
          <w:color w:val="000000" w:themeColor="text1"/>
          <w:kern w:val="0"/>
          <w:szCs w:val="21"/>
          <w:highlight w:val="none"/>
        </w:rPr>
        <w:t>3.12 48位80ml样品和收集套件 1套</w:t>
      </w:r>
    </w:p>
    <w:p>
      <w:pPr>
        <w:spacing w:line="360" w:lineRule="auto"/>
        <w:ind w:firstLine="420" w:firstLineChars="200"/>
        <w:rPr>
          <w:rFonts w:ascii="宋体" w:hAnsi="宋体" w:cs="宋体"/>
          <w:color w:val="000000" w:themeColor="text1"/>
          <w:kern w:val="0"/>
          <w:szCs w:val="21"/>
          <w:highlight w:val="none"/>
        </w:rPr>
      </w:pPr>
      <w:r>
        <w:rPr>
          <w:rFonts w:hint="eastAsia" w:ascii="宋体" w:hAnsi="宋体" w:cs="宋体"/>
          <w:color w:val="000000" w:themeColor="text1"/>
          <w:kern w:val="0"/>
          <w:szCs w:val="21"/>
          <w:highlight w:val="none"/>
        </w:rPr>
        <w:t>3.13 全自动固相萃取系统工作软件 1套</w:t>
      </w:r>
    </w:p>
    <w:p>
      <w:pPr>
        <w:spacing w:line="360" w:lineRule="auto"/>
        <w:ind w:firstLine="420" w:firstLineChars="200"/>
        <w:rPr>
          <w:rFonts w:ascii="宋体" w:hAnsi="宋体" w:cs="宋体"/>
          <w:color w:val="000000" w:themeColor="text1"/>
          <w:kern w:val="0"/>
          <w:szCs w:val="21"/>
          <w:highlight w:val="none"/>
        </w:rPr>
      </w:pPr>
      <w:r>
        <w:rPr>
          <w:rFonts w:hint="eastAsia" w:ascii="宋体" w:hAnsi="宋体" w:cs="宋体"/>
          <w:color w:val="000000" w:themeColor="text1"/>
          <w:kern w:val="0"/>
          <w:szCs w:val="21"/>
          <w:highlight w:val="none"/>
        </w:rPr>
        <w:t>3.14 i5cpu、16g内存、512g固态硬盘笔记本电脑一台</w:t>
      </w:r>
    </w:p>
    <w:p>
      <w:pPr>
        <w:spacing w:line="360" w:lineRule="auto"/>
        <w:ind w:firstLine="420" w:firstLineChars="200"/>
        <w:rPr>
          <w:rFonts w:ascii="宋体" w:hAnsi="宋体" w:cs="宋体"/>
          <w:color w:val="000000" w:themeColor="text1"/>
          <w:kern w:val="0"/>
          <w:szCs w:val="21"/>
          <w:highlight w:val="none"/>
        </w:rPr>
      </w:pPr>
      <w:r>
        <w:rPr>
          <w:rFonts w:hint="eastAsia" w:ascii="宋体" w:hAnsi="宋体" w:cs="宋体"/>
          <w:color w:val="000000" w:themeColor="text1"/>
          <w:kern w:val="0"/>
          <w:szCs w:val="21"/>
          <w:highlight w:val="none"/>
        </w:rPr>
        <w:t>4.质保及备件供应：保证产品为全新原厂设备；合同签订后30天内到货；仪器在调试通过后提供保修服务，保修期不低于一年；在保修期内，所有服务及配件全部免费,保修期外，能更及时地为用户提供备品备件。</w:t>
      </w:r>
    </w:p>
    <w:p>
      <w:pPr>
        <w:spacing w:line="360" w:lineRule="auto"/>
        <w:ind w:firstLine="420" w:firstLineChars="200"/>
        <w:rPr>
          <w:rFonts w:ascii="宋体" w:hAnsi="宋体" w:cs="宋体"/>
          <w:color w:val="000000" w:themeColor="text1"/>
          <w:kern w:val="0"/>
          <w:szCs w:val="21"/>
          <w:highlight w:val="none"/>
        </w:rPr>
      </w:pPr>
      <w:r>
        <w:rPr>
          <w:rFonts w:hint="eastAsia" w:ascii="宋体" w:hAnsi="宋体" w:cs="宋体"/>
          <w:color w:val="000000" w:themeColor="text1"/>
          <w:kern w:val="0"/>
          <w:szCs w:val="21"/>
          <w:highlight w:val="none"/>
        </w:rPr>
        <w:t>5.技术服务：提供快捷、周到、规范的技术服务，仪器出现故障时，供货或服务商维修人员在接到通知后24小时内响应，48小时内到现场维修。提供仪器设备详细的中文操作手册。</w:t>
      </w:r>
    </w:p>
    <w:p>
      <w:pPr>
        <w:spacing w:line="360" w:lineRule="auto"/>
        <w:ind w:firstLine="420" w:firstLineChars="200"/>
        <w:jc w:val="left"/>
        <w:rPr>
          <w:rFonts w:ascii="宋体" w:hAnsi="宋体" w:cs="宋体"/>
          <w:color w:val="000000" w:themeColor="text1"/>
          <w:kern w:val="0"/>
          <w:szCs w:val="21"/>
          <w:highlight w:val="none"/>
        </w:rPr>
      </w:pPr>
      <w:r>
        <w:rPr>
          <w:rFonts w:hint="eastAsia" w:ascii="宋体" w:hAnsi="宋体" w:cs="宋体"/>
          <w:color w:val="000000" w:themeColor="text1"/>
          <w:kern w:val="0"/>
          <w:szCs w:val="21"/>
          <w:highlight w:val="none"/>
        </w:rPr>
        <w:t>6.应用支持： 厂家有应用研发实验室，能够为用户在固相萃取技术的方法开发及优化方面提供支持及协助。</w:t>
      </w:r>
    </w:p>
    <w:p>
      <w:pPr>
        <w:spacing w:line="300" w:lineRule="auto"/>
        <w:jc w:val="center"/>
        <w:rPr>
          <w:rFonts w:ascii="宋体" w:hAnsi="宋体" w:cs="宋体"/>
          <w:b/>
          <w:color w:val="000000" w:themeColor="text1"/>
          <w:szCs w:val="21"/>
          <w:highlight w:val="none"/>
        </w:rPr>
      </w:pPr>
      <w:r>
        <w:rPr>
          <w:rFonts w:hint="eastAsia" w:ascii="宋体" w:hAnsi="宋体" w:cs="宋体"/>
          <w:b/>
          <w:color w:val="000000" w:themeColor="text1"/>
          <w:szCs w:val="21"/>
          <w:highlight w:val="none"/>
        </w:rPr>
        <w:t>全自动平行浓缩仪技术指标</w:t>
      </w:r>
    </w:p>
    <w:p>
      <w:pPr>
        <w:spacing w:line="360" w:lineRule="auto"/>
        <w:ind w:firstLine="420" w:firstLineChars="200"/>
        <w:rPr>
          <w:rFonts w:ascii="宋体" w:hAnsi="宋体" w:cs="宋体"/>
          <w:color w:val="000000" w:themeColor="text1"/>
          <w:kern w:val="0"/>
          <w:szCs w:val="21"/>
          <w:highlight w:val="none"/>
        </w:rPr>
      </w:pPr>
      <w:r>
        <w:rPr>
          <w:rFonts w:hint="eastAsia" w:ascii="宋体" w:hAnsi="宋体" w:cs="宋体"/>
          <w:color w:val="000000" w:themeColor="text1"/>
          <w:kern w:val="0"/>
          <w:szCs w:val="21"/>
          <w:highlight w:val="none"/>
        </w:rPr>
        <w:t xml:space="preserve">1. 工作条件    </w:t>
      </w:r>
    </w:p>
    <w:p>
      <w:pPr>
        <w:spacing w:line="360" w:lineRule="auto"/>
        <w:ind w:firstLine="420" w:firstLineChars="200"/>
        <w:rPr>
          <w:rFonts w:ascii="宋体" w:hAnsi="宋体" w:cs="宋体"/>
          <w:color w:val="000000" w:themeColor="text1"/>
          <w:kern w:val="0"/>
          <w:szCs w:val="21"/>
          <w:highlight w:val="none"/>
        </w:rPr>
      </w:pPr>
      <w:r>
        <w:rPr>
          <w:rFonts w:hint="eastAsia" w:ascii="宋体" w:hAnsi="宋体" w:cs="宋体"/>
          <w:color w:val="000000" w:themeColor="text1"/>
          <w:kern w:val="0"/>
          <w:szCs w:val="21"/>
          <w:highlight w:val="none"/>
        </w:rPr>
        <w:t xml:space="preserve"> 1.1  工作环境温度: 10 - 40 </w:t>
      </w:r>
      <w:r>
        <w:rPr>
          <w:rFonts w:hint="eastAsia" w:ascii="宋体" w:hAnsi="宋体" w:cs="宋体"/>
          <w:color w:val="000000" w:themeColor="text1"/>
          <w:kern w:val="0"/>
          <w:szCs w:val="21"/>
          <w:highlight w:val="none"/>
        </w:rPr>
        <w:sym w:font="Symbol" w:char="F0B0"/>
      </w:r>
      <w:r>
        <w:rPr>
          <w:rFonts w:hint="eastAsia" w:ascii="宋体" w:hAnsi="宋体" w:cs="宋体"/>
          <w:color w:val="000000" w:themeColor="text1"/>
          <w:kern w:val="0"/>
          <w:szCs w:val="21"/>
          <w:highlight w:val="none"/>
        </w:rPr>
        <w:t>C</w:t>
      </w:r>
    </w:p>
    <w:p>
      <w:pPr>
        <w:spacing w:line="360" w:lineRule="auto"/>
        <w:ind w:firstLine="420" w:firstLineChars="200"/>
        <w:rPr>
          <w:rFonts w:ascii="宋体" w:hAnsi="宋体" w:cs="宋体"/>
          <w:color w:val="000000" w:themeColor="text1"/>
          <w:kern w:val="0"/>
          <w:szCs w:val="21"/>
          <w:highlight w:val="none"/>
        </w:rPr>
      </w:pPr>
      <w:r>
        <w:rPr>
          <w:rFonts w:hint="eastAsia" w:ascii="宋体" w:hAnsi="宋体" w:cs="宋体"/>
          <w:color w:val="000000" w:themeColor="text1"/>
          <w:kern w:val="0"/>
          <w:szCs w:val="21"/>
          <w:highlight w:val="none"/>
        </w:rPr>
        <w:t xml:space="preserve"> 1.2  湿度: 20 - 80 %</w:t>
      </w:r>
    </w:p>
    <w:p>
      <w:pPr>
        <w:spacing w:line="360" w:lineRule="auto"/>
        <w:ind w:firstLine="420" w:firstLineChars="200"/>
        <w:rPr>
          <w:rFonts w:ascii="宋体" w:hAnsi="宋体" w:cs="宋体"/>
          <w:color w:val="000000" w:themeColor="text1"/>
          <w:kern w:val="0"/>
          <w:szCs w:val="21"/>
          <w:highlight w:val="none"/>
        </w:rPr>
      </w:pPr>
      <w:r>
        <w:rPr>
          <w:rFonts w:hint="eastAsia" w:ascii="宋体" w:hAnsi="宋体" w:cs="宋体"/>
          <w:color w:val="000000" w:themeColor="text1"/>
          <w:kern w:val="0"/>
          <w:szCs w:val="21"/>
          <w:highlight w:val="none"/>
        </w:rPr>
        <w:t xml:space="preserve"> 1.3  电源: 单相200-240 V, 50/60 Hz</w:t>
      </w:r>
    </w:p>
    <w:p>
      <w:pPr>
        <w:spacing w:line="360" w:lineRule="auto"/>
        <w:ind w:firstLine="420" w:firstLineChars="200"/>
        <w:rPr>
          <w:rFonts w:ascii="宋体" w:hAnsi="宋体" w:cs="宋体"/>
          <w:color w:val="000000" w:themeColor="text1"/>
          <w:kern w:val="0"/>
          <w:szCs w:val="21"/>
          <w:highlight w:val="none"/>
        </w:rPr>
      </w:pPr>
      <w:r>
        <w:rPr>
          <w:rFonts w:hint="eastAsia" w:ascii="宋体" w:hAnsi="宋体" w:cs="宋体"/>
          <w:color w:val="000000" w:themeColor="text1"/>
          <w:kern w:val="0"/>
          <w:szCs w:val="21"/>
          <w:highlight w:val="none"/>
        </w:rPr>
        <w:t>2. 技术规格及要求</w:t>
      </w:r>
    </w:p>
    <w:p>
      <w:pPr>
        <w:spacing w:line="360" w:lineRule="auto"/>
        <w:ind w:firstLine="420" w:firstLineChars="200"/>
        <w:rPr>
          <w:rFonts w:ascii="宋体" w:hAnsi="宋体" w:cs="宋体"/>
          <w:color w:val="000000" w:themeColor="text1"/>
          <w:kern w:val="0"/>
          <w:szCs w:val="21"/>
          <w:highlight w:val="none"/>
        </w:rPr>
      </w:pPr>
      <w:r>
        <w:rPr>
          <w:rFonts w:hint="eastAsia" w:ascii="宋体" w:hAnsi="宋体" w:cs="宋体"/>
          <w:color w:val="000000" w:themeColor="text1"/>
          <w:kern w:val="0"/>
          <w:szCs w:val="21"/>
          <w:highlight w:val="none"/>
        </w:rPr>
        <w:t>2.1 利用水浴均匀加热和氮吹共同作用的方式对样品进行平行浓缩</w:t>
      </w:r>
    </w:p>
    <w:p>
      <w:pPr>
        <w:spacing w:line="360" w:lineRule="auto"/>
        <w:ind w:firstLine="420" w:firstLineChars="200"/>
        <w:rPr>
          <w:rFonts w:ascii="宋体" w:hAnsi="宋体" w:cs="宋体"/>
          <w:color w:val="000000" w:themeColor="text1"/>
          <w:kern w:val="0"/>
          <w:szCs w:val="21"/>
          <w:highlight w:val="none"/>
        </w:rPr>
      </w:pPr>
      <w:r>
        <w:rPr>
          <w:rFonts w:hint="eastAsia" w:ascii="宋体" w:hAnsi="宋体" w:cs="宋体"/>
          <w:color w:val="000000" w:themeColor="text1"/>
          <w:kern w:val="0"/>
          <w:szCs w:val="21"/>
          <w:highlight w:val="none"/>
        </w:rPr>
        <w:t>2.2 批量处理能力：不少于80位20ml样品同时进行浓缩，也可以兼容各类试管类型。</w:t>
      </w:r>
    </w:p>
    <w:p>
      <w:pPr>
        <w:spacing w:line="360" w:lineRule="auto"/>
        <w:ind w:firstLine="420" w:firstLineChars="200"/>
        <w:rPr>
          <w:rFonts w:ascii="宋体" w:hAnsi="宋体" w:cs="宋体"/>
          <w:color w:val="000000" w:themeColor="text1"/>
          <w:kern w:val="0"/>
          <w:szCs w:val="21"/>
          <w:highlight w:val="none"/>
        </w:rPr>
      </w:pPr>
      <w:r>
        <w:rPr>
          <w:rFonts w:hint="eastAsia" w:ascii="宋体" w:hAnsi="宋体" w:cs="宋体"/>
          <w:color w:val="000000" w:themeColor="text1"/>
          <w:kern w:val="0"/>
          <w:szCs w:val="21"/>
          <w:highlight w:val="none"/>
        </w:rPr>
        <w:t>2.3 浓缩管体积：10ml~100ml，可兼容多种不同规格浓缩管，并有多种试管支架可选。</w:t>
      </w:r>
    </w:p>
    <w:p>
      <w:pPr>
        <w:spacing w:line="360" w:lineRule="auto"/>
        <w:ind w:firstLine="420" w:firstLineChars="200"/>
        <w:rPr>
          <w:rFonts w:ascii="宋体" w:hAnsi="宋体" w:cs="宋体"/>
          <w:color w:val="000000" w:themeColor="text1"/>
          <w:kern w:val="0"/>
          <w:szCs w:val="21"/>
          <w:highlight w:val="none"/>
        </w:rPr>
      </w:pPr>
      <w:r>
        <w:rPr>
          <w:rFonts w:hint="eastAsia" w:ascii="宋体" w:hAnsi="宋体" w:cs="宋体"/>
          <w:color w:val="000000" w:themeColor="text1"/>
          <w:kern w:val="0"/>
          <w:szCs w:val="21"/>
          <w:highlight w:val="none"/>
        </w:rPr>
        <w:t>2.4浓缩过程中，氮吹针可随液面自动匀速下降，可通过软件对针位移速度进行直接的设定，垂直移动距离≥160mm，全程保持最佳距离，提高浓缩效率，节约氮气。（需要提供氮吹针下降到50mm，100mm，160mm位置及主控屏的实拍图片并说明）</w:t>
      </w:r>
    </w:p>
    <w:p>
      <w:pPr>
        <w:spacing w:line="360" w:lineRule="auto"/>
        <w:ind w:firstLine="420" w:firstLineChars="200"/>
        <w:rPr>
          <w:rFonts w:ascii="宋体" w:hAnsi="宋体" w:cs="宋体"/>
          <w:color w:val="000000" w:themeColor="text1"/>
          <w:kern w:val="0"/>
          <w:szCs w:val="21"/>
          <w:highlight w:val="none"/>
        </w:rPr>
      </w:pPr>
      <w:r>
        <w:rPr>
          <w:rFonts w:hint="eastAsia" w:ascii="宋体" w:hAnsi="宋体" w:cs="宋体"/>
          <w:color w:val="000000" w:themeColor="text1"/>
          <w:kern w:val="0"/>
          <w:szCs w:val="21"/>
          <w:highlight w:val="none"/>
        </w:rPr>
        <w:t>2.5 下降高度提醒功能，具备直观的下降高度提醒功能，无需人为控制氮吹针下降即可有效提示氮吹针的下降高度，帮助客户快速设置方法。（需要提供氮吹针下降高度提醒功能的实拍图片并说明）</w:t>
      </w:r>
    </w:p>
    <w:p>
      <w:pPr>
        <w:spacing w:line="360" w:lineRule="auto"/>
        <w:ind w:firstLine="420" w:firstLineChars="200"/>
        <w:rPr>
          <w:rFonts w:ascii="宋体" w:hAnsi="宋体" w:cs="宋体"/>
          <w:color w:val="000000" w:themeColor="text1"/>
          <w:kern w:val="0"/>
          <w:szCs w:val="21"/>
          <w:highlight w:val="none"/>
        </w:rPr>
      </w:pPr>
      <w:r>
        <w:rPr>
          <w:rFonts w:hint="eastAsia" w:ascii="宋体" w:hAnsi="宋体" w:cs="宋体"/>
          <w:color w:val="000000" w:themeColor="text1"/>
          <w:kern w:val="0"/>
          <w:szCs w:val="21"/>
          <w:highlight w:val="none"/>
        </w:rPr>
        <w:t>2.6 电子气流控制：仪器使用电气比例调节阀对氮吹流量进行自动控制，仪器软件可设置目标自动调节氮吹针气流大小，设置范围：0.0 – 3.0L/min，精确到0.1L/min。</w:t>
      </w:r>
    </w:p>
    <w:p>
      <w:pPr>
        <w:spacing w:line="360" w:lineRule="auto"/>
        <w:ind w:firstLine="420" w:firstLineChars="200"/>
        <w:rPr>
          <w:rFonts w:ascii="宋体" w:hAnsi="宋体" w:cs="宋体"/>
          <w:color w:val="000000" w:themeColor="text1"/>
          <w:kern w:val="0"/>
          <w:szCs w:val="21"/>
          <w:highlight w:val="none"/>
        </w:rPr>
      </w:pPr>
      <w:r>
        <w:rPr>
          <w:rFonts w:hint="eastAsia" w:ascii="宋体" w:hAnsi="宋体" w:cs="宋体"/>
          <w:color w:val="000000" w:themeColor="text1"/>
          <w:kern w:val="0"/>
          <w:szCs w:val="21"/>
          <w:highlight w:val="none"/>
        </w:rPr>
        <w:t>2.7 模块化氮吹针设计：可安装≥8组氮吹针通道，每组氮气通道仪可单独控制，每个通道的气流由比例调节阀进行自动分配，气流大小不受开启通道数的影响。并且可安装不同间距氮吹针适配不同样品体积。</w:t>
      </w:r>
    </w:p>
    <w:p>
      <w:pPr>
        <w:spacing w:line="360" w:lineRule="auto"/>
        <w:ind w:firstLine="420" w:firstLineChars="200"/>
        <w:rPr>
          <w:rFonts w:ascii="宋体" w:hAnsi="宋体" w:cs="宋体"/>
          <w:color w:val="000000" w:themeColor="text1"/>
          <w:kern w:val="0"/>
          <w:szCs w:val="21"/>
          <w:highlight w:val="none"/>
        </w:rPr>
      </w:pPr>
      <w:r>
        <w:rPr>
          <w:rFonts w:hint="eastAsia" w:ascii="宋体" w:hAnsi="宋体" w:cs="宋体"/>
          <w:color w:val="000000" w:themeColor="text1"/>
          <w:kern w:val="0"/>
          <w:szCs w:val="21"/>
          <w:highlight w:val="none"/>
        </w:rPr>
        <w:t>2.8 氮吹针可在无任何工具的协助下手动整排快速拔除拆卸，无需拆卸任何螺母等固定结构，方便清洗和更换。</w:t>
      </w:r>
    </w:p>
    <w:p>
      <w:pPr>
        <w:spacing w:line="360" w:lineRule="auto"/>
        <w:ind w:firstLine="420" w:firstLineChars="200"/>
        <w:rPr>
          <w:rFonts w:ascii="宋体" w:hAnsi="宋体" w:cs="宋体"/>
          <w:color w:val="000000" w:themeColor="text1"/>
          <w:kern w:val="0"/>
          <w:szCs w:val="21"/>
          <w:highlight w:val="none"/>
        </w:rPr>
      </w:pPr>
      <w:r>
        <w:rPr>
          <w:rFonts w:hint="eastAsia" w:ascii="宋体" w:hAnsi="宋体" w:cs="宋体"/>
          <w:color w:val="000000" w:themeColor="text1"/>
          <w:kern w:val="0"/>
          <w:szCs w:val="21"/>
          <w:highlight w:val="none"/>
        </w:rPr>
        <w:t>2.9 水浴槽集成高低液位传感器和自动给排水功能，具备加水和排水的管路接口，可在控制面板上一键自动进进行加水和排水操作，通过传感器自动判断加水和排水终点。（需要提供主机上的高低液位传感器和主机面板加水排水的实拍图片并说明）</w:t>
      </w:r>
    </w:p>
    <w:p>
      <w:pPr>
        <w:spacing w:line="360" w:lineRule="auto"/>
        <w:ind w:firstLine="420" w:firstLineChars="200"/>
        <w:rPr>
          <w:rFonts w:ascii="宋体" w:hAnsi="宋体" w:cs="宋体"/>
          <w:color w:val="000000" w:themeColor="text1"/>
          <w:kern w:val="0"/>
          <w:szCs w:val="21"/>
          <w:highlight w:val="none"/>
        </w:rPr>
      </w:pPr>
      <w:r>
        <w:rPr>
          <w:rFonts w:hint="eastAsia" w:ascii="宋体" w:hAnsi="宋体" w:cs="宋体"/>
          <w:color w:val="000000" w:themeColor="text1"/>
          <w:kern w:val="0"/>
          <w:szCs w:val="21"/>
          <w:highlight w:val="none"/>
        </w:rPr>
        <w:t xml:space="preserve">2.10 </w:t>
      </w:r>
      <w:bookmarkStart w:id="0" w:name="_Hlk46309225"/>
      <w:r>
        <w:rPr>
          <w:rFonts w:hint="eastAsia" w:ascii="宋体" w:hAnsi="宋体" w:cs="宋体"/>
          <w:color w:val="000000" w:themeColor="text1"/>
          <w:kern w:val="0"/>
          <w:szCs w:val="21"/>
          <w:highlight w:val="none"/>
        </w:rPr>
        <w:t>可视性：三面环绕玻璃观察设计，正面、左右侧面均可观察样品浓缩状态,每个面可观察面积≥300平方厘米。</w:t>
      </w:r>
      <w:bookmarkEnd w:id="0"/>
      <w:r>
        <w:rPr>
          <w:rFonts w:hint="eastAsia" w:ascii="宋体" w:hAnsi="宋体" w:cs="宋体"/>
          <w:color w:val="000000" w:themeColor="text1"/>
          <w:kern w:val="0"/>
          <w:szCs w:val="21"/>
          <w:highlight w:val="none"/>
        </w:rPr>
        <w:t>（需要提供主机正面、左右侧面的实拍图片，并说明各观察面的可观察面积）</w:t>
      </w:r>
    </w:p>
    <w:p>
      <w:pPr>
        <w:spacing w:line="360" w:lineRule="auto"/>
        <w:ind w:firstLine="420" w:firstLineChars="200"/>
        <w:rPr>
          <w:rFonts w:ascii="宋体" w:hAnsi="宋体" w:cs="宋体"/>
          <w:color w:val="000000" w:themeColor="text1"/>
          <w:kern w:val="0"/>
          <w:szCs w:val="21"/>
          <w:highlight w:val="none"/>
        </w:rPr>
      </w:pPr>
      <w:r>
        <w:rPr>
          <w:rFonts w:hint="eastAsia" w:ascii="宋体" w:hAnsi="宋体" w:cs="宋体"/>
          <w:color w:val="000000" w:themeColor="text1"/>
          <w:kern w:val="0"/>
          <w:szCs w:val="21"/>
          <w:highlight w:val="none"/>
        </w:rPr>
        <w:t>2.11 低遮挡样品架：样品架对样品试管的遮挡要尽可能少，要求样品架长边正面结构的遮挡≤15%，短边左右侧面结构的遮挡≤50%。（需要提供装载满试管样品架的正面、左右侧面的实拍图片，并说明各面的遮挡面积）</w:t>
      </w:r>
    </w:p>
    <w:p>
      <w:pPr>
        <w:spacing w:line="360" w:lineRule="auto"/>
        <w:ind w:firstLine="420" w:firstLineChars="200"/>
        <w:rPr>
          <w:rFonts w:ascii="宋体" w:hAnsi="宋体" w:cs="宋体"/>
          <w:color w:val="000000" w:themeColor="text1"/>
          <w:kern w:val="0"/>
          <w:szCs w:val="21"/>
          <w:highlight w:val="none"/>
        </w:rPr>
      </w:pPr>
      <w:r>
        <w:rPr>
          <w:rFonts w:hint="eastAsia" w:ascii="宋体" w:hAnsi="宋体" w:cs="宋体"/>
          <w:color w:val="000000" w:themeColor="text1"/>
          <w:kern w:val="0"/>
          <w:szCs w:val="21"/>
          <w:highlight w:val="none"/>
        </w:rPr>
        <w:t>2.12 浓缩腔体自动密封：开始浓缩后氮吹模块自动下降密封水浴模组；浓缩结束后，氮吹模块自动上升与水浴模组自动分离。</w:t>
      </w:r>
    </w:p>
    <w:p>
      <w:pPr>
        <w:spacing w:line="360" w:lineRule="auto"/>
        <w:ind w:firstLine="420" w:firstLineChars="200"/>
        <w:rPr>
          <w:rFonts w:ascii="宋体" w:hAnsi="宋体" w:cs="宋体"/>
          <w:color w:val="000000" w:themeColor="text1"/>
          <w:kern w:val="0"/>
          <w:szCs w:val="21"/>
          <w:highlight w:val="none"/>
        </w:rPr>
      </w:pPr>
      <w:r>
        <w:rPr>
          <w:rFonts w:hint="eastAsia" w:ascii="宋体" w:hAnsi="宋体" w:cs="宋体"/>
          <w:color w:val="000000" w:themeColor="text1"/>
          <w:kern w:val="0"/>
          <w:szCs w:val="21"/>
          <w:highlight w:val="none"/>
        </w:rPr>
        <w:t>2.13 浓缩过程可实时显示和调节氮吹针的当前高度，可通过实体按键精确控制氮吹针移动，精确到0.1mm。（需要提供实体调节按键的实拍图片，进行连续至少5个递增0.1mm调节位置和主控屏的实拍图片并说明）</w:t>
      </w:r>
    </w:p>
    <w:p>
      <w:pPr>
        <w:spacing w:line="360" w:lineRule="auto"/>
        <w:ind w:firstLine="420" w:firstLineChars="200"/>
        <w:rPr>
          <w:rFonts w:ascii="宋体" w:hAnsi="宋体" w:cs="宋体"/>
          <w:color w:val="000000" w:themeColor="text1"/>
          <w:kern w:val="0"/>
          <w:szCs w:val="21"/>
          <w:highlight w:val="none"/>
        </w:rPr>
      </w:pPr>
      <w:r>
        <w:rPr>
          <w:rFonts w:hint="eastAsia" w:ascii="宋体" w:hAnsi="宋体" w:cs="宋体"/>
          <w:color w:val="000000" w:themeColor="text1"/>
          <w:kern w:val="0"/>
          <w:szCs w:val="21"/>
          <w:highlight w:val="none"/>
        </w:rPr>
        <w:t>2.14 具有单独的氮吹至近干模块，可外置独立的手持气路用于手动对样品进行近干的操作</w:t>
      </w:r>
    </w:p>
    <w:p>
      <w:pPr>
        <w:spacing w:line="360" w:lineRule="auto"/>
        <w:ind w:firstLine="420" w:firstLineChars="200"/>
        <w:rPr>
          <w:rFonts w:ascii="宋体" w:hAnsi="宋体" w:cs="宋体"/>
          <w:color w:val="000000" w:themeColor="text1"/>
          <w:kern w:val="0"/>
          <w:szCs w:val="21"/>
          <w:highlight w:val="none"/>
        </w:rPr>
      </w:pPr>
      <w:r>
        <w:rPr>
          <w:rFonts w:hint="eastAsia" w:ascii="宋体" w:hAnsi="宋体" w:cs="宋体"/>
          <w:color w:val="000000" w:themeColor="text1"/>
          <w:kern w:val="0"/>
          <w:szCs w:val="21"/>
          <w:highlight w:val="none"/>
        </w:rPr>
        <w:t>2.15 具有水位超限报警，压力超限报警等功能，并自动切断气流，方便安全。</w:t>
      </w:r>
    </w:p>
    <w:p>
      <w:pPr>
        <w:spacing w:line="360" w:lineRule="auto"/>
        <w:ind w:firstLine="420" w:firstLineChars="200"/>
        <w:rPr>
          <w:rFonts w:ascii="宋体" w:hAnsi="宋体" w:cs="宋体"/>
          <w:color w:val="000000" w:themeColor="text1"/>
          <w:kern w:val="0"/>
          <w:szCs w:val="21"/>
          <w:highlight w:val="none"/>
        </w:rPr>
      </w:pPr>
      <w:r>
        <w:rPr>
          <w:rFonts w:hint="eastAsia" w:ascii="宋体" w:hAnsi="宋体" w:cs="宋体"/>
          <w:color w:val="000000" w:themeColor="text1"/>
          <w:kern w:val="0"/>
          <w:szCs w:val="21"/>
          <w:highlight w:val="none"/>
        </w:rPr>
        <w:t>2.16 水浴采用双层玻璃设计,避免在使用高温水浴时误触玻璃发生的烫伤。</w:t>
      </w:r>
    </w:p>
    <w:p>
      <w:pPr>
        <w:spacing w:line="360" w:lineRule="auto"/>
        <w:ind w:firstLine="420" w:firstLineChars="200"/>
        <w:rPr>
          <w:rFonts w:ascii="宋体" w:hAnsi="宋体" w:cs="宋体"/>
          <w:color w:val="000000" w:themeColor="text1"/>
          <w:kern w:val="0"/>
          <w:szCs w:val="21"/>
          <w:highlight w:val="none"/>
        </w:rPr>
      </w:pPr>
      <w:r>
        <w:rPr>
          <w:rFonts w:hint="eastAsia" w:ascii="宋体" w:hAnsi="宋体" w:cs="宋体"/>
          <w:color w:val="000000" w:themeColor="text1"/>
          <w:kern w:val="0"/>
          <w:szCs w:val="21"/>
          <w:highlight w:val="none"/>
        </w:rPr>
        <w:t>2.17 具备感应防夹手功能，下降运行过程中能够提前感应碰到障碍物，一旦遇到自动停止运行，确保使用安全。</w:t>
      </w:r>
    </w:p>
    <w:p>
      <w:pPr>
        <w:spacing w:line="360" w:lineRule="auto"/>
        <w:ind w:firstLine="420" w:firstLineChars="200"/>
        <w:rPr>
          <w:rFonts w:ascii="宋体" w:hAnsi="宋体" w:cs="宋体"/>
          <w:color w:val="000000" w:themeColor="text1"/>
          <w:kern w:val="0"/>
          <w:szCs w:val="21"/>
          <w:highlight w:val="none"/>
        </w:rPr>
      </w:pPr>
      <w:r>
        <w:rPr>
          <w:rFonts w:hint="eastAsia" w:ascii="宋体" w:hAnsi="宋体" w:cs="宋体"/>
          <w:color w:val="000000" w:themeColor="text1"/>
          <w:kern w:val="0"/>
          <w:szCs w:val="21"/>
          <w:highlight w:val="none"/>
        </w:rPr>
        <w:t>2.18 具备防撞针功能，避免放错样品架出现针扎弯（提供防撞针实际图片）</w:t>
      </w:r>
    </w:p>
    <w:p>
      <w:pPr>
        <w:spacing w:line="360" w:lineRule="auto"/>
        <w:ind w:firstLine="420" w:firstLineChars="200"/>
        <w:rPr>
          <w:rFonts w:ascii="宋体" w:hAnsi="宋体" w:cs="宋体"/>
          <w:color w:val="000000" w:themeColor="text1"/>
          <w:kern w:val="0"/>
          <w:szCs w:val="21"/>
          <w:highlight w:val="none"/>
        </w:rPr>
      </w:pPr>
      <w:r>
        <w:rPr>
          <w:rFonts w:hint="eastAsia" w:ascii="宋体" w:hAnsi="宋体" w:cs="宋体"/>
          <w:color w:val="000000" w:themeColor="text1"/>
          <w:kern w:val="0"/>
          <w:szCs w:val="21"/>
          <w:highlight w:val="none"/>
        </w:rPr>
        <w:t>2.19具有锁屏功能键，防止运行过程中误触。（需提供软件锁屏功能键实际截图）</w:t>
      </w:r>
    </w:p>
    <w:p>
      <w:pPr>
        <w:spacing w:line="360" w:lineRule="auto"/>
        <w:ind w:firstLine="420" w:firstLineChars="200"/>
        <w:rPr>
          <w:rFonts w:ascii="宋体" w:hAnsi="宋体" w:cs="宋体"/>
          <w:color w:val="000000" w:themeColor="text1"/>
          <w:kern w:val="0"/>
          <w:szCs w:val="21"/>
          <w:highlight w:val="none"/>
        </w:rPr>
      </w:pPr>
      <w:r>
        <w:rPr>
          <w:rFonts w:hint="eastAsia" w:ascii="宋体" w:hAnsi="宋体" w:cs="宋体"/>
          <w:color w:val="000000" w:themeColor="text1"/>
          <w:kern w:val="0"/>
          <w:szCs w:val="21"/>
          <w:highlight w:val="none"/>
        </w:rPr>
        <w:t>2.20 具备整体密封和自动排风管道功能，可外置于通风橱外，通过排风管道将氮吹产生的废气排放到通风橱内，节省通风橱空间，确保实验室的空气安全。</w:t>
      </w:r>
    </w:p>
    <w:p>
      <w:pPr>
        <w:spacing w:line="360" w:lineRule="auto"/>
        <w:ind w:firstLine="420" w:firstLineChars="200"/>
        <w:rPr>
          <w:rFonts w:ascii="宋体" w:hAnsi="宋体" w:cs="宋体"/>
          <w:color w:val="000000" w:themeColor="text1"/>
          <w:kern w:val="0"/>
          <w:szCs w:val="21"/>
          <w:highlight w:val="none"/>
        </w:rPr>
      </w:pPr>
      <w:r>
        <w:rPr>
          <w:rFonts w:hint="eastAsia" w:ascii="宋体" w:hAnsi="宋体" w:cs="宋体"/>
          <w:color w:val="000000" w:themeColor="text1"/>
          <w:kern w:val="0"/>
          <w:szCs w:val="21"/>
          <w:highlight w:val="none"/>
        </w:rPr>
        <w:t>2.21可对加热模块、比例调节阀使用时长及氮吹针使用次数进行有效监测，可初步判断配件组件是否需要维护。（提供软件实际截图）</w:t>
      </w:r>
    </w:p>
    <w:p>
      <w:pPr>
        <w:spacing w:line="360" w:lineRule="auto"/>
        <w:ind w:firstLine="420" w:firstLineChars="200"/>
        <w:rPr>
          <w:rFonts w:ascii="宋体" w:hAnsi="宋体" w:cs="宋体"/>
          <w:color w:val="000000" w:themeColor="text1"/>
          <w:kern w:val="0"/>
          <w:szCs w:val="21"/>
          <w:highlight w:val="none"/>
        </w:rPr>
      </w:pPr>
      <w:r>
        <w:rPr>
          <w:rFonts w:hint="eastAsia" w:ascii="宋体" w:hAnsi="宋体" w:cs="宋体"/>
          <w:color w:val="000000" w:themeColor="text1"/>
          <w:kern w:val="0"/>
          <w:szCs w:val="21"/>
          <w:highlight w:val="none"/>
        </w:rPr>
        <w:t>2.22 可与同品牌全自动固相萃取仪共用样品架，实现样品前处理步骤的完美连接，大大提高前处理的效率</w:t>
      </w:r>
    </w:p>
    <w:p>
      <w:pPr>
        <w:widowControl/>
        <w:spacing w:line="360" w:lineRule="auto"/>
        <w:ind w:firstLine="420" w:firstLineChars="200"/>
        <w:rPr>
          <w:rFonts w:ascii="宋体" w:hAnsi="宋体" w:cs="宋体"/>
          <w:color w:val="000000" w:themeColor="text1"/>
          <w:kern w:val="0"/>
          <w:szCs w:val="21"/>
          <w:highlight w:val="none"/>
        </w:rPr>
      </w:pPr>
      <w:r>
        <w:rPr>
          <w:rFonts w:hint="eastAsia" w:ascii="宋体" w:hAnsi="宋体" w:cs="宋体"/>
          <w:color w:val="000000" w:themeColor="text1"/>
          <w:kern w:val="0"/>
          <w:szCs w:val="21"/>
          <w:highlight w:val="none"/>
        </w:rPr>
        <w:t>2.23 为防止技术指标虚假响应，中标合同签订之前需提供所投型号样机试用。</w:t>
      </w:r>
    </w:p>
    <w:p>
      <w:pPr>
        <w:widowControl/>
        <w:spacing w:line="360" w:lineRule="auto"/>
        <w:ind w:firstLine="420" w:firstLineChars="200"/>
        <w:rPr>
          <w:rFonts w:ascii="宋体" w:hAnsi="宋体" w:cs="宋体"/>
          <w:color w:val="000000" w:themeColor="text1"/>
          <w:kern w:val="0"/>
          <w:szCs w:val="21"/>
          <w:highlight w:val="none"/>
        </w:rPr>
      </w:pPr>
      <w:r>
        <w:rPr>
          <w:rFonts w:hint="eastAsia" w:ascii="宋体" w:hAnsi="宋体" w:cs="宋体"/>
          <w:color w:val="000000" w:themeColor="text1"/>
          <w:kern w:val="0"/>
          <w:szCs w:val="21"/>
          <w:highlight w:val="none"/>
        </w:rPr>
        <w:t>2.24供货验收合格后2年内免费提供2个名额进行售后技术培训。</w:t>
      </w:r>
    </w:p>
    <w:p>
      <w:pPr>
        <w:spacing w:line="360" w:lineRule="auto"/>
        <w:ind w:firstLine="420" w:firstLineChars="200"/>
        <w:rPr>
          <w:rFonts w:ascii="宋体" w:hAnsi="宋体" w:cs="宋体"/>
          <w:color w:val="000000" w:themeColor="text1"/>
          <w:kern w:val="0"/>
          <w:szCs w:val="21"/>
          <w:highlight w:val="none"/>
        </w:rPr>
      </w:pPr>
    </w:p>
    <w:p>
      <w:pPr>
        <w:spacing w:line="360" w:lineRule="auto"/>
        <w:ind w:firstLine="420" w:firstLineChars="200"/>
        <w:rPr>
          <w:rFonts w:ascii="宋体" w:hAnsi="宋体" w:cs="宋体"/>
          <w:color w:val="000000" w:themeColor="text1"/>
          <w:kern w:val="0"/>
          <w:szCs w:val="21"/>
          <w:highlight w:val="none"/>
        </w:rPr>
      </w:pPr>
      <w:r>
        <w:rPr>
          <w:rFonts w:hint="eastAsia" w:ascii="宋体" w:hAnsi="宋体" w:cs="宋体"/>
          <w:color w:val="000000" w:themeColor="text1"/>
          <w:kern w:val="0"/>
          <w:szCs w:val="21"/>
          <w:highlight w:val="none"/>
        </w:rPr>
        <w:t>3. 仪器配置</w:t>
      </w:r>
    </w:p>
    <w:p>
      <w:pPr>
        <w:spacing w:line="360" w:lineRule="auto"/>
        <w:ind w:firstLine="420" w:firstLineChars="200"/>
        <w:rPr>
          <w:rFonts w:ascii="宋体" w:hAnsi="宋体" w:cs="宋体"/>
          <w:color w:val="000000" w:themeColor="text1"/>
          <w:kern w:val="0"/>
          <w:szCs w:val="21"/>
          <w:highlight w:val="none"/>
        </w:rPr>
      </w:pPr>
      <w:r>
        <w:rPr>
          <w:rFonts w:hint="eastAsia" w:ascii="宋体" w:hAnsi="宋体" w:cs="宋体"/>
          <w:color w:val="000000" w:themeColor="text1"/>
          <w:kern w:val="0"/>
          <w:szCs w:val="21"/>
          <w:highlight w:val="none"/>
        </w:rPr>
        <w:t>3.1 全自动平行浓缩仪主机 1台</w:t>
      </w:r>
    </w:p>
    <w:p>
      <w:pPr>
        <w:spacing w:line="360" w:lineRule="auto"/>
        <w:ind w:firstLine="420" w:firstLineChars="200"/>
        <w:rPr>
          <w:rFonts w:ascii="宋体" w:hAnsi="宋体" w:cs="宋体"/>
          <w:color w:val="000000" w:themeColor="text1"/>
          <w:kern w:val="0"/>
          <w:szCs w:val="21"/>
          <w:highlight w:val="none"/>
        </w:rPr>
      </w:pPr>
      <w:r>
        <w:rPr>
          <w:rFonts w:hint="eastAsia" w:ascii="宋体" w:hAnsi="宋体" w:cs="宋体"/>
          <w:color w:val="000000" w:themeColor="text1"/>
          <w:kern w:val="0"/>
          <w:szCs w:val="21"/>
          <w:highlight w:val="none"/>
        </w:rPr>
        <w:t>3.2 三面观察水浴双层加热模组 1套</w:t>
      </w:r>
    </w:p>
    <w:p>
      <w:pPr>
        <w:spacing w:line="360" w:lineRule="auto"/>
        <w:ind w:firstLine="420" w:firstLineChars="200"/>
        <w:rPr>
          <w:rFonts w:ascii="宋体" w:hAnsi="宋体" w:cs="宋体"/>
          <w:color w:val="000000" w:themeColor="text1"/>
          <w:kern w:val="0"/>
          <w:szCs w:val="21"/>
          <w:highlight w:val="none"/>
        </w:rPr>
      </w:pPr>
      <w:r>
        <w:rPr>
          <w:rFonts w:hint="eastAsia" w:ascii="宋体" w:hAnsi="宋体" w:cs="宋体"/>
          <w:color w:val="000000" w:themeColor="text1"/>
          <w:kern w:val="0"/>
          <w:szCs w:val="21"/>
          <w:highlight w:val="none"/>
        </w:rPr>
        <w:t>3.3 6位氮吹模组 8套</w:t>
      </w:r>
    </w:p>
    <w:p>
      <w:pPr>
        <w:spacing w:line="360" w:lineRule="auto"/>
        <w:ind w:firstLine="420" w:firstLineChars="200"/>
        <w:rPr>
          <w:rFonts w:ascii="宋体" w:hAnsi="宋体" w:cs="宋体"/>
          <w:color w:val="000000" w:themeColor="text1"/>
          <w:kern w:val="0"/>
          <w:szCs w:val="21"/>
          <w:highlight w:val="none"/>
        </w:rPr>
      </w:pPr>
      <w:r>
        <w:rPr>
          <w:rFonts w:hint="eastAsia" w:ascii="宋体" w:hAnsi="宋体" w:cs="宋体"/>
          <w:color w:val="000000" w:themeColor="text1"/>
          <w:kern w:val="0"/>
          <w:szCs w:val="21"/>
          <w:highlight w:val="none"/>
        </w:rPr>
        <w:t>3.4 48位20ml试管架 1套</w:t>
      </w:r>
    </w:p>
    <w:p>
      <w:pPr>
        <w:spacing w:line="360" w:lineRule="auto"/>
        <w:ind w:firstLine="420" w:firstLineChars="200"/>
        <w:rPr>
          <w:rFonts w:ascii="宋体" w:hAnsi="宋体" w:cs="宋体"/>
          <w:color w:val="000000" w:themeColor="text1"/>
          <w:kern w:val="0"/>
          <w:szCs w:val="21"/>
          <w:highlight w:val="none"/>
        </w:rPr>
      </w:pPr>
      <w:r>
        <w:rPr>
          <w:rFonts w:hint="eastAsia" w:ascii="宋体" w:hAnsi="宋体" w:cs="宋体"/>
          <w:color w:val="000000" w:themeColor="text1"/>
          <w:kern w:val="0"/>
          <w:szCs w:val="21"/>
          <w:highlight w:val="none"/>
        </w:rPr>
        <w:t>3.5 20ml试管100个/包 1包</w:t>
      </w:r>
    </w:p>
    <w:p>
      <w:pPr>
        <w:spacing w:line="360" w:lineRule="auto"/>
        <w:ind w:firstLine="420" w:firstLineChars="200"/>
        <w:rPr>
          <w:rFonts w:ascii="宋体" w:hAnsi="宋体" w:cs="宋体"/>
          <w:color w:val="000000" w:themeColor="text1"/>
          <w:kern w:val="0"/>
          <w:szCs w:val="21"/>
          <w:highlight w:val="none"/>
        </w:rPr>
      </w:pPr>
      <w:r>
        <w:rPr>
          <w:rFonts w:hint="eastAsia" w:ascii="宋体" w:hAnsi="宋体" w:cs="宋体"/>
          <w:color w:val="000000" w:themeColor="text1"/>
          <w:kern w:val="0"/>
          <w:szCs w:val="21"/>
          <w:highlight w:val="none"/>
        </w:rPr>
        <w:t>3.6 48位80ml试管架 1套</w:t>
      </w:r>
    </w:p>
    <w:p>
      <w:pPr>
        <w:spacing w:line="360" w:lineRule="auto"/>
        <w:ind w:firstLine="420" w:firstLineChars="200"/>
        <w:rPr>
          <w:rFonts w:ascii="宋体" w:hAnsi="宋体" w:cs="宋体"/>
          <w:color w:val="000000" w:themeColor="text1"/>
          <w:kern w:val="0"/>
          <w:szCs w:val="21"/>
          <w:highlight w:val="none"/>
        </w:rPr>
      </w:pPr>
      <w:r>
        <w:rPr>
          <w:rFonts w:hint="eastAsia" w:ascii="宋体" w:hAnsi="宋体" w:cs="宋体"/>
          <w:color w:val="000000" w:themeColor="text1"/>
          <w:kern w:val="0"/>
          <w:szCs w:val="21"/>
          <w:highlight w:val="none"/>
        </w:rPr>
        <w:t>3.7 80ml试管100个/包 1包</w:t>
      </w:r>
    </w:p>
    <w:p>
      <w:pPr>
        <w:spacing w:line="360" w:lineRule="auto"/>
        <w:ind w:firstLine="420" w:firstLineChars="200"/>
        <w:rPr>
          <w:rFonts w:ascii="宋体" w:hAnsi="宋体" w:cs="宋体"/>
          <w:color w:val="000000" w:themeColor="text1"/>
          <w:kern w:val="0"/>
          <w:szCs w:val="21"/>
          <w:highlight w:val="none"/>
        </w:rPr>
      </w:pPr>
      <w:r>
        <w:rPr>
          <w:rFonts w:hint="eastAsia" w:ascii="宋体" w:hAnsi="宋体" w:cs="宋体"/>
          <w:color w:val="000000" w:themeColor="text1"/>
          <w:kern w:val="0"/>
          <w:szCs w:val="21"/>
          <w:highlight w:val="none"/>
        </w:rPr>
        <w:t>3.8 近干模组 1套</w:t>
      </w:r>
    </w:p>
    <w:p>
      <w:pPr>
        <w:spacing w:line="360" w:lineRule="auto"/>
        <w:ind w:firstLine="420" w:firstLineChars="200"/>
        <w:rPr>
          <w:rFonts w:ascii="宋体" w:hAnsi="宋体" w:cs="宋体"/>
          <w:color w:val="000000" w:themeColor="text1"/>
          <w:kern w:val="0"/>
          <w:szCs w:val="21"/>
          <w:highlight w:val="none"/>
        </w:rPr>
      </w:pPr>
      <w:r>
        <w:rPr>
          <w:rFonts w:hint="eastAsia" w:ascii="宋体" w:hAnsi="宋体" w:cs="宋体"/>
          <w:color w:val="000000" w:themeColor="text1"/>
          <w:kern w:val="0"/>
          <w:szCs w:val="21"/>
          <w:highlight w:val="none"/>
        </w:rPr>
        <w:t>3.9 控制软件 1套</w:t>
      </w:r>
    </w:p>
    <w:p>
      <w:pPr>
        <w:spacing w:line="360" w:lineRule="auto"/>
        <w:ind w:firstLine="420" w:firstLineChars="200"/>
        <w:rPr>
          <w:rFonts w:ascii="宋体" w:hAnsi="宋体" w:cs="宋体"/>
          <w:color w:val="000000" w:themeColor="text1"/>
          <w:kern w:val="0"/>
          <w:szCs w:val="21"/>
          <w:highlight w:val="none"/>
        </w:rPr>
      </w:pPr>
      <w:r>
        <w:rPr>
          <w:rFonts w:hint="eastAsia" w:ascii="宋体" w:hAnsi="宋体" w:cs="宋体"/>
          <w:color w:val="000000" w:themeColor="text1"/>
          <w:kern w:val="0"/>
          <w:szCs w:val="21"/>
          <w:highlight w:val="none"/>
        </w:rPr>
        <w:t>4. 质保及备件供应：保证产品为全新原厂设备；合同签订后30天内到货；仪器在调试通过后提供保修服务，保修期不低于一年；在保修期内，所有服务及配件全部免费,保修期外，能更及时地为用户提供备品备件。</w:t>
      </w:r>
    </w:p>
    <w:p>
      <w:pPr>
        <w:spacing w:line="360" w:lineRule="auto"/>
        <w:ind w:firstLine="420" w:firstLineChars="200"/>
        <w:rPr>
          <w:rFonts w:ascii="宋体" w:hAnsi="宋体" w:cs="宋体"/>
          <w:color w:val="000000" w:themeColor="text1"/>
          <w:kern w:val="0"/>
          <w:szCs w:val="21"/>
          <w:highlight w:val="none"/>
        </w:rPr>
      </w:pPr>
      <w:r>
        <w:rPr>
          <w:rFonts w:hint="eastAsia" w:ascii="宋体" w:hAnsi="宋体" w:cs="宋体"/>
          <w:color w:val="000000" w:themeColor="text1"/>
          <w:kern w:val="0"/>
          <w:szCs w:val="21"/>
          <w:highlight w:val="none"/>
        </w:rPr>
        <w:t>5.技术服务：提供快捷、周到、规范的技术服务，仪器出现故障时，供货或服务商维修人员在接到通知后24小时内响应，48小时内到现场维修。提供仪器设备详细的中文操作手册。</w:t>
      </w:r>
    </w:p>
    <w:p>
      <w:pPr>
        <w:spacing w:line="360" w:lineRule="auto"/>
        <w:ind w:firstLine="420" w:firstLineChars="200"/>
        <w:rPr>
          <w:rFonts w:ascii="宋体" w:hAnsi="宋体" w:cs="宋体"/>
          <w:color w:val="000000" w:themeColor="text1"/>
          <w:kern w:val="0"/>
          <w:szCs w:val="21"/>
          <w:highlight w:val="none"/>
        </w:rPr>
      </w:pPr>
      <w:r>
        <w:rPr>
          <w:rFonts w:hint="eastAsia" w:ascii="宋体" w:hAnsi="宋体" w:cs="宋体"/>
          <w:color w:val="000000" w:themeColor="text1"/>
          <w:kern w:val="0"/>
          <w:szCs w:val="21"/>
          <w:highlight w:val="none"/>
        </w:rPr>
        <w:t>6.应用支持： 厂家有应用研发实验室，能够为用户在固相萃取技术的方法开发及优化方面提供支持及协助。</w:t>
      </w:r>
    </w:p>
    <w:p>
      <w:pPr>
        <w:spacing w:line="360" w:lineRule="auto"/>
        <w:ind w:firstLine="420" w:firstLineChars="200"/>
        <w:rPr>
          <w:rFonts w:ascii="宋体" w:hAnsi="宋体" w:cs="宋体"/>
          <w:color w:val="000000" w:themeColor="text1"/>
          <w:kern w:val="0"/>
          <w:sz w:val="20"/>
          <w:szCs w:val="20"/>
          <w:highlight w:val="none"/>
        </w:rPr>
      </w:pPr>
      <w:r>
        <w:rPr>
          <w:rFonts w:hint="eastAsia" w:ascii="宋体" w:hAnsi="宋体" w:cs="宋体"/>
          <w:color w:val="000000" w:themeColor="text1"/>
          <w:kern w:val="0"/>
          <w:szCs w:val="21"/>
          <w:highlight w:val="none"/>
        </w:rPr>
        <w:t>7.仪器尺寸不得大于55*40*58（长*宽*高），便于放通阀橱使用。</w:t>
      </w:r>
    </w:p>
    <w:p>
      <w:pPr>
        <w:rPr>
          <w:color w:val="000000" w:themeColor="text1"/>
          <w:highlight w:val="none"/>
        </w:rPr>
      </w:pPr>
    </w:p>
    <w:p>
      <w:pPr>
        <w:pStyle w:val="10"/>
        <w:autoSpaceDE w:val="0"/>
        <w:autoSpaceDN w:val="0"/>
        <w:adjustRightInd w:val="0"/>
        <w:snapToGrid w:val="0"/>
        <w:spacing w:line="480" w:lineRule="exact"/>
        <w:ind w:left="561" w:firstLine="0"/>
        <w:rPr>
          <w:rFonts w:ascii="宋体" w:hAnsi="宋体"/>
          <w:b/>
          <w:color w:val="000000" w:themeColor="text1"/>
          <w:szCs w:val="21"/>
          <w:highlight w:val="none"/>
        </w:rPr>
      </w:pPr>
      <w:r>
        <w:rPr>
          <w:rFonts w:hint="eastAsia" w:ascii="宋体" w:hAnsi="宋体"/>
          <w:b/>
          <w:color w:val="000000" w:themeColor="text1"/>
          <w:szCs w:val="21"/>
          <w:highlight w:val="none"/>
          <w:lang w:eastAsia="zh-CN"/>
        </w:rPr>
        <w:t>三、</w:t>
      </w:r>
      <w:r>
        <w:rPr>
          <w:rFonts w:hint="eastAsia" w:ascii="宋体" w:hAnsi="宋体"/>
          <w:b/>
          <w:color w:val="000000" w:themeColor="text1"/>
          <w:szCs w:val="21"/>
          <w:highlight w:val="none"/>
        </w:rPr>
        <w:t>投标须知：</w:t>
      </w:r>
    </w:p>
    <w:p>
      <w:pPr>
        <w:autoSpaceDE w:val="0"/>
        <w:autoSpaceDN w:val="0"/>
        <w:adjustRightInd w:val="0"/>
        <w:snapToGrid w:val="0"/>
        <w:spacing w:line="360" w:lineRule="auto"/>
        <w:ind w:firstLine="420" w:firstLineChars="200"/>
        <w:rPr>
          <w:bCs/>
          <w:color w:val="000000" w:themeColor="text1"/>
          <w:szCs w:val="21"/>
          <w:highlight w:val="none"/>
        </w:rPr>
      </w:pPr>
      <w:r>
        <w:rPr>
          <w:rFonts w:hint="eastAsia" w:ascii="宋体" w:hAnsi="宋体"/>
          <w:bCs/>
          <w:color w:val="000000" w:themeColor="text1"/>
          <w:szCs w:val="21"/>
          <w:highlight w:val="none"/>
        </w:rPr>
        <w:t>1、</w:t>
      </w:r>
      <w:r>
        <w:rPr>
          <w:rFonts w:hint="eastAsia"/>
          <w:bCs/>
          <w:color w:val="000000" w:themeColor="text1"/>
          <w:szCs w:val="21"/>
          <w:highlight w:val="none"/>
        </w:rPr>
        <w:t>投标单位应根据清单货物名称数量及要求等分别报价，</w:t>
      </w:r>
      <w:r>
        <w:rPr>
          <w:rFonts w:hint="eastAsia" w:ascii="宋体" w:hAnsi="宋体"/>
          <w:color w:val="000000" w:themeColor="text1"/>
          <w:szCs w:val="21"/>
          <w:highlight w:val="none"/>
        </w:rPr>
        <w:t>此报价为货物送达招标方指定地点并安装调试合格（包含税务局规定的增值税专用发票税率）后的价格。</w:t>
      </w:r>
    </w:p>
    <w:p>
      <w:pPr>
        <w:autoSpaceDE w:val="0"/>
        <w:autoSpaceDN w:val="0"/>
        <w:adjustRightInd w:val="0"/>
        <w:snapToGrid w:val="0"/>
        <w:spacing w:line="360" w:lineRule="auto"/>
        <w:ind w:firstLine="420" w:firstLineChars="200"/>
        <w:rPr>
          <w:color w:val="000000" w:themeColor="text1"/>
          <w:szCs w:val="21"/>
          <w:highlight w:val="none"/>
        </w:rPr>
      </w:pPr>
      <w:r>
        <w:rPr>
          <w:rFonts w:hint="eastAsia"/>
          <w:color w:val="000000" w:themeColor="text1"/>
          <w:szCs w:val="21"/>
          <w:highlight w:val="none"/>
        </w:rPr>
        <w:t>2、本次招标的合格投标人应同时满足下列资格要求（投标人不满足资格要求的，视为废标）：</w:t>
      </w:r>
    </w:p>
    <w:p>
      <w:pPr>
        <w:autoSpaceDE w:val="0"/>
        <w:autoSpaceDN w:val="0"/>
        <w:adjustRightInd w:val="0"/>
        <w:snapToGrid w:val="0"/>
        <w:spacing w:line="360" w:lineRule="auto"/>
        <w:ind w:firstLine="420" w:firstLineChars="200"/>
        <w:rPr>
          <w:rFonts w:ascii="宋体" w:hAnsi="宋体"/>
          <w:color w:val="000000" w:themeColor="text1"/>
          <w:szCs w:val="21"/>
          <w:highlight w:val="none"/>
        </w:rPr>
      </w:pPr>
      <w:r>
        <w:rPr>
          <w:rFonts w:hint="eastAsia" w:ascii="宋体" w:hAnsi="宋体"/>
          <w:color w:val="000000" w:themeColor="text1"/>
          <w:szCs w:val="21"/>
          <w:highlight w:val="none"/>
        </w:rPr>
        <w:t>2.1 具有独立法人资格的生产企业或代理商。</w:t>
      </w:r>
    </w:p>
    <w:p>
      <w:pPr>
        <w:autoSpaceDE w:val="0"/>
        <w:autoSpaceDN w:val="0"/>
        <w:adjustRightInd w:val="0"/>
        <w:snapToGrid w:val="0"/>
        <w:spacing w:line="360" w:lineRule="auto"/>
        <w:ind w:firstLine="420" w:firstLineChars="200"/>
        <w:rPr>
          <w:rFonts w:ascii="宋体" w:hAnsi="宋体"/>
          <w:color w:val="000000" w:themeColor="text1"/>
          <w:szCs w:val="21"/>
          <w:highlight w:val="none"/>
        </w:rPr>
      </w:pPr>
      <w:r>
        <w:rPr>
          <w:rFonts w:hint="eastAsia" w:ascii="宋体" w:hAnsi="宋体"/>
          <w:color w:val="000000" w:themeColor="text1"/>
          <w:szCs w:val="21"/>
          <w:highlight w:val="none"/>
        </w:rPr>
        <w:t>2.2.1 如为生产商，须提供其为生产商的证明材料（复印件并加盖生产商公章）。</w:t>
      </w:r>
    </w:p>
    <w:p>
      <w:pPr>
        <w:autoSpaceDE w:val="0"/>
        <w:autoSpaceDN w:val="0"/>
        <w:adjustRightInd w:val="0"/>
        <w:snapToGrid w:val="0"/>
        <w:spacing w:line="360" w:lineRule="auto"/>
        <w:ind w:firstLine="420" w:firstLineChars="200"/>
        <w:rPr>
          <w:rFonts w:ascii="宋体" w:hAnsi="宋体"/>
          <w:color w:val="000000" w:themeColor="text1"/>
          <w:szCs w:val="21"/>
          <w:highlight w:val="none"/>
        </w:rPr>
      </w:pPr>
      <w:r>
        <w:rPr>
          <w:rFonts w:hint="eastAsia" w:ascii="宋体" w:hAnsi="宋体"/>
          <w:color w:val="000000" w:themeColor="text1"/>
          <w:szCs w:val="21"/>
          <w:highlight w:val="none"/>
        </w:rPr>
        <w:t>2.2.2 如为代理商，须提供生产商针对本项目的专项授权书或经销商证书和售后服务承诺书（原件）。</w:t>
      </w:r>
    </w:p>
    <w:p>
      <w:pPr>
        <w:autoSpaceDE w:val="0"/>
        <w:autoSpaceDN w:val="0"/>
        <w:adjustRightInd w:val="0"/>
        <w:snapToGrid w:val="0"/>
        <w:spacing w:line="360" w:lineRule="auto"/>
        <w:ind w:firstLine="420" w:firstLineChars="200"/>
        <w:rPr>
          <w:rFonts w:ascii="宋体" w:hAnsi="宋体"/>
          <w:color w:val="000000" w:themeColor="text1"/>
          <w:szCs w:val="21"/>
          <w:highlight w:val="none"/>
        </w:rPr>
      </w:pPr>
      <w:r>
        <w:rPr>
          <w:rFonts w:hint="eastAsia" w:ascii="宋体" w:hAnsi="宋体"/>
          <w:color w:val="000000" w:themeColor="text1"/>
          <w:szCs w:val="21"/>
          <w:highlight w:val="none"/>
        </w:rPr>
        <w:t>2.2.3 若法定代表人参加投标的，须提供本人身份证复印件(原件备查)；若授权代表参加的，须提供《法人授权书》原件和授权代表身份证复印件（原件备查）。</w:t>
      </w:r>
    </w:p>
    <w:p>
      <w:pPr>
        <w:autoSpaceDE w:val="0"/>
        <w:autoSpaceDN w:val="0"/>
        <w:adjustRightInd w:val="0"/>
        <w:snapToGrid w:val="0"/>
        <w:spacing w:line="360" w:lineRule="auto"/>
        <w:ind w:firstLine="420" w:firstLineChars="200"/>
        <w:rPr>
          <w:rFonts w:ascii="宋体" w:hAnsi="宋体"/>
          <w:color w:val="000000" w:themeColor="text1"/>
          <w:szCs w:val="21"/>
          <w:highlight w:val="none"/>
        </w:rPr>
      </w:pPr>
      <w:r>
        <w:rPr>
          <w:rFonts w:hint="eastAsia" w:ascii="宋体" w:hAnsi="宋体"/>
          <w:color w:val="000000" w:themeColor="text1"/>
          <w:szCs w:val="21"/>
          <w:highlight w:val="none"/>
        </w:rPr>
        <w:t>2.2 投标单位必须提供①投标函(原件)、资格声明(原件)。②资格证明材料、企业营业执照、产品生产许可证、质量认证书（ISO9001标准）等各种证书。（凡以上提供的证书复印件必须加盖企业公章，原件备查。）</w:t>
      </w:r>
    </w:p>
    <w:p>
      <w:pPr>
        <w:autoSpaceDE w:val="0"/>
        <w:autoSpaceDN w:val="0"/>
        <w:adjustRightInd w:val="0"/>
        <w:snapToGrid w:val="0"/>
        <w:spacing w:line="360" w:lineRule="auto"/>
        <w:ind w:firstLine="420" w:firstLineChars="200"/>
        <w:rPr>
          <w:color w:val="000000" w:themeColor="text1"/>
          <w:szCs w:val="21"/>
          <w:highlight w:val="none"/>
        </w:rPr>
      </w:pPr>
      <w:r>
        <w:rPr>
          <w:rFonts w:hint="eastAsia"/>
          <w:color w:val="000000" w:themeColor="text1"/>
          <w:szCs w:val="21"/>
          <w:highlight w:val="none"/>
        </w:rPr>
        <w:t>2.3 具有本招标项目所要求的相关资质、能力、业绩，货物制造商须具有五年及以上生产经验，货物制造商在近三年（2020年1月至今）同类货物的供货业绩。</w:t>
      </w:r>
    </w:p>
    <w:p>
      <w:pPr>
        <w:autoSpaceDE w:val="0"/>
        <w:autoSpaceDN w:val="0"/>
        <w:adjustRightInd w:val="0"/>
        <w:snapToGrid w:val="0"/>
        <w:spacing w:line="360" w:lineRule="auto"/>
        <w:ind w:firstLine="420" w:firstLineChars="200"/>
        <w:rPr>
          <w:rFonts w:ascii="宋体" w:hAnsi="宋体"/>
          <w:color w:val="000000" w:themeColor="text1"/>
          <w:szCs w:val="21"/>
          <w:highlight w:val="none"/>
        </w:rPr>
      </w:pPr>
      <w:r>
        <w:rPr>
          <w:rFonts w:hint="eastAsia" w:ascii="宋体" w:hAnsi="宋体"/>
          <w:color w:val="000000" w:themeColor="text1"/>
          <w:szCs w:val="21"/>
          <w:highlight w:val="none"/>
        </w:rPr>
        <w:t>2.4 设备清单仅供参考，为保证设备的完整性及正常运行，清单上没有的设备应预补全。</w:t>
      </w:r>
      <w:r>
        <w:rPr>
          <w:rFonts w:hint="eastAsia"/>
          <w:color w:val="000000" w:themeColor="text1"/>
          <w:szCs w:val="21"/>
          <w:highlight w:val="none"/>
        </w:rPr>
        <w:t>★部分（如有）技术要求必须满足，如不满足为废标。</w:t>
      </w:r>
    </w:p>
    <w:p>
      <w:pPr>
        <w:pStyle w:val="12"/>
        <w:ind w:firstLine="420" w:firstLineChars="200"/>
        <w:rPr>
          <w:color w:val="000000" w:themeColor="text1"/>
          <w:szCs w:val="21"/>
          <w:highlight w:val="none"/>
        </w:rPr>
      </w:pPr>
      <w:r>
        <w:rPr>
          <w:rFonts w:hint="eastAsia"/>
          <w:color w:val="000000" w:themeColor="text1"/>
          <w:sz w:val="21"/>
          <w:szCs w:val="21"/>
          <w:highlight w:val="none"/>
        </w:rPr>
        <w:t>2.5 提供全国企业信息公示系统查询结果页面截图、“信用中国”网站查询结果页面截图。（复印件加盖投标人公章装订于投标文件中）。</w:t>
      </w:r>
    </w:p>
    <w:p>
      <w:pPr>
        <w:autoSpaceDE w:val="0"/>
        <w:autoSpaceDN w:val="0"/>
        <w:adjustRightInd w:val="0"/>
        <w:snapToGrid w:val="0"/>
        <w:spacing w:line="360" w:lineRule="auto"/>
        <w:ind w:firstLine="420" w:firstLineChars="200"/>
        <w:rPr>
          <w:color w:val="000000" w:themeColor="text1"/>
          <w:szCs w:val="21"/>
          <w:highlight w:val="none"/>
        </w:rPr>
      </w:pPr>
      <w:r>
        <w:rPr>
          <w:rFonts w:hint="eastAsia"/>
          <w:color w:val="000000" w:themeColor="text1"/>
          <w:szCs w:val="21"/>
          <w:highlight w:val="none"/>
        </w:rPr>
        <w:t>2.6 有下列行为之一的投标人，招标人不接受其参加投标（承诺书装订于投标文件中，正本中应为原件）：</w:t>
      </w:r>
    </w:p>
    <w:p>
      <w:pPr>
        <w:autoSpaceDE w:val="0"/>
        <w:autoSpaceDN w:val="0"/>
        <w:adjustRightInd w:val="0"/>
        <w:snapToGrid w:val="0"/>
        <w:spacing w:line="360" w:lineRule="auto"/>
        <w:ind w:firstLine="420" w:firstLineChars="200"/>
        <w:rPr>
          <w:color w:val="000000" w:themeColor="text1"/>
          <w:szCs w:val="21"/>
          <w:highlight w:val="none"/>
        </w:rPr>
      </w:pPr>
      <w:r>
        <w:rPr>
          <w:rFonts w:hint="eastAsia"/>
          <w:color w:val="000000" w:themeColor="text1"/>
          <w:szCs w:val="21"/>
          <w:highlight w:val="none"/>
        </w:rPr>
        <w:t>2.6.1 有违反法律、法规行为，依法被取消投标资格且期限未满的；</w:t>
      </w:r>
    </w:p>
    <w:p>
      <w:pPr>
        <w:autoSpaceDE w:val="0"/>
        <w:autoSpaceDN w:val="0"/>
        <w:adjustRightInd w:val="0"/>
        <w:snapToGrid w:val="0"/>
        <w:spacing w:line="360" w:lineRule="auto"/>
        <w:ind w:firstLine="420" w:firstLineChars="200"/>
        <w:rPr>
          <w:color w:val="000000" w:themeColor="text1"/>
          <w:szCs w:val="21"/>
          <w:highlight w:val="none"/>
        </w:rPr>
      </w:pPr>
      <w:r>
        <w:rPr>
          <w:rFonts w:hint="eastAsia"/>
          <w:color w:val="000000" w:themeColor="text1"/>
          <w:szCs w:val="21"/>
          <w:highlight w:val="none"/>
        </w:rPr>
        <w:t>2.6.2 招投标活动中有违法违规和不良行为，被有关招投标行政监督部门公示且期限未满的；</w:t>
      </w:r>
    </w:p>
    <w:p>
      <w:pPr>
        <w:autoSpaceDE w:val="0"/>
        <w:autoSpaceDN w:val="0"/>
        <w:adjustRightInd w:val="0"/>
        <w:snapToGrid w:val="0"/>
        <w:spacing w:line="360" w:lineRule="auto"/>
        <w:ind w:firstLine="420" w:firstLineChars="200"/>
        <w:rPr>
          <w:color w:val="000000" w:themeColor="text1"/>
          <w:szCs w:val="21"/>
          <w:highlight w:val="none"/>
        </w:rPr>
      </w:pPr>
      <w:r>
        <w:rPr>
          <w:rFonts w:hint="eastAsia"/>
          <w:color w:val="000000" w:themeColor="text1"/>
          <w:szCs w:val="21"/>
          <w:highlight w:val="none"/>
        </w:rPr>
        <w:t>2.6.3 2020年1月1日以来存在出让或者出租资格、资质证书供他人投标的，使用通过受让或者租借等方式获取的资格、资质证书投标的行为的。</w:t>
      </w:r>
    </w:p>
    <w:p>
      <w:pPr>
        <w:autoSpaceDE w:val="0"/>
        <w:autoSpaceDN w:val="0"/>
        <w:adjustRightInd w:val="0"/>
        <w:snapToGrid w:val="0"/>
        <w:spacing w:line="360" w:lineRule="auto"/>
        <w:ind w:firstLine="420" w:firstLineChars="200"/>
        <w:rPr>
          <w:color w:val="000000" w:themeColor="text1"/>
          <w:szCs w:val="21"/>
          <w:highlight w:val="none"/>
        </w:rPr>
      </w:pPr>
      <w:r>
        <w:rPr>
          <w:rFonts w:hint="eastAsia"/>
          <w:color w:val="000000" w:themeColor="text1"/>
          <w:szCs w:val="21"/>
          <w:highlight w:val="none"/>
        </w:rPr>
        <w:t>2.6.4 近五年提供的产品在使用过程中未发生通报批评、重大事故等问题。</w:t>
      </w:r>
    </w:p>
    <w:p>
      <w:pPr>
        <w:autoSpaceDE w:val="0"/>
        <w:autoSpaceDN w:val="0"/>
        <w:adjustRightInd w:val="0"/>
        <w:snapToGrid w:val="0"/>
        <w:spacing w:line="360" w:lineRule="auto"/>
        <w:ind w:firstLine="420" w:firstLineChars="200"/>
        <w:rPr>
          <w:color w:val="000000" w:themeColor="text1"/>
          <w:szCs w:val="21"/>
          <w:highlight w:val="none"/>
        </w:rPr>
      </w:pPr>
      <w:r>
        <w:rPr>
          <w:rFonts w:hint="eastAsia"/>
          <w:color w:val="000000" w:themeColor="text1"/>
          <w:szCs w:val="21"/>
          <w:highlight w:val="none"/>
        </w:rPr>
        <w:t>2.7 本项目不接受联合体投标。</w:t>
      </w:r>
    </w:p>
    <w:p>
      <w:pPr>
        <w:spacing w:line="360" w:lineRule="auto"/>
        <w:ind w:firstLine="420" w:firstLineChars="200"/>
        <w:rPr>
          <w:rFonts w:ascii="宋体" w:hAnsi="宋体"/>
          <w:color w:val="000000" w:themeColor="text1"/>
          <w:szCs w:val="21"/>
          <w:highlight w:val="none"/>
        </w:rPr>
      </w:pPr>
      <w:r>
        <w:rPr>
          <w:rFonts w:hint="eastAsia" w:ascii="宋体" w:hAnsi="宋体"/>
          <w:color w:val="000000" w:themeColor="text1"/>
          <w:szCs w:val="21"/>
          <w:highlight w:val="none"/>
        </w:rPr>
        <w:t>3、包装要求：</w:t>
      </w:r>
    </w:p>
    <w:p>
      <w:pPr>
        <w:spacing w:line="360" w:lineRule="auto"/>
        <w:ind w:firstLine="420" w:firstLineChars="200"/>
        <w:rPr>
          <w:rFonts w:ascii="宋体" w:hAnsi="宋体"/>
          <w:color w:val="000000" w:themeColor="text1"/>
          <w:szCs w:val="21"/>
          <w:highlight w:val="none"/>
        </w:rPr>
      </w:pPr>
      <w:r>
        <w:rPr>
          <w:rFonts w:hint="eastAsia" w:ascii="宋体" w:hAnsi="宋体"/>
          <w:color w:val="000000" w:themeColor="text1"/>
          <w:szCs w:val="21"/>
          <w:highlight w:val="none"/>
        </w:rPr>
        <w:t>所有包装必须经得起陆上,水上的运输，卖方应对包装的所供货物负责，使其到达目的地后完整无缺，卖方负责提供所有的包装（注明免费）。</w:t>
      </w:r>
    </w:p>
    <w:p>
      <w:pPr>
        <w:spacing w:line="360" w:lineRule="auto"/>
        <w:ind w:firstLine="420" w:firstLineChars="200"/>
        <w:rPr>
          <w:rFonts w:ascii="宋体" w:hAnsi="宋体"/>
          <w:color w:val="000000" w:themeColor="text1"/>
          <w:szCs w:val="21"/>
          <w:highlight w:val="none"/>
        </w:rPr>
      </w:pPr>
      <w:r>
        <w:rPr>
          <w:rFonts w:hint="eastAsia" w:ascii="宋体" w:hAnsi="宋体"/>
          <w:color w:val="000000" w:themeColor="text1"/>
          <w:szCs w:val="21"/>
          <w:highlight w:val="none"/>
        </w:rPr>
        <w:t>4、中标单位供货时需提供设备出厂检测报告、合格证等相关证明。</w:t>
      </w:r>
    </w:p>
    <w:p>
      <w:pPr>
        <w:spacing w:line="360" w:lineRule="auto"/>
        <w:ind w:firstLine="420" w:firstLineChars="200"/>
        <w:rPr>
          <w:rFonts w:ascii="宋体" w:hAnsi="宋体"/>
          <w:color w:val="000000" w:themeColor="text1"/>
          <w:szCs w:val="21"/>
          <w:highlight w:val="none"/>
        </w:rPr>
      </w:pPr>
      <w:r>
        <w:rPr>
          <w:rFonts w:hint="eastAsia" w:ascii="宋体" w:hAnsi="宋体"/>
          <w:color w:val="000000" w:themeColor="text1"/>
          <w:szCs w:val="21"/>
          <w:highlight w:val="none"/>
        </w:rPr>
        <w:t>5、投标文件正本一份、副本四份，正本必须用不能擦去的墨水书写或打印，副本可以复印。正本、副本都应装订成册，并在封面上正确标明“正本”、“副本”字样，正、副本不一致时，以正本为准。</w:t>
      </w:r>
    </w:p>
    <w:p>
      <w:pPr>
        <w:autoSpaceDE w:val="0"/>
        <w:autoSpaceDN w:val="0"/>
        <w:adjustRightInd w:val="0"/>
        <w:snapToGrid w:val="0"/>
        <w:spacing w:line="480" w:lineRule="exact"/>
        <w:ind w:firstLine="561"/>
        <w:rPr>
          <w:rFonts w:ascii="宋体" w:hAnsi="宋体"/>
          <w:b/>
          <w:color w:val="000000" w:themeColor="text1"/>
          <w:szCs w:val="21"/>
          <w:highlight w:val="none"/>
        </w:rPr>
      </w:pPr>
      <w:r>
        <w:rPr>
          <w:rFonts w:hint="eastAsia" w:ascii="宋体" w:hAnsi="宋体"/>
          <w:b/>
          <w:color w:val="000000" w:themeColor="text1"/>
          <w:szCs w:val="21"/>
          <w:highlight w:val="none"/>
        </w:rPr>
        <w:t>四、投标文件的密封与递交</w:t>
      </w:r>
    </w:p>
    <w:p>
      <w:pPr>
        <w:autoSpaceDE w:val="0"/>
        <w:autoSpaceDN w:val="0"/>
        <w:adjustRightInd w:val="0"/>
        <w:snapToGrid w:val="0"/>
        <w:spacing w:line="480" w:lineRule="exact"/>
        <w:ind w:firstLine="561"/>
        <w:rPr>
          <w:rFonts w:ascii="宋体" w:hAnsi="宋体"/>
          <w:color w:val="000000" w:themeColor="text1"/>
          <w:szCs w:val="21"/>
          <w:highlight w:val="none"/>
        </w:rPr>
      </w:pPr>
      <w:r>
        <w:rPr>
          <w:rFonts w:hint="eastAsia" w:ascii="宋体" w:hAnsi="宋体"/>
          <w:color w:val="000000" w:themeColor="text1"/>
          <w:szCs w:val="21"/>
          <w:highlight w:val="none"/>
        </w:rPr>
        <w:t>1、投标文件的份数和签署</w:t>
      </w:r>
    </w:p>
    <w:p>
      <w:pPr>
        <w:autoSpaceDE w:val="0"/>
        <w:autoSpaceDN w:val="0"/>
        <w:adjustRightInd w:val="0"/>
        <w:snapToGrid w:val="0"/>
        <w:spacing w:line="480" w:lineRule="exact"/>
        <w:ind w:firstLine="561"/>
        <w:rPr>
          <w:rFonts w:ascii="宋体" w:hAnsi="宋体"/>
          <w:color w:val="000000" w:themeColor="text1"/>
          <w:szCs w:val="21"/>
          <w:highlight w:val="none"/>
        </w:rPr>
      </w:pPr>
      <w:r>
        <w:rPr>
          <w:rFonts w:hint="eastAsia" w:ascii="宋体" w:hAnsi="宋体"/>
          <w:color w:val="000000" w:themeColor="text1"/>
          <w:szCs w:val="21"/>
          <w:highlight w:val="none"/>
        </w:rPr>
        <w:t>投标文件应使用不能擦去的墨水书写或打印，由投标人加盖法人公章和法定代表人或法定代表人委托的代理人印鉴或签字。</w:t>
      </w:r>
    </w:p>
    <w:p>
      <w:pPr>
        <w:autoSpaceDE w:val="0"/>
        <w:autoSpaceDN w:val="0"/>
        <w:adjustRightInd w:val="0"/>
        <w:snapToGrid w:val="0"/>
        <w:spacing w:line="480" w:lineRule="exact"/>
        <w:ind w:firstLine="561"/>
        <w:rPr>
          <w:rFonts w:ascii="宋体" w:hAnsi="宋体"/>
          <w:color w:val="000000" w:themeColor="text1"/>
          <w:szCs w:val="21"/>
          <w:highlight w:val="none"/>
        </w:rPr>
      </w:pPr>
      <w:r>
        <w:rPr>
          <w:rFonts w:hint="eastAsia" w:ascii="宋体" w:hAnsi="宋体"/>
          <w:color w:val="000000" w:themeColor="text1"/>
          <w:szCs w:val="21"/>
          <w:highlight w:val="none"/>
        </w:rPr>
        <w:t>2、投标文件的密封与标志</w:t>
      </w:r>
    </w:p>
    <w:p>
      <w:pPr>
        <w:autoSpaceDE w:val="0"/>
        <w:autoSpaceDN w:val="0"/>
        <w:adjustRightInd w:val="0"/>
        <w:snapToGrid w:val="0"/>
        <w:spacing w:line="480" w:lineRule="exact"/>
        <w:ind w:firstLine="561"/>
        <w:rPr>
          <w:rFonts w:ascii="宋体" w:hAnsi="宋体"/>
          <w:color w:val="000000" w:themeColor="text1"/>
          <w:szCs w:val="21"/>
          <w:highlight w:val="none"/>
        </w:rPr>
      </w:pPr>
      <w:r>
        <w:rPr>
          <w:rFonts w:hint="eastAsia" w:ascii="宋体" w:hAnsi="宋体"/>
          <w:color w:val="000000" w:themeColor="text1"/>
          <w:szCs w:val="21"/>
          <w:highlight w:val="none"/>
        </w:rPr>
        <w:t>所有封袋上都应写明招标人名称、工程项目名称、投标人名称、卷别；</w:t>
      </w:r>
    </w:p>
    <w:p>
      <w:pPr>
        <w:autoSpaceDE w:val="0"/>
        <w:autoSpaceDN w:val="0"/>
        <w:adjustRightInd w:val="0"/>
        <w:snapToGrid w:val="0"/>
        <w:spacing w:line="480" w:lineRule="exact"/>
        <w:ind w:firstLine="561"/>
        <w:rPr>
          <w:rFonts w:ascii="宋体" w:hAnsi="宋体"/>
          <w:color w:val="000000" w:themeColor="text1"/>
          <w:szCs w:val="21"/>
          <w:highlight w:val="none"/>
        </w:rPr>
      </w:pPr>
      <w:r>
        <w:rPr>
          <w:rFonts w:hint="eastAsia" w:ascii="宋体" w:hAnsi="宋体"/>
          <w:color w:val="000000" w:themeColor="text1"/>
          <w:szCs w:val="21"/>
          <w:highlight w:val="none"/>
        </w:rPr>
        <w:t>所有投标文件都必须在封袋上加盖投标单位法人公章及其法定代表人或授权委托人的印鉴。</w:t>
      </w:r>
    </w:p>
    <w:p>
      <w:pPr>
        <w:autoSpaceDE w:val="0"/>
        <w:autoSpaceDN w:val="0"/>
        <w:adjustRightInd w:val="0"/>
        <w:snapToGrid w:val="0"/>
        <w:spacing w:line="480" w:lineRule="exact"/>
        <w:ind w:firstLine="561"/>
        <w:rPr>
          <w:rFonts w:ascii="宋体" w:hAnsi="宋体"/>
          <w:color w:val="000000" w:themeColor="text1"/>
          <w:szCs w:val="21"/>
          <w:highlight w:val="none"/>
        </w:rPr>
      </w:pPr>
      <w:r>
        <w:rPr>
          <w:rFonts w:hint="eastAsia" w:ascii="宋体" w:hAnsi="宋体"/>
          <w:color w:val="000000" w:themeColor="text1"/>
          <w:szCs w:val="21"/>
          <w:highlight w:val="none"/>
        </w:rPr>
        <w:t>3、投标截止期</w:t>
      </w:r>
    </w:p>
    <w:p>
      <w:pPr>
        <w:autoSpaceDE w:val="0"/>
        <w:autoSpaceDN w:val="0"/>
        <w:adjustRightInd w:val="0"/>
        <w:snapToGrid w:val="0"/>
        <w:spacing w:line="480" w:lineRule="exact"/>
        <w:ind w:firstLine="561"/>
        <w:rPr>
          <w:rFonts w:ascii="宋体" w:hAnsi="宋体"/>
          <w:color w:val="000000" w:themeColor="text1"/>
          <w:szCs w:val="21"/>
          <w:highlight w:val="none"/>
        </w:rPr>
      </w:pPr>
      <w:r>
        <w:rPr>
          <w:rFonts w:hint="eastAsia" w:ascii="宋体" w:hAnsi="宋体"/>
          <w:color w:val="000000" w:themeColor="text1"/>
          <w:szCs w:val="21"/>
          <w:highlight w:val="none"/>
        </w:rPr>
        <w:t>3.1 投标人应在投标须知中规定的时间之前将投标文件递交到招标文件前附表指定地点。</w:t>
      </w:r>
    </w:p>
    <w:p>
      <w:pPr>
        <w:autoSpaceDE w:val="0"/>
        <w:autoSpaceDN w:val="0"/>
        <w:adjustRightInd w:val="0"/>
        <w:snapToGrid w:val="0"/>
        <w:spacing w:line="480" w:lineRule="exact"/>
        <w:ind w:firstLine="561"/>
        <w:rPr>
          <w:rFonts w:ascii="宋体" w:hAnsi="宋体"/>
          <w:color w:val="000000" w:themeColor="text1"/>
          <w:szCs w:val="21"/>
          <w:highlight w:val="none"/>
        </w:rPr>
      </w:pPr>
      <w:r>
        <w:rPr>
          <w:rFonts w:hint="eastAsia" w:ascii="宋体" w:hAnsi="宋体"/>
          <w:color w:val="000000" w:themeColor="text1"/>
          <w:szCs w:val="21"/>
          <w:highlight w:val="none"/>
        </w:rPr>
        <w:t>3.2 招标人可以按本文件规定以修改通知的方式，延长递交投标文件的截止日期。在上述情况下，招标人与投标人以前的在投标截止期方面的全部权力、责任和义务，将适用于延长后新的投标截止期。</w:t>
      </w:r>
    </w:p>
    <w:p>
      <w:pPr>
        <w:autoSpaceDE w:val="0"/>
        <w:autoSpaceDN w:val="0"/>
        <w:adjustRightInd w:val="0"/>
        <w:snapToGrid w:val="0"/>
        <w:spacing w:line="480" w:lineRule="exact"/>
        <w:ind w:firstLine="561"/>
        <w:rPr>
          <w:rFonts w:ascii="宋体" w:hAnsi="宋体"/>
          <w:color w:val="000000" w:themeColor="text1"/>
          <w:szCs w:val="21"/>
          <w:highlight w:val="none"/>
        </w:rPr>
      </w:pPr>
      <w:r>
        <w:rPr>
          <w:rFonts w:hint="eastAsia" w:ascii="宋体" w:hAnsi="宋体"/>
          <w:color w:val="000000" w:themeColor="text1"/>
          <w:szCs w:val="21"/>
          <w:highlight w:val="none"/>
        </w:rPr>
        <w:t>4、投标文件的修改与撤回</w:t>
      </w:r>
    </w:p>
    <w:p>
      <w:pPr>
        <w:autoSpaceDE w:val="0"/>
        <w:autoSpaceDN w:val="0"/>
        <w:adjustRightInd w:val="0"/>
        <w:snapToGrid w:val="0"/>
        <w:spacing w:line="480" w:lineRule="exact"/>
        <w:ind w:firstLine="561"/>
        <w:rPr>
          <w:rFonts w:ascii="宋体" w:hAnsi="宋体"/>
          <w:color w:val="000000" w:themeColor="text1"/>
          <w:szCs w:val="21"/>
          <w:highlight w:val="none"/>
        </w:rPr>
      </w:pPr>
      <w:r>
        <w:rPr>
          <w:rFonts w:hint="eastAsia" w:ascii="宋体" w:hAnsi="宋体"/>
          <w:color w:val="000000" w:themeColor="text1"/>
          <w:szCs w:val="21"/>
          <w:highlight w:val="none"/>
        </w:rPr>
        <w:t>4.1 投标人可以在递交投标文件以后，在规定的投标截止期之前，以书面形式向招标人递交修改或撤回其投标文件的通知。在投标截止期以后，不得更改、撤回投标文件。</w:t>
      </w:r>
    </w:p>
    <w:p>
      <w:pPr>
        <w:autoSpaceDE w:val="0"/>
        <w:autoSpaceDN w:val="0"/>
        <w:adjustRightInd w:val="0"/>
        <w:snapToGrid w:val="0"/>
        <w:spacing w:line="480" w:lineRule="exact"/>
        <w:ind w:firstLine="561"/>
        <w:rPr>
          <w:rFonts w:ascii="宋体" w:hAnsi="宋体"/>
          <w:color w:val="000000" w:themeColor="text1"/>
          <w:szCs w:val="21"/>
          <w:highlight w:val="none"/>
        </w:rPr>
      </w:pPr>
      <w:r>
        <w:rPr>
          <w:rFonts w:hint="eastAsia" w:ascii="宋体" w:hAnsi="宋体"/>
          <w:color w:val="000000" w:themeColor="text1"/>
          <w:szCs w:val="21"/>
          <w:highlight w:val="none"/>
        </w:rPr>
        <w:t>4.2 投标文件的修改应按本文件相关条款规定的要求编制、密封、标志和递交（密封袋上应标明“修改”字样）。</w:t>
      </w:r>
    </w:p>
    <w:p>
      <w:pPr>
        <w:autoSpaceDE w:val="0"/>
        <w:autoSpaceDN w:val="0"/>
        <w:adjustRightInd w:val="0"/>
        <w:snapToGrid w:val="0"/>
        <w:spacing w:line="480" w:lineRule="exact"/>
        <w:ind w:firstLine="561"/>
        <w:rPr>
          <w:rFonts w:ascii="宋体" w:hAnsi="宋体"/>
          <w:color w:val="000000" w:themeColor="text1"/>
          <w:szCs w:val="21"/>
          <w:highlight w:val="none"/>
        </w:rPr>
      </w:pPr>
      <w:r>
        <w:rPr>
          <w:rFonts w:hint="eastAsia" w:ascii="宋体" w:hAnsi="宋体"/>
          <w:color w:val="000000" w:themeColor="text1"/>
          <w:szCs w:val="21"/>
          <w:highlight w:val="none"/>
        </w:rPr>
        <w:t>4.3 投标截止以后,在投标有效期内，未确定中标人前，投标人不得撤回投标文件。</w:t>
      </w:r>
      <w:bookmarkStart w:id="1" w:name="EB0f01764a82a04f44abcb858eaf46c6a5"/>
      <w:bookmarkEnd w:id="1"/>
      <w:bookmarkStart w:id="2" w:name="EB66450c37613b4d8bb5d2ef34d49a190f"/>
      <w:bookmarkEnd w:id="2"/>
    </w:p>
    <w:p>
      <w:pPr>
        <w:pStyle w:val="4"/>
        <w:rPr>
          <w:color w:val="000000" w:themeColor="text1"/>
          <w:highlight w:val="none"/>
        </w:rPr>
      </w:pPr>
    </w:p>
    <w:p>
      <w:pPr>
        <w:autoSpaceDE w:val="0"/>
        <w:autoSpaceDN w:val="0"/>
        <w:adjustRightInd w:val="0"/>
        <w:snapToGrid w:val="0"/>
        <w:spacing w:line="480" w:lineRule="exact"/>
        <w:ind w:firstLine="561"/>
        <w:rPr>
          <w:rFonts w:ascii="宋体" w:hAnsi="宋体"/>
          <w:b/>
          <w:color w:val="000000" w:themeColor="text1"/>
          <w:szCs w:val="21"/>
          <w:highlight w:val="none"/>
        </w:rPr>
      </w:pPr>
      <w:r>
        <w:rPr>
          <w:rFonts w:hint="eastAsia" w:ascii="宋体" w:hAnsi="宋体"/>
          <w:b/>
          <w:color w:val="000000" w:themeColor="text1"/>
          <w:szCs w:val="21"/>
          <w:highlight w:val="none"/>
        </w:rPr>
        <w:t>五、评标</w:t>
      </w:r>
    </w:p>
    <w:p>
      <w:pPr>
        <w:autoSpaceDE w:val="0"/>
        <w:autoSpaceDN w:val="0"/>
        <w:adjustRightInd w:val="0"/>
        <w:snapToGrid w:val="0"/>
        <w:spacing w:line="480" w:lineRule="exact"/>
        <w:ind w:firstLine="561"/>
        <w:rPr>
          <w:rFonts w:ascii="宋体" w:hAnsi="宋体"/>
          <w:color w:val="000000" w:themeColor="text1"/>
          <w:szCs w:val="21"/>
          <w:highlight w:val="none"/>
        </w:rPr>
      </w:pPr>
      <w:r>
        <w:rPr>
          <w:rFonts w:hint="eastAsia" w:ascii="宋体" w:hAnsi="宋体"/>
          <w:color w:val="000000" w:themeColor="text1"/>
          <w:szCs w:val="21"/>
          <w:highlight w:val="non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pPr>
        <w:autoSpaceDE w:val="0"/>
        <w:autoSpaceDN w:val="0"/>
        <w:adjustRightInd w:val="0"/>
        <w:snapToGrid w:val="0"/>
        <w:spacing w:line="480" w:lineRule="exact"/>
        <w:ind w:firstLine="561"/>
        <w:rPr>
          <w:rFonts w:ascii="宋体" w:hAnsi="宋体"/>
          <w:color w:val="000000" w:themeColor="text1"/>
          <w:szCs w:val="21"/>
          <w:highlight w:val="none"/>
        </w:rPr>
      </w:pPr>
      <w:r>
        <w:rPr>
          <w:rFonts w:hint="eastAsia" w:ascii="宋体" w:hAnsi="宋体"/>
          <w:color w:val="000000" w:themeColor="text1"/>
          <w:szCs w:val="21"/>
          <w:highlight w:val="none"/>
        </w:rPr>
        <w:t>1、 评标委员会</w:t>
      </w:r>
    </w:p>
    <w:p>
      <w:pPr>
        <w:autoSpaceDE w:val="0"/>
        <w:autoSpaceDN w:val="0"/>
        <w:adjustRightInd w:val="0"/>
        <w:snapToGrid w:val="0"/>
        <w:spacing w:line="480" w:lineRule="exact"/>
        <w:ind w:firstLine="561"/>
        <w:rPr>
          <w:rFonts w:ascii="宋体" w:hAnsi="宋体"/>
          <w:color w:val="000000" w:themeColor="text1"/>
          <w:szCs w:val="21"/>
          <w:highlight w:val="none"/>
        </w:rPr>
      </w:pPr>
      <w:r>
        <w:rPr>
          <w:rFonts w:hint="eastAsia" w:ascii="宋体" w:hAnsi="宋体"/>
          <w:color w:val="000000" w:themeColor="text1"/>
          <w:szCs w:val="21"/>
          <w:highlight w:val="none"/>
        </w:rPr>
        <w:t>评标由招标人依法组建的评标委员会负责。评标委员会由有关技术、经济等方面的专家组成。</w:t>
      </w:r>
    </w:p>
    <w:p>
      <w:pPr>
        <w:autoSpaceDE w:val="0"/>
        <w:autoSpaceDN w:val="0"/>
        <w:adjustRightInd w:val="0"/>
        <w:snapToGrid w:val="0"/>
        <w:spacing w:line="480" w:lineRule="exact"/>
        <w:ind w:firstLine="561"/>
        <w:rPr>
          <w:rFonts w:ascii="宋体" w:hAnsi="宋体"/>
          <w:color w:val="000000" w:themeColor="text1"/>
          <w:szCs w:val="21"/>
          <w:highlight w:val="none"/>
        </w:rPr>
      </w:pPr>
      <w:r>
        <w:rPr>
          <w:rFonts w:hint="eastAsia" w:ascii="宋体" w:hAnsi="宋体"/>
          <w:color w:val="000000" w:themeColor="text1"/>
          <w:szCs w:val="21"/>
          <w:highlight w:val="none"/>
        </w:rPr>
        <w:t>2、 评审程序</w:t>
      </w:r>
    </w:p>
    <w:p>
      <w:pPr>
        <w:autoSpaceDE w:val="0"/>
        <w:autoSpaceDN w:val="0"/>
        <w:adjustRightInd w:val="0"/>
        <w:snapToGrid w:val="0"/>
        <w:spacing w:line="480" w:lineRule="exact"/>
        <w:ind w:firstLine="561"/>
        <w:rPr>
          <w:rFonts w:ascii="宋体" w:hAnsi="宋体"/>
          <w:color w:val="000000" w:themeColor="text1"/>
          <w:szCs w:val="21"/>
          <w:highlight w:val="none"/>
        </w:rPr>
      </w:pPr>
      <w:r>
        <w:rPr>
          <w:rFonts w:hint="eastAsia" w:ascii="宋体" w:hAnsi="宋体"/>
          <w:color w:val="000000" w:themeColor="text1"/>
          <w:szCs w:val="21"/>
          <w:highlight w:val="none"/>
        </w:rPr>
        <w:t>评标按照下列程序进行：1）评标准备；2）初步评审；3）详细评审；4）推荐中标候选人，撰写评标报告。</w:t>
      </w:r>
    </w:p>
    <w:p>
      <w:pPr>
        <w:autoSpaceDE w:val="0"/>
        <w:autoSpaceDN w:val="0"/>
        <w:adjustRightInd w:val="0"/>
        <w:snapToGrid w:val="0"/>
        <w:spacing w:line="480" w:lineRule="exact"/>
        <w:ind w:firstLine="525" w:firstLineChars="250"/>
        <w:rPr>
          <w:rFonts w:ascii="宋体" w:hAnsi="宋体"/>
          <w:color w:val="000000" w:themeColor="text1"/>
          <w:szCs w:val="21"/>
          <w:highlight w:val="none"/>
        </w:rPr>
      </w:pPr>
      <w:r>
        <w:rPr>
          <w:rFonts w:hint="eastAsia" w:ascii="宋体" w:hAnsi="宋体"/>
          <w:color w:val="000000" w:themeColor="text1"/>
          <w:szCs w:val="21"/>
          <w:highlight w:val="none"/>
        </w:rPr>
        <w:t>3、评标准备</w:t>
      </w:r>
    </w:p>
    <w:p>
      <w:pPr>
        <w:autoSpaceDE w:val="0"/>
        <w:autoSpaceDN w:val="0"/>
        <w:adjustRightInd w:val="0"/>
        <w:snapToGrid w:val="0"/>
        <w:spacing w:line="480" w:lineRule="exact"/>
        <w:ind w:firstLine="561"/>
        <w:rPr>
          <w:rFonts w:ascii="宋体" w:hAnsi="宋体"/>
          <w:color w:val="000000" w:themeColor="text1"/>
          <w:szCs w:val="21"/>
          <w:highlight w:val="none"/>
        </w:rPr>
      </w:pPr>
      <w:r>
        <w:rPr>
          <w:rFonts w:hint="eastAsia" w:ascii="宋体" w:hAnsi="宋体"/>
          <w:color w:val="000000" w:themeColor="text1"/>
          <w:szCs w:val="21"/>
          <w:highlight w:val="none"/>
        </w:rPr>
        <w:t>3.1 评标委员会成员签到</w:t>
      </w:r>
    </w:p>
    <w:p>
      <w:pPr>
        <w:autoSpaceDE w:val="0"/>
        <w:autoSpaceDN w:val="0"/>
        <w:adjustRightInd w:val="0"/>
        <w:snapToGrid w:val="0"/>
        <w:spacing w:line="480" w:lineRule="exact"/>
        <w:ind w:firstLine="561"/>
        <w:rPr>
          <w:rFonts w:ascii="宋体" w:hAnsi="宋体"/>
          <w:color w:val="000000" w:themeColor="text1"/>
          <w:szCs w:val="21"/>
          <w:highlight w:val="none"/>
        </w:rPr>
      </w:pPr>
      <w:r>
        <w:rPr>
          <w:rFonts w:hint="eastAsia" w:ascii="宋体" w:hAnsi="宋体"/>
          <w:color w:val="000000" w:themeColor="text1"/>
          <w:szCs w:val="21"/>
          <w:highlight w:val="none"/>
        </w:rPr>
        <w:t>评标委员会成员到达评标现场时应在签到表上签到以证明出席。</w:t>
      </w:r>
    </w:p>
    <w:p>
      <w:pPr>
        <w:autoSpaceDE w:val="0"/>
        <w:autoSpaceDN w:val="0"/>
        <w:adjustRightInd w:val="0"/>
        <w:snapToGrid w:val="0"/>
        <w:spacing w:line="480" w:lineRule="exact"/>
        <w:ind w:firstLine="561"/>
        <w:rPr>
          <w:rFonts w:ascii="宋体" w:hAnsi="宋体"/>
          <w:color w:val="000000" w:themeColor="text1"/>
          <w:szCs w:val="21"/>
          <w:highlight w:val="none"/>
        </w:rPr>
      </w:pPr>
      <w:r>
        <w:rPr>
          <w:rFonts w:hint="eastAsia" w:ascii="宋体" w:hAnsi="宋体"/>
          <w:color w:val="000000" w:themeColor="text1"/>
          <w:szCs w:val="21"/>
          <w:highlight w:val="none"/>
        </w:rPr>
        <w:t>3.2 评标委员会的分工</w:t>
      </w:r>
    </w:p>
    <w:p>
      <w:pPr>
        <w:autoSpaceDE w:val="0"/>
        <w:autoSpaceDN w:val="0"/>
        <w:adjustRightInd w:val="0"/>
        <w:snapToGrid w:val="0"/>
        <w:spacing w:line="480" w:lineRule="exact"/>
        <w:ind w:firstLine="561"/>
        <w:rPr>
          <w:rFonts w:ascii="宋体" w:hAnsi="宋体"/>
          <w:color w:val="000000" w:themeColor="text1"/>
          <w:szCs w:val="21"/>
          <w:highlight w:val="none"/>
        </w:rPr>
      </w:pPr>
      <w:r>
        <w:rPr>
          <w:rFonts w:hint="eastAsia" w:ascii="宋体" w:hAnsi="宋体"/>
          <w:color w:val="000000" w:themeColor="text1"/>
          <w:szCs w:val="21"/>
          <w:highlight w:val="none"/>
        </w:rPr>
        <w:t>评标委员会首先推选一名评标委员会负责人。评标委员会负责人负责评标活动的组织领导工作。评标委员会负责人在与其他评标委员会成员商议的基础上可以将评标委员会划分为技术组和商务组。</w:t>
      </w:r>
    </w:p>
    <w:p>
      <w:pPr>
        <w:autoSpaceDE w:val="0"/>
        <w:autoSpaceDN w:val="0"/>
        <w:adjustRightInd w:val="0"/>
        <w:snapToGrid w:val="0"/>
        <w:spacing w:line="480" w:lineRule="exact"/>
        <w:ind w:firstLine="561"/>
        <w:rPr>
          <w:rFonts w:ascii="宋体" w:hAnsi="宋体"/>
          <w:color w:val="000000" w:themeColor="text1"/>
          <w:szCs w:val="21"/>
          <w:highlight w:val="none"/>
        </w:rPr>
      </w:pPr>
      <w:r>
        <w:rPr>
          <w:rFonts w:hint="eastAsia" w:ascii="宋体" w:hAnsi="宋体"/>
          <w:color w:val="000000" w:themeColor="text1"/>
          <w:szCs w:val="21"/>
          <w:highlight w:val="none"/>
        </w:rPr>
        <w:t>3.3 熟悉文件资料</w:t>
      </w:r>
    </w:p>
    <w:p>
      <w:pPr>
        <w:autoSpaceDE w:val="0"/>
        <w:autoSpaceDN w:val="0"/>
        <w:adjustRightInd w:val="0"/>
        <w:snapToGrid w:val="0"/>
        <w:spacing w:line="480" w:lineRule="exact"/>
        <w:ind w:firstLine="561"/>
        <w:rPr>
          <w:rFonts w:ascii="宋体" w:hAnsi="宋体"/>
          <w:color w:val="000000" w:themeColor="text1"/>
          <w:szCs w:val="21"/>
          <w:highlight w:val="none"/>
        </w:rPr>
      </w:pPr>
      <w:r>
        <w:rPr>
          <w:rFonts w:hint="eastAsia" w:ascii="宋体" w:hAnsi="宋体"/>
          <w:color w:val="000000" w:themeColor="text1"/>
          <w:szCs w:val="21"/>
          <w:highlight w:val="non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pPr>
        <w:autoSpaceDE w:val="0"/>
        <w:autoSpaceDN w:val="0"/>
        <w:adjustRightInd w:val="0"/>
        <w:snapToGrid w:val="0"/>
        <w:spacing w:line="480" w:lineRule="exact"/>
        <w:ind w:firstLine="561"/>
        <w:rPr>
          <w:rFonts w:ascii="宋体" w:hAnsi="宋体"/>
          <w:color w:val="000000" w:themeColor="text1"/>
          <w:szCs w:val="21"/>
          <w:highlight w:val="none"/>
        </w:rPr>
      </w:pPr>
      <w:r>
        <w:rPr>
          <w:rFonts w:hint="eastAsia" w:ascii="宋体" w:hAnsi="宋体"/>
          <w:color w:val="000000" w:themeColor="text1"/>
          <w:szCs w:val="21"/>
          <w:highlight w:val="none"/>
        </w:rPr>
        <w:t>4、 初步评审</w:t>
      </w:r>
    </w:p>
    <w:p>
      <w:pPr>
        <w:autoSpaceDE w:val="0"/>
        <w:autoSpaceDN w:val="0"/>
        <w:adjustRightInd w:val="0"/>
        <w:snapToGrid w:val="0"/>
        <w:spacing w:line="480" w:lineRule="exact"/>
        <w:ind w:firstLine="561"/>
        <w:rPr>
          <w:rFonts w:ascii="宋体" w:hAnsi="宋体"/>
          <w:color w:val="000000" w:themeColor="text1"/>
          <w:szCs w:val="21"/>
          <w:highlight w:val="none"/>
        </w:rPr>
      </w:pPr>
      <w:r>
        <w:rPr>
          <w:rFonts w:hint="eastAsia" w:ascii="宋体" w:hAnsi="宋体"/>
          <w:color w:val="000000" w:themeColor="text1"/>
          <w:szCs w:val="21"/>
          <w:highlight w:val="none"/>
        </w:rPr>
        <w:t>4.1 响应性评审</w:t>
      </w:r>
    </w:p>
    <w:p>
      <w:pPr>
        <w:autoSpaceDE w:val="0"/>
        <w:autoSpaceDN w:val="0"/>
        <w:adjustRightInd w:val="0"/>
        <w:snapToGrid w:val="0"/>
        <w:spacing w:line="480" w:lineRule="exact"/>
        <w:ind w:firstLine="561"/>
        <w:rPr>
          <w:rFonts w:ascii="宋体" w:hAnsi="宋体"/>
          <w:color w:val="000000" w:themeColor="text1"/>
          <w:szCs w:val="21"/>
          <w:highlight w:val="none"/>
        </w:rPr>
      </w:pPr>
      <w:r>
        <w:rPr>
          <w:rFonts w:hint="eastAsia" w:ascii="宋体" w:hAnsi="宋体"/>
          <w:color w:val="000000" w:themeColor="text1"/>
          <w:szCs w:val="21"/>
          <w:highlight w:val="none"/>
        </w:rPr>
        <w:t>4.2 算术错误修正</w:t>
      </w:r>
    </w:p>
    <w:p>
      <w:pPr>
        <w:autoSpaceDE w:val="0"/>
        <w:autoSpaceDN w:val="0"/>
        <w:adjustRightInd w:val="0"/>
        <w:snapToGrid w:val="0"/>
        <w:spacing w:line="480" w:lineRule="exact"/>
        <w:ind w:firstLine="561"/>
        <w:rPr>
          <w:rFonts w:ascii="宋体" w:hAnsi="宋体"/>
          <w:color w:val="000000" w:themeColor="text1"/>
          <w:szCs w:val="21"/>
          <w:highlight w:val="none"/>
        </w:rPr>
      </w:pPr>
      <w:r>
        <w:rPr>
          <w:rFonts w:hint="eastAsia" w:ascii="宋体" w:hAnsi="宋体"/>
          <w:color w:val="000000" w:themeColor="text1"/>
          <w:szCs w:val="21"/>
          <w:highlight w:val="none"/>
        </w:rPr>
        <w:t>4.3 澄清、说明或补正</w:t>
      </w:r>
    </w:p>
    <w:p>
      <w:pPr>
        <w:autoSpaceDE w:val="0"/>
        <w:autoSpaceDN w:val="0"/>
        <w:adjustRightInd w:val="0"/>
        <w:snapToGrid w:val="0"/>
        <w:spacing w:line="480" w:lineRule="exact"/>
        <w:ind w:firstLine="561"/>
        <w:rPr>
          <w:rFonts w:ascii="宋体" w:hAnsi="宋体"/>
          <w:color w:val="000000" w:themeColor="text1"/>
          <w:szCs w:val="21"/>
          <w:highlight w:val="none"/>
        </w:rPr>
      </w:pPr>
      <w:r>
        <w:rPr>
          <w:rFonts w:hint="eastAsia" w:ascii="宋体" w:hAnsi="宋体"/>
          <w:color w:val="000000" w:themeColor="text1"/>
          <w:szCs w:val="21"/>
          <w:highlight w:val="none"/>
        </w:rPr>
        <w:t>在初步评审过程中，评标委员会应当就投标文件中不明确的内容要求投标人进行澄清．</w:t>
      </w:r>
    </w:p>
    <w:p>
      <w:pPr>
        <w:autoSpaceDE w:val="0"/>
        <w:autoSpaceDN w:val="0"/>
        <w:adjustRightInd w:val="0"/>
        <w:spacing w:line="480" w:lineRule="exact"/>
        <w:ind w:firstLine="561"/>
        <w:rPr>
          <w:rFonts w:ascii="宋体"/>
          <w:color w:val="000000" w:themeColor="text1"/>
          <w:szCs w:val="21"/>
          <w:highlight w:val="none"/>
        </w:rPr>
      </w:pPr>
      <w:r>
        <w:rPr>
          <w:rFonts w:ascii="宋体" w:hAnsi="宋体"/>
          <w:color w:val="000000" w:themeColor="text1"/>
          <w:szCs w:val="21"/>
          <w:highlight w:val="none"/>
        </w:rPr>
        <w:t>5</w:t>
      </w:r>
      <w:r>
        <w:rPr>
          <w:rFonts w:hint="eastAsia" w:ascii="宋体" w:hAnsi="宋体"/>
          <w:color w:val="000000" w:themeColor="text1"/>
          <w:szCs w:val="21"/>
          <w:highlight w:val="none"/>
        </w:rPr>
        <w:t>、投标过程中出现下列情况之一的将作为无效投标处理：</w:t>
      </w:r>
    </w:p>
    <w:p>
      <w:pPr>
        <w:autoSpaceDE w:val="0"/>
        <w:autoSpaceDN w:val="0"/>
        <w:adjustRightInd w:val="0"/>
        <w:spacing w:line="480" w:lineRule="exact"/>
        <w:ind w:firstLine="770" w:firstLineChars="367"/>
        <w:rPr>
          <w:rFonts w:ascii="宋体"/>
          <w:color w:val="000000" w:themeColor="text1"/>
          <w:szCs w:val="21"/>
          <w:highlight w:val="none"/>
        </w:rPr>
      </w:pPr>
      <w:r>
        <w:rPr>
          <w:rFonts w:ascii="宋体" w:hAnsi="宋体"/>
          <w:color w:val="000000" w:themeColor="text1"/>
          <w:szCs w:val="21"/>
          <w:highlight w:val="none"/>
        </w:rPr>
        <w:t>5.1</w:t>
      </w:r>
      <w:r>
        <w:rPr>
          <w:rFonts w:hint="eastAsia" w:ascii="宋体" w:hAnsi="宋体"/>
          <w:color w:val="000000" w:themeColor="text1"/>
          <w:szCs w:val="21"/>
          <w:highlight w:val="none"/>
        </w:rPr>
        <w:t xml:space="preserve"> 投标书未加盖单位法人章，无法定代表人或其授权委托人的签字；</w:t>
      </w:r>
    </w:p>
    <w:p>
      <w:pPr>
        <w:autoSpaceDE w:val="0"/>
        <w:autoSpaceDN w:val="0"/>
        <w:adjustRightInd w:val="0"/>
        <w:spacing w:line="480" w:lineRule="exact"/>
        <w:ind w:firstLine="770" w:firstLineChars="367"/>
        <w:rPr>
          <w:rFonts w:ascii="宋体"/>
          <w:color w:val="000000" w:themeColor="text1"/>
          <w:szCs w:val="21"/>
          <w:highlight w:val="none"/>
        </w:rPr>
      </w:pPr>
      <w:r>
        <w:rPr>
          <w:rFonts w:ascii="宋体" w:hAnsi="宋体"/>
          <w:color w:val="000000" w:themeColor="text1"/>
          <w:szCs w:val="21"/>
          <w:highlight w:val="none"/>
        </w:rPr>
        <w:t>5.2</w:t>
      </w:r>
      <w:r>
        <w:rPr>
          <w:rFonts w:hint="eastAsia" w:ascii="宋体" w:hAnsi="宋体"/>
          <w:color w:val="000000" w:themeColor="text1"/>
          <w:szCs w:val="21"/>
          <w:highlight w:val="none"/>
        </w:rPr>
        <w:t xml:space="preserve"> 投标文件载明的货物包装方式、检验标准和方法等不符合招标文件的要求；</w:t>
      </w:r>
    </w:p>
    <w:p>
      <w:pPr>
        <w:autoSpaceDE w:val="0"/>
        <w:autoSpaceDN w:val="0"/>
        <w:adjustRightInd w:val="0"/>
        <w:spacing w:line="480" w:lineRule="exact"/>
        <w:ind w:firstLine="770" w:firstLineChars="367"/>
        <w:rPr>
          <w:rFonts w:ascii="宋体"/>
          <w:color w:val="000000" w:themeColor="text1"/>
          <w:szCs w:val="21"/>
          <w:highlight w:val="none"/>
        </w:rPr>
      </w:pPr>
      <w:r>
        <w:rPr>
          <w:rFonts w:ascii="宋体" w:hAnsi="宋体"/>
          <w:color w:val="000000" w:themeColor="text1"/>
          <w:szCs w:val="21"/>
          <w:highlight w:val="none"/>
        </w:rPr>
        <w:t>5.3</w:t>
      </w:r>
      <w:r>
        <w:rPr>
          <w:rFonts w:hint="eastAsia" w:ascii="宋体" w:hAnsi="宋体"/>
          <w:color w:val="000000" w:themeColor="text1"/>
          <w:szCs w:val="21"/>
          <w:highlight w:val="none"/>
        </w:rPr>
        <w:t xml:space="preserve"> 投标文件提出了不能满足招标文件要求或招标人不能接受的工程验收、计量、价款结算支付办法；</w:t>
      </w:r>
    </w:p>
    <w:p>
      <w:pPr>
        <w:autoSpaceDE w:val="0"/>
        <w:autoSpaceDN w:val="0"/>
        <w:adjustRightInd w:val="0"/>
        <w:spacing w:line="480" w:lineRule="exact"/>
        <w:ind w:firstLine="770" w:firstLineChars="367"/>
        <w:rPr>
          <w:rFonts w:ascii="宋体"/>
          <w:color w:val="000000" w:themeColor="text1"/>
          <w:szCs w:val="21"/>
          <w:highlight w:val="none"/>
        </w:rPr>
      </w:pPr>
      <w:r>
        <w:rPr>
          <w:rFonts w:ascii="宋体" w:hAnsi="宋体"/>
          <w:color w:val="000000" w:themeColor="text1"/>
          <w:szCs w:val="21"/>
          <w:highlight w:val="none"/>
        </w:rPr>
        <w:t>5.4</w:t>
      </w:r>
      <w:r>
        <w:rPr>
          <w:rFonts w:hint="eastAsia" w:ascii="宋体" w:hAnsi="宋体"/>
          <w:color w:val="000000" w:themeColor="text1"/>
          <w:szCs w:val="21"/>
          <w:highlight w:val="none"/>
        </w:rPr>
        <w:t xml:space="preserve"> 经评标委员会认定投标人的投标报价低于成本价的；</w:t>
      </w:r>
    </w:p>
    <w:p>
      <w:pPr>
        <w:autoSpaceDE w:val="0"/>
        <w:autoSpaceDN w:val="0"/>
        <w:adjustRightInd w:val="0"/>
        <w:spacing w:line="480" w:lineRule="exact"/>
        <w:ind w:firstLine="770" w:firstLineChars="367"/>
        <w:rPr>
          <w:rFonts w:ascii="宋体"/>
          <w:color w:val="000000" w:themeColor="text1"/>
          <w:szCs w:val="21"/>
          <w:highlight w:val="none"/>
        </w:rPr>
      </w:pPr>
      <w:r>
        <w:rPr>
          <w:rFonts w:ascii="宋体" w:hAnsi="宋体"/>
          <w:color w:val="000000" w:themeColor="text1"/>
          <w:szCs w:val="21"/>
          <w:highlight w:val="none"/>
        </w:rPr>
        <w:t>5.5</w:t>
      </w:r>
      <w:r>
        <w:rPr>
          <w:rFonts w:hint="eastAsia" w:ascii="宋体" w:hAnsi="宋体"/>
          <w:color w:val="000000" w:themeColor="text1"/>
          <w:szCs w:val="21"/>
          <w:highlight w:val="none"/>
        </w:rPr>
        <w:t xml:space="preserve"> 投标人未按照招标文件的要求提供必须提交的相关资料的；</w:t>
      </w:r>
    </w:p>
    <w:p>
      <w:pPr>
        <w:autoSpaceDE w:val="0"/>
        <w:autoSpaceDN w:val="0"/>
        <w:adjustRightInd w:val="0"/>
        <w:spacing w:line="480" w:lineRule="exact"/>
        <w:ind w:firstLine="770" w:firstLineChars="367"/>
        <w:rPr>
          <w:rFonts w:ascii="宋体" w:hAnsi="宋体"/>
          <w:color w:val="000000" w:themeColor="text1"/>
          <w:szCs w:val="21"/>
          <w:highlight w:val="none"/>
        </w:rPr>
      </w:pPr>
      <w:r>
        <w:rPr>
          <w:rFonts w:ascii="宋体" w:hAnsi="宋体"/>
          <w:color w:val="000000" w:themeColor="text1"/>
          <w:szCs w:val="21"/>
          <w:highlight w:val="none"/>
        </w:rPr>
        <w:t>5.6</w:t>
      </w:r>
      <w:r>
        <w:rPr>
          <w:rFonts w:hint="eastAsia" w:ascii="宋体" w:hAnsi="宋体"/>
          <w:color w:val="000000" w:themeColor="text1"/>
          <w:szCs w:val="21"/>
          <w:highlight w:val="none"/>
        </w:rPr>
        <w:t xml:space="preserve"> 投标文件附有招标人不能接受的条件；</w:t>
      </w:r>
    </w:p>
    <w:p>
      <w:pPr>
        <w:autoSpaceDE w:val="0"/>
        <w:autoSpaceDN w:val="0"/>
        <w:adjustRightInd w:val="0"/>
        <w:spacing w:line="480" w:lineRule="exact"/>
        <w:ind w:firstLine="770" w:firstLineChars="367"/>
        <w:rPr>
          <w:rFonts w:ascii="宋体"/>
          <w:color w:val="000000" w:themeColor="text1"/>
          <w:szCs w:val="21"/>
          <w:highlight w:val="none"/>
        </w:rPr>
      </w:pPr>
      <w:r>
        <w:rPr>
          <w:rFonts w:hint="eastAsia" w:ascii="宋体"/>
          <w:color w:val="000000" w:themeColor="text1"/>
          <w:szCs w:val="21"/>
          <w:highlight w:val="none"/>
        </w:rPr>
        <w:t>6、有下列情形之一的，属于投标人相互串通投标：</w:t>
      </w:r>
    </w:p>
    <w:p>
      <w:pPr>
        <w:autoSpaceDE w:val="0"/>
        <w:autoSpaceDN w:val="0"/>
        <w:adjustRightInd w:val="0"/>
        <w:spacing w:line="480" w:lineRule="exact"/>
        <w:ind w:firstLine="770" w:firstLineChars="367"/>
        <w:rPr>
          <w:rFonts w:ascii="宋体"/>
          <w:color w:val="000000" w:themeColor="text1"/>
          <w:szCs w:val="21"/>
          <w:highlight w:val="none"/>
        </w:rPr>
      </w:pPr>
      <w:r>
        <w:rPr>
          <w:rFonts w:hint="eastAsia" w:ascii="宋体"/>
          <w:color w:val="000000" w:themeColor="text1"/>
          <w:szCs w:val="21"/>
          <w:highlight w:val="none"/>
        </w:rPr>
        <w:t>6.1 投标人之间协商投标报价等投标文件的实质性内容；</w:t>
      </w:r>
    </w:p>
    <w:p>
      <w:pPr>
        <w:autoSpaceDE w:val="0"/>
        <w:autoSpaceDN w:val="0"/>
        <w:adjustRightInd w:val="0"/>
        <w:spacing w:line="480" w:lineRule="exact"/>
        <w:ind w:firstLine="770" w:firstLineChars="367"/>
        <w:rPr>
          <w:rFonts w:ascii="宋体"/>
          <w:color w:val="000000" w:themeColor="text1"/>
          <w:szCs w:val="21"/>
          <w:highlight w:val="none"/>
        </w:rPr>
      </w:pPr>
      <w:r>
        <w:rPr>
          <w:rFonts w:hint="eastAsia" w:ascii="宋体"/>
          <w:color w:val="000000" w:themeColor="text1"/>
          <w:szCs w:val="21"/>
          <w:highlight w:val="none"/>
        </w:rPr>
        <w:t>6.2 投标人之间约定中标人；</w:t>
      </w:r>
    </w:p>
    <w:p>
      <w:pPr>
        <w:autoSpaceDE w:val="0"/>
        <w:autoSpaceDN w:val="0"/>
        <w:adjustRightInd w:val="0"/>
        <w:spacing w:line="480" w:lineRule="exact"/>
        <w:ind w:firstLine="770" w:firstLineChars="367"/>
        <w:rPr>
          <w:rFonts w:ascii="宋体"/>
          <w:color w:val="000000" w:themeColor="text1"/>
          <w:szCs w:val="21"/>
          <w:highlight w:val="none"/>
        </w:rPr>
      </w:pPr>
      <w:r>
        <w:rPr>
          <w:rFonts w:hint="eastAsia" w:ascii="宋体"/>
          <w:color w:val="000000" w:themeColor="text1"/>
          <w:szCs w:val="21"/>
          <w:highlight w:val="none"/>
        </w:rPr>
        <w:t>6.3 投标人之间约定部分投标人放弃投标或者中标；</w:t>
      </w:r>
    </w:p>
    <w:p>
      <w:pPr>
        <w:autoSpaceDE w:val="0"/>
        <w:autoSpaceDN w:val="0"/>
        <w:adjustRightInd w:val="0"/>
        <w:spacing w:line="480" w:lineRule="exact"/>
        <w:ind w:firstLine="770" w:firstLineChars="367"/>
        <w:rPr>
          <w:rFonts w:ascii="宋体"/>
          <w:color w:val="000000" w:themeColor="text1"/>
          <w:szCs w:val="21"/>
          <w:highlight w:val="none"/>
        </w:rPr>
      </w:pPr>
      <w:r>
        <w:rPr>
          <w:rFonts w:hint="eastAsia" w:ascii="宋体"/>
          <w:color w:val="000000" w:themeColor="text1"/>
          <w:szCs w:val="21"/>
          <w:highlight w:val="none"/>
        </w:rPr>
        <w:t>6.4 属于同一集团、协会、商会等组织成员的投标人按照该组织要求协同投标；投标人之间为谋取中标或者排斥特定投标人而采取的其他联合行动。</w:t>
      </w:r>
    </w:p>
    <w:p>
      <w:pPr>
        <w:autoSpaceDE w:val="0"/>
        <w:autoSpaceDN w:val="0"/>
        <w:adjustRightInd w:val="0"/>
        <w:spacing w:line="480" w:lineRule="exact"/>
        <w:ind w:firstLine="770" w:firstLineChars="367"/>
        <w:rPr>
          <w:rFonts w:ascii="宋体"/>
          <w:color w:val="000000" w:themeColor="text1"/>
          <w:szCs w:val="21"/>
          <w:highlight w:val="none"/>
        </w:rPr>
      </w:pPr>
      <w:r>
        <w:rPr>
          <w:rFonts w:hint="eastAsia" w:ascii="宋体"/>
          <w:color w:val="000000" w:themeColor="text1"/>
          <w:szCs w:val="21"/>
          <w:highlight w:val="none"/>
        </w:rPr>
        <w:t>7、有下列情形之一的，视为投标人相互串通投标：</w:t>
      </w:r>
    </w:p>
    <w:p>
      <w:pPr>
        <w:autoSpaceDE w:val="0"/>
        <w:autoSpaceDN w:val="0"/>
        <w:adjustRightInd w:val="0"/>
        <w:spacing w:line="480" w:lineRule="exact"/>
        <w:ind w:firstLine="770" w:firstLineChars="367"/>
        <w:rPr>
          <w:rFonts w:ascii="宋体"/>
          <w:color w:val="000000" w:themeColor="text1"/>
          <w:szCs w:val="21"/>
          <w:highlight w:val="none"/>
        </w:rPr>
      </w:pPr>
      <w:r>
        <w:rPr>
          <w:rFonts w:hint="eastAsia" w:ascii="宋体"/>
          <w:color w:val="000000" w:themeColor="text1"/>
          <w:szCs w:val="21"/>
          <w:highlight w:val="none"/>
        </w:rPr>
        <w:t>7.1 不同投标人的投标文件由同一单位或者个人编制；</w:t>
      </w:r>
    </w:p>
    <w:p>
      <w:pPr>
        <w:autoSpaceDE w:val="0"/>
        <w:autoSpaceDN w:val="0"/>
        <w:adjustRightInd w:val="0"/>
        <w:spacing w:line="480" w:lineRule="exact"/>
        <w:ind w:firstLine="770" w:firstLineChars="367"/>
        <w:rPr>
          <w:rFonts w:ascii="宋体"/>
          <w:color w:val="000000" w:themeColor="text1"/>
          <w:szCs w:val="21"/>
          <w:highlight w:val="none"/>
        </w:rPr>
      </w:pPr>
      <w:r>
        <w:rPr>
          <w:rFonts w:hint="eastAsia" w:ascii="宋体"/>
          <w:color w:val="000000" w:themeColor="text1"/>
          <w:szCs w:val="21"/>
          <w:highlight w:val="none"/>
        </w:rPr>
        <w:t>7.2 不同投标人委托同一单位或者个人办理投标事宜；</w:t>
      </w:r>
    </w:p>
    <w:p>
      <w:pPr>
        <w:autoSpaceDE w:val="0"/>
        <w:autoSpaceDN w:val="0"/>
        <w:adjustRightInd w:val="0"/>
        <w:spacing w:line="480" w:lineRule="exact"/>
        <w:ind w:firstLine="770" w:firstLineChars="367"/>
        <w:rPr>
          <w:rFonts w:ascii="宋体"/>
          <w:color w:val="000000" w:themeColor="text1"/>
          <w:szCs w:val="21"/>
          <w:highlight w:val="none"/>
        </w:rPr>
      </w:pPr>
      <w:r>
        <w:rPr>
          <w:rFonts w:hint="eastAsia" w:ascii="宋体"/>
          <w:color w:val="000000" w:themeColor="text1"/>
          <w:szCs w:val="21"/>
          <w:highlight w:val="none"/>
        </w:rPr>
        <w:t>7.3 不同投标人的投标文件载明的项目管理成员为同一人；</w:t>
      </w:r>
    </w:p>
    <w:p>
      <w:pPr>
        <w:autoSpaceDE w:val="0"/>
        <w:autoSpaceDN w:val="0"/>
        <w:adjustRightInd w:val="0"/>
        <w:spacing w:line="480" w:lineRule="exact"/>
        <w:ind w:firstLine="770" w:firstLineChars="367"/>
        <w:rPr>
          <w:rFonts w:ascii="宋体"/>
          <w:color w:val="000000" w:themeColor="text1"/>
          <w:szCs w:val="21"/>
          <w:highlight w:val="none"/>
        </w:rPr>
      </w:pPr>
      <w:r>
        <w:rPr>
          <w:rFonts w:hint="eastAsia" w:ascii="宋体"/>
          <w:color w:val="000000" w:themeColor="text1"/>
          <w:szCs w:val="21"/>
          <w:highlight w:val="none"/>
        </w:rPr>
        <w:t>7.4 不同投标人的投标文件异常一致或者投标报价呈规律性差异；</w:t>
      </w:r>
    </w:p>
    <w:p>
      <w:pPr>
        <w:autoSpaceDE w:val="0"/>
        <w:autoSpaceDN w:val="0"/>
        <w:adjustRightInd w:val="0"/>
        <w:spacing w:line="480" w:lineRule="exact"/>
        <w:ind w:firstLine="770" w:firstLineChars="367"/>
        <w:rPr>
          <w:rFonts w:ascii="宋体"/>
          <w:color w:val="000000" w:themeColor="text1"/>
          <w:szCs w:val="21"/>
          <w:highlight w:val="none"/>
        </w:rPr>
      </w:pPr>
      <w:r>
        <w:rPr>
          <w:rFonts w:hint="eastAsia" w:ascii="宋体"/>
          <w:color w:val="000000" w:themeColor="text1"/>
          <w:szCs w:val="21"/>
          <w:highlight w:val="none"/>
        </w:rPr>
        <w:t>7.5 不同投标人的投标文件相互混装；</w:t>
      </w:r>
    </w:p>
    <w:p>
      <w:pPr>
        <w:autoSpaceDE w:val="0"/>
        <w:autoSpaceDN w:val="0"/>
        <w:adjustRightInd w:val="0"/>
        <w:spacing w:line="480" w:lineRule="exact"/>
        <w:ind w:firstLine="770" w:firstLineChars="367"/>
        <w:rPr>
          <w:rFonts w:ascii="宋体"/>
          <w:color w:val="000000" w:themeColor="text1"/>
          <w:szCs w:val="21"/>
          <w:highlight w:val="none"/>
        </w:rPr>
      </w:pPr>
      <w:r>
        <w:rPr>
          <w:rFonts w:hint="eastAsia" w:ascii="宋体"/>
          <w:color w:val="000000" w:themeColor="text1"/>
          <w:szCs w:val="21"/>
          <w:highlight w:val="none"/>
        </w:rPr>
        <w:t>7.6 不同投标人的投标保证金从同一单位或者个人的账户转出。</w:t>
      </w:r>
    </w:p>
    <w:p>
      <w:pPr>
        <w:autoSpaceDE w:val="0"/>
        <w:autoSpaceDN w:val="0"/>
        <w:adjustRightInd w:val="0"/>
        <w:spacing w:line="480" w:lineRule="exact"/>
        <w:ind w:firstLine="770" w:firstLineChars="367"/>
        <w:rPr>
          <w:rFonts w:ascii="宋体"/>
          <w:color w:val="000000" w:themeColor="text1"/>
          <w:szCs w:val="21"/>
          <w:highlight w:val="none"/>
        </w:rPr>
      </w:pPr>
      <w:r>
        <w:rPr>
          <w:rFonts w:hint="eastAsia" w:ascii="宋体"/>
          <w:color w:val="000000" w:themeColor="text1"/>
          <w:szCs w:val="21"/>
          <w:highlight w:val="none"/>
        </w:rPr>
        <w:t>8、有下列情形之一的，属于招标人与投标人串通投标：</w:t>
      </w:r>
    </w:p>
    <w:p>
      <w:pPr>
        <w:autoSpaceDE w:val="0"/>
        <w:autoSpaceDN w:val="0"/>
        <w:adjustRightInd w:val="0"/>
        <w:spacing w:line="480" w:lineRule="exact"/>
        <w:ind w:firstLine="770" w:firstLineChars="367"/>
        <w:rPr>
          <w:rFonts w:ascii="宋体"/>
          <w:color w:val="000000" w:themeColor="text1"/>
          <w:szCs w:val="21"/>
          <w:highlight w:val="none"/>
        </w:rPr>
      </w:pPr>
      <w:r>
        <w:rPr>
          <w:rFonts w:hint="eastAsia" w:ascii="宋体"/>
          <w:color w:val="000000" w:themeColor="text1"/>
          <w:szCs w:val="21"/>
          <w:highlight w:val="none"/>
        </w:rPr>
        <w:t>8.1 招标人在开标前开启投标文件并将有关信息泄露给其他投标人；</w:t>
      </w:r>
    </w:p>
    <w:p>
      <w:pPr>
        <w:autoSpaceDE w:val="0"/>
        <w:autoSpaceDN w:val="0"/>
        <w:adjustRightInd w:val="0"/>
        <w:spacing w:line="480" w:lineRule="exact"/>
        <w:ind w:firstLine="770" w:firstLineChars="367"/>
        <w:rPr>
          <w:rFonts w:ascii="宋体"/>
          <w:color w:val="000000" w:themeColor="text1"/>
          <w:szCs w:val="21"/>
          <w:highlight w:val="none"/>
        </w:rPr>
      </w:pPr>
      <w:r>
        <w:rPr>
          <w:rFonts w:hint="eastAsia" w:ascii="宋体"/>
          <w:color w:val="000000" w:themeColor="text1"/>
          <w:szCs w:val="21"/>
          <w:highlight w:val="none"/>
        </w:rPr>
        <w:t>8.2 招标人直接或者间接向投标人泄露标底、评标委员会成员等信息；</w:t>
      </w:r>
    </w:p>
    <w:p>
      <w:pPr>
        <w:autoSpaceDE w:val="0"/>
        <w:autoSpaceDN w:val="0"/>
        <w:adjustRightInd w:val="0"/>
        <w:spacing w:line="480" w:lineRule="exact"/>
        <w:ind w:firstLine="770" w:firstLineChars="367"/>
        <w:rPr>
          <w:rFonts w:ascii="宋体"/>
          <w:color w:val="000000" w:themeColor="text1"/>
          <w:szCs w:val="21"/>
          <w:highlight w:val="none"/>
        </w:rPr>
      </w:pPr>
      <w:r>
        <w:rPr>
          <w:rFonts w:hint="eastAsia" w:ascii="宋体"/>
          <w:color w:val="000000" w:themeColor="text1"/>
          <w:szCs w:val="21"/>
          <w:highlight w:val="none"/>
        </w:rPr>
        <w:t>8.3 招标人明示或者暗示投标人压低或者抬高投标报价；</w:t>
      </w:r>
    </w:p>
    <w:p>
      <w:pPr>
        <w:autoSpaceDE w:val="0"/>
        <w:autoSpaceDN w:val="0"/>
        <w:adjustRightInd w:val="0"/>
        <w:spacing w:line="480" w:lineRule="exact"/>
        <w:ind w:firstLine="770" w:firstLineChars="367"/>
        <w:rPr>
          <w:rFonts w:ascii="宋体"/>
          <w:color w:val="000000" w:themeColor="text1"/>
          <w:szCs w:val="21"/>
          <w:highlight w:val="none"/>
        </w:rPr>
      </w:pPr>
      <w:r>
        <w:rPr>
          <w:rFonts w:hint="eastAsia" w:ascii="宋体"/>
          <w:color w:val="000000" w:themeColor="text1"/>
          <w:szCs w:val="21"/>
          <w:highlight w:val="none"/>
        </w:rPr>
        <w:t>8.4 招标人授意投标人撤换、修改投标文件；</w:t>
      </w:r>
    </w:p>
    <w:p>
      <w:pPr>
        <w:autoSpaceDE w:val="0"/>
        <w:autoSpaceDN w:val="0"/>
        <w:adjustRightInd w:val="0"/>
        <w:spacing w:line="480" w:lineRule="exact"/>
        <w:ind w:firstLine="770" w:firstLineChars="367"/>
        <w:rPr>
          <w:rFonts w:ascii="宋体"/>
          <w:color w:val="000000" w:themeColor="text1"/>
          <w:szCs w:val="21"/>
          <w:highlight w:val="none"/>
        </w:rPr>
      </w:pPr>
      <w:r>
        <w:rPr>
          <w:rFonts w:hint="eastAsia" w:ascii="宋体"/>
          <w:color w:val="000000" w:themeColor="text1"/>
          <w:szCs w:val="21"/>
          <w:highlight w:val="none"/>
        </w:rPr>
        <w:t>8.5 招标人明示或者暗示投标人为特定投标人中标提供方便；</w:t>
      </w:r>
    </w:p>
    <w:p>
      <w:pPr>
        <w:autoSpaceDE w:val="0"/>
        <w:autoSpaceDN w:val="0"/>
        <w:adjustRightInd w:val="0"/>
        <w:spacing w:line="480" w:lineRule="exact"/>
        <w:ind w:firstLine="770" w:firstLineChars="367"/>
        <w:rPr>
          <w:rFonts w:ascii="宋体"/>
          <w:color w:val="000000" w:themeColor="text1"/>
          <w:szCs w:val="21"/>
          <w:highlight w:val="none"/>
        </w:rPr>
      </w:pPr>
      <w:r>
        <w:rPr>
          <w:rFonts w:hint="eastAsia" w:ascii="宋体"/>
          <w:color w:val="000000" w:themeColor="text1"/>
          <w:szCs w:val="21"/>
          <w:highlight w:val="none"/>
        </w:rPr>
        <w:t>8.6 招标人与投标人为谋求特定投标人中标而采取的其他串通行为。</w:t>
      </w:r>
    </w:p>
    <w:p>
      <w:pPr>
        <w:autoSpaceDE w:val="0"/>
        <w:autoSpaceDN w:val="0"/>
        <w:adjustRightInd w:val="0"/>
        <w:spacing w:line="480" w:lineRule="exact"/>
        <w:ind w:firstLine="770" w:firstLineChars="367"/>
        <w:rPr>
          <w:rFonts w:ascii="宋体"/>
          <w:color w:val="000000" w:themeColor="text1"/>
          <w:szCs w:val="21"/>
          <w:highlight w:val="none"/>
        </w:rPr>
      </w:pPr>
      <w:r>
        <w:rPr>
          <w:rFonts w:hint="eastAsia" w:ascii="宋体"/>
          <w:color w:val="000000" w:themeColor="text1"/>
          <w:szCs w:val="21"/>
          <w:highlight w:val="none"/>
        </w:rPr>
        <w:t>9、使用通过受让或者租借等方式获取的资格、资质证书投标的，属于以他人名义投标。</w:t>
      </w:r>
    </w:p>
    <w:p>
      <w:pPr>
        <w:autoSpaceDE w:val="0"/>
        <w:autoSpaceDN w:val="0"/>
        <w:adjustRightInd w:val="0"/>
        <w:spacing w:line="480" w:lineRule="exact"/>
        <w:ind w:firstLine="770" w:firstLineChars="367"/>
        <w:rPr>
          <w:rFonts w:ascii="宋体"/>
          <w:color w:val="000000" w:themeColor="text1"/>
          <w:szCs w:val="21"/>
          <w:highlight w:val="none"/>
        </w:rPr>
      </w:pPr>
      <w:r>
        <w:rPr>
          <w:rFonts w:hint="eastAsia" w:ascii="宋体"/>
          <w:color w:val="000000" w:themeColor="text1"/>
          <w:szCs w:val="21"/>
          <w:highlight w:val="none"/>
        </w:rPr>
        <w:t>投标人有下列情形之一的，属于以其他方式弄虚作假的行为：</w:t>
      </w:r>
    </w:p>
    <w:p>
      <w:pPr>
        <w:autoSpaceDE w:val="0"/>
        <w:autoSpaceDN w:val="0"/>
        <w:adjustRightInd w:val="0"/>
        <w:spacing w:line="480" w:lineRule="exact"/>
        <w:ind w:firstLine="770" w:firstLineChars="367"/>
        <w:rPr>
          <w:rFonts w:ascii="宋体"/>
          <w:color w:val="000000" w:themeColor="text1"/>
          <w:szCs w:val="21"/>
          <w:highlight w:val="none"/>
        </w:rPr>
      </w:pPr>
      <w:r>
        <w:rPr>
          <w:rFonts w:hint="eastAsia" w:ascii="宋体"/>
          <w:color w:val="000000" w:themeColor="text1"/>
          <w:szCs w:val="21"/>
          <w:highlight w:val="none"/>
        </w:rPr>
        <w:t>9.1 使用伪造、变造的许可证件；</w:t>
      </w:r>
    </w:p>
    <w:p>
      <w:pPr>
        <w:autoSpaceDE w:val="0"/>
        <w:autoSpaceDN w:val="0"/>
        <w:adjustRightInd w:val="0"/>
        <w:spacing w:line="480" w:lineRule="exact"/>
        <w:ind w:firstLine="770" w:firstLineChars="367"/>
        <w:rPr>
          <w:rFonts w:ascii="宋体"/>
          <w:color w:val="000000" w:themeColor="text1"/>
          <w:szCs w:val="21"/>
          <w:highlight w:val="none"/>
        </w:rPr>
      </w:pPr>
      <w:r>
        <w:rPr>
          <w:rFonts w:hint="eastAsia" w:ascii="宋体"/>
          <w:color w:val="000000" w:themeColor="text1"/>
          <w:szCs w:val="21"/>
          <w:highlight w:val="none"/>
        </w:rPr>
        <w:t>9.2 提供虚假的财务状况或者业绩；</w:t>
      </w:r>
    </w:p>
    <w:p>
      <w:pPr>
        <w:autoSpaceDE w:val="0"/>
        <w:autoSpaceDN w:val="0"/>
        <w:adjustRightInd w:val="0"/>
        <w:spacing w:line="480" w:lineRule="exact"/>
        <w:ind w:firstLine="770" w:firstLineChars="367"/>
        <w:rPr>
          <w:rFonts w:ascii="宋体"/>
          <w:color w:val="000000" w:themeColor="text1"/>
          <w:szCs w:val="21"/>
          <w:highlight w:val="none"/>
        </w:rPr>
      </w:pPr>
      <w:r>
        <w:rPr>
          <w:rFonts w:hint="eastAsia" w:ascii="宋体"/>
          <w:color w:val="000000" w:themeColor="text1"/>
          <w:szCs w:val="21"/>
          <w:highlight w:val="none"/>
        </w:rPr>
        <w:t>9.3 提供虚假的项目负责人或者主要技术人员简历、劳动关系证明；</w:t>
      </w:r>
    </w:p>
    <w:p>
      <w:pPr>
        <w:autoSpaceDE w:val="0"/>
        <w:autoSpaceDN w:val="0"/>
        <w:adjustRightInd w:val="0"/>
        <w:spacing w:line="480" w:lineRule="exact"/>
        <w:ind w:firstLine="770" w:firstLineChars="367"/>
        <w:rPr>
          <w:rFonts w:ascii="宋体"/>
          <w:color w:val="000000" w:themeColor="text1"/>
          <w:szCs w:val="21"/>
          <w:highlight w:val="none"/>
        </w:rPr>
      </w:pPr>
      <w:r>
        <w:rPr>
          <w:rFonts w:hint="eastAsia" w:ascii="宋体"/>
          <w:color w:val="000000" w:themeColor="text1"/>
          <w:szCs w:val="21"/>
          <w:highlight w:val="none"/>
        </w:rPr>
        <w:t>9.4 提供虚假的信用状况；</w:t>
      </w:r>
    </w:p>
    <w:p>
      <w:pPr>
        <w:autoSpaceDE w:val="0"/>
        <w:autoSpaceDN w:val="0"/>
        <w:adjustRightInd w:val="0"/>
        <w:spacing w:line="480" w:lineRule="exact"/>
        <w:ind w:firstLine="770" w:firstLineChars="367"/>
        <w:rPr>
          <w:rFonts w:ascii="宋体"/>
          <w:color w:val="000000" w:themeColor="text1"/>
          <w:szCs w:val="21"/>
          <w:highlight w:val="none"/>
        </w:rPr>
      </w:pPr>
      <w:r>
        <w:rPr>
          <w:rFonts w:hint="eastAsia" w:ascii="宋体"/>
          <w:color w:val="000000" w:themeColor="text1"/>
          <w:szCs w:val="21"/>
          <w:highlight w:val="none"/>
        </w:rPr>
        <w:t>9.5 其他弄虚作假的行为。</w:t>
      </w:r>
    </w:p>
    <w:p>
      <w:pPr>
        <w:pStyle w:val="4"/>
        <w:rPr>
          <w:color w:val="000000" w:themeColor="text1"/>
          <w:highlight w:val="none"/>
        </w:rPr>
      </w:pPr>
    </w:p>
    <w:p>
      <w:pPr>
        <w:autoSpaceDE w:val="0"/>
        <w:autoSpaceDN w:val="0"/>
        <w:adjustRightInd w:val="0"/>
        <w:snapToGrid w:val="0"/>
        <w:spacing w:line="480" w:lineRule="exact"/>
        <w:ind w:firstLine="561"/>
        <w:rPr>
          <w:rFonts w:ascii="宋体" w:hAnsi="宋体"/>
          <w:b/>
          <w:color w:val="000000" w:themeColor="text1"/>
          <w:szCs w:val="21"/>
          <w:highlight w:val="none"/>
        </w:rPr>
      </w:pPr>
      <w:r>
        <w:rPr>
          <w:rFonts w:hint="eastAsia" w:ascii="宋体" w:hAnsi="宋体"/>
          <w:b/>
          <w:color w:val="000000" w:themeColor="text1"/>
          <w:szCs w:val="21"/>
          <w:highlight w:val="none"/>
        </w:rPr>
        <w:t>六、评标细则（满分100分）</w:t>
      </w:r>
    </w:p>
    <w:p>
      <w:pPr>
        <w:autoSpaceDE w:val="0"/>
        <w:autoSpaceDN w:val="0"/>
        <w:adjustRightInd w:val="0"/>
        <w:snapToGrid w:val="0"/>
        <w:spacing w:line="480" w:lineRule="exact"/>
        <w:ind w:firstLine="561"/>
        <w:rPr>
          <w:rFonts w:ascii="宋体" w:hAnsi="宋体"/>
          <w:color w:val="000000" w:themeColor="text1"/>
          <w:szCs w:val="21"/>
          <w:highlight w:val="none"/>
        </w:rPr>
      </w:pPr>
      <w:r>
        <w:rPr>
          <w:rFonts w:hint="eastAsia" w:ascii="宋体" w:hAnsi="宋体"/>
          <w:color w:val="000000" w:themeColor="text1"/>
          <w:szCs w:val="21"/>
          <w:highlight w:val="none"/>
        </w:rPr>
        <w:t>本次评标采用综合评分法，评标委员会通过对商务、技术等因素的综合评审进行打分，综合得分最高的投标人排名第一，依此类推确定排名顺序，按排名顺序先后推荐为中标候选人。</w:t>
      </w:r>
    </w:p>
    <w:p>
      <w:pPr>
        <w:autoSpaceDE w:val="0"/>
        <w:autoSpaceDN w:val="0"/>
        <w:adjustRightInd w:val="0"/>
        <w:snapToGrid w:val="0"/>
        <w:spacing w:line="480" w:lineRule="exact"/>
        <w:ind w:firstLine="561"/>
        <w:rPr>
          <w:rFonts w:ascii="宋体" w:hAnsi="宋体"/>
          <w:color w:val="000000" w:themeColor="text1"/>
          <w:szCs w:val="21"/>
          <w:highlight w:val="none"/>
        </w:rPr>
      </w:pPr>
      <w:r>
        <w:rPr>
          <w:rFonts w:hint="eastAsia" w:ascii="宋体" w:hAnsi="宋体"/>
          <w:color w:val="000000" w:themeColor="text1"/>
          <w:szCs w:val="21"/>
          <w:highlight w:val="none"/>
        </w:rPr>
        <w:t>本次评标按百分制评分，其中商务评审为60分，技术评审为40分。具体评分细则如下：</w:t>
      </w:r>
    </w:p>
    <w:p>
      <w:pPr>
        <w:autoSpaceDE w:val="0"/>
        <w:autoSpaceDN w:val="0"/>
        <w:adjustRightInd w:val="0"/>
        <w:snapToGrid w:val="0"/>
        <w:spacing w:line="480" w:lineRule="exact"/>
        <w:ind w:firstLine="561"/>
        <w:rPr>
          <w:rFonts w:ascii="宋体" w:hAnsi="宋体"/>
          <w:b/>
          <w:color w:val="000000" w:themeColor="text1"/>
          <w:szCs w:val="21"/>
          <w:highlight w:val="none"/>
        </w:rPr>
      </w:pPr>
      <w:r>
        <w:rPr>
          <w:rFonts w:hint="eastAsia" w:ascii="宋体" w:hAnsi="宋体"/>
          <w:b/>
          <w:color w:val="000000" w:themeColor="text1"/>
          <w:szCs w:val="21"/>
          <w:highlight w:val="none"/>
        </w:rPr>
        <w:t>总 则</w:t>
      </w:r>
    </w:p>
    <w:p>
      <w:pPr>
        <w:autoSpaceDE w:val="0"/>
        <w:autoSpaceDN w:val="0"/>
        <w:adjustRightInd w:val="0"/>
        <w:snapToGrid w:val="0"/>
        <w:spacing w:line="480" w:lineRule="exact"/>
        <w:ind w:firstLine="561"/>
        <w:rPr>
          <w:rFonts w:ascii="宋体" w:hAnsi="宋体"/>
          <w:color w:val="000000" w:themeColor="text1"/>
          <w:szCs w:val="21"/>
          <w:highlight w:val="none"/>
        </w:rPr>
      </w:pPr>
      <w:r>
        <w:rPr>
          <w:rFonts w:hint="eastAsia" w:ascii="宋体" w:hAnsi="宋体"/>
          <w:color w:val="000000" w:themeColor="text1"/>
          <w:szCs w:val="21"/>
          <w:highlight w:val="none"/>
        </w:rPr>
        <w:t>评委会成员应严格按下列具体评审内容及相应分值客观、公正地进行评分。计算每个投标人的得分时，对所有评委的评分计算算术平均值作为该投标人的最终得分。</w:t>
      </w:r>
    </w:p>
    <w:p>
      <w:pPr>
        <w:autoSpaceDE w:val="0"/>
        <w:autoSpaceDN w:val="0"/>
        <w:adjustRightInd w:val="0"/>
        <w:snapToGrid w:val="0"/>
        <w:spacing w:line="480" w:lineRule="exact"/>
        <w:ind w:firstLine="561"/>
        <w:rPr>
          <w:rFonts w:ascii="宋体" w:hAnsi="宋体"/>
          <w:b/>
          <w:color w:val="000000" w:themeColor="text1"/>
          <w:szCs w:val="21"/>
          <w:highlight w:val="none"/>
        </w:rPr>
      </w:pPr>
      <w:r>
        <w:rPr>
          <w:rFonts w:hint="eastAsia" w:ascii="宋体" w:hAnsi="宋体"/>
          <w:b/>
          <w:color w:val="000000" w:themeColor="text1"/>
          <w:szCs w:val="21"/>
          <w:highlight w:val="none"/>
        </w:rPr>
        <w:t>一、商务评审得分（满分60分）</w:t>
      </w:r>
    </w:p>
    <w:p>
      <w:pPr>
        <w:autoSpaceDE w:val="0"/>
        <w:autoSpaceDN w:val="0"/>
        <w:adjustRightInd w:val="0"/>
        <w:snapToGrid w:val="0"/>
        <w:spacing w:line="480" w:lineRule="exact"/>
        <w:ind w:firstLine="561"/>
        <w:rPr>
          <w:rFonts w:ascii="宋体" w:hAnsi="宋体"/>
          <w:b/>
          <w:color w:val="000000" w:themeColor="text1"/>
          <w:szCs w:val="21"/>
          <w:highlight w:val="none"/>
        </w:rPr>
      </w:pPr>
      <w:r>
        <w:rPr>
          <w:rFonts w:hint="eastAsia" w:ascii="宋体" w:hAnsi="宋体"/>
          <w:b/>
          <w:color w:val="000000" w:themeColor="text1"/>
          <w:szCs w:val="21"/>
          <w:highlight w:val="none"/>
        </w:rPr>
        <w:t xml:space="preserve">1）报价评审得分   </w:t>
      </w:r>
      <w:r>
        <w:rPr>
          <w:rFonts w:hint="eastAsia" w:ascii="宋体" w:hAnsi="宋体"/>
          <w:color w:val="000000" w:themeColor="text1"/>
          <w:szCs w:val="21"/>
          <w:highlight w:val="none"/>
        </w:rPr>
        <w:t xml:space="preserve">                                　          </w:t>
      </w:r>
      <w:r>
        <w:rPr>
          <w:rFonts w:hint="eastAsia" w:ascii="宋体" w:hAnsi="宋体"/>
          <w:b/>
          <w:color w:val="000000" w:themeColor="text1"/>
          <w:szCs w:val="21"/>
          <w:highlight w:val="none"/>
        </w:rPr>
        <w:t>（满分45分）</w:t>
      </w:r>
    </w:p>
    <w:p>
      <w:pPr>
        <w:autoSpaceDE w:val="0"/>
        <w:autoSpaceDN w:val="0"/>
        <w:adjustRightInd w:val="0"/>
        <w:snapToGrid w:val="0"/>
        <w:spacing w:line="480" w:lineRule="exact"/>
        <w:ind w:firstLine="561"/>
        <w:rPr>
          <w:rFonts w:ascii="宋体" w:hAnsi="宋体"/>
          <w:color w:val="000000" w:themeColor="text1"/>
          <w:szCs w:val="21"/>
          <w:highlight w:val="none"/>
        </w:rPr>
      </w:pPr>
      <w:r>
        <w:rPr>
          <w:rFonts w:hint="eastAsia" w:ascii="宋体" w:hAnsi="宋体"/>
          <w:color w:val="000000" w:themeColor="text1"/>
          <w:szCs w:val="21"/>
          <w:highlight w:val="none"/>
        </w:rPr>
        <w:t>A．报价得分（满分40分）：以所有有效投标人评标价的算术平均值（如投标人超过5家（含5家），则去掉一个最高价和一个最低价后计算算术平均值）下浮5%作为基准价得满分40分，其余投标人的评标价与基准价相比，投标人评标价每高基准价2%扣1分，每低基准价2%的扣0.5分，不足2%按插入法计算（保留两位小数）。</w:t>
      </w:r>
    </w:p>
    <w:p>
      <w:pPr>
        <w:autoSpaceDE w:val="0"/>
        <w:autoSpaceDN w:val="0"/>
        <w:adjustRightInd w:val="0"/>
        <w:snapToGrid w:val="0"/>
        <w:spacing w:line="480" w:lineRule="exact"/>
        <w:ind w:firstLine="561"/>
        <w:rPr>
          <w:rFonts w:ascii="宋体" w:hAnsi="宋体"/>
          <w:color w:val="000000" w:themeColor="text1"/>
          <w:szCs w:val="21"/>
          <w:highlight w:val="none"/>
        </w:rPr>
      </w:pPr>
      <w:r>
        <w:rPr>
          <w:rFonts w:hint="eastAsia" w:ascii="宋体" w:hAnsi="宋体"/>
          <w:color w:val="000000" w:themeColor="text1"/>
          <w:szCs w:val="21"/>
          <w:highlight w:val="none"/>
        </w:rPr>
        <w:t>B.报价合理性得分：主要评审投标报价中各个组成单价的合理程度，重点评比金额占总价比较重大的单价合理程度。                                       （满分5分）</w:t>
      </w:r>
    </w:p>
    <w:p>
      <w:pPr>
        <w:autoSpaceDE w:val="0"/>
        <w:autoSpaceDN w:val="0"/>
        <w:adjustRightInd w:val="0"/>
        <w:spacing w:line="480" w:lineRule="exact"/>
        <w:ind w:firstLine="422" w:firstLineChars="200"/>
        <w:rPr>
          <w:rFonts w:ascii="宋体"/>
          <w:b/>
          <w:color w:val="000000" w:themeColor="text1"/>
          <w:szCs w:val="21"/>
          <w:highlight w:val="none"/>
        </w:rPr>
      </w:pPr>
      <w:r>
        <w:rPr>
          <w:rFonts w:hint="eastAsia" w:ascii="宋体" w:hAnsi="宋体"/>
          <w:b/>
          <w:color w:val="000000" w:themeColor="text1"/>
          <w:szCs w:val="21"/>
          <w:highlight w:val="none"/>
        </w:rPr>
        <w:t>2、商务条款评审得分（满分</w:t>
      </w:r>
      <w:r>
        <w:rPr>
          <w:rFonts w:ascii="宋体" w:hAnsi="宋体"/>
          <w:b/>
          <w:color w:val="000000" w:themeColor="text1"/>
          <w:szCs w:val="21"/>
          <w:highlight w:val="none"/>
        </w:rPr>
        <w:t>10</w:t>
      </w:r>
      <w:r>
        <w:rPr>
          <w:rFonts w:hint="eastAsia" w:ascii="宋体" w:hAnsi="宋体"/>
          <w:b/>
          <w:color w:val="000000" w:themeColor="text1"/>
          <w:szCs w:val="21"/>
          <w:highlight w:val="none"/>
        </w:rPr>
        <w:t>分）</w:t>
      </w:r>
    </w:p>
    <w:p>
      <w:pPr>
        <w:autoSpaceDE w:val="0"/>
        <w:autoSpaceDN w:val="0"/>
        <w:adjustRightInd w:val="0"/>
        <w:spacing w:line="480" w:lineRule="exact"/>
        <w:ind w:firstLine="561"/>
        <w:rPr>
          <w:rFonts w:ascii="宋体" w:hAnsi="宋体" w:cs="宋体"/>
          <w:bCs/>
          <w:color w:val="000000" w:themeColor="text1"/>
          <w:kern w:val="0"/>
          <w:szCs w:val="21"/>
          <w:highlight w:val="none"/>
        </w:rPr>
      </w:pPr>
      <w:r>
        <w:rPr>
          <w:rFonts w:hint="eastAsia" w:ascii="宋体" w:hAnsi="宋体"/>
          <w:color w:val="000000" w:themeColor="text1"/>
          <w:szCs w:val="21"/>
          <w:highlight w:val="none"/>
        </w:rPr>
        <w:t>A、投标人或制造商</w:t>
      </w:r>
      <w:r>
        <w:rPr>
          <w:rFonts w:hint="eastAsia" w:ascii="宋体" w:hAnsi="宋体" w:cs="宋体"/>
          <w:color w:val="000000" w:themeColor="text1"/>
          <w:kern w:val="0"/>
          <w:szCs w:val="21"/>
          <w:highlight w:val="none"/>
        </w:rPr>
        <w:t>须具有质量管理体系认证、环境管理体系认证和职业健康安全管理体系认证证书，有1份得1分，最高得3分。（提供认证证书复印件加盖公章）</w:t>
      </w:r>
    </w:p>
    <w:p>
      <w:pPr>
        <w:autoSpaceDE w:val="0"/>
        <w:autoSpaceDN w:val="0"/>
        <w:adjustRightInd w:val="0"/>
        <w:spacing w:line="480" w:lineRule="exact"/>
        <w:ind w:firstLine="561"/>
        <w:rPr>
          <w:rFonts w:ascii="宋体" w:hAnsi="宋体"/>
          <w:color w:val="000000" w:themeColor="text1"/>
          <w:szCs w:val="21"/>
          <w:highlight w:val="none"/>
        </w:rPr>
      </w:pPr>
      <w:r>
        <w:rPr>
          <w:rFonts w:hint="eastAsia" w:ascii="宋体" w:hAnsi="宋体" w:cs="宋体"/>
          <w:bCs/>
          <w:color w:val="000000" w:themeColor="text1"/>
          <w:kern w:val="0"/>
          <w:szCs w:val="21"/>
          <w:highlight w:val="none"/>
        </w:rPr>
        <w:t>B、</w:t>
      </w:r>
      <w:r>
        <w:rPr>
          <w:rFonts w:hint="eastAsia" w:ascii="宋体" w:hAnsi="宋体"/>
          <w:color w:val="000000" w:themeColor="text1"/>
          <w:szCs w:val="21"/>
          <w:highlight w:val="none"/>
        </w:rPr>
        <w:t>投标人或制造商获得由第三方信用服务机构出具的《企业信用报告》或信用等级证书，信用等级为3A ，得2分，信用等级为2A，得1分，其余不得分。</w:t>
      </w:r>
    </w:p>
    <w:p>
      <w:pPr>
        <w:autoSpaceDE w:val="0"/>
        <w:autoSpaceDN w:val="0"/>
        <w:adjustRightInd w:val="0"/>
        <w:spacing w:line="480" w:lineRule="exact"/>
        <w:ind w:firstLine="561"/>
        <w:rPr>
          <w:rFonts w:ascii="宋体" w:hAnsi="宋体" w:cs="宋体"/>
          <w:bCs/>
          <w:color w:val="000000" w:themeColor="text1"/>
          <w:kern w:val="0"/>
          <w:szCs w:val="21"/>
          <w:highlight w:val="none"/>
        </w:rPr>
      </w:pPr>
      <w:r>
        <w:rPr>
          <w:rFonts w:hint="eastAsia" w:ascii="宋体" w:hAnsi="宋体"/>
          <w:color w:val="000000" w:themeColor="text1"/>
          <w:szCs w:val="21"/>
          <w:highlight w:val="none"/>
        </w:rPr>
        <w:t>C、投标人或制造商获得过市级及以上荣誉证书（提供证书复印件，没有提供的不得分），有一项得1分，最多得2分。</w:t>
      </w:r>
    </w:p>
    <w:p>
      <w:pPr>
        <w:autoSpaceDE w:val="0"/>
        <w:autoSpaceDN w:val="0"/>
        <w:adjustRightInd w:val="0"/>
        <w:snapToGrid w:val="0"/>
        <w:spacing w:line="480" w:lineRule="exact"/>
        <w:ind w:firstLine="561"/>
        <w:rPr>
          <w:rFonts w:ascii="宋体" w:hAnsi="宋体"/>
          <w:color w:val="000000" w:themeColor="text1"/>
          <w:szCs w:val="21"/>
          <w:highlight w:val="none"/>
        </w:rPr>
      </w:pPr>
      <w:r>
        <w:rPr>
          <w:rFonts w:hint="eastAsia" w:ascii="宋体" w:hAnsi="宋体"/>
          <w:color w:val="000000" w:themeColor="text1"/>
          <w:szCs w:val="21"/>
          <w:highlight w:val="none"/>
        </w:rPr>
        <w:t>D、投标人或制造商具有产品或生产技术发明专利、实用专利等证书，每提供一份符合要求的得1分，共3分。（证书复印件装订于投标文件中，原件备查）</w:t>
      </w:r>
    </w:p>
    <w:p>
      <w:pPr>
        <w:autoSpaceDE w:val="0"/>
        <w:autoSpaceDN w:val="0"/>
        <w:adjustRightInd w:val="0"/>
        <w:snapToGrid w:val="0"/>
        <w:spacing w:line="480" w:lineRule="exact"/>
        <w:ind w:firstLine="561"/>
        <w:rPr>
          <w:rFonts w:ascii="宋体" w:hAnsi="宋体"/>
          <w:color w:val="000000" w:themeColor="text1"/>
          <w:szCs w:val="21"/>
          <w:highlight w:val="none"/>
        </w:rPr>
      </w:pPr>
      <w:r>
        <w:rPr>
          <w:rFonts w:hint="eastAsia" w:ascii="宋体" w:hAnsi="宋体"/>
          <w:b/>
          <w:color w:val="000000" w:themeColor="text1"/>
          <w:szCs w:val="21"/>
          <w:highlight w:val="none"/>
        </w:rPr>
        <w:t>3）销售业绩得分（满分5分）</w:t>
      </w:r>
    </w:p>
    <w:p>
      <w:pPr>
        <w:autoSpaceDE w:val="0"/>
        <w:autoSpaceDN w:val="0"/>
        <w:adjustRightInd w:val="0"/>
        <w:snapToGrid w:val="0"/>
        <w:spacing w:line="480" w:lineRule="exact"/>
        <w:ind w:firstLine="561"/>
        <w:rPr>
          <w:rFonts w:ascii="宋体" w:hAnsi="宋体"/>
          <w:color w:val="000000" w:themeColor="text1"/>
          <w:szCs w:val="21"/>
          <w:highlight w:val="none"/>
        </w:rPr>
      </w:pPr>
      <w:r>
        <w:rPr>
          <w:rFonts w:hint="eastAsia" w:ascii="宋体" w:hAnsi="宋体"/>
          <w:color w:val="000000" w:themeColor="text1"/>
          <w:szCs w:val="21"/>
          <w:highlight w:val="none"/>
        </w:rPr>
        <w:t>投标人或货物制造商在近三年（</w:t>
      </w:r>
      <w:r>
        <w:rPr>
          <w:rFonts w:ascii="宋体" w:hAnsi="宋体"/>
          <w:color w:val="000000" w:themeColor="text1"/>
          <w:szCs w:val="21"/>
          <w:highlight w:val="none"/>
        </w:rPr>
        <w:t>20</w:t>
      </w:r>
      <w:r>
        <w:rPr>
          <w:rFonts w:hint="eastAsia" w:ascii="宋体" w:hAnsi="宋体"/>
          <w:color w:val="000000" w:themeColor="text1"/>
          <w:szCs w:val="21"/>
          <w:highlight w:val="none"/>
        </w:rPr>
        <w:t xml:space="preserve">20年1月至今）以来同类品牌货物销售业绩情况，有一个得1分，满分5分。（须提供供货合同复印件等证明材料，原件备查）。 </w:t>
      </w:r>
    </w:p>
    <w:p>
      <w:pPr>
        <w:autoSpaceDE w:val="0"/>
        <w:autoSpaceDN w:val="0"/>
        <w:adjustRightInd w:val="0"/>
        <w:snapToGrid w:val="0"/>
        <w:spacing w:line="480" w:lineRule="exact"/>
        <w:ind w:firstLine="517" w:firstLineChars="245"/>
        <w:rPr>
          <w:rFonts w:ascii="宋体" w:hAnsi="宋体"/>
          <w:b/>
          <w:color w:val="000000" w:themeColor="text1"/>
          <w:szCs w:val="21"/>
          <w:highlight w:val="none"/>
        </w:rPr>
      </w:pPr>
      <w:r>
        <w:rPr>
          <w:rFonts w:hint="eastAsia" w:ascii="宋体" w:hAnsi="宋体"/>
          <w:b/>
          <w:color w:val="000000" w:themeColor="text1"/>
          <w:szCs w:val="21"/>
          <w:highlight w:val="none"/>
        </w:rPr>
        <w:t>二、技术评审得分（满分40分）</w:t>
      </w:r>
    </w:p>
    <w:p>
      <w:pPr>
        <w:autoSpaceDE w:val="0"/>
        <w:autoSpaceDN w:val="0"/>
        <w:adjustRightInd w:val="0"/>
        <w:spacing w:line="480" w:lineRule="exact"/>
        <w:ind w:firstLine="561"/>
        <w:rPr>
          <w:rFonts w:ascii="宋体"/>
          <w:b/>
          <w:bCs/>
          <w:color w:val="000000" w:themeColor="text1"/>
          <w:szCs w:val="21"/>
          <w:highlight w:val="none"/>
        </w:rPr>
      </w:pPr>
      <w:r>
        <w:rPr>
          <w:rFonts w:ascii="宋体" w:hAnsi="宋体"/>
          <w:b/>
          <w:bCs/>
          <w:color w:val="000000" w:themeColor="text1"/>
          <w:szCs w:val="21"/>
          <w:highlight w:val="none"/>
        </w:rPr>
        <w:t>1</w:t>
      </w:r>
      <w:r>
        <w:rPr>
          <w:rFonts w:hint="eastAsia" w:ascii="宋体" w:hAnsi="宋体"/>
          <w:b/>
          <w:bCs/>
          <w:color w:val="000000" w:themeColor="text1"/>
          <w:szCs w:val="21"/>
          <w:highlight w:val="none"/>
        </w:rPr>
        <w:t>、技术文件编制齐全性和响应性（满分10分）</w:t>
      </w:r>
    </w:p>
    <w:p>
      <w:pPr>
        <w:autoSpaceDE w:val="0"/>
        <w:autoSpaceDN w:val="0"/>
        <w:adjustRightInd w:val="0"/>
        <w:spacing w:line="480" w:lineRule="exact"/>
        <w:ind w:firstLine="561"/>
        <w:rPr>
          <w:rFonts w:ascii="宋体" w:hAnsi="宋体"/>
          <w:color w:val="000000" w:themeColor="text1"/>
          <w:szCs w:val="21"/>
          <w:highlight w:val="none"/>
        </w:rPr>
      </w:pPr>
      <w:r>
        <w:rPr>
          <w:rFonts w:hint="eastAsia" w:ascii="宋体" w:hAnsi="宋体"/>
          <w:color w:val="000000" w:themeColor="text1"/>
          <w:szCs w:val="21"/>
          <w:highlight w:val="none"/>
        </w:rPr>
        <w:t>（1）有技术参数响应表，得2分，没有不得分。（2分）</w:t>
      </w:r>
    </w:p>
    <w:p>
      <w:pPr>
        <w:autoSpaceDE w:val="0"/>
        <w:autoSpaceDN w:val="0"/>
        <w:adjustRightInd w:val="0"/>
        <w:spacing w:line="480" w:lineRule="exact"/>
        <w:ind w:firstLine="561"/>
        <w:rPr>
          <w:rFonts w:ascii="宋体" w:hAnsi="宋体"/>
          <w:color w:val="000000" w:themeColor="text1"/>
          <w:szCs w:val="21"/>
          <w:highlight w:val="none"/>
        </w:rPr>
      </w:pPr>
      <w:r>
        <w:rPr>
          <w:rFonts w:hint="eastAsia" w:ascii="宋体" w:hAnsi="宋体"/>
          <w:color w:val="000000" w:themeColor="text1"/>
          <w:szCs w:val="21"/>
          <w:highlight w:val="none"/>
        </w:rPr>
        <w:t>（2）由评标委员会根据投标货物、功能服务的性能满足招标文件的技术要求的情况打分。所有技术条款满足招标文件要求的，得基本分5分，其中有条款优于招标文件要求的每项加1分（投标文件中有明显标注），满分8分；如不完全满足招标文件要求不得分。（8分）</w:t>
      </w:r>
    </w:p>
    <w:p>
      <w:pPr>
        <w:autoSpaceDE w:val="0"/>
        <w:autoSpaceDN w:val="0"/>
        <w:adjustRightInd w:val="0"/>
        <w:spacing w:line="480" w:lineRule="exact"/>
        <w:ind w:firstLine="561"/>
        <w:rPr>
          <w:rFonts w:ascii="宋体" w:hAnsi="宋体"/>
          <w:b/>
          <w:bCs/>
          <w:color w:val="000000" w:themeColor="text1"/>
          <w:szCs w:val="21"/>
          <w:highlight w:val="none"/>
        </w:rPr>
      </w:pPr>
      <w:r>
        <w:rPr>
          <w:rFonts w:hint="eastAsia" w:ascii="宋体" w:hAnsi="宋体"/>
          <w:b/>
          <w:bCs/>
          <w:color w:val="000000" w:themeColor="text1"/>
          <w:szCs w:val="21"/>
          <w:highlight w:val="none"/>
        </w:rPr>
        <w:t>2、技术方案                                                （满分22分）</w:t>
      </w:r>
    </w:p>
    <w:p>
      <w:pPr>
        <w:autoSpaceDE w:val="0"/>
        <w:autoSpaceDN w:val="0"/>
        <w:adjustRightInd w:val="0"/>
        <w:spacing w:line="480" w:lineRule="exact"/>
        <w:ind w:firstLine="561"/>
        <w:rPr>
          <w:rFonts w:ascii="宋体" w:hAnsi="宋体"/>
          <w:color w:val="000000" w:themeColor="text1"/>
          <w:szCs w:val="21"/>
          <w:highlight w:val="none"/>
        </w:rPr>
      </w:pPr>
      <w:r>
        <w:rPr>
          <w:rFonts w:hint="eastAsia" w:ascii="宋体" w:hAnsi="宋体"/>
          <w:color w:val="000000" w:themeColor="text1"/>
          <w:szCs w:val="21"/>
          <w:highlight w:val="none"/>
        </w:rPr>
        <w:t>由评标委员会根据招标文件的功能需求对投标人提供的货物的制造工艺、外观、质量、性能及技术指标、所使用的材质、运营成本、寿命、可靠性方面进行综合评分，</w:t>
      </w:r>
    </w:p>
    <w:p>
      <w:pPr>
        <w:autoSpaceDE w:val="0"/>
        <w:autoSpaceDN w:val="0"/>
        <w:adjustRightInd w:val="0"/>
        <w:spacing w:line="480" w:lineRule="exact"/>
        <w:ind w:firstLine="561"/>
        <w:rPr>
          <w:rFonts w:ascii="宋体" w:hAnsi="宋体"/>
          <w:color w:val="000000" w:themeColor="text1"/>
          <w:szCs w:val="21"/>
          <w:highlight w:val="none"/>
        </w:rPr>
      </w:pPr>
      <w:r>
        <w:rPr>
          <w:rFonts w:hint="eastAsia" w:ascii="宋体" w:hAnsi="宋体"/>
          <w:color w:val="000000" w:themeColor="text1"/>
          <w:szCs w:val="21"/>
          <w:highlight w:val="none"/>
        </w:rPr>
        <w:t>（1）货物的制造工艺、外观、质量、整体结构合理性（5分）</w:t>
      </w:r>
    </w:p>
    <w:p>
      <w:pPr>
        <w:autoSpaceDE w:val="0"/>
        <w:autoSpaceDN w:val="0"/>
        <w:adjustRightInd w:val="0"/>
        <w:spacing w:line="480" w:lineRule="exact"/>
        <w:ind w:firstLine="561"/>
        <w:rPr>
          <w:rFonts w:ascii="宋体" w:hAnsi="宋体"/>
          <w:color w:val="000000" w:themeColor="text1"/>
          <w:szCs w:val="21"/>
          <w:highlight w:val="none"/>
        </w:rPr>
      </w:pPr>
      <w:r>
        <w:rPr>
          <w:rFonts w:hint="eastAsia" w:ascii="宋体" w:hAnsi="宋体"/>
          <w:color w:val="000000" w:themeColor="text1"/>
          <w:szCs w:val="21"/>
          <w:highlight w:val="none"/>
        </w:rPr>
        <w:t>（2）生产规模水平：根据投标设备制造商的生产装备、规模、制造水平在业内的位置等进行打分（3分）</w:t>
      </w:r>
    </w:p>
    <w:p>
      <w:pPr>
        <w:autoSpaceDE w:val="0"/>
        <w:autoSpaceDN w:val="0"/>
        <w:adjustRightInd w:val="0"/>
        <w:spacing w:line="480" w:lineRule="exact"/>
        <w:ind w:firstLine="561"/>
        <w:rPr>
          <w:rFonts w:ascii="宋体" w:hAnsi="宋体"/>
          <w:color w:val="000000" w:themeColor="text1"/>
          <w:szCs w:val="21"/>
          <w:highlight w:val="none"/>
        </w:rPr>
      </w:pPr>
      <w:r>
        <w:rPr>
          <w:rFonts w:hint="eastAsia" w:ascii="宋体" w:hAnsi="宋体"/>
          <w:color w:val="000000" w:themeColor="text1"/>
          <w:szCs w:val="21"/>
          <w:highlight w:val="none"/>
        </w:rPr>
        <w:t>（3）货物的备品备件是否合理充足、合理（3分）</w:t>
      </w:r>
    </w:p>
    <w:p>
      <w:pPr>
        <w:autoSpaceDE w:val="0"/>
        <w:autoSpaceDN w:val="0"/>
        <w:adjustRightInd w:val="0"/>
        <w:spacing w:line="360" w:lineRule="auto"/>
        <w:ind w:firstLine="561"/>
        <w:rPr>
          <w:rFonts w:ascii="宋体" w:hAnsi="宋体"/>
          <w:color w:val="000000" w:themeColor="text1"/>
          <w:szCs w:val="21"/>
          <w:highlight w:val="none"/>
        </w:rPr>
      </w:pPr>
      <w:r>
        <w:rPr>
          <w:rFonts w:hint="eastAsia" w:ascii="宋体" w:hAnsi="宋体"/>
          <w:color w:val="000000" w:themeColor="text1"/>
          <w:szCs w:val="21"/>
          <w:highlight w:val="none"/>
        </w:rPr>
        <w:t>（4）货物的运营成本、寿命、可靠性、实用性等（4分）</w:t>
      </w:r>
    </w:p>
    <w:p>
      <w:pPr>
        <w:pStyle w:val="4"/>
        <w:spacing w:line="360" w:lineRule="auto"/>
        <w:rPr>
          <w:rFonts w:ascii="宋体" w:hAnsi="宋体" w:eastAsia="宋体"/>
          <w:color w:val="000000" w:themeColor="text1"/>
          <w:sz w:val="21"/>
          <w:szCs w:val="21"/>
          <w:highlight w:val="none"/>
        </w:rPr>
      </w:pPr>
      <w:r>
        <w:rPr>
          <w:rFonts w:hint="eastAsia" w:ascii="宋体" w:hAnsi="宋体" w:eastAsia="宋体"/>
          <w:color w:val="000000" w:themeColor="text1"/>
          <w:sz w:val="21"/>
          <w:szCs w:val="21"/>
          <w:highlight w:val="none"/>
        </w:rPr>
        <w:t>（5）设备拆卸安装方案、安全措施的合理性（4分）</w:t>
      </w:r>
    </w:p>
    <w:p>
      <w:pPr>
        <w:autoSpaceDE w:val="0"/>
        <w:autoSpaceDN w:val="0"/>
        <w:adjustRightInd w:val="0"/>
        <w:spacing w:line="480" w:lineRule="exact"/>
        <w:ind w:firstLine="561"/>
        <w:rPr>
          <w:rFonts w:ascii="宋体" w:hAnsi="宋体"/>
          <w:color w:val="000000" w:themeColor="text1"/>
          <w:szCs w:val="21"/>
          <w:highlight w:val="none"/>
        </w:rPr>
      </w:pPr>
      <w:r>
        <w:rPr>
          <w:rFonts w:hint="eastAsia" w:ascii="宋体" w:hAnsi="宋体"/>
          <w:color w:val="000000" w:themeColor="text1"/>
          <w:szCs w:val="21"/>
          <w:highlight w:val="none"/>
        </w:rPr>
        <w:t>（6）关键设备及零部件的材质性能质量品牌档次（3分）</w:t>
      </w:r>
    </w:p>
    <w:p>
      <w:pPr>
        <w:autoSpaceDE w:val="0"/>
        <w:autoSpaceDN w:val="0"/>
        <w:adjustRightInd w:val="0"/>
        <w:spacing w:line="480" w:lineRule="exact"/>
        <w:ind w:firstLine="561"/>
        <w:rPr>
          <w:rFonts w:ascii="宋体" w:hAnsi="宋体"/>
          <w:b/>
          <w:bCs/>
          <w:color w:val="000000" w:themeColor="text1"/>
          <w:szCs w:val="21"/>
          <w:highlight w:val="none"/>
        </w:rPr>
      </w:pPr>
      <w:r>
        <w:rPr>
          <w:rFonts w:hint="eastAsia" w:ascii="宋体" w:hAnsi="宋体"/>
          <w:b/>
          <w:bCs/>
          <w:color w:val="000000" w:themeColor="text1"/>
          <w:szCs w:val="21"/>
          <w:highlight w:val="none"/>
        </w:rPr>
        <w:t>3、技术服务与培训                                       （满分8分）</w:t>
      </w:r>
      <w:r>
        <w:rPr>
          <w:rFonts w:hint="eastAsia" w:ascii="宋体" w:hAnsi="宋体"/>
          <w:b/>
          <w:bCs/>
          <w:color w:val="000000" w:themeColor="text1"/>
          <w:szCs w:val="21"/>
          <w:highlight w:val="none"/>
        </w:rPr>
        <w:tab/>
      </w:r>
    </w:p>
    <w:p>
      <w:pPr>
        <w:autoSpaceDE w:val="0"/>
        <w:autoSpaceDN w:val="0"/>
        <w:adjustRightInd w:val="0"/>
        <w:spacing w:line="480" w:lineRule="exact"/>
        <w:ind w:firstLine="561"/>
        <w:rPr>
          <w:rFonts w:ascii="宋体" w:hAnsi="宋体"/>
          <w:color w:val="000000" w:themeColor="text1"/>
          <w:szCs w:val="21"/>
          <w:highlight w:val="none"/>
        </w:rPr>
      </w:pPr>
      <w:r>
        <w:rPr>
          <w:rFonts w:hint="eastAsia" w:ascii="宋体" w:hAnsi="宋体"/>
          <w:color w:val="000000" w:themeColor="text1"/>
          <w:szCs w:val="21"/>
          <w:highlight w:val="none"/>
        </w:rPr>
        <w:t>（1）由评标委员会根据投标人对售后服务的承诺、响应时间、维修技术能力情况进行打分，优得3分，良得2分，一般得1分，无内容不得分。（3分）</w:t>
      </w:r>
    </w:p>
    <w:p>
      <w:pPr>
        <w:autoSpaceDE w:val="0"/>
        <w:autoSpaceDN w:val="0"/>
        <w:adjustRightInd w:val="0"/>
        <w:spacing w:line="480" w:lineRule="exact"/>
        <w:ind w:firstLine="561"/>
        <w:rPr>
          <w:rFonts w:ascii="宋体" w:hAnsi="宋体"/>
          <w:color w:val="000000" w:themeColor="text1"/>
          <w:szCs w:val="21"/>
          <w:highlight w:val="none"/>
        </w:rPr>
      </w:pPr>
      <w:r>
        <w:rPr>
          <w:rFonts w:hint="eastAsia" w:ascii="宋体" w:hAnsi="宋体"/>
          <w:color w:val="000000" w:themeColor="text1"/>
          <w:szCs w:val="21"/>
          <w:highlight w:val="none"/>
        </w:rPr>
        <w:t>（2）由评标委员会根据投标人的质保期进行打分。少于</w:t>
      </w:r>
      <w:r>
        <w:rPr>
          <w:rFonts w:hint="eastAsia" w:ascii="宋体" w:hAnsi="宋体"/>
          <w:b/>
          <w:bCs/>
          <w:color w:val="000000" w:themeColor="text1"/>
          <w:szCs w:val="21"/>
          <w:highlight w:val="none"/>
        </w:rPr>
        <w:t>1年</w:t>
      </w:r>
      <w:r>
        <w:rPr>
          <w:rFonts w:hint="eastAsia" w:ascii="宋体" w:hAnsi="宋体"/>
          <w:color w:val="000000" w:themeColor="text1"/>
          <w:szCs w:val="21"/>
          <w:highlight w:val="none"/>
        </w:rPr>
        <w:t>的按否决投标处理，承诺质保期每延长半年加1分，最多加2分。（提供承诺书）（2分）</w:t>
      </w:r>
    </w:p>
    <w:p>
      <w:pPr>
        <w:autoSpaceDE w:val="0"/>
        <w:autoSpaceDN w:val="0"/>
        <w:adjustRightInd w:val="0"/>
        <w:spacing w:line="480" w:lineRule="exact"/>
        <w:ind w:firstLine="561"/>
        <w:rPr>
          <w:rFonts w:ascii="宋体" w:hAnsi="宋体"/>
          <w:color w:val="000000" w:themeColor="text1"/>
          <w:szCs w:val="21"/>
          <w:highlight w:val="none"/>
        </w:rPr>
      </w:pPr>
      <w:r>
        <w:rPr>
          <w:rFonts w:hint="eastAsia" w:ascii="宋体" w:hAnsi="宋体"/>
          <w:color w:val="000000" w:themeColor="text1"/>
          <w:szCs w:val="21"/>
          <w:highlight w:val="none"/>
        </w:rPr>
        <w:t>（3）由评标委员会根据投标人的培训方案打分，优得（2，3]分，良得（1，2]分，一般得（0，1]，无内容不得分。（3分）</w:t>
      </w:r>
    </w:p>
    <w:p>
      <w:pPr>
        <w:pStyle w:val="4"/>
        <w:rPr>
          <w:rFonts w:ascii="宋体" w:hAnsi="宋体" w:eastAsia="宋体"/>
          <w:b/>
          <w:bCs/>
          <w:color w:val="000000" w:themeColor="text1"/>
          <w:sz w:val="21"/>
          <w:szCs w:val="21"/>
          <w:highlight w:val="none"/>
        </w:rPr>
      </w:pPr>
    </w:p>
    <w:p>
      <w:pPr>
        <w:autoSpaceDE w:val="0"/>
        <w:autoSpaceDN w:val="0"/>
        <w:adjustRightInd w:val="0"/>
        <w:snapToGrid w:val="0"/>
        <w:spacing w:line="480" w:lineRule="exact"/>
        <w:ind w:firstLine="561"/>
        <w:rPr>
          <w:rFonts w:ascii="宋体" w:hAnsi="宋体"/>
          <w:b/>
          <w:color w:val="000000" w:themeColor="text1"/>
          <w:szCs w:val="21"/>
          <w:highlight w:val="none"/>
        </w:rPr>
      </w:pPr>
      <w:r>
        <w:rPr>
          <w:rFonts w:hint="eastAsia" w:ascii="宋体" w:hAnsi="宋体"/>
          <w:b/>
          <w:color w:val="000000" w:themeColor="text1"/>
          <w:szCs w:val="21"/>
          <w:highlight w:val="none"/>
        </w:rPr>
        <w:t>七、定标</w:t>
      </w:r>
    </w:p>
    <w:p>
      <w:pPr>
        <w:autoSpaceDE w:val="0"/>
        <w:autoSpaceDN w:val="0"/>
        <w:adjustRightInd w:val="0"/>
        <w:snapToGrid w:val="0"/>
        <w:spacing w:line="480" w:lineRule="exact"/>
        <w:ind w:firstLine="561"/>
        <w:rPr>
          <w:rFonts w:ascii="宋体" w:hAnsi="宋体"/>
          <w:color w:val="000000" w:themeColor="text1"/>
          <w:szCs w:val="21"/>
          <w:highlight w:val="none"/>
        </w:rPr>
      </w:pPr>
      <w:r>
        <w:rPr>
          <w:rFonts w:hint="eastAsia" w:ascii="宋体" w:hAnsi="宋体"/>
          <w:color w:val="000000" w:themeColor="text1"/>
          <w:szCs w:val="21"/>
          <w:highlight w:val="none"/>
        </w:rPr>
        <w:t>1、评标委员会完成评标后，应当向招标人提出书面评标报告，阐明评标委员会对各投标文件的评审和比较意见，并按照招标文件中规定的评标方法，推荐3名有排序的合格中标候选人。</w:t>
      </w:r>
    </w:p>
    <w:p>
      <w:pPr>
        <w:autoSpaceDE w:val="0"/>
        <w:autoSpaceDN w:val="0"/>
        <w:adjustRightInd w:val="0"/>
        <w:snapToGrid w:val="0"/>
        <w:spacing w:line="480" w:lineRule="exact"/>
        <w:ind w:firstLine="561"/>
        <w:rPr>
          <w:rFonts w:ascii="宋体" w:hAnsi="宋体"/>
          <w:color w:val="000000" w:themeColor="text1"/>
          <w:szCs w:val="21"/>
          <w:highlight w:val="none"/>
        </w:rPr>
      </w:pPr>
      <w:r>
        <w:rPr>
          <w:rFonts w:hint="eastAsia" w:ascii="宋体" w:hAnsi="宋体"/>
          <w:color w:val="000000" w:themeColor="text1"/>
          <w:szCs w:val="21"/>
          <w:highlight w:val="none"/>
        </w:rPr>
        <w:t>2、排序原则：本次评标采用综合评分法，评标委员会通过对商务、技术等因素的综合评审进行打分，综合得分最高的投标人排名第一，依此类推确定排名顺序，按排名顺序先后推荐为中标候选人。</w:t>
      </w:r>
    </w:p>
    <w:p>
      <w:pPr>
        <w:autoSpaceDE w:val="0"/>
        <w:autoSpaceDN w:val="0"/>
        <w:adjustRightInd w:val="0"/>
        <w:snapToGrid w:val="0"/>
        <w:spacing w:line="480" w:lineRule="exact"/>
        <w:ind w:firstLine="561"/>
        <w:rPr>
          <w:rFonts w:ascii="宋体" w:hAnsi="宋体"/>
          <w:color w:val="000000" w:themeColor="text1"/>
          <w:szCs w:val="21"/>
          <w:highlight w:val="none"/>
        </w:rPr>
        <w:sectPr>
          <w:headerReference r:id="rId3" w:type="default"/>
          <w:footerReference r:id="rId4" w:type="default"/>
          <w:pgSz w:w="11906" w:h="16838"/>
          <w:pgMar w:top="1440" w:right="1800" w:bottom="1440" w:left="1800" w:header="851" w:footer="992" w:gutter="0"/>
          <w:cols w:space="720" w:num="1"/>
          <w:docGrid w:type="lines" w:linePitch="312" w:charSpace="0"/>
        </w:sectPr>
      </w:pPr>
      <w:r>
        <w:rPr>
          <w:rFonts w:hint="eastAsia" w:ascii="宋体" w:hAnsi="宋体"/>
          <w:color w:val="000000" w:themeColor="text1"/>
          <w:szCs w:val="21"/>
          <w:highlight w:val="none"/>
        </w:rPr>
        <w:t>3、确定中标人的原则：招标人按照评委会的书面评标报告中的中标候选人排序，确定排名第一的为中标人。当排名第一的中标候选人放弃中标、因不可抗力提出不能履行合同，招标人可以确定排名第二的中标候选人为中标人，以此类推。</w:t>
      </w:r>
    </w:p>
    <w:p>
      <w:pPr>
        <w:widowControl/>
        <w:spacing w:line="500" w:lineRule="exact"/>
        <w:jc w:val="left"/>
        <w:rPr>
          <w:rFonts w:ascii="宋体" w:hAnsi="宋体"/>
          <w:b/>
          <w:bCs/>
          <w:color w:val="000000" w:themeColor="text1"/>
          <w:szCs w:val="21"/>
          <w:highlight w:val="none"/>
        </w:rPr>
      </w:pPr>
      <w:r>
        <w:rPr>
          <w:rFonts w:hint="eastAsia" w:ascii="宋体" w:hAnsi="宋体"/>
          <w:b/>
          <w:bCs/>
          <w:color w:val="000000" w:themeColor="text1"/>
          <w:szCs w:val="21"/>
          <w:highlight w:val="none"/>
        </w:rPr>
        <w:t>八、合同模板：</w:t>
      </w:r>
    </w:p>
    <w:p>
      <w:pPr>
        <w:widowControl/>
        <w:spacing w:line="500" w:lineRule="exact"/>
        <w:jc w:val="center"/>
        <w:rPr>
          <w:rFonts w:ascii="宋体" w:hAnsi="宋体"/>
          <w:color w:val="000000" w:themeColor="text1"/>
          <w:szCs w:val="21"/>
          <w:highlight w:val="none"/>
        </w:rPr>
      </w:pPr>
    </w:p>
    <w:p>
      <w:pPr>
        <w:tabs>
          <w:tab w:val="left" w:pos="1400"/>
          <w:tab w:val="center" w:pos="4846"/>
          <w:tab w:val="right" w:pos="9693"/>
        </w:tabs>
        <w:ind w:right="-693" w:rightChars="-330"/>
        <w:jc w:val="center"/>
        <w:rPr>
          <w:b/>
          <w:color w:val="000000" w:themeColor="text1"/>
          <w:szCs w:val="21"/>
          <w:highlight w:val="none"/>
        </w:rPr>
      </w:pPr>
      <w:r>
        <w:rPr>
          <w:rFonts w:hint="eastAsia" w:ascii="方正小标宋简体" w:hAnsi="方正小标宋简体" w:eastAsia="方正小标宋简体" w:cs="方正小标宋简体"/>
          <w:bCs/>
          <w:color w:val="000000" w:themeColor="text1"/>
          <w:sz w:val="44"/>
          <w:szCs w:val="44"/>
          <w:highlight w:val="none"/>
        </w:rPr>
        <w:t>设 备 采 购 合 同</w:t>
      </w:r>
    </w:p>
    <w:p>
      <w:pPr>
        <w:tabs>
          <w:tab w:val="left" w:pos="1400"/>
          <w:tab w:val="center" w:pos="4846"/>
          <w:tab w:val="right" w:pos="9693"/>
        </w:tabs>
        <w:ind w:right="-693" w:rightChars="-330"/>
        <w:jc w:val="center"/>
        <w:rPr>
          <w:rFonts w:ascii="宋体" w:hAnsi="宋体"/>
          <w:b/>
          <w:color w:val="000000" w:themeColor="text1"/>
          <w:szCs w:val="21"/>
          <w:highlight w:val="none"/>
        </w:rPr>
      </w:pPr>
    </w:p>
    <w:p>
      <w:pPr>
        <w:spacing w:line="360" w:lineRule="auto"/>
        <w:ind w:firstLine="420" w:firstLineChars="200"/>
        <w:rPr>
          <w:rFonts w:ascii="宋体" w:hAnsi="宋体"/>
          <w:color w:val="000000" w:themeColor="text1"/>
          <w:szCs w:val="21"/>
          <w:highlight w:val="none"/>
        </w:rPr>
      </w:pPr>
      <w:r>
        <w:rPr>
          <w:rFonts w:hint="eastAsia" w:ascii="宋体" w:hAnsi="宋体"/>
          <w:color w:val="000000" w:themeColor="text1"/>
          <w:szCs w:val="21"/>
          <w:highlight w:val="none"/>
        </w:rPr>
        <w:t>买方：江苏长江水务股份有限公司</w:t>
      </w:r>
    </w:p>
    <w:p>
      <w:pPr>
        <w:spacing w:line="360" w:lineRule="auto"/>
        <w:ind w:firstLine="420" w:firstLineChars="200"/>
        <w:rPr>
          <w:rFonts w:ascii="宋体" w:hAnsi="宋体"/>
          <w:color w:val="000000" w:themeColor="text1"/>
          <w:szCs w:val="21"/>
          <w:highlight w:val="none"/>
        </w:rPr>
      </w:pPr>
      <w:r>
        <w:rPr>
          <w:rFonts w:hint="eastAsia" w:ascii="宋体" w:hAnsi="宋体"/>
          <w:color w:val="000000" w:themeColor="text1"/>
          <w:szCs w:val="21"/>
          <w:highlight w:val="none"/>
        </w:rPr>
        <w:t>卖方：</w:t>
      </w:r>
    </w:p>
    <w:p>
      <w:pPr>
        <w:spacing w:line="360" w:lineRule="auto"/>
        <w:ind w:firstLine="420" w:firstLineChars="200"/>
        <w:rPr>
          <w:rFonts w:ascii="宋体" w:hAnsi="宋体"/>
          <w:color w:val="000000" w:themeColor="text1"/>
          <w:szCs w:val="21"/>
          <w:highlight w:val="none"/>
        </w:rPr>
      </w:pPr>
    </w:p>
    <w:p>
      <w:pPr>
        <w:spacing w:line="360" w:lineRule="auto"/>
        <w:ind w:firstLine="420" w:firstLineChars="200"/>
        <w:rPr>
          <w:rFonts w:ascii="宋体" w:hAnsi="宋体"/>
          <w:color w:val="000000" w:themeColor="text1"/>
          <w:szCs w:val="21"/>
          <w:highlight w:val="none"/>
        </w:rPr>
      </w:pPr>
      <w:r>
        <w:rPr>
          <w:rFonts w:ascii="宋体" w:hAnsi="宋体"/>
          <w:color w:val="000000" w:themeColor="text1"/>
          <w:szCs w:val="21"/>
          <w:highlight w:val="none"/>
        </w:rPr>
        <w:t xml:space="preserve">    江苏长江水务股份有限公司（以下简称“买方”）通过招标（招标编号：</w:t>
      </w:r>
      <w:r>
        <w:rPr>
          <w:rFonts w:hint="eastAsia" w:ascii="宋体" w:hAnsi="宋体"/>
          <w:color w:val="000000" w:themeColor="text1"/>
          <w:szCs w:val="21"/>
          <w:highlight w:val="none"/>
        </w:rPr>
        <w:t>），确定  公司（以下简称“卖方”）为江苏长江水务股份有限公司</w:t>
      </w:r>
      <w:r>
        <w:rPr>
          <w:rFonts w:ascii="宋体" w:hAnsi="宋体"/>
          <w:color w:val="000000" w:themeColor="text1"/>
          <w:szCs w:val="21"/>
          <w:highlight w:val="none"/>
        </w:rPr>
        <w:t>设备采购项目的供应方，经买卖双方协商一致，签订本合同。</w:t>
      </w:r>
    </w:p>
    <w:p>
      <w:pPr>
        <w:spacing w:line="360" w:lineRule="auto"/>
        <w:ind w:firstLine="422" w:firstLineChars="200"/>
        <w:rPr>
          <w:rFonts w:ascii="宋体" w:hAnsi="宋体"/>
          <w:b/>
          <w:color w:val="000000" w:themeColor="text1"/>
          <w:szCs w:val="21"/>
          <w:highlight w:val="none"/>
        </w:rPr>
      </w:pPr>
      <w:r>
        <w:rPr>
          <w:rFonts w:hint="eastAsia" w:ascii="宋体" w:hAnsi="宋体"/>
          <w:b/>
          <w:color w:val="000000" w:themeColor="text1"/>
          <w:szCs w:val="21"/>
          <w:highlight w:val="none"/>
        </w:rPr>
        <w:t>第一条　名词和用语</w:t>
      </w:r>
    </w:p>
    <w:p>
      <w:pPr>
        <w:spacing w:line="360" w:lineRule="auto"/>
        <w:ind w:firstLine="420" w:firstLineChars="200"/>
        <w:rPr>
          <w:rFonts w:ascii="宋体" w:hAnsi="宋体"/>
          <w:color w:val="000000" w:themeColor="text1"/>
          <w:szCs w:val="21"/>
          <w:highlight w:val="none"/>
        </w:rPr>
      </w:pPr>
      <w:r>
        <w:rPr>
          <w:rFonts w:hint="eastAsia" w:ascii="宋体" w:hAnsi="宋体"/>
          <w:color w:val="000000" w:themeColor="text1"/>
          <w:szCs w:val="21"/>
          <w:highlight w:val="none"/>
        </w:rPr>
        <w:t>下列名词和用语，除上下文另有规定外，有如下含义：</w:t>
      </w:r>
    </w:p>
    <w:p>
      <w:pPr>
        <w:numPr>
          <w:ilvl w:val="0"/>
          <w:numId w:val="2"/>
        </w:numPr>
        <w:tabs>
          <w:tab w:val="left" w:pos="1060"/>
          <w:tab w:val="clear" w:pos="960"/>
        </w:tabs>
        <w:spacing w:line="360" w:lineRule="auto"/>
        <w:ind w:left="0" w:firstLine="420" w:firstLineChars="200"/>
        <w:rPr>
          <w:rFonts w:ascii="宋体" w:hAnsi="宋体"/>
          <w:color w:val="000000" w:themeColor="text1"/>
          <w:szCs w:val="21"/>
          <w:highlight w:val="none"/>
        </w:rPr>
      </w:pPr>
      <w:r>
        <w:rPr>
          <w:rFonts w:hint="eastAsia" w:ascii="宋体" w:hAnsi="宋体"/>
          <w:color w:val="000000" w:themeColor="text1"/>
          <w:szCs w:val="21"/>
          <w:highlight w:val="none"/>
        </w:rPr>
        <w:t>“工程”是指江苏长江水务股份有限公司</w:t>
      </w:r>
      <w:r>
        <w:rPr>
          <w:rFonts w:ascii="宋体" w:hAnsi="宋体"/>
          <w:color w:val="000000" w:themeColor="text1"/>
          <w:szCs w:val="21"/>
          <w:highlight w:val="none"/>
        </w:rPr>
        <w:t>设备</w:t>
      </w:r>
      <w:r>
        <w:rPr>
          <w:rFonts w:hint="eastAsia" w:ascii="宋体" w:hAnsi="宋体"/>
          <w:color w:val="000000" w:themeColor="text1"/>
          <w:szCs w:val="21"/>
          <w:highlight w:val="none"/>
        </w:rPr>
        <w:t>采购、</w:t>
      </w:r>
      <w:r>
        <w:rPr>
          <w:rFonts w:ascii="宋体" w:hAnsi="宋体"/>
          <w:color w:val="000000" w:themeColor="text1"/>
          <w:szCs w:val="21"/>
          <w:highlight w:val="none"/>
        </w:rPr>
        <w:t>安装</w:t>
      </w:r>
      <w:r>
        <w:rPr>
          <w:rFonts w:hint="eastAsia" w:ascii="宋体" w:hAnsi="宋体"/>
          <w:color w:val="000000" w:themeColor="text1"/>
          <w:szCs w:val="21"/>
          <w:highlight w:val="none"/>
        </w:rPr>
        <w:t>及调试项目</w:t>
      </w:r>
      <w:r>
        <w:rPr>
          <w:rFonts w:ascii="宋体" w:hAnsi="宋体"/>
          <w:color w:val="000000" w:themeColor="text1"/>
          <w:szCs w:val="21"/>
          <w:highlight w:val="none"/>
        </w:rPr>
        <w:t>。</w:t>
      </w:r>
    </w:p>
    <w:p>
      <w:pPr>
        <w:numPr>
          <w:ilvl w:val="0"/>
          <w:numId w:val="2"/>
        </w:numPr>
        <w:tabs>
          <w:tab w:val="left" w:pos="1060"/>
          <w:tab w:val="clear" w:pos="960"/>
        </w:tabs>
        <w:spacing w:line="360" w:lineRule="auto"/>
        <w:ind w:left="0" w:firstLine="420" w:firstLineChars="200"/>
        <w:rPr>
          <w:rFonts w:ascii="宋体" w:hAnsi="宋体"/>
          <w:color w:val="000000" w:themeColor="text1"/>
          <w:szCs w:val="21"/>
          <w:highlight w:val="none"/>
        </w:rPr>
      </w:pPr>
      <w:r>
        <w:rPr>
          <w:rFonts w:hint="eastAsia" w:ascii="宋体" w:hAnsi="宋体"/>
          <w:color w:val="000000" w:themeColor="text1"/>
          <w:szCs w:val="21"/>
          <w:highlight w:val="none"/>
        </w:rPr>
        <w:t>“买方”指江苏长江水务股份有限公司或其合法承继者。</w:t>
      </w:r>
    </w:p>
    <w:p>
      <w:pPr>
        <w:numPr>
          <w:ilvl w:val="0"/>
          <w:numId w:val="2"/>
        </w:numPr>
        <w:tabs>
          <w:tab w:val="left" w:pos="1060"/>
          <w:tab w:val="clear" w:pos="960"/>
        </w:tabs>
        <w:spacing w:line="360" w:lineRule="auto"/>
        <w:ind w:left="0" w:firstLine="420" w:firstLineChars="200"/>
        <w:rPr>
          <w:rFonts w:ascii="宋体" w:hAnsi="宋体"/>
          <w:color w:val="000000" w:themeColor="text1"/>
          <w:szCs w:val="21"/>
          <w:highlight w:val="none"/>
        </w:rPr>
      </w:pPr>
      <w:r>
        <w:rPr>
          <w:rFonts w:hint="eastAsia" w:ascii="宋体" w:hAnsi="宋体"/>
          <w:color w:val="000000" w:themeColor="text1"/>
          <w:szCs w:val="21"/>
          <w:highlight w:val="none"/>
        </w:rPr>
        <w:t>“卖方”是指公司以及其合法承继者。</w:t>
      </w:r>
    </w:p>
    <w:p>
      <w:pPr>
        <w:numPr>
          <w:ilvl w:val="0"/>
          <w:numId w:val="2"/>
        </w:numPr>
        <w:tabs>
          <w:tab w:val="left" w:pos="1060"/>
          <w:tab w:val="clear" w:pos="960"/>
        </w:tabs>
        <w:spacing w:line="360" w:lineRule="auto"/>
        <w:ind w:left="0" w:firstLine="420" w:firstLineChars="200"/>
        <w:rPr>
          <w:rFonts w:ascii="宋体" w:hAnsi="宋体"/>
          <w:color w:val="000000" w:themeColor="text1"/>
          <w:szCs w:val="21"/>
          <w:highlight w:val="none"/>
        </w:rPr>
      </w:pPr>
      <w:r>
        <w:rPr>
          <w:rFonts w:hint="eastAsia" w:ascii="宋体" w:hAnsi="宋体"/>
          <w:color w:val="000000" w:themeColor="text1"/>
          <w:szCs w:val="21"/>
          <w:highlight w:val="none"/>
        </w:rPr>
        <w:t>“中标通知书”：指买方正式接受卖方投标的接受信。</w:t>
      </w:r>
    </w:p>
    <w:p>
      <w:pPr>
        <w:numPr>
          <w:ilvl w:val="0"/>
          <w:numId w:val="2"/>
        </w:numPr>
        <w:tabs>
          <w:tab w:val="left" w:pos="540"/>
          <w:tab w:val="left" w:pos="1060"/>
          <w:tab w:val="clear" w:pos="960"/>
        </w:tabs>
        <w:spacing w:line="360" w:lineRule="auto"/>
        <w:ind w:left="0" w:firstLine="420" w:firstLineChars="200"/>
        <w:rPr>
          <w:rFonts w:ascii="宋体" w:hAnsi="宋体"/>
          <w:color w:val="000000" w:themeColor="text1"/>
          <w:szCs w:val="21"/>
          <w:highlight w:val="none"/>
        </w:rPr>
      </w:pPr>
      <w:r>
        <w:rPr>
          <w:rFonts w:hint="eastAsia" w:ascii="宋体" w:hAnsi="宋体"/>
          <w:color w:val="000000" w:themeColor="text1"/>
          <w:szCs w:val="21"/>
          <w:highlight w:val="none"/>
        </w:rPr>
        <w:t>“不可抗力”：任何一方都不能预见、对其发生及后果不能避免并且超过合理控制范围、且不能克服的自然事件和社会事件。</w:t>
      </w:r>
    </w:p>
    <w:p>
      <w:pPr>
        <w:numPr>
          <w:ilvl w:val="0"/>
          <w:numId w:val="2"/>
        </w:numPr>
        <w:tabs>
          <w:tab w:val="left" w:pos="540"/>
          <w:tab w:val="left" w:pos="1060"/>
          <w:tab w:val="clear" w:pos="960"/>
        </w:tabs>
        <w:spacing w:line="360" w:lineRule="auto"/>
        <w:ind w:left="0" w:firstLine="420" w:firstLineChars="200"/>
        <w:rPr>
          <w:rFonts w:ascii="宋体" w:hAnsi="宋体"/>
          <w:color w:val="000000" w:themeColor="text1"/>
          <w:szCs w:val="21"/>
          <w:highlight w:val="none"/>
        </w:rPr>
      </w:pPr>
      <w:r>
        <w:rPr>
          <w:rFonts w:hint="eastAsia" w:ascii="宋体" w:hAnsi="宋体"/>
          <w:color w:val="000000" w:themeColor="text1"/>
          <w:szCs w:val="21"/>
          <w:highlight w:val="none"/>
        </w:rPr>
        <w:t>“合同价款”：指根据合同条款，用以支付卖方在全面正确地履行合同义务后卖方所应得的金额。</w:t>
      </w:r>
    </w:p>
    <w:p>
      <w:pPr>
        <w:numPr>
          <w:ilvl w:val="0"/>
          <w:numId w:val="2"/>
        </w:numPr>
        <w:tabs>
          <w:tab w:val="left" w:pos="1060"/>
          <w:tab w:val="clear" w:pos="960"/>
        </w:tabs>
        <w:spacing w:line="360" w:lineRule="auto"/>
        <w:ind w:left="0" w:firstLine="420" w:firstLineChars="200"/>
        <w:rPr>
          <w:rFonts w:ascii="宋体" w:hAnsi="宋体"/>
          <w:color w:val="000000" w:themeColor="text1"/>
          <w:szCs w:val="21"/>
          <w:highlight w:val="none"/>
        </w:rPr>
      </w:pPr>
      <w:r>
        <w:rPr>
          <w:rFonts w:hint="eastAsia" w:ascii="宋体" w:hAnsi="宋体"/>
          <w:color w:val="000000" w:themeColor="text1"/>
          <w:szCs w:val="21"/>
          <w:highlight w:val="none"/>
        </w:rPr>
        <w:t>“一方”：指买方或卖方的任何一方。</w:t>
      </w:r>
    </w:p>
    <w:p>
      <w:pPr>
        <w:numPr>
          <w:ilvl w:val="0"/>
          <w:numId w:val="2"/>
        </w:numPr>
        <w:tabs>
          <w:tab w:val="left" w:pos="540"/>
          <w:tab w:val="left" w:pos="1060"/>
          <w:tab w:val="clear" w:pos="960"/>
        </w:tabs>
        <w:spacing w:line="360" w:lineRule="auto"/>
        <w:ind w:left="0" w:firstLine="420" w:firstLineChars="200"/>
        <w:rPr>
          <w:rFonts w:ascii="宋体" w:hAnsi="宋体"/>
          <w:color w:val="000000" w:themeColor="text1"/>
          <w:szCs w:val="21"/>
          <w:highlight w:val="none"/>
        </w:rPr>
      </w:pPr>
      <w:r>
        <w:rPr>
          <w:rFonts w:hint="eastAsia" w:ascii="宋体" w:hAnsi="宋体"/>
          <w:color w:val="000000" w:themeColor="text1"/>
          <w:szCs w:val="21"/>
          <w:highlight w:val="none"/>
        </w:rPr>
        <w:t>“服务”：系指合同规定卖方需承担的检验、运输、保险、交接验收、技术援助与保障、培训以及其它类似的在合同中所提到的卖方的义务。</w:t>
      </w:r>
    </w:p>
    <w:p>
      <w:pPr>
        <w:numPr>
          <w:ilvl w:val="0"/>
          <w:numId w:val="2"/>
        </w:numPr>
        <w:tabs>
          <w:tab w:val="left" w:pos="1060"/>
          <w:tab w:val="clear" w:pos="960"/>
        </w:tabs>
        <w:spacing w:line="360" w:lineRule="auto"/>
        <w:ind w:left="0" w:firstLine="420" w:firstLineChars="200"/>
        <w:rPr>
          <w:rFonts w:ascii="宋体" w:hAnsi="宋体"/>
          <w:color w:val="000000" w:themeColor="text1"/>
          <w:szCs w:val="21"/>
          <w:highlight w:val="none"/>
        </w:rPr>
      </w:pPr>
      <w:r>
        <w:rPr>
          <w:rFonts w:hint="eastAsia" w:ascii="宋体" w:hAnsi="宋体"/>
          <w:color w:val="000000" w:themeColor="text1"/>
          <w:szCs w:val="21"/>
          <w:highlight w:val="none"/>
        </w:rPr>
        <w:t>“现场”系指将要进行加工或货物使用的地点。</w:t>
      </w:r>
    </w:p>
    <w:p>
      <w:pPr>
        <w:numPr>
          <w:ilvl w:val="0"/>
          <w:numId w:val="2"/>
        </w:numPr>
        <w:tabs>
          <w:tab w:val="left" w:pos="1060"/>
          <w:tab w:val="clear" w:pos="960"/>
        </w:tabs>
        <w:spacing w:line="360" w:lineRule="auto"/>
        <w:ind w:left="0" w:firstLine="420" w:firstLineChars="200"/>
        <w:rPr>
          <w:rFonts w:ascii="宋体" w:hAnsi="宋体"/>
          <w:color w:val="000000" w:themeColor="text1"/>
          <w:szCs w:val="21"/>
          <w:highlight w:val="none"/>
        </w:rPr>
      </w:pPr>
      <w:r>
        <w:rPr>
          <w:rFonts w:hint="eastAsia" w:ascii="宋体" w:hAnsi="宋体"/>
          <w:color w:val="000000" w:themeColor="text1"/>
          <w:szCs w:val="21"/>
          <w:highlight w:val="none"/>
        </w:rPr>
        <w:t>“技术资料”是指卖方提供的与合同设备及相关的设计、制造、监造、检验、安装、调试、验收、性能验收试验和技术指导等文件</w:t>
      </w:r>
      <w:r>
        <w:rPr>
          <w:rFonts w:ascii="宋体" w:hAnsi="宋体"/>
          <w:color w:val="000000" w:themeColor="text1"/>
          <w:szCs w:val="21"/>
          <w:highlight w:val="none"/>
        </w:rPr>
        <w:t>(包括图纸、各种文字说明、标准、各种软件)。</w:t>
      </w:r>
    </w:p>
    <w:p>
      <w:pPr>
        <w:numPr>
          <w:ilvl w:val="0"/>
          <w:numId w:val="2"/>
        </w:numPr>
        <w:tabs>
          <w:tab w:val="left" w:pos="1060"/>
          <w:tab w:val="clear" w:pos="960"/>
        </w:tabs>
        <w:spacing w:line="360" w:lineRule="auto"/>
        <w:ind w:left="0" w:firstLine="420" w:firstLineChars="200"/>
        <w:rPr>
          <w:rFonts w:ascii="宋体" w:hAnsi="宋体"/>
          <w:color w:val="000000" w:themeColor="text1"/>
          <w:szCs w:val="21"/>
          <w:highlight w:val="none"/>
        </w:rPr>
      </w:pPr>
      <w:r>
        <w:rPr>
          <w:rFonts w:hint="eastAsia" w:ascii="宋体" w:hAnsi="宋体"/>
          <w:color w:val="000000" w:themeColor="text1"/>
          <w:szCs w:val="21"/>
          <w:highlight w:val="none"/>
        </w:rPr>
        <w:t>“合同设备”是指卖方根据合同所供应的机器、装置、材料、物品、专用工具、备品备件等。</w:t>
      </w:r>
    </w:p>
    <w:p>
      <w:pPr>
        <w:numPr>
          <w:ilvl w:val="0"/>
          <w:numId w:val="2"/>
        </w:numPr>
        <w:tabs>
          <w:tab w:val="left" w:pos="1060"/>
          <w:tab w:val="clear" w:pos="960"/>
        </w:tabs>
        <w:spacing w:line="360" w:lineRule="auto"/>
        <w:ind w:left="0" w:firstLine="420" w:firstLineChars="200"/>
        <w:rPr>
          <w:rFonts w:ascii="宋体" w:hAnsi="宋体"/>
          <w:color w:val="000000" w:themeColor="text1"/>
          <w:szCs w:val="21"/>
          <w:highlight w:val="none"/>
        </w:rPr>
      </w:pPr>
      <w:r>
        <w:rPr>
          <w:rFonts w:hint="eastAsia" w:ascii="宋体" w:hAnsi="宋体"/>
          <w:color w:val="000000" w:themeColor="text1"/>
          <w:szCs w:val="21"/>
          <w:highlight w:val="none"/>
        </w:rPr>
        <w:t>“技术服务”是指由卖方提供的与本合同设备有关的工程设计、设备监造、检验、土建、安装、调试、验收、性能验收试验、运行、检修时相应的技术指导、技术配合、技术培训等全过程的服务。</w:t>
      </w:r>
    </w:p>
    <w:p>
      <w:pPr>
        <w:numPr>
          <w:ilvl w:val="0"/>
          <w:numId w:val="2"/>
        </w:numPr>
        <w:tabs>
          <w:tab w:val="left" w:pos="1060"/>
          <w:tab w:val="clear" w:pos="960"/>
        </w:tabs>
        <w:spacing w:line="360" w:lineRule="auto"/>
        <w:ind w:left="0" w:firstLine="420" w:firstLineChars="200"/>
        <w:rPr>
          <w:rFonts w:ascii="宋体" w:hAnsi="宋体"/>
          <w:color w:val="000000" w:themeColor="text1"/>
          <w:szCs w:val="21"/>
          <w:highlight w:val="none"/>
        </w:rPr>
      </w:pPr>
      <w:r>
        <w:rPr>
          <w:rFonts w:hint="eastAsia" w:ascii="宋体" w:hAnsi="宋体"/>
          <w:color w:val="000000" w:themeColor="text1"/>
          <w:szCs w:val="21"/>
          <w:highlight w:val="none"/>
        </w:rPr>
        <w:t>“验收”系指买方依据技术规格书规定接受所供货物或/和安装、调试应依据的程序和检验。</w:t>
      </w:r>
    </w:p>
    <w:p>
      <w:pPr>
        <w:numPr>
          <w:ilvl w:val="0"/>
          <w:numId w:val="2"/>
        </w:numPr>
        <w:tabs>
          <w:tab w:val="left" w:pos="540"/>
          <w:tab w:val="left" w:pos="1060"/>
          <w:tab w:val="clear" w:pos="960"/>
        </w:tabs>
        <w:spacing w:line="360" w:lineRule="auto"/>
        <w:ind w:left="0" w:firstLine="420" w:firstLineChars="200"/>
        <w:rPr>
          <w:rFonts w:ascii="宋体" w:hAnsi="宋体"/>
          <w:color w:val="000000" w:themeColor="text1"/>
          <w:szCs w:val="21"/>
          <w:highlight w:val="none"/>
        </w:rPr>
      </w:pPr>
      <w:r>
        <w:rPr>
          <w:rFonts w:hint="eastAsia" w:ascii="宋体" w:hAnsi="宋体"/>
          <w:color w:val="000000" w:themeColor="text1"/>
          <w:szCs w:val="21"/>
          <w:highlight w:val="none"/>
        </w:rPr>
        <w:t>“日、月、年”是指公历的日、月、年；“天”是指</w:t>
      </w:r>
      <w:r>
        <w:rPr>
          <w:rFonts w:ascii="宋体" w:hAnsi="宋体"/>
          <w:color w:val="000000" w:themeColor="text1"/>
          <w:szCs w:val="21"/>
          <w:highlight w:val="none"/>
        </w:rPr>
        <w:t>24小时；“周”是指7天。</w:t>
      </w:r>
    </w:p>
    <w:p>
      <w:pPr>
        <w:numPr>
          <w:ilvl w:val="0"/>
          <w:numId w:val="2"/>
        </w:numPr>
        <w:tabs>
          <w:tab w:val="left" w:pos="540"/>
          <w:tab w:val="left" w:pos="1060"/>
          <w:tab w:val="clear" w:pos="960"/>
        </w:tabs>
        <w:spacing w:line="360" w:lineRule="auto"/>
        <w:ind w:left="0" w:firstLine="420" w:firstLineChars="200"/>
        <w:rPr>
          <w:rFonts w:ascii="宋体" w:hAnsi="宋体"/>
          <w:color w:val="000000" w:themeColor="text1"/>
          <w:szCs w:val="21"/>
          <w:highlight w:val="none"/>
        </w:rPr>
      </w:pPr>
      <w:r>
        <w:rPr>
          <w:rFonts w:hint="eastAsia" w:ascii="宋体" w:hAnsi="宋体"/>
          <w:color w:val="000000" w:themeColor="text1"/>
          <w:szCs w:val="21"/>
          <w:highlight w:val="none"/>
        </w:rPr>
        <w:t>“备品备件”是指根据本合同提供的随机备用部件。</w:t>
      </w:r>
    </w:p>
    <w:p>
      <w:pPr>
        <w:numPr>
          <w:ilvl w:val="0"/>
          <w:numId w:val="2"/>
        </w:numPr>
        <w:tabs>
          <w:tab w:val="left" w:pos="540"/>
          <w:tab w:val="left" w:pos="1060"/>
          <w:tab w:val="clear" w:pos="960"/>
        </w:tabs>
        <w:spacing w:line="360" w:lineRule="auto"/>
        <w:ind w:left="0" w:firstLine="420" w:firstLineChars="200"/>
        <w:rPr>
          <w:rFonts w:ascii="宋体" w:hAnsi="宋体"/>
          <w:color w:val="000000" w:themeColor="text1"/>
          <w:szCs w:val="21"/>
          <w:highlight w:val="none"/>
        </w:rPr>
      </w:pPr>
      <w:r>
        <w:rPr>
          <w:rFonts w:hint="eastAsia" w:ascii="宋体" w:hAnsi="宋体"/>
          <w:color w:val="000000" w:themeColor="text1"/>
          <w:szCs w:val="21"/>
          <w:highlight w:val="none"/>
        </w:rPr>
        <w:t>“设备缺陷”是指卖方因设计、制造错误或疏忽所引起的本合同设备（包括部件、原材料、铸锻件、原器件等）达不到本合同及技术附件规定的性能、质量标准要求的情形。</w:t>
      </w:r>
    </w:p>
    <w:p>
      <w:pPr>
        <w:numPr>
          <w:ilvl w:val="0"/>
          <w:numId w:val="2"/>
        </w:numPr>
        <w:tabs>
          <w:tab w:val="left" w:pos="540"/>
          <w:tab w:val="left" w:pos="1060"/>
          <w:tab w:val="clear" w:pos="960"/>
        </w:tabs>
        <w:spacing w:line="360" w:lineRule="auto"/>
        <w:ind w:left="0" w:firstLine="420" w:firstLineChars="200"/>
        <w:rPr>
          <w:rFonts w:ascii="宋体" w:hAnsi="宋体"/>
          <w:color w:val="000000" w:themeColor="text1"/>
          <w:szCs w:val="21"/>
          <w:highlight w:val="none"/>
        </w:rPr>
      </w:pPr>
      <w:r>
        <w:rPr>
          <w:rFonts w:hint="eastAsia" w:ascii="宋体" w:hAnsi="宋体"/>
          <w:color w:val="000000" w:themeColor="text1"/>
          <w:szCs w:val="21"/>
          <w:highlight w:val="none"/>
        </w:rPr>
        <w:t>“初步性能验收”是指当性能验收试验的结果表明已达到了合同附件技术规格书规定的保证值后，买方对合同设备的验收。</w:t>
      </w:r>
    </w:p>
    <w:p>
      <w:pPr>
        <w:numPr>
          <w:ilvl w:val="0"/>
          <w:numId w:val="2"/>
        </w:numPr>
        <w:tabs>
          <w:tab w:val="left" w:pos="1060"/>
          <w:tab w:val="clear" w:pos="960"/>
        </w:tabs>
        <w:spacing w:line="360" w:lineRule="auto"/>
        <w:ind w:left="0" w:firstLine="420" w:firstLineChars="200"/>
        <w:rPr>
          <w:rFonts w:ascii="宋体" w:hAnsi="宋体"/>
          <w:color w:val="000000" w:themeColor="text1"/>
          <w:szCs w:val="21"/>
          <w:highlight w:val="none"/>
        </w:rPr>
      </w:pPr>
      <w:r>
        <w:rPr>
          <w:rFonts w:hint="eastAsia" w:ascii="宋体" w:hAnsi="宋体"/>
          <w:color w:val="000000" w:themeColor="text1"/>
          <w:szCs w:val="21"/>
          <w:highlight w:val="none"/>
        </w:rPr>
        <w:t>“最终性能验收”是指买方对每一合同设备质量保证期满后的验收。</w:t>
      </w:r>
    </w:p>
    <w:p>
      <w:pPr>
        <w:spacing w:line="360" w:lineRule="auto"/>
        <w:ind w:firstLine="420" w:firstLineChars="200"/>
        <w:rPr>
          <w:rFonts w:ascii="宋体" w:hAnsi="宋体"/>
          <w:color w:val="000000" w:themeColor="text1"/>
          <w:szCs w:val="21"/>
          <w:highlight w:val="none"/>
        </w:rPr>
      </w:pPr>
    </w:p>
    <w:p>
      <w:pPr>
        <w:spacing w:line="360" w:lineRule="auto"/>
        <w:ind w:firstLine="422" w:firstLineChars="200"/>
        <w:rPr>
          <w:rFonts w:ascii="宋体" w:hAnsi="宋体"/>
          <w:b/>
          <w:color w:val="000000" w:themeColor="text1"/>
          <w:szCs w:val="21"/>
          <w:highlight w:val="none"/>
        </w:rPr>
      </w:pPr>
      <w:r>
        <w:rPr>
          <w:rFonts w:hint="eastAsia" w:ascii="宋体" w:hAnsi="宋体"/>
          <w:b/>
          <w:color w:val="000000" w:themeColor="text1"/>
          <w:szCs w:val="21"/>
          <w:highlight w:val="none"/>
        </w:rPr>
        <w:t>第二条　合同条件的构成及解释顺序</w:t>
      </w:r>
    </w:p>
    <w:p>
      <w:pPr>
        <w:spacing w:line="360" w:lineRule="auto"/>
        <w:ind w:firstLine="420" w:firstLineChars="200"/>
        <w:rPr>
          <w:rFonts w:ascii="宋体" w:hAnsi="宋体"/>
          <w:color w:val="000000" w:themeColor="text1"/>
          <w:szCs w:val="21"/>
          <w:highlight w:val="none"/>
        </w:rPr>
      </w:pPr>
      <w:r>
        <w:rPr>
          <w:rFonts w:hint="eastAsia" w:ascii="宋体" w:hAnsi="宋体"/>
          <w:color w:val="000000" w:themeColor="text1"/>
          <w:szCs w:val="21"/>
          <w:highlight w:val="none"/>
        </w:rPr>
        <w:t>合同文件应能互相解释，互为说明。除合同另有约定外，其组成和解释顺序如下：</w:t>
      </w:r>
    </w:p>
    <w:p>
      <w:pPr>
        <w:numPr>
          <w:ilvl w:val="0"/>
          <w:numId w:val="3"/>
        </w:numPr>
        <w:tabs>
          <w:tab w:val="left" w:pos="1060"/>
          <w:tab w:val="left" w:pos="1440"/>
          <w:tab w:val="clear" w:pos="1140"/>
        </w:tabs>
        <w:spacing w:line="360" w:lineRule="auto"/>
        <w:ind w:left="0" w:firstLine="420" w:firstLineChars="200"/>
        <w:rPr>
          <w:rFonts w:ascii="宋体" w:hAnsi="宋体"/>
          <w:color w:val="000000" w:themeColor="text1"/>
          <w:szCs w:val="21"/>
          <w:highlight w:val="none"/>
        </w:rPr>
      </w:pPr>
      <w:r>
        <w:rPr>
          <w:rFonts w:hint="eastAsia" w:ascii="宋体" w:hAnsi="宋体"/>
          <w:color w:val="000000" w:themeColor="text1"/>
          <w:szCs w:val="21"/>
          <w:highlight w:val="none"/>
        </w:rPr>
        <w:t>双方协商同意的对本合同的变更、补充协议等正式书面文件；</w:t>
      </w:r>
    </w:p>
    <w:p>
      <w:pPr>
        <w:numPr>
          <w:ilvl w:val="0"/>
          <w:numId w:val="3"/>
        </w:numPr>
        <w:tabs>
          <w:tab w:val="left" w:pos="1060"/>
          <w:tab w:val="left" w:pos="1440"/>
          <w:tab w:val="clear" w:pos="1140"/>
        </w:tabs>
        <w:spacing w:line="360" w:lineRule="auto"/>
        <w:ind w:left="0" w:firstLine="420" w:firstLineChars="200"/>
        <w:rPr>
          <w:rFonts w:ascii="宋体" w:hAnsi="宋体"/>
          <w:color w:val="000000" w:themeColor="text1"/>
          <w:szCs w:val="21"/>
          <w:highlight w:val="none"/>
        </w:rPr>
      </w:pPr>
      <w:r>
        <w:rPr>
          <w:rFonts w:hint="eastAsia" w:ascii="宋体" w:hAnsi="宋体"/>
          <w:color w:val="000000" w:themeColor="text1"/>
          <w:szCs w:val="21"/>
          <w:highlight w:val="none"/>
        </w:rPr>
        <w:t>本合同；</w:t>
      </w:r>
    </w:p>
    <w:p>
      <w:pPr>
        <w:numPr>
          <w:ilvl w:val="0"/>
          <w:numId w:val="3"/>
        </w:numPr>
        <w:tabs>
          <w:tab w:val="left" w:pos="1060"/>
          <w:tab w:val="left" w:pos="1440"/>
          <w:tab w:val="clear" w:pos="1140"/>
        </w:tabs>
        <w:spacing w:line="360" w:lineRule="auto"/>
        <w:ind w:left="0" w:firstLine="420" w:firstLineChars="200"/>
        <w:rPr>
          <w:rFonts w:ascii="宋体" w:hAnsi="宋体"/>
          <w:color w:val="000000" w:themeColor="text1"/>
          <w:szCs w:val="21"/>
          <w:highlight w:val="none"/>
        </w:rPr>
      </w:pPr>
      <w:r>
        <w:rPr>
          <w:rFonts w:hint="eastAsia" w:ascii="宋体" w:hAnsi="宋体"/>
          <w:color w:val="000000" w:themeColor="text1"/>
          <w:szCs w:val="21"/>
          <w:highlight w:val="none"/>
        </w:rPr>
        <w:t>中标通知书；</w:t>
      </w:r>
    </w:p>
    <w:p>
      <w:pPr>
        <w:numPr>
          <w:ilvl w:val="0"/>
          <w:numId w:val="3"/>
        </w:numPr>
        <w:tabs>
          <w:tab w:val="left" w:pos="1060"/>
          <w:tab w:val="left" w:pos="1440"/>
          <w:tab w:val="clear" w:pos="1140"/>
        </w:tabs>
        <w:spacing w:line="360" w:lineRule="auto"/>
        <w:ind w:left="0" w:firstLine="420" w:firstLineChars="200"/>
        <w:rPr>
          <w:rFonts w:ascii="宋体" w:hAnsi="宋体"/>
          <w:color w:val="000000" w:themeColor="text1"/>
          <w:szCs w:val="21"/>
          <w:highlight w:val="none"/>
        </w:rPr>
      </w:pPr>
      <w:r>
        <w:rPr>
          <w:rFonts w:hint="eastAsia" w:ascii="宋体" w:hAnsi="宋体"/>
          <w:color w:val="000000" w:themeColor="text1"/>
          <w:szCs w:val="21"/>
          <w:highlight w:val="none"/>
        </w:rPr>
        <w:t>投标文件；</w:t>
      </w:r>
    </w:p>
    <w:p>
      <w:pPr>
        <w:numPr>
          <w:ilvl w:val="0"/>
          <w:numId w:val="3"/>
        </w:numPr>
        <w:tabs>
          <w:tab w:val="left" w:pos="1060"/>
          <w:tab w:val="left" w:pos="1440"/>
          <w:tab w:val="clear" w:pos="1140"/>
        </w:tabs>
        <w:spacing w:line="360" w:lineRule="auto"/>
        <w:ind w:left="0" w:firstLine="420" w:firstLineChars="200"/>
        <w:rPr>
          <w:rFonts w:ascii="宋体" w:hAnsi="宋体"/>
          <w:color w:val="000000" w:themeColor="text1"/>
          <w:szCs w:val="21"/>
          <w:highlight w:val="none"/>
        </w:rPr>
      </w:pPr>
      <w:r>
        <w:rPr>
          <w:rFonts w:hint="eastAsia" w:ascii="宋体" w:hAnsi="宋体"/>
          <w:color w:val="000000" w:themeColor="text1"/>
          <w:szCs w:val="21"/>
          <w:highlight w:val="none"/>
        </w:rPr>
        <w:t>买方提供的工程技术资料和技术要求；</w:t>
      </w:r>
    </w:p>
    <w:p>
      <w:pPr>
        <w:numPr>
          <w:ilvl w:val="0"/>
          <w:numId w:val="3"/>
        </w:numPr>
        <w:tabs>
          <w:tab w:val="left" w:pos="1060"/>
          <w:tab w:val="left" w:pos="1440"/>
          <w:tab w:val="clear" w:pos="1140"/>
        </w:tabs>
        <w:spacing w:line="360" w:lineRule="auto"/>
        <w:ind w:left="0" w:firstLine="420" w:firstLineChars="200"/>
        <w:rPr>
          <w:rFonts w:ascii="宋体" w:hAnsi="宋体"/>
          <w:color w:val="000000" w:themeColor="text1"/>
          <w:szCs w:val="21"/>
          <w:highlight w:val="none"/>
        </w:rPr>
      </w:pPr>
      <w:r>
        <w:rPr>
          <w:rFonts w:hint="eastAsia" w:ascii="宋体" w:hAnsi="宋体"/>
          <w:color w:val="000000" w:themeColor="text1"/>
          <w:szCs w:val="21"/>
          <w:highlight w:val="none"/>
        </w:rPr>
        <w:t>卖方提供的技术资料；</w:t>
      </w:r>
    </w:p>
    <w:p>
      <w:pPr>
        <w:numPr>
          <w:ilvl w:val="0"/>
          <w:numId w:val="3"/>
        </w:numPr>
        <w:tabs>
          <w:tab w:val="left" w:pos="1060"/>
          <w:tab w:val="left" w:pos="1440"/>
          <w:tab w:val="clear" w:pos="1140"/>
        </w:tabs>
        <w:spacing w:line="360" w:lineRule="auto"/>
        <w:ind w:left="0" w:firstLine="420" w:firstLineChars="200"/>
        <w:rPr>
          <w:rFonts w:ascii="宋体" w:hAnsi="宋体"/>
          <w:color w:val="000000" w:themeColor="text1"/>
          <w:szCs w:val="21"/>
          <w:highlight w:val="none"/>
        </w:rPr>
      </w:pPr>
      <w:r>
        <w:rPr>
          <w:rFonts w:hint="eastAsia" w:ascii="宋体" w:hAnsi="宋体"/>
          <w:color w:val="000000" w:themeColor="text1"/>
          <w:szCs w:val="21"/>
          <w:highlight w:val="none"/>
        </w:rPr>
        <w:t>招标文件；</w:t>
      </w:r>
    </w:p>
    <w:p>
      <w:pPr>
        <w:spacing w:line="360" w:lineRule="auto"/>
        <w:ind w:firstLine="420" w:firstLineChars="200"/>
        <w:rPr>
          <w:rFonts w:ascii="宋体" w:hAnsi="宋体"/>
          <w:color w:val="000000" w:themeColor="text1"/>
          <w:szCs w:val="21"/>
          <w:highlight w:val="none"/>
        </w:rPr>
      </w:pPr>
      <w:r>
        <w:rPr>
          <w:rFonts w:hint="eastAsia" w:ascii="宋体" w:hAnsi="宋体"/>
          <w:color w:val="000000" w:themeColor="text1"/>
          <w:szCs w:val="21"/>
          <w:highlight w:val="none"/>
        </w:rPr>
        <w:t>当合同文件出现含糊不清或不相一致，并按上述规定不能解决时，由双方协商解决；双方经协商不能达成一致的，按本合同第二十六条约定的办法解决。</w:t>
      </w:r>
    </w:p>
    <w:p>
      <w:pPr>
        <w:spacing w:line="360" w:lineRule="auto"/>
        <w:ind w:firstLine="420" w:firstLineChars="200"/>
        <w:rPr>
          <w:rFonts w:ascii="宋体" w:hAnsi="宋体"/>
          <w:color w:val="000000" w:themeColor="text1"/>
          <w:szCs w:val="21"/>
          <w:highlight w:val="none"/>
        </w:rPr>
      </w:pPr>
    </w:p>
    <w:p>
      <w:pPr>
        <w:spacing w:line="360" w:lineRule="auto"/>
        <w:ind w:firstLine="422" w:firstLineChars="200"/>
        <w:rPr>
          <w:rFonts w:ascii="宋体" w:hAnsi="宋体"/>
          <w:b/>
          <w:color w:val="000000" w:themeColor="text1"/>
          <w:szCs w:val="21"/>
          <w:highlight w:val="none"/>
        </w:rPr>
      </w:pPr>
    </w:p>
    <w:p>
      <w:pPr>
        <w:spacing w:line="360" w:lineRule="auto"/>
        <w:ind w:firstLine="422" w:firstLineChars="200"/>
        <w:rPr>
          <w:rFonts w:ascii="宋体" w:hAnsi="宋体"/>
          <w:b/>
          <w:color w:val="000000" w:themeColor="text1"/>
          <w:szCs w:val="21"/>
          <w:highlight w:val="none"/>
        </w:rPr>
      </w:pPr>
      <w:r>
        <w:rPr>
          <w:rFonts w:hint="eastAsia" w:ascii="宋体" w:hAnsi="宋体"/>
          <w:b/>
          <w:color w:val="000000" w:themeColor="text1"/>
          <w:szCs w:val="21"/>
          <w:highlight w:val="none"/>
        </w:rPr>
        <w:t>第三条 适用的法律</w:t>
      </w:r>
    </w:p>
    <w:p>
      <w:pPr>
        <w:spacing w:line="360" w:lineRule="auto"/>
        <w:ind w:firstLine="420" w:firstLineChars="200"/>
        <w:rPr>
          <w:rFonts w:ascii="宋体" w:hAnsi="宋体"/>
          <w:color w:val="000000" w:themeColor="text1"/>
          <w:szCs w:val="21"/>
          <w:highlight w:val="none"/>
        </w:rPr>
      </w:pPr>
      <w:r>
        <w:rPr>
          <w:rFonts w:hint="eastAsia" w:ascii="宋体" w:hAnsi="宋体"/>
          <w:color w:val="000000" w:themeColor="text1"/>
          <w:szCs w:val="21"/>
          <w:highlight w:val="none"/>
        </w:rPr>
        <w:t>本合同适用的法律是指中华人民共和国的法律、行政法规，以及双方议定的部门规章或设备安装地的地方法规、地方规章。</w:t>
      </w:r>
    </w:p>
    <w:p>
      <w:pPr>
        <w:spacing w:line="360" w:lineRule="auto"/>
        <w:ind w:firstLine="420" w:firstLineChars="200"/>
        <w:rPr>
          <w:rFonts w:ascii="宋体" w:hAnsi="宋体"/>
          <w:color w:val="000000" w:themeColor="text1"/>
          <w:szCs w:val="21"/>
          <w:highlight w:val="none"/>
        </w:rPr>
      </w:pPr>
      <w:r>
        <w:rPr>
          <w:rFonts w:hint="eastAsia" w:ascii="宋体" w:hAnsi="宋体"/>
          <w:color w:val="000000" w:themeColor="text1"/>
          <w:szCs w:val="21"/>
          <w:highlight w:val="none"/>
        </w:rPr>
        <w:t>本合同文件使用中文书写、解释和说明。除技术规格书中另有规定外，计量单位均使用国际单位制。</w:t>
      </w:r>
    </w:p>
    <w:p>
      <w:pPr>
        <w:spacing w:line="360" w:lineRule="auto"/>
        <w:ind w:firstLine="420" w:firstLineChars="200"/>
        <w:rPr>
          <w:rFonts w:ascii="宋体" w:hAnsi="宋体"/>
          <w:color w:val="000000" w:themeColor="text1"/>
          <w:szCs w:val="21"/>
          <w:highlight w:val="none"/>
        </w:rPr>
      </w:pPr>
    </w:p>
    <w:p>
      <w:pPr>
        <w:spacing w:line="360" w:lineRule="auto"/>
        <w:ind w:firstLine="422" w:firstLineChars="200"/>
        <w:rPr>
          <w:rFonts w:ascii="宋体" w:hAnsi="宋体"/>
          <w:b/>
          <w:color w:val="000000" w:themeColor="text1"/>
          <w:szCs w:val="21"/>
          <w:highlight w:val="none"/>
        </w:rPr>
      </w:pPr>
      <w:r>
        <w:rPr>
          <w:rFonts w:hint="eastAsia" w:ascii="宋体" w:hAnsi="宋体"/>
          <w:b/>
          <w:color w:val="000000" w:themeColor="text1"/>
          <w:szCs w:val="21"/>
          <w:highlight w:val="none"/>
        </w:rPr>
        <w:t>第四条 合同标的</w:t>
      </w:r>
    </w:p>
    <w:p>
      <w:pPr>
        <w:numPr>
          <w:ilvl w:val="0"/>
          <w:numId w:val="4"/>
        </w:numPr>
        <w:tabs>
          <w:tab w:val="left" w:pos="900"/>
          <w:tab w:val="left" w:pos="1440"/>
          <w:tab w:val="clear" w:pos="1080"/>
        </w:tabs>
        <w:spacing w:line="360" w:lineRule="auto"/>
        <w:ind w:left="0" w:firstLine="420" w:firstLineChars="200"/>
        <w:rPr>
          <w:rFonts w:ascii="宋体" w:hAnsi="宋体"/>
          <w:color w:val="000000" w:themeColor="text1"/>
          <w:szCs w:val="21"/>
          <w:highlight w:val="none"/>
        </w:rPr>
      </w:pPr>
      <w:r>
        <w:rPr>
          <w:rFonts w:hint="eastAsia" w:ascii="宋体" w:hAnsi="宋体"/>
          <w:color w:val="000000" w:themeColor="text1"/>
          <w:szCs w:val="21"/>
          <w:highlight w:val="none"/>
        </w:rPr>
        <w:t>设备名称、规格</w:t>
      </w:r>
      <w:r>
        <w:rPr>
          <w:rFonts w:ascii="宋体" w:hAnsi="宋体"/>
          <w:color w:val="000000" w:themeColor="text1"/>
          <w:szCs w:val="21"/>
          <w:highlight w:val="none"/>
        </w:rPr>
        <w:t>(型号)、数量</w:t>
      </w:r>
    </w:p>
    <w:p>
      <w:pPr>
        <w:tabs>
          <w:tab w:val="left" w:pos="900"/>
        </w:tabs>
        <w:spacing w:line="360" w:lineRule="auto"/>
        <w:ind w:firstLine="420" w:firstLineChars="200"/>
        <w:rPr>
          <w:rFonts w:ascii="宋体" w:hAnsi="宋体"/>
          <w:color w:val="000000" w:themeColor="text1"/>
          <w:szCs w:val="21"/>
          <w:highlight w:val="none"/>
        </w:rPr>
      </w:pPr>
      <w:r>
        <w:rPr>
          <w:rFonts w:hint="eastAsia" w:ascii="宋体" w:hAnsi="宋体"/>
          <w:color w:val="000000" w:themeColor="text1"/>
          <w:szCs w:val="21"/>
          <w:highlight w:val="none"/>
        </w:rPr>
        <w:t>设备名称：</w:t>
      </w:r>
    </w:p>
    <w:p>
      <w:pPr>
        <w:tabs>
          <w:tab w:val="left" w:pos="900"/>
        </w:tabs>
        <w:spacing w:line="360" w:lineRule="auto"/>
        <w:ind w:firstLine="420" w:firstLineChars="200"/>
        <w:rPr>
          <w:rFonts w:ascii="宋体" w:hAnsi="宋体"/>
          <w:color w:val="000000" w:themeColor="text1"/>
          <w:szCs w:val="21"/>
          <w:highlight w:val="none"/>
        </w:rPr>
      </w:pPr>
      <w:r>
        <w:rPr>
          <w:rFonts w:hint="eastAsia" w:ascii="宋体" w:hAnsi="宋体"/>
          <w:color w:val="000000" w:themeColor="text1"/>
          <w:szCs w:val="21"/>
          <w:highlight w:val="none"/>
        </w:rPr>
        <w:t>设备规格</w:t>
      </w:r>
      <w:r>
        <w:rPr>
          <w:rFonts w:ascii="宋体" w:hAnsi="宋体"/>
          <w:color w:val="000000" w:themeColor="text1"/>
          <w:szCs w:val="21"/>
          <w:highlight w:val="none"/>
        </w:rPr>
        <w:t>(型号)及数量：。</w:t>
      </w:r>
    </w:p>
    <w:p>
      <w:pPr>
        <w:numPr>
          <w:ilvl w:val="0"/>
          <w:numId w:val="4"/>
        </w:numPr>
        <w:tabs>
          <w:tab w:val="left" w:pos="900"/>
          <w:tab w:val="left" w:pos="1440"/>
          <w:tab w:val="clear" w:pos="1080"/>
        </w:tabs>
        <w:spacing w:line="360" w:lineRule="auto"/>
        <w:ind w:left="0" w:firstLine="420" w:firstLineChars="200"/>
        <w:rPr>
          <w:rFonts w:ascii="宋体" w:hAnsi="宋体"/>
          <w:color w:val="000000" w:themeColor="text1"/>
          <w:szCs w:val="21"/>
          <w:highlight w:val="none"/>
        </w:rPr>
      </w:pPr>
      <w:r>
        <w:rPr>
          <w:rFonts w:hint="eastAsia" w:ascii="宋体" w:hAnsi="宋体"/>
          <w:color w:val="000000" w:themeColor="text1"/>
          <w:szCs w:val="21"/>
          <w:highlight w:val="none"/>
        </w:rPr>
        <w:t>凡卖方供应的设备应是全新的、安全的、经济的、技术先进并且是成熟可靠的。</w:t>
      </w:r>
    </w:p>
    <w:p>
      <w:pPr>
        <w:numPr>
          <w:ilvl w:val="0"/>
          <w:numId w:val="4"/>
        </w:numPr>
        <w:tabs>
          <w:tab w:val="left" w:pos="900"/>
          <w:tab w:val="left" w:pos="1440"/>
          <w:tab w:val="clear" w:pos="1080"/>
        </w:tabs>
        <w:spacing w:line="360" w:lineRule="auto"/>
        <w:ind w:left="0" w:firstLine="420" w:firstLineChars="200"/>
        <w:rPr>
          <w:rFonts w:ascii="宋体" w:hAnsi="宋体"/>
          <w:color w:val="000000" w:themeColor="text1"/>
          <w:szCs w:val="21"/>
          <w:highlight w:val="none"/>
        </w:rPr>
      </w:pPr>
      <w:r>
        <w:rPr>
          <w:rFonts w:hint="eastAsia" w:ascii="宋体" w:hAnsi="宋体"/>
          <w:color w:val="000000" w:themeColor="text1"/>
          <w:szCs w:val="21"/>
          <w:highlight w:val="none"/>
        </w:rPr>
        <w:t>设备的技术规范、技术经济指标和性能、合同设备的供货范围、卖方提供的技术资料和技术服务。</w:t>
      </w:r>
    </w:p>
    <w:p>
      <w:pPr>
        <w:numPr>
          <w:ilvl w:val="0"/>
          <w:numId w:val="4"/>
        </w:numPr>
        <w:tabs>
          <w:tab w:val="left" w:pos="900"/>
          <w:tab w:val="left" w:pos="1440"/>
          <w:tab w:val="clear" w:pos="1080"/>
        </w:tabs>
        <w:spacing w:line="360" w:lineRule="auto"/>
        <w:ind w:left="0" w:firstLine="420" w:firstLineChars="200"/>
        <w:rPr>
          <w:rFonts w:ascii="宋体" w:hAnsi="宋体"/>
          <w:color w:val="000000" w:themeColor="text1"/>
          <w:szCs w:val="21"/>
          <w:highlight w:val="none"/>
        </w:rPr>
      </w:pPr>
      <w:r>
        <w:rPr>
          <w:rFonts w:ascii="宋体" w:hAnsi="宋体"/>
          <w:color w:val="000000" w:themeColor="text1"/>
          <w:szCs w:val="21"/>
          <w:highlight w:val="none"/>
        </w:rPr>
        <w:t>买方有权对采购设备的数量在一定范围内调整，单价仍按投标时的价格。</w:t>
      </w:r>
    </w:p>
    <w:p>
      <w:pPr>
        <w:spacing w:line="360" w:lineRule="auto"/>
        <w:ind w:firstLine="420" w:firstLineChars="200"/>
        <w:rPr>
          <w:rFonts w:ascii="宋体" w:hAnsi="宋体"/>
          <w:color w:val="000000" w:themeColor="text1"/>
          <w:szCs w:val="21"/>
          <w:highlight w:val="none"/>
        </w:rPr>
      </w:pPr>
    </w:p>
    <w:p>
      <w:pPr>
        <w:spacing w:line="360" w:lineRule="auto"/>
        <w:ind w:firstLine="422" w:firstLineChars="200"/>
        <w:rPr>
          <w:rFonts w:ascii="宋体" w:hAnsi="宋体"/>
          <w:color w:val="000000" w:themeColor="text1"/>
          <w:szCs w:val="21"/>
          <w:highlight w:val="none"/>
        </w:rPr>
      </w:pPr>
      <w:r>
        <w:rPr>
          <w:rFonts w:hint="eastAsia" w:ascii="宋体" w:hAnsi="宋体"/>
          <w:b/>
          <w:color w:val="000000" w:themeColor="text1"/>
          <w:szCs w:val="21"/>
          <w:highlight w:val="none"/>
        </w:rPr>
        <w:t>第五条供货范围</w:t>
      </w:r>
    </w:p>
    <w:p>
      <w:pPr>
        <w:spacing w:line="360" w:lineRule="auto"/>
        <w:ind w:firstLine="420" w:firstLineChars="200"/>
        <w:rPr>
          <w:rFonts w:ascii="宋体" w:hAnsi="宋体"/>
          <w:color w:val="000000" w:themeColor="text1"/>
          <w:szCs w:val="21"/>
          <w:highlight w:val="none"/>
        </w:rPr>
      </w:pPr>
      <w:r>
        <w:rPr>
          <w:rFonts w:hint="eastAsia" w:ascii="宋体" w:hAnsi="宋体"/>
          <w:color w:val="000000" w:themeColor="text1"/>
          <w:szCs w:val="21"/>
          <w:highlight w:val="none"/>
        </w:rPr>
        <w:t>本合同的供货范围包括了所有设备、技术资料、专用工具、备品备件、人员培训及技术协调、技术服务及调试，但在执行合同过程中如发现有任何漏项和短缺，在发货清单中并未列入而且确实是卖方供货范围中应该有的，并且是满足技术规格书对合同设备的性能保证值要求所必须的，均应由卖方负责将所缺的设备、技术资料、专用工具、备品备件、人员培训及技术协调、技术服务及技术指导等补上，发生的费用由卖方承担。</w:t>
      </w:r>
    </w:p>
    <w:p>
      <w:pPr>
        <w:spacing w:line="360" w:lineRule="auto"/>
        <w:ind w:firstLine="420" w:firstLineChars="200"/>
        <w:rPr>
          <w:rFonts w:ascii="宋体" w:hAnsi="宋体"/>
          <w:color w:val="000000" w:themeColor="text1"/>
          <w:szCs w:val="21"/>
          <w:highlight w:val="none"/>
        </w:rPr>
      </w:pPr>
    </w:p>
    <w:p>
      <w:pPr>
        <w:spacing w:line="360" w:lineRule="auto"/>
        <w:ind w:firstLine="422" w:firstLineChars="200"/>
        <w:rPr>
          <w:rFonts w:ascii="宋体" w:hAnsi="宋体"/>
          <w:b/>
          <w:color w:val="000000" w:themeColor="text1"/>
          <w:szCs w:val="21"/>
          <w:highlight w:val="none"/>
        </w:rPr>
      </w:pPr>
      <w:r>
        <w:rPr>
          <w:rFonts w:hint="eastAsia" w:ascii="宋体" w:hAnsi="宋体"/>
          <w:b/>
          <w:color w:val="000000" w:themeColor="text1"/>
          <w:szCs w:val="21"/>
          <w:highlight w:val="none"/>
        </w:rPr>
        <w:t>第六条包装</w:t>
      </w:r>
    </w:p>
    <w:p>
      <w:pPr>
        <w:numPr>
          <w:ilvl w:val="0"/>
          <w:numId w:val="5"/>
        </w:numPr>
        <w:tabs>
          <w:tab w:val="left" w:pos="1440"/>
        </w:tabs>
        <w:spacing w:line="360" w:lineRule="auto"/>
        <w:ind w:left="0" w:firstLine="420" w:firstLineChars="200"/>
        <w:rPr>
          <w:rFonts w:ascii="宋体" w:hAnsi="宋体"/>
          <w:color w:val="000000" w:themeColor="text1"/>
          <w:szCs w:val="21"/>
          <w:highlight w:val="none"/>
        </w:rPr>
      </w:pPr>
      <w:r>
        <w:rPr>
          <w:rFonts w:hint="eastAsia" w:ascii="宋体" w:hAnsi="宋体"/>
          <w:color w:val="000000" w:themeColor="text1"/>
          <w:szCs w:val="21"/>
          <w:highlight w:val="none"/>
        </w:rPr>
        <w:t>除非本合同另有规定外，卖方提供所有货物的包装应符合技术规格书及货物承运部门的有关规定，采用良好的防湿、防潮、防震和防野蛮装卸等保护措施，以确保货物安全运抵现场而不使货物受损。如果由于包装不妥或不合理而引起货物损坏和丢失的责任，卖方应按本合同第十五条的规定承担更换或赔偿的责任。如果因此造成整个工程损失的，卖方应对此类损失承担赔偿责任。</w:t>
      </w:r>
    </w:p>
    <w:p>
      <w:pPr>
        <w:numPr>
          <w:ilvl w:val="0"/>
          <w:numId w:val="5"/>
        </w:numPr>
        <w:tabs>
          <w:tab w:val="left" w:pos="1440"/>
        </w:tabs>
        <w:spacing w:line="360" w:lineRule="auto"/>
        <w:ind w:left="0" w:firstLine="420" w:firstLineChars="200"/>
        <w:rPr>
          <w:rFonts w:ascii="宋体" w:hAnsi="宋体"/>
          <w:color w:val="000000" w:themeColor="text1"/>
          <w:szCs w:val="21"/>
          <w:highlight w:val="none"/>
        </w:rPr>
      </w:pPr>
      <w:r>
        <w:rPr>
          <w:rFonts w:hint="eastAsia" w:ascii="宋体" w:hAnsi="宋体"/>
          <w:color w:val="000000" w:themeColor="text1"/>
          <w:szCs w:val="21"/>
          <w:highlight w:val="none"/>
        </w:rPr>
        <w:t>卖方应提供四套详细装箱单和质量证书，其中一套随运输工具发送，两套在货物备妥及运输工具发出</w:t>
      </w:r>
      <w:r>
        <w:rPr>
          <w:rFonts w:ascii="宋体" w:hAnsi="宋体"/>
          <w:color w:val="000000" w:themeColor="text1"/>
          <w:szCs w:val="21"/>
          <w:highlight w:val="none"/>
        </w:rPr>
        <w:t>24小时内用特快专递寄送给买方，一套随发票结算。随发票结算的一套应标明货物的单价和总价。</w:t>
      </w:r>
    </w:p>
    <w:p>
      <w:pPr>
        <w:numPr>
          <w:ilvl w:val="0"/>
          <w:numId w:val="5"/>
        </w:numPr>
        <w:tabs>
          <w:tab w:val="left" w:pos="1440"/>
        </w:tabs>
        <w:spacing w:line="360" w:lineRule="auto"/>
        <w:ind w:left="0" w:firstLine="420" w:firstLineChars="200"/>
        <w:rPr>
          <w:rFonts w:ascii="宋体" w:hAnsi="宋体"/>
          <w:color w:val="000000" w:themeColor="text1"/>
          <w:szCs w:val="21"/>
          <w:highlight w:val="none"/>
        </w:rPr>
      </w:pPr>
      <w:r>
        <w:rPr>
          <w:rFonts w:hint="eastAsia" w:ascii="宋体" w:hAnsi="宋体"/>
          <w:color w:val="000000" w:themeColor="text1"/>
          <w:szCs w:val="21"/>
          <w:highlight w:val="none"/>
        </w:rPr>
        <w:t>装箱单因包括如下内容：</w:t>
      </w:r>
    </w:p>
    <w:p>
      <w:pPr>
        <w:numPr>
          <w:ilvl w:val="0"/>
          <w:numId w:val="6"/>
        </w:numPr>
        <w:tabs>
          <w:tab w:val="left" w:pos="1060"/>
          <w:tab w:val="left" w:pos="1440"/>
          <w:tab w:val="clear" w:pos="1140"/>
        </w:tabs>
        <w:spacing w:line="360" w:lineRule="auto"/>
        <w:ind w:left="0" w:firstLine="420" w:firstLineChars="200"/>
        <w:rPr>
          <w:rFonts w:ascii="宋体" w:hAnsi="宋体"/>
          <w:color w:val="000000" w:themeColor="text1"/>
          <w:szCs w:val="21"/>
          <w:highlight w:val="none"/>
        </w:rPr>
      </w:pPr>
      <w:r>
        <w:rPr>
          <w:rFonts w:hint="eastAsia" w:ascii="宋体" w:hAnsi="宋体"/>
          <w:color w:val="000000" w:themeColor="text1"/>
          <w:szCs w:val="21"/>
          <w:highlight w:val="none"/>
        </w:rPr>
        <w:t>合同号；</w:t>
      </w:r>
    </w:p>
    <w:p>
      <w:pPr>
        <w:numPr>
          <w:ilvl w:val="0"/>
          <w:numId w:val="6"/>
        </w:numPr>
        <w:tabs>
          <w:tab w:val="left" w:pos="1060"/>
          <w:tab w:val="left" w:pos="1440"/>
          <w:tab w:val="clear" w:pos="1140"/>
        </w:tabs>
        <w:spacing w:line="360" w:lineRule="auto"/>
        <w:ind w:left="0" w:firstLine="420" w:firstLineChars="200"/>
        <w:rPr>
          <w:rFonts w:ascii="宋体" w:hAnsi="宋体"/>
          <w:color w:val="000000" w:themeColor="text1"/>
          <w:szCs w:val="21"/>
          <w:highlight w:val="none"/>
        </w:rPr>
      </w:pPr>
      <w:r>
        <w:rPr>
          <w:rFonts w:hint="eastAsia" w:ascii="宋体" w:hAnsi="宋体"/>
          <w:color w:val="000000" w:themeColor="text1"/>
          <w:szCs w:val="21"/>
          <w:highlight w:val="none"/>
        </w:rPr>
        <w:t>设备号；</w:t>
      </w:r>
    </w:p>
    <w:p>
      <w:pPr>
        <w:numPr>
          <w:ilvl w:val="0"/>
          <w:numId w:val="6"/>
        </w:numPr>
        <w:tabs>
          <w:tab w:val="left" w:pos="1060"/>
          <w:tab w:val="left" w:pos="1440"/>
          <w:tab w:val="clear" w:pos="1140"/>
        </w:tabs>
        <w:spacing w:line="360" w:lineRule="auto"/>
        <w:ind w:left="0" w:firstLine="420" w:firstLineChars="200"/>
        <w:rPr>
          <w:rFonts w:ascii="宋体" w:hAnsi="宋体"/>
          <w:color w:val="000000" w:themeColor="text1"/>
          <w:szCs w:val="21"/>
          <w:highlight w:val="none"/>
        </w:rPr>
      </w:pPr>
      <w:r>
        <w:rPr>
          <w:rFonts w:hint="eastAsia" w:ascii="宋体" w:hAnsi="宋体"/>
          <w:color w:val="000000" w:themeColor="text1"/>
          <w:szCs w:val="21"/>
          <w:highlight w:val="none"/>
        </w:rPr>
        <w:t>货物备妥发运日；</w:t>
      </w:r>
    </w:p>
    <w:p>
      <w:pPr>
        <w:numPr>
          <w:ilvl w:val="0"/>
          <w:numId w:val="6"/>
        </w:numPr>
        <w:tabs>
          <w:tab w:val="left" w:pos="1060"/>
          <w:tab w:val="left" w:pos="1440"/>
          <w:tab w:val="clear" w:pos="1140"/>
        </w:tabs>
        <w:spacing w:line="360" w:lineRule="auto"/>
        <w:ind w:left="0" w:firstLine="420" w:firstLineChars="200"/>
        <w:rPr>
          <w:rFonts w:ascii="宋体" w:hAnsi="宋体"/>
          <w:color w:val="000000" w:themeColor="text1"/>
          <w:szCs w:val="21"/>
          <w:highlight w:val="none"/>
        </w:rPr>
      </w:pPr>
      <w:r>
        <w:rPr>
          <w:rFonts w:hint="eastAsia" w:ascii="宋体" w:hAnsi="宋体"/>
          <w:color w:val="000000" w:themeColor="text1"/>
          <w:szCs w:val="21"/>
          <w:highlight w:val="none"/>
        </w:rPr>
        <w:t>货物名称及编号；</w:t>
      </w:r>
    </w:p>
    <w:p>
      <w:pPr>
        <w:numPr>
          <w:ilvl w:val="0"/>
          <w:numId w:val="6"/>
        </w:numPr>
        <w:tabs>
          <w:tab w:val="left" w:pos="1060"/>
          <w:tab w:val="left" w:pos="1440"/>
          <w:tab w:val="clear" w:pos="1140"/>
        </w:tabs>
        <w:spacing w:line="360" w:lineRule="auto"/>
        <w:ind w:left="0" w:firstLine="420" w:firstLineChars="200"/>
        <w:rPr>
          <w:rFonts w:ascii="宋体" w:hAnsi="宋体"/>
          <w:color w:val="000000" w:themeColor="text1"/>
          <w:szCs w:val="21"/>
          <w:highlight w:val="none"/>
        </w:rPr>
      </w:pPr>
      <w:r>
        <w:rPr>
          <w:rFonts w:hint="eastAsia" w:ascii="宋体" w:hAnsi="宋体"/>
          <w:color w:val="000000" w:themeColor="text1"/>
          <w:szCs w:val="21"/>
          <w:highlight w:val="none"/>
        </w:rPr>
        <w:t>货物总毛重；</w:t>
      </w:r>
    </w:p>
    <w:p>
      <w:pPr>
        <w:numPr>
          <w:ilvl w:val="0"/>
          <w:numId w:val="6"/>
        </w:numPr>
        <w:tabs>
          <w:tab w:val="left" w:pos="1060"/>
          <w:tab w:val="left" w:pos="1440"/>
          <w:tab w:val="clear" w:pos="1140"/>
        </w:tabs>
        <w:spacing w:line="360" w:lineRule="auto"/>
        <w:ind w:left="0" w:firstLine="420" w:firstLineChars="200"/>
        <w:rPr>
          <w:rFonts w:ascii="宋体" w:hAnsi="宋体"/>
          <w:color w:val="000000" w:themeColor="text1"/>
          <w:szCs w:val="21"/>
          <w:highlight w:val="none"/>
        </w:rPr>
      </w:pPr>
      <w:r>
        <w:rPr>
          <w:rFonts w:hint="eastAsia" w:ascii="宋体" w:hAnsi="宋体"/>
          <w:color w:val="000000" w:themeColor="text1"/>
          <w:szCs w:val="21"/>
          <w:highlight w:val="none"/>
        </w:rPr>
        <w:t>货物总体积；</w:t>
      </w:r>
    </w:p>
    <w:p>
      <w:pPr>
        <w:numPr>
          <w:ilvl w:val="0"/>
          <w:numId w:val="6"/>
        </w:numPr>
        <w:tabs>
          <w:tab w:val="left" w:pos="1060"/>
          <w:tab w:val="left" w:pos="1440"/>
          <w:tab w:val="clear" w:pos="1140"/>
        </w:tabs>
        <w:spacing w:line="360" w:lineRule="auto"/>
        <w:ind w:left="0" w:firstLine="420" w:firstLineChars="200"/>
        <w:rPr>
          <w:rFonts w:ascii="宋体" w:hAnsi="宋体"/>
          <w:color w:val="000000" w:themeColor="text1"/>
          <w:szCs w:val="21"/>
          <w:highlight w:val="none"/>
        </w:rPr>
      </w:pPr>
      <w:r>
        <w:rPr>
          <w:rFonts w:hint="eastAsia" w:ascii="宋体" w:hAnsi="宋体"/>
          <w:color w:val="000000" w:themeColor="text1"/>
          <w:szCs w:val="21"/>
          <w:highlight w:val="none"/>
        </w:rPr>
        <w:t>总包装件数；</w:t>
      </w:r>
    </w:p>
    <w:p>
      <w:pPr>
        <w:numPr>
          <w:ilvl w:val="0"/>
          <w:numId w:val="6"/>
        </w:numPr>
        <w:tabs>
          <w:tab w:val="left" w:pos="1060"/>
          <w:tab w:val="left" w:pos="1440"/>
          <w:tab w:val="clear" w:pos="1140"/>
        </w:tabs>
        <w:spacing w:line="360" w:lineRule="auto"/>
        <w:ind w:left="0" w:firstLine="420" w:firstLineChars="200"/>
        <w:rPr>
          <w:rFonts w:ascii="宋体" w:hAnsi="宋体"/>
          <w:color w:val="000000" w:themeColor="text1"/>
          <w:szCs w:val="21"/>
          <w:highlight w:val="none"/>
        </w:rPr>
      </w:pPr>
      <w:r>
        <w:rPr>
          <w:rFonts w:hint="eastAsia" w:ascii="宋体" w:hAnsi="宋体"/>
          <w:color w:val="000000" w:themeColor="text1"/>
          <w:szCs w:val="21"/>
          <w:highlight w:val="none"/>
        </w:rPr>
        <w:t>重量超过二吨（包括二吨）或尺寸超过</w:t>
      </w:r>
      <w:r>
        <w:rPr>
          <w:rFonts w:ascii="宋体" w:hAnsi="宋体"/>
          <w:color w:val="000000" w:themeColor="text1"/>
          <w:szCs w:val="21"/>
          <w:highlight w:val="none"/>
        </w:rPr>
        <w:t>9米×3米×3米的每件货物的名称、重量、体积和件数。对每件该类设备(部件)必须标明重心和吊点位置，并附有草图。</w:t>
      </w:r>
    </w:p>
    <w:p>
      <w:pPr>
        <w:numPr>
          <w:ilvl w:val="0"/>
          <w:numId w:val="6"/>
        </w:numPr>
        <w:tabs>
          <w:tab w:val="left" w:pos="1060"/>
          <w:tab w:val="left" w:pos="1440"/>
          <w:tab w:val="clear" w:pos="1140"/>
        </w:tabs>
        <w:spacing w:line="360" w:lineRule="auto"/>
        <w:ind w:left="0" w:firstLine="420" w:firstLineChars="200"/>
        <w:rPr>
          <w:rFonts w:ascii="宋体" w:hAnsi="宋体"/>
          <w:color w:val="000000" w:themeColor="text1"/>
          <w:szCs w:val="21"/>
          <w:highlight w:val="none"/>
        </w:rPr>
      </w:pPr>
      <w:r>
        <w:rPr>
          <w:rFonts w:hint="eastAsia" w:ascii="宋体" w:hAnsi="宋体"/>
          <w:color w:val="000000" w:themeColor="text1"/>
          <w:szCs w:val="21"/>
          <w:highlight w:val="none"/>
        </w:rPr>
        <w:t>对于特殊物品</w:t>
      </w:r>
      <w:r>
        <w:rPr>
          <w:rFonts w:ascii="宋体" w:hAnsi="宋体"/>
          <w:color w:val="000000" w:themeColor="text1"/>
          <w:szCs w:val="21"/>
          <w:highlight w:val="none"/>
        </w:rPr>
        <w:t>(易燃、易爆、有毒物品及</w:t>
      </w:r>
      <w:r>
        <w:rPr>
          <w:rFonts w:hint="eastAsia" w:ascii="宋体" w:hAnsi="宋体"/>
          <w:color w:val="000000" w:themeColor="text1"/>
          <w:szCs w:val="21"/>
          <w:highlight w:val="none"/>
        </w:rPr>
        <w:t>其它危险品和运输过程中对温度等环境因素和震动有特殊要求的设备或物品</w:t>
      </w:r>
      <w:r>
        <w:rPr>
          <w:rFonts w:ascii="宋体" w:hAnsi="宋体"/>
          <w:color w:val="000000" w:themeColor="text1"/>
          <w:szCs w:val="21"/>
          <w:highlight w:val="none"/>
        </w:rPr>
        <w:t>)必须特别标明其品名、性质、特殊保护措施、保存方法以及处理意外情况的方法。</w:t>
      </w:r>
    </w:p>
    <w:p>
      <w:pPr>
        <w:numPr>
          <w:ilvl w:val="0"/>
          <w:numId w:val="5"/>
        </w:numPr>
        <w:tabs>
          <w:tab w:val="left" w:pos="1440"/>
        </w:tabs>
        <w:spacing w:line="360" w:lineRule="auto"/>
        <w:ind w:left="0" w:firstLine="420" w:firstLineChars="200"/>
        <w:rPr>
          <w:rFonts w:ascii="宋体" w:hAnsi="宋体"/>
          <w:color w:val="000000" w:themeColor="text1"/>
          <w:szCs w:val="21"/>
          <w:highlight w:val="none"/>
        </w:rPr>
      </w:pPr>
      <w:r>
        <w:rPr>
          <w:rFonts w:hint="eastAsia" w:ascii="宋体" w:hAnsi="宋体"/>
          <w:color w:val="000000" w:themeColor="text1"/>
          <w:szCs w:val="21"/>
          <w:highlight w:val="none"/>
        </w:rPr>
        <w:t>对裸装货物应以金属标签</w:t>
      </w:r>
      <w:r>
        <w:rPr>
          <w:rFonts w:ascii="宋体" w:hAnsi="宋体"/>
          <w:color w:val="000000" w:themeColor="text1"/>
          <w:szCs w:val="21"/>
          <w:highlight w:val="none"/>
        </w:rPr>
        <w:t>(金属铭牌)或在设备本身上注明上述有关内容。大件货物应带有足够的货物支架或包装垫木。</w:t>
      </w:r>
    </w:p>
    <w:p>
      <w:pPr>
        <w:numPr>
          <w:ilvl w:val="0"/>
          <w:numId w:val="5"/>
        </w:numPr>
        <w:tabs>
          <w:tab w:val="left" w:pos="1440"/>
        </w:tabs>
        <w:spacing w:line="360" w:lineRule="auto"/>
        <w:ind w:left="0" w:firstLine="420" w:firstLineChars="200"/>
        <w:rPr>
          <w:rFonts w:ascii="宋体" w:hAnsi="宋体"/>
          <w:color w:val="000000" w:themeColor="text1"/>
          <w:szCs w:val="21"/>
          <w:highlight w:val="none"/>
        </w:rPr>
      </w:pPr>
      <w:r>
        <w:rPr>
          <w:rFonts w:hint="eastAsia" w:ascii="宋体" w:hAnsi="宋体"/>
          <w:color w:val="000000" w:themeColor="text1"/>
          <w:szCs w:val="21"/>
          <w:highlight w:val="none"/>
        </w:rPr>
        <w:t>备品备件、专用工具应与对应设备分别包装，并在包装箱外按</w:t>
      </w:r>
      <w:r>
        <w:rPr>
          <w:rFonts w:ascii="宋体" w:hAnsi="宋体"/>
          <w:color w:val="000000" w:themeColor="text1"/>
          <w:szCs w:val="21"/>
          <w:highlight w:val="none"/>
        </w:rPr>
        <w:t>7.2条注明内容，并标明“备品配件”或“专用工具”的字样，一次性发货。</w:t>
      </w:r>
    </w:p>
    <w:p>
      <w:pPr>
        <w:numPr>
          <w:ilvl w:val="0"/>
          <w:numId w:val="5"/>
        </w:numPr>
        <w:tabs>
          <w:tab w:val="left" w:pos="1440"/>
        </w:tabs>
        <w:spacing w:line="360" w:lineRule="auto"/>
        <w:ind w:left="0" w:firstLine="420" w:firstLineChars="200"/>
        <w:rPr>
          <w:rFonts w:ascii="宋体" w:hAnsi="宋体"/>
          <w:color w:val="000000" w:themeColor="text1"/>
          <w:szCs w:val="21"/>
          <w:highlight w:val="none"/>
        </w:rPr>
      </w:pPr>
      <w:r>
        <w:rPr>
          <w:rFonts w:hint="eastAsia" w:ascii="宋体" w:hAnsi="宋体"/>
          <w:color w:val="000000" w:themeColor="text1"/>
          <w:szCs w:val="21"/>
          <w:highlight w:val="none"/>
        </w:rPr>
        <w:t>所有设备的端口必须用保护盖或其它方式妥善防护。</w:t>
      </w:r>
    </w:p>
    <w:p>
      <w:pPr>
        <w:numPr>
          <w:ilvl w:val="0"/>
          <w:numId w:val="5"/>
        </w:numPr>
        <w:tabs>
          <w:tab w:val="left" w:pos="1440"/>
        </w:tabs>
        <w:spacing w:line="360" w:lineRule="auto"/>
        <w:ind w:left="0" w:firstLine="420" w:firstLineChars="200"/>
        <w:rPr>
          <w:rFonts w:ascii="宋体" w:hAnsi="宋体"/>
          <w:color w:val="000000" w:themeColor="text1"/>
          <w:szCs w:val="21"/>
          <w:highlight w:val="none"/>
        </w:rPr>
      </w:pPr>
      <w:r>
        <w:rPr>
          <w:rFonts w:hint="eastAsia" w:ascii="宋体" w:hAnsi="宋体"/>
          <w:color w:val="000000" w:themeColor="text1"/>
          <w:szCs w:val="21"/>
          <w:highlight w:val="none"/>
        </w:rPr>
        <w:t>卖方不得用同一箱号标明任何两个箱件，包装箱应连续编号，而且在全部装运的过程中，装箱编号的顺序始终是连贯的。</w:t>
      </w:r>
    </w:p>
    <w:p>
      <w:pPr>
        <w:numPr>
          <w:ilvl w:val="0"/>
          <w:numId w:val="5"/>
        </w:numPr>
        <w:tabs>
          <w:tab w:val="left" w:pos="1440"/>
        </w:tabs>
        <w:spacing w:line="360" w:lineRule="auto"/>
        <w:ind w:left="0" w:firstLine="420" w:firstLineChars="200"/>
        <w:rPr>
          <w:rFonts w:ascii="宋体" w:hAnsi="宋体"/>
          <w:color w:val="000000" w:themeColor="text1"/>
          <w:szCs w:val="21"/>
          <w:highlight w:val="none"/>
        </w:rPr>
      </w:pPr>
      <w:r>
        <w:rPr>
          <w:rFonts w:hint="eastAsia" w:ascii="宋体" w:hAnsi="宋体"/>
          <w:color w:val="000000" w:themeColor="text1"/>
          <w:szCs w:val="21"/>
          <w:highlight w:val="none"/>
        </w:rPr>
        <w:t>对于需要保证精确装配的明亮洁净加工面的货物，加工面应采用优良，耐久的保护层</w:t>
      </w:r>
      <w:r>
        <w:rPr>
          <w:rFonts w:ascii="宋体" w:hAnsi="宋体"/>
          <w:color w:val="000000" w:themeColor="text1"/>
          <w:szCs w:val="21"/>
          <w:highlight w:val="none"/>
        </w:rPr>
        <w:t>(不得用油漆)以防止在安装前发生锈蚀和损坏。</w:t>
      </w:r>
    </w:p>
    <w:p>
      <w:pPr>
        <w:numPr>
          <w:ilvl w:val="0"/>
          <w:numId w:val="5"/>
        </w:numPr>
        <w:tabs>
          <w:tab w:val="left" w:pos="1440"/>
        </w:tabs>
        <w:spacing w:line="360" w:lineRule="auto"/>
        <w:ind w:left="0" w:firstLine="420" w:firstLineChars="200"/>
        <w:rPr>
          <w:rFonts w:ascii="宋体" w:hAnsi="宋体"/>
          <w:color w:val="000000" w:themeColor="text1"/>
          <w:szCs w:val="21"/>
          <w:highlight w:val="none"/>
        </w:rPr>
      </w:pPr>
      <w:r>
        <w:rPr>
          <w:rFonts w:hint="eastAsia" w:ascii="宋体" w:hAnsi="宋体"/>
          <w:color w:val="000000" w:themeColor="text1"/>
          <w:szCs w:val="21"/>
          <w:highlight w:val="none"/>
        </w:rPr>
        <w:t>卖方交付的技术资料应使用适合于长途运输、多次搬运、防雨和防潮的包装，并应防止潮气和水的侵蚀。每包技术资料的封面上应注明下述内容：</w:t>
      </w:r>
    </w:p>
    <w:p>
      <w:pPr>
        <w:numPr>
          <w:ilvl w:val="0"/>
          <w:numId w:val="7"/>
        </w:numPr>
        <w:tabs>
          <w:tab w:val="left" w:pos="1060"/>
          <w:tab w:val="left" w:pos="1440"/>
          <w:tab w:val="clear" w:pos="1140"/>
        </w:tabs>
        <w:spacing w:line="360" w:lineRule="auto"/>
        <w:ind w:left="0" w:firstLine="420" w:firstLineChars="200"/>
        <w:rPr>
          <w:rFonts w:ascii="宋体" w:hAnsi="宋体"/>
          <w:color w:val="000000" w:themeColor="text1"/>
          <w:szCs w:val="21"/>
          <w:highlight w:val="none"/>
        </w:rPr>
      </w:pPr>
      <w:r>
        <w:rPr>
          <w:rFonts w:hint="eastAsia" w:ascii="宋体" w:hAnsi="宋体"/>
          <w:color w:val="000000" w:themeColor="text1"/>
          <w:szCs w:val="21"/>
          <w:highlight w:val="none"/>
        </w:rPr>
        <w:t>合同号；</w:t>
      </w:r>
    </w:p>
    <w:p>
      <w:pPr>
        <w:numPr>
          <w:ilvl w:val="0"/>
          <w:numId w:val="7"/>
        </w:numPr>
        <w:tabs>
          <w:tab w:val="left" w:pos="1060"/>
          <w:tab w:val="left" w:pos="1440"/>
          <w:tab w:val="clear" w:pos="1140"/>
        </w:tabs>
        <w:spacing w:line="360" w:lineRule="auto"/>
        <w:ind w:left="0" w:firstLine="420" w:firstLineChars="200"/>
        <w:rPr>
          <w:rFonts w:ascii="宋体" w:hAnsi="宋体"/>
          <w:color w:val="000000" w:themeColor="text1"/>
          <w:szCs w:val="21"/>
          <w:highlight w:val="none"/>
        </w:rPr>
      </w:pPr>
      <w:r>
        <w:rPr>
          <w:rFonts w:hint="eastAsia" w:ascii="宋体" w:hAnsi="宋体"/>
          <w:color w:val="000000" w:themeColor="text1"/>
          <w:szCs w:val="21"/>
          <w:highlight w:val="none"/>
        </w:rPr>
        <w:t>供货、收货单位名称；</w:t>
      </w:r>
    </w:p>
    <w:p>
      <w:pPr>
        <w:numPr>
          <w:ilvl w:val="0"/>
          <w:numId w:val="7"/>
        </w:numPr>
        <w:tabs>
          <w:tab w:val="left" w:pos="1060"/>
          <w:tab w:val="left" w:pos="1440"/>
          <w:tab w:val="clear" w:pos="1140"/>
        </w:tabs>
        <w:spacing w:line="360" w:lineRule="auto"/>
        <w:ind w:left="0" w:firstLine="420" w:firstLineChars="200"/>
        <w:rPr>
          <w:rFonts w:ascii="宋体" w:hAnsi="宋体"/>
          <w:color w:val="000000" w:themeColor="text1"/>
          <w:szCs w:val="21"/>
          <w:highlight w:val="none"/>
        </w:rPr>
      </w:pPr>
      <w:r>
        <w:rPr>
          <w:rFonts w:hint="eastAsia" w:ascii="宋体" w:hAnsi="宋体"/>
          <w:color w:val="000000" w:themeColor="text1"/>
          <w:szCs w:val="21"/>
          <w:highlight w:val="none"/>
        </w:rPr>
        <w:t>目的地；</w:t>
      </w:r>
    </w:p>
    <w:p>
      <w:pPr>
        <w:numPr>
          <w:ilvl w:val="0"/>
          <w:numId w:val="7"/>
        </w:numPr>
        <w:tabs>
          <w:tab w:val="left" w:pos="1060"/>
          <w:tab w:val="left" w:pos="1440"/>
          <w:tab w:val="clear" w:pos="1140"/>
        </w:tabs>
        <w:spacing w:line="360" w:lineRule="auto"/>
        <w:ind w:left="0" w:firstLine="420" w:firstLineChars="200"/>
        <w:rPr>
          <w:rFonts w:ascii="宋体" w:hAnsi="宋体"/>
          <w:color w:val="000000" w:themeColor="text1"/>
          <w:szCs w:val="21"/>
          <w:highlight w:val="none"/>
        </w:rPr>
      </w:pPr>
      <w:r>
        <w:rPr>
          <w:rFonts w:hint="eastAsia" w:ascii="宋体" w:hAnsi="宋体"/>
          <w:color w:val="000000" w:themeColor="text1"/>
          <w:szCs w:val="21"/>
          <w:highlight w:val="none"/>
        </w:rPr>
        <w:t>毛重；</w:t>
      </w:r>
    </w:p>
    <w:p>
      <w:pPr>
        <w:numPr>
          <w:ilvl w:val="0"/>
          <w:numId w:val="7"/>
        </w:numPr>
        <w:tabs>
          <w:tab w:val="left" w:pos="1060"/>
          <w:tab w:val="left" w:pos="1440"/>
          <w:tab w:val="clear" w:pos="1140"/>
        </w:tabs>
        <w:spacing w:line="360" w:lineRule="auto"/>
        <w:ind w:left="0" w:firstLine="420" w:firstLineChars="200"/>
        <w:rPr>
          <w:rFonts w:ascii="宋体" w:hAnsi="宋体"/>
          <w:color w:val="000000" w:themeColor="text1"/>
          <w:szCs w:val="21"/>
          <w:highlight w:val="none"/>
        </w:rPr>
      </w:pPr>
      <w:r>
        <w:rPr>
          <w:rFonts w:hint="eastAsia" w:ascii="宋体" w:hAnsi="宋体"/>
          <w:color w:val="000000" w:themeColor="text1"/>
          <w:szCs w:val="21"/>
          <w:highlight w:val="none"/>
        </w:rPr>
        <w:t>箱号</w:t>
      </w:r>
      <w:r>
        <w:rPr>
          <w:rFonts w:ascii="宋体" w:hAnsi="宋体"/>
          <w:color w:val="000000" w:themeColor="text1"/>
          <w:szCs w:val="21"/>
          <w:highlight w:val="none"/>
        </w:rPr>
        <w:t>/件号。</w:t>
      </w:r>
    </w:p>
    <w:p>
      <w:pPr>
        <w:spacing w:line="360" w:lineRule="auto"/>
        <w:ind w:firstLine="420" w:firstLineChars="200"/>
        <w:rPr>
          <w:rFonts w:ascii="宋体" w:hAnsi="宋体"/>
          <w:color w:val="000000" w:themeColor="text1"/>
          <w:szCs w:val="21"/>
          <w:highlight w:val="none"/>
        </w:rPr>
      </w:pPr>
      <w:r>
        <w:rPr>
          <w:rFonts w:hint="eastAsia" w:ascii="宋体" w:hAnsi="宋体"/>
          <w:color w:val="000000" w:themeColor="text1"/>
          <w:szCs w:val="21"/>
          <w:highlight w:val="none"/>
        </w:rPr>
        <w:t>每一包资料内应附有技术资料的详细清单一式二份，标明技术资料的序号、文件项号、名称和页数。</w:t>
      </w:r>
    </w:p>
    <w:p>
      <w:pPr>
        <w:spacing w:line="360" w:lineRule="auto"/>
        <w:ind w:firstLine="420" w:firstLineChars="200"/>
        <w:rPr>
          <w:rFonts w:ascii="宋体" w:hAnsi="宋体"/>
          <w:color w:val="000000" w:themeColor="text1"/>
          <w:szCs w:val="21"/>
          <w:highlight w:val="none"/>
        </w:rPr>
      </w:pPr>
    </w:p>
    <w:p>
      <w:pPr>
        <w:spacing w:line="360" w:lineRule="auto"/>
        <w:ind w:firstLine="422" w:firstLineChars="200"/>
        <w:rPr>
          <w:rFonts w:ascii="宋体" w:hAnsi="宋体"/>
          <w:b/>
          <w:color w:val="000000" w:themeColor="text1"/>
          <w:szCs w:val="21"/>
          <w:highlight w:val="none"/>
        </w:rPr>
      </w:pPr>
      <w:r>
        <w:rPr>
          <w:rFonts w:hint="eastAsia" w:ascii="宋体" w:hAnsi="宋体"/>
          <w:b/>
          <w:color w:val="000000" w:themeColor="text1"/>
          <w:szCs w:val="21"/>
          <w:highlight w:val="none"/>
        </w:rPr>
        <w:t>第七条标记</w:t>
      </w:r>
    </w:p>
    <w:p>
      <w:pPr>
        <w:numPr>
          <w:ilvl w:val="0"/>
          <w:numId w:val="8"/>
        </w:numPr>
        <w:tabs>
          <w:tab w:val="left" w:pos="900"/>
          <w:tab w:val="left" w:pos="1440"/>
          <w:tab w:val="clear" w:pos="1080"/>
        </w:tabs>
        <w:spacing w:line="360" w:lineRule="auto"/>
        <w:ind w:left="0" w:firstLine="420" w:firstLineChars="200"/>
        <w:rPr>
          <w:rFonts w:ascii="宋体" w:hAnsi="宋体"/>
          <w:color w:val="000000" w:themeColor="text1"/>
          <w:szCs w:val="21"/>
          <w:highlight w:val="none"/>
        </w:rPr>
      </w:pPr>
      <w:r>
        <w:rPr>
          <w:rFonts w:hint="eastAsia" w:ascii="宋体" w:hAnsi="宋体"/>
          <w:color w:val="000000" w:themeColor="text1"/>
          <w:szCs w:val="21"/>
          <w:highlight w:val="none"/>
        </w:rPr>
        <w:t>合同设备的喷漆、标识、验收文件和运输应符合本合同附件技术规范书所列的各项要求。</w:t>
      </w:r>
    </w:p>
    <w:p>
      <w:pPr>
        <w:numPr>
          <w:ilvl w:val="0"/>
          <w:numId w:val="8"/>
        </w:numPr>
        <w:tabs>
          <w:tab w:val="left" w:pos="900"/>
          <w:tab w:val="left" w:pos="1440"/>
          <w:tab w:val="clear" w:pos="1080"/>
        </w:tabs>
        <w:spacing w:line="360" w:lineRule="auto"/>
        <w:ind w:left="0" w:firstLine="420" w:firstLineChars="200"/>
        <w:rPr>
          <w:rFonts w:ascii="宋体" w:hAnsi="宋体"/>
          <w:color w:val="000000" w:themeColor="text1"/>
          <w:szCs w:val="21"/>
          <w:highlight w:val="none"/>
        </w:rPr>
      </w:pPr>
      <w:r>
        <w:rPr>
          <w:rFonts w:hint="eastAsia" w:ascii="宋体" w:hAnsi="宋体"/>
          <w:color w:val="000000" w:themeColor="text1"/>
          <w:szCs w:val="21"/>
          <w:highlight w:val="none"/>
        </w:rPr>
        <w:t>合同设备若有外包装，卖方应在每件外包装上以醒目的方式用中文印刷字样标明以下各项：</w:t>
      </w:r>
    </w:p>
    <w:p>
      <w:pPr>
        <w:numPr>
          <w:ilvl w:val="1"/>
          <w:numId w:val="9"/>
        </w:numPr>
        <w:tabs>
          <w:tab w:val="left" w:pos="840"/>
          <w:tab w:val="clear" w:pos="1320"/>
        </w:tabs>
        <w:spacing w:line="360" w:lineRule="auto"/>
        <w:ind w:left="0" w:firstLine="420" w:firstLineChars="200"/>
        <w:rPr>
          <w:rFonts w:ascii="宋体" w:hAnsi="宋体"/>
          <w:color w:val="000000" w:themeColor="text1"/>
          <w:szCs w:val="21"/>
          <w:highlight w:val="none"/>
        </w:rPr>
      </w:pPr>
      <w:r>
        <w:rPr>
          <w:rFonts w:hint="eastAsia" w:ascii="宋体" w:hAnsi="宋体"/>
          <w:color w:val="000000" w:themeColor="text1"/>
          <w:szCs w:val="21"/>
          <w:highlight w:val="none"/>
        </w:rPr>
        <w:t>制造厂名称和产品商标，设备名称；</w:t>
      </w:r>
    </w:p>
    <w:p>
      <w:pPr>
        <w:numPr>
          <w:ilvl w:val="1"/>
          <w:numId w:val="9"/>
        </w:numPr>
        <w:tabs>
          <w:tab w:val="left" w:pos="840"/>
          <w:tab w:val="clear" w:pos="1320"/>
        </w:tabs>
        <w:spacing w:line="360" w:lineRule="auto"/>
        <w:ind w:left="0" w:firstLine="420" w:firstLineChars="200"/>
        <w:rPr>
          <w:rFonts w:ascii="宋体" w:hAnsi="宋体"/>
          <w:color w:val="000000" w:themeColor="text1"/>
          <w:szCs w:val="21"/>
          <w:highlight w:val="none"/>
        </w:rPr>
      </w:pPr>
      <w:r>
        <w:rPr>
          <w:rFonts w:hint="eastAsia" w:ascii="宋体" w:hAnsi="宋体"/>
          <w:color w:val="000000" w:themeColor="text1"/>
          <w:szCs w:val="21"/>
          <w:highlight w:val="none"/>
        </w:rPr>
        <w:t>毛重／净重（</w:t>
      </w:r>
      <w:r>
        <w:rPr>
          <w:rFonts w:ascii="宋体" w:hAnsi="宋体"/>
          <w:color w:val="000000" w:themeColor="text1"/>
          <w:szCs w:val="21"/>
          <w:highlight w:val="none"/>
        </w:rPr>
        <w:t>Kg）；体积(长×宽×高，以毫米表示)；</w:t>
      </w:r>
    </w:p>
    <w:p>
      <w:pPr>
        <w:numPr>
          <w:ilvl w:val="1"/>
          <w:numId w:val="9"/>
        </w:numPr>
        <w:tabs>
          <w:tab w:val="left" w:pos="840"/>
          <w:tab w:val="clear" w:pos="1320"/>
        </w:tabs>
        <w:spacing w:line="360" w:lineRule="auto"/>
        <w:ind w:left="0" w:firstLine="420" w:firstLineChars="200"/>
        <w:rPr>
          <w:rFonts w:ascii="宋体" w:hAnsi="宋体"/>
          <w:color w:val="000000" w:themeColor="text1"/>
          <w:szCs w:val="21"/>
          <w:highlight w:val="none"/>
        </w:rPr>
      </w:pPr>
      <w:r>
        <w:rPr>
          <w:rFonts w:hint="eastAsia" w:ascii="宋体" w:hAnsi="宋体"/>
          <w:color w:val="000000" w:themeColor="text1"/>
          <w:szCs w:val="21"/>
          <w:highlight w:val="none"/>
        </w:rPr>
        <w:t>制造时间</w:t>
      </w:r>
    </w:p>
    <w:p>
      <w:pPr>
        <w:numPr>
          <w:ilvl w:val="1"/>
          <w:numId w:val="9"/>
        </w:numPr>
        <w:tabs>
          <w:tab w:val="left" w:pos="840"/>
          <w:tab w:val="clear" w:pos="1320"/>
        </w:tabs>
        <w:spacing w:line="360" w:lineRule="auto"/>
        <w:ind w:left="0" w:firstLine="420" w:firstLineChars="200"/>
        <w:rPr>
          <w:rFonts w:ascii="宋体" w:hAnsi="宋体"/>
          <w:color w:val="000000" w:themeColor="text1"/>
          <w:szCs w:val="21"/>
          <w:highlight w:val="none"/>
        </w:rPr>
      </w:pPr>
      <w:r>
        <w:rPr>
          <w:rFonts w:hint="eastAsia" w:ascii="宋体" w:hAnsi="宋体"/>
          <w:color w:val="000000" w:themeColor="text1"/>
          <w:szCs w:val="21"/>
          <w:highlight w:val="none"/>
        </w:rPr>
        <w:t>出厂检验合格标志</w:t>
      </w:r>
    </w:p>
    <w:p>
      <w:pPr>
        <w:numPr>
          <w:ilvl w:val="1"/>
          <w:numId w:val="9"/>
        </w:numPr>
        <w:tabs>
          <w:tab w:val="left" w:pos="840"/>
          <w:tab w:val="clear" w:pos="1320"/>
        </w:tabs>
        <w:spacing w:line="360" w:lineRule="auto"/>
        <w:ind w:left="0" w:firstLine="420" w:firstLineChars="200"/>
        <w:rPr>
          <w:rFonts w:ascii="宋体" w:hAnsi="宋体"/>
          <w:color w:val="000000" w:themeColor="text1"/>
          <w:szCs w:val="21"/>
          <w:highlight w:val="none"/>
        </w:rPr>
      </w:pPr>
      <w:r>
        <w:rPr>
          <w:rFonts w:hint="eastAsia" w:ascii="宋体" w:hAnsi="宋体"/>
          <w:color w:val="000000" w:themeColor="text1"/>
          <w:szCs w:val="21"/>
          <w:highlight w:val="none"/>
        </w:rPr>
        <w:t>表示储运安全的其它标志</w:t>
      </w:r>
    </w:p>
    <w:p>
      <w:pPr>
        <w:numPr>
          <w:ilvl w:val="1"/>
          <w:numId w:val="9"/>
        </w:numPr>
        <w:tabs>
          <w:tab w:val="left" w:pos="840"/>
          <w:tab w:val="clear" w:pos="1320"/>
        </w:tabs>
        <w:spacing w:line="360" w:lineRule="auto"/>
        <w:ind w:left="0" w:firstLine="420" w:firstLineChars="200"/>
        <w:rPr>
          <w:rFonts w:ascii="宋体" w:hAnsi="宋体"/>
          <w:color w:val="000000" w:themeColor="text1"/>
          <w:szCs w:val="21"/>
          <w:highlight w:val="none"/>
        </w:rPr>
      </w:pPr>
      <w:r>
        <w:rPr>
          <w:rFonts w:hint="eastAsia" w:ascii="宋体" w:hAnsi="宋体"/>
          <w:color w:val="000000" w:themeColor="text1"/>
          <w:szCs w:val="21"/>
          <w:highlight w:val="none"/>
        </w:rPr>
        <w:t>项目名称</w:t>
      </w:r>
    </w:p>
    <w:p>
      <w:pPr>
        <w:numPr>
          <w:ilvl w:val="1"/>
          <w:numId w:val="9"/>
        </w:numPr>
        <w:tabs>
          <w:tab w:val="left" w:pos="840"/>
          <w:tab w:val="clear" w:pos="1320"/>
        </w:tabs>
        <w:spacing w:line="360" w:lineRule="auto"/>
        <w:ind w:left="0" w:firstLine="420" w:firstLineChars="200"/>
        <w:rPr>
          <w:rFonts w:ascii="宋体" w:hAnsi="宋体"/>
          <w:color w:val="000000" w:themeColor="text1"/>
          <w:szCs w:val="21"/>
          <w:highlight w:val="none"/>
        </w:rPr>
      </w:pPr>
      <w:r>
        <w:rPr>
          <w:rFonts w:hint="eastAsia" w:ascii="宋体" w:hAnsi="宋体"/>
          <w:color w:val="000000" w:themeColor="text1"/>
          <w:szCs w:val="21"/>
          <w:highlight w:val="none"/>
        </w:rPr>
        <w:t>联系方式</w:t>
      </w:r>
    </w:p>
    <w:p>
      <w:pPr>
        <w:numPr>
          <w:ilvl w:val="1"/>
          <w:numId w:val="9"/>
        </w:numPr>
        <w:tabs>
          <w:tab w:val="left" w:pos="840"/>
          <w:tab w:val="clear" w:pos="1320"/>
        </w:tabs>
        <w:spacing w:line="360" w:lineRule="auto"/>
        <w:ind w:left="0" w:firstLine="420" w:firstLineChars="200"/>
        <w:rPr>
          <w:rFonts w:ascii="宋体" w:hAnsi="宋体"/>
          <w:color w:val="000000" w:themeColor="text1"/>
          <w:szCs w:val="21"/>
          <w:highlight w:val="none"/>
        </w:rPr>
      </w:pPr>
      <w:r>
        <w:rPr>
          <w:rFonts w:hint="eastAsia" w:ascii="宋体" w:hAnsi="宋体"/>
          <w:color w:val="000000" w:themeColor="text1"/>
          <w:szCs w:val="21"/>
          <w:highlight w:val="none"/>
        </w:rPr>
        <w:t>箱号</w:t>
      </w:r>
      <w:r>
        <w:rPr>
          <w:rFonts w:ascii="宋体" w:hAnsi="宋体"/>
          <w:color w:val="000000" w:themeColor="text1"/>
          <w:szCs w:val="21"/>
          <w:highlight w:val="none"/>
        </w:rPr>
        <w:t>/件号；</w:t>
      </w:r>
    </w:p>
    <w:p>
      <w:pPr>
        <w:spacing w:line="360" w:lineRule="auto"/>
        <w:ind w:firstLine="420" w:firstLineChars="200"/>
        <w:rPr>
          <w:rFonts w:ascii="宋体" w:hAnsi="宋体"/>
          <w:color w:val="000000" w:themeColor="text1"/>
          <w:szCs w:val="21"/>
          <w:highlight w:val="none"/>
        </w:rPr>
      </w:pPr>
      <w:r>
        <w:rPr>
          <w:rFonts w:hint="eastAsia" w:ascii="宋体" w:hAnsi="宋体"/>
          <w:color w:val="000000" w:themeColor="text1"/>
          <w:szCs w:val="21"/>
          <w:highlight w:val="none"/>
        </w:rPr>
        <w:t>凡重量为二吨或超过二吨的货物，应在包装箱的侧面以运输常用的标记和图案标明重心位置及起吊点，以便于装卸和搬运。</w:t>
      </w:r>
    </w:p>
    <w:p>
      <w:pPr>
        <w:spacing w:line="360" w:lineRule="auto"/>
        <w:ind w:firstLine="420" w:firstLineChars="200"/>
        <w:rPr>
          <w:rFonts w:ascii="宋体" w:hAnsi="宋体"/>
          <w:color w:val="000000" w:themeColor="text1"/>
          <w:szCs w:val="21"/>
          <w:highlight w:val="none"/>
        </w:rPr>
      </w:pPr>
      <w:r>
        <w:rPr>
          <w:rFonts w:hint="eastAsia" w:ascii="宋体" w:hAnsi="宋体"/>
          <w:color w:val="000000" w:themeColor="text1"/>
          <w:szCs w:val="21"/>
          <w:highlight w:val="none"/>
        </w:rPr>
        <w:t>应按照设备各特性和不同的运输及装卸要求，在箱上明显位置标上“小心”“向上”、“防潮”、“勿倒”、“怕热”、“远离放射源及热源”、“由此起吊”、“重心点”、“堆码重量极限”、“堆码层数极限”、“温度极限”等通用标志。</w:t>
      </w:r>
    </w:p>
    <w:p>
      <w:pPr>
        <w:spacing w:line="360" w:lineRule="auto"/>
        <w:ind w:firstLine="420" w:firstLineChars="200"/>
        <w:rPr>
          <w:rFonts w:ascii="宋体" w:hAnsi="宋体"/>
          <w:color w:val="000000" w:themeColor="text1"/>
          <w:szCs w:val="21"/>
          <w:highlight w:val="none"/>
        </w:rPr>
      </w:pPr>
    </w:p>
    <w:p>
      <w:pPr>
        <w:spacing w:line="360" w:lineRule="auto"/>
        <w:ind w:firstLine="422" w:firstLineChars="200"/>
        <w:rPr>
          <w:rFonts w:ascii="宋体" w:hAnsi="宋体"/>
          <w:b/>
          <w:color w:val="000000" w:themeColor="text1"/>
          <w:szCs w:val="21"/>
          <w:highlight w:val="none"/>
        </w:rPr>
      </w:pPr>
      <w:r>
        <w:rPr>
          <w:rFonts w:hint="eastAsia" w:ascii="宋体" w:hAnsi="宋体"/>
          <w:b/>
          <w:color w:val="000000" w:themeColor="text1"/>
          <w:szCs w:val="21"/>
          <w:highlight w:val="none"/>
        </w:rPr>
        <w:t>第八条 运输和交付</w:t>
      </w:r>
    </w:p>
    <w:p>
      <w:pPr>
        <w:tabs>
          <w:tab w:val="left" w:pos="1440"/>
        </w:tabs>
        <w:spacing w:line="360" w:lineRule="auto"/>
        <w:ind w:firstLine="420" w:firstLineChars="200"/>
        <w:rPr>
          <w:rFonts w:ascii="宋体" w:hAnsi="宋体"/>
          <w:color w:val="000000" w:themeColor="text1"/>
          <w:szCs w:val="21"/>
          <w:highlight w:val="none"/>
        </w:rPr>
      </w:pPr>
      <w:r>
        <w:rPr>
          <w:rFonts w:hint="eastAsia" w:ascii="宋体" w:hAnsi="宋体"/>
          <w:bCs/>
          <w:color w:val="000000" w:themeColor="text1"/>
          <w:szCs w:val="21"/>
          <w:highlight w:val="none"/>
        </w:rPr>
        <w:t xml:space="preserve">8.1 </w:t>
      </w:r>
      <w:r>
        <w:rPr>
          <w:rFonts w:hint="eastAsia" w:ascii="宋体" w:hAnsi="宋体"/>
          <w:b/>
          <w:color w:val="000000" w:themeColor="text1"/>
          <w:szCs w:val="21"/>
          <w:highlight w:val="none"/>
        </w:rPr>
        <w:t xml:space="preserve">交货期：合同生效后   </w:t>
      </w:r>
      <w:r>
        <w:rPr>
          <w:rFonts w:ascii="宋体" w:hAnsi="宋体"/>
          <w:b/>
          <w:color w:val="000000" w:themeColor="text1"/>
          <w:szCs w:val="21"/>
          <w:highlight w:val="none"/>
        </w:rPr>
        <w:t>天内货到用户指定地点</w:t>
      </w:r>
      <w:r>
        <w:rPr>
          <w:rFonts w:hint="eastAsia" w:ascii="宋体" w:hAnsi="宋体"/>
          <w:color w:val="000000" w:themeColor="text1"/>
          <w:szCs w:val="21"/>
          <w:highlight w:val="none"/>
        </w:rPr>
        <w:t>。卖方应在发货日的</w:t>
      </w:r>
      <w:r>
        <w:rPr>
          <w:rFonts w:ascii="宋体" w:hAnsi="宋体"/>
          <w:color w:val="000000" w:themeColor="text1"/>
          <w:szCs w:val="21"/>
          <w:highlight w:val="none"/>
        </w:rPr>
        <w:t>2日前以</w:t>
      </w:r>
      <w:r>
        <w:rPr>
          <w:rFonts w:hint="eastAsia" w:ascii="宋体" w:hAnsi="宋体"/>
          <w:color w:val="000000" w:themeColor="text1"/>
          <w:szCs w:val="21"/>
          <w:highlight w:val="none"/>
        </w:rPr>
        <w:t>传真通知买方合同号、货物名称、数量、件数和备妥待运日期。</w:t>
      </w:r>
    </w:p>
    <w:p>
      <w:pPr>
        <w:tabs>
          <w:tab w:val="left" w:pos="1440"/>
        </w:tabs>
        <w:spacing w:line="360" w:lineRule="auto"/>
        <w:ind w:firstLine="420" w:firstLineChars="200"/>
        <w:rPr>
          <w:rFonts w:ascii="宋体" w:hAnsi="宋体"/>
          <w:color w:val="000000" w:themeColor="text1"/>
          <w:szCs w:val="21"/>
          <w:highlight w:val="none"/>
        </w:rPr>
      </w:pPr>
      <w:r>
        <w:rPr>
          <w:rFonts w:hint="eastAsia" w:ascii="宋体" w:hAnsi="宋体"/>
          <w:color w:val="000000" w:themeColor="text1"/>
          <w:szCs w:val="21"/>
          <w:highlight w:val="none"/>
        </w:rPr>
        <w:t>8.2 卖方在货物装车完成</w:t>
      </w:r>
      <w:r>
        <w:rPr>
          <w:rFonts w:ascii="宋体" w:hAnsi="宋体"/>
          <w:color w:val="000000" w:themeColor="text1"/>
          <w:szCs w:val="21"/>
          <w:highlight w:val="none"/>
        </w:rPr>
        <w:t>24小时内以传真或电传通知买方合同号、车号、货物名称、规格、数量、件数、到站及到买方指定地点的时间。</w:t>
      </w:r>
    </w:p>
    <w:p>
      <w:pPr>
        <w:tabs>
          <w:tab w:val="left" w:pos="1440"/>
        </w:tabs>
        <w:spacing w:line="360" w:lineRule="auto"/>
        <w:ind w:firstLine="420" w:firstLineChars="200"/>
        <w:rPr>
          <w:rFonts w:ascii="宋体" w:hAnsi="宋体"/>
          <w:color w:val="000000" w:themeColor="text1"/>
          <w:szCs w:val="21"/>
          <w:highlight w:val="none"/>
        </w:rPr>
      </w:pPr>
      <w:r>
        <w:rPr>
          <w:rFonts w:hint="eastAsia" w:ascii="宋体" w:hAnsi="宋体"/>
          <w:color w:val="000000" w:themeColor="text1"/>
          <w:szCs w:val="21"/>
          <w:highlight w:val="none"/>
        </w:rPr>
        <w:t>8.3 本合同项下货物的交付地点为买方指定位置地面，卖方负责将货物运抵交付地点并负责卸车并搬运到指定地点，在此期间的安全由卖方负责。</w:t>
      </w:r>
    </w:p>
    <w:p>
      <w:pPr>
        <w:tabs>
          <w:tab w:val="left" w:pos="1440"/>
        </w:tabs>
        <w:spacing w:line="360" w:lineRule="auto"/>
        <w:ind w:firstLine="420" w:firstLineChars="200"/>
        <w:rPr>
          <w:rFonts w:ascii="宋体" w:hAnsi="宋体"/>
          <w:color w:val="000000" w:themeColor="text1"/>
          <w:szCs w:val="21"/>
          <w:highlight w:val="none"/>
        </w:rPr>
      </w:pPr>
      <w:r>
        <w:rPr>
          <w:rFonts w:hint="eastAsia" w:ascii="宋体" w:hAnsi="宋体"/>
          <w:color w:val="000000" w:themeColor="text1"/>
          <w:szCs w:val="21"/>
          <w:highlight w:val="none"/>
        </w:rPr>
        <w:t>合同设备所有权自合同设备调试验收合格之日起由卖方转移给买方。合同设备毁损、灭失的风险，在合同设备交付之前由卖方承担，交付之后由买方承担。货物到达目的地后，当场可清点验收的设备，经买卖双方组织人员进行现场验收，由买方负责开箱验收后设备的保管、仓贮（卖方应提出对设备的存放要求）。对未开箱的设备（指需在安装时开箱的设备），经双方清点数量后由买方负责安全保管、仓贮。确定安装时开箱验收的，由双方共同参与对货物进行检验，按开箱清单现场清点核对，并签字确认。如果货物被证明有缺陷，包括潜在缺陷或使用了不适当的材料不符合合同约定的，买方将保留拒收货物和对卖方索赔的权力；</w:t>
      </w:r>
    </w:p>
    <w:p>
      <w:pPr>
        <w:tabs>
          <w:tab w:val="left" w:pos="1440"/>
        </w:tabs>
        <w:spacing w:line="360" w:lineRule="auto"/>
        <w:ind w:firstLine="420" w:firstLineChars="200"/>
        <w:rPr>
          <w:rFonts w:ascii="宋体" w:hAnsi="宋体"/>
          <w:color w:val="000000" w:themeColor="text1"/>
          <w:szCs w:val="21"/>
          <w:highlight w:val="none"/>
        </w:rPr>
      </w:pPr>
      <w:r>
        <w:rPr>
          <w:rFonts w:hint="eastAsia" w:ascii="宋体" w:hAnsi="宋体"/>
          <w:color w:val="000000" w:themeColor="text1"/>
          <w:szCs w:val="21"/>
          <w:highlight w:val="none"/>
        </w:rPr>
        <w:t>8.4 由于卖方未及时按本合同第</w:t>
      </w:r>
      <w:r>
        <w:rPr>
          <w:rFonts w:ascii="宋体" w:hAnsi="宋体"/>
          <w:color w:val="000000" w:themeColor="text1"/>
          <w:szCs w:val="21"/>
          <w:highlight w:val="none"/>
        </w:rPr>
        <w:t>8.1款和/或第8.2款向买方发出通知，导致买方遭受损失的，卖方应向买方承担损失赔偿责任。</w:t>
      </w:r>
    </w:p>
    <w:p>
      <w:pPr>
        <w:tabs>
          <w:tab w:val="left" w:pos="1440"/>
        </w:tabs>
        <w:spacing w:line="360" w:lineRule="auto"/>
        <w:ind w:firstLine="420" w:firstLineChars="200"/>
        <w:rPr>
          <w:rFonts w:ascii="宋体" w:hAnsi="宋体"/>
          <w:color w:val="000000" w:themeColor="text1"/>
          <w:szCs w:val="21"/>
          <w:highlight w:val="none"/>
        </w:rPr>
      </w:pPr>
      <w:r>
        <w:rPr>
          <w:rFonts w:hint="eastAsia" w:ascii="宋体" w:hAnsi="宋体"/>
          <w:color w:val="000000" w:themeColor="text1"/>
          <w:szCs w:val="21"/>
          <w:highlight w:val="none"/>
        </w:rPr>
        <w:t>8.5 在保证期满后三年内由于卖方的过失或疏忽造成的供应设备（或部件）的损坏或潜在缺陷，而动用了买方库存中的备品备件以调换损坏的设备或部件，则卖方应负责免费将动用的备品备件补齐，最迟不得超过买方通知后</w:t>
      </w:r>
      <w:r>
        <w:rPr>
          <w:rFonts w:ascii="宋体" w:hAnsi="宋体"/>
          <w:color w:val="000000" w:themeColor="text1"/>
          <w:szCs w:val="21"/>
          <w:highlight w:val="none"/>
        </w:rPr>
        <w:t>1个月运到指定交付点，并且通知买方。</w:t>
      </w:r>
    </w:p>
    <w:p>
      <w:pPr>
        <w:tabs>
          <w:tab w:val="left" w:pos="1440"/>
        </w:tabs>
        <w:spacing w:line="360" w:lineRule="auto"/>
        <w:ind w:firstLine="420" w:firstLineChars="200"/>
        <w:rPr>
          <w:rFonts w:ascii="宋体" w:hAnsi="宋体"/>
          <w:color w:val="000000" w:themeColor="text1"/>
          <w:szCs w:val="21"/>
          <w:highlight w:val="none"/>
        </w:rPr>
      </w:pPr>
      <w:r>
        <w:rPr>
          <w:rFonts w:hint="eastAsia" w:ascii="宋体" w:hAnsi="宋体"/>
          <w:color w:val="000000" w:themeColor="text1"/>
          <w:szCs w:val="21"/>
          <w:highlight w:val="none"/>
        </w:rPr>
        <w:t>8.6 卖方应按技术规格书规定，向买方提供满足调试、试验、检验、培训、运行和维修所需的技术资料。技术资料的交付时间按买方要求的时间及时提供。</w:t>
      </w:r>
    </w:p>
    <w:p>
      <w:pPr>
        <w:tabs>
          <w:tab w:val="left" w:pos="1440"/>
        </w:tabs>
        <w:spacing w:line="360" w:lineRule="auto"/>
        <w:ind w:firstLine="420" w:firstLineChars="200"/>
        <w:rPr>
          <w:rFonts w:ascii="宋体" w:hAnsi="宋体"/>
          <w:color w:val="000000" w:themeColor="text1"/>
          <w:szCs w:val="21"/>
          <w:highlight w:val="none"/>
        </w:rPr>
      </w:pPr>
      <w:r>
        <w:rPr>
          <w:rFonts w:hint="eastAsia" w:ascii="宋体" w:hAnsi="宋体"/>
          <w:color w:val="000000" w:themeColor="text1"/>
          <w:szCs w:val="21"/>
          <w:highlight w:val="none"/>
        </w:rPr>
        <w:t>8.7 技术资料以快递邮寄（可直送）方式递交</w:t>
      </w:r>
      <w:r>
        <w:rPr>
          <w:rFonts w:ascii="宋体" w:hAnsi="宋体"/>
          <w:color w:val="000000" w:themeColor="text1"/>
          <w:szCs w:val="21"/>
          <w:highlight w:val="none"/>
        </w:rPr>
        <w:t>,每批技术资料交邮后，卖方应在24小时内将技术资料的交邮日期、邮单号、技术资料的详细清单、件数及重量、合同号等以传真通知买方。</w:t>
      </w:r>
    </w:p>
    <w:p>
      <w:pPr>
        <w:tabs>
          <w:tab w:val="left" w:pos="1440"/>
        </w:tabs>
        <w:spacing w:line="360" w:lineRule="auto"/>
        <w:ind w:firstLine="420" w:firstLineChars="200"/>
        <w:rPr>
          <w:rFonts w:ascii="宋体" w:hAnsi="宋体"/>
          <w:color w:val="000000" w:themeColor="text1"/>
          <w:szCs w:val="21"/>
          <w:highlight w:val="none"/>
        </w:rPr>
      </w:pPr>
      <w:r>
        <w:rPr>
          <w:rFonts w:hint="eastAsia" w:ascii="宋体" w:hAnsi="宋体"/>
          <w:color w:val="000000" w:themeColor="text1"/>
          <w:szCs w:val="21"/>
          <w:highlight w:val="none"/>
        </w:rPr>
        <w:t>8.8 技术资料可以邮寄方式或专人送达方式递交，如以邮寄方式递交，则以邮政部门提货通知单时间戳记为技术资料的实际交付日期，如以专人送达方式递交，则以买方代表签收日期为技术资料的实际交付日期。此日期将作为按合同第十五条对任何延期交付资料进行延期违约金计算的依据。</w:t>
      </w:r>
    </w:p>
    <w:p>
      <w:pPr>
        <w:spacing w:line="360" w:lineRule="auto"/>
        <w:ind w:firstLine="420" w:firstLineChars="200"/>
        <w:rPr>
          <w:rFonts w:ascii="宋体" w:hAnsi="宋体"/>
          <w:color w:val="000000" w:themeColor="text1"/>
          <w:szCs w:val="21"/>
          <w:highlight w:val="none"/>
        </w:rPr>
      </w:pPr>
      <w:r>
        <w:rPr>
          <w:rFonts w:hint="eastAsia" w:ascii="宋体" w:hAnsi="宋体"/>
          <w:color w:val="000000" w:themeColor="text1"/>
          <w:szCs w:val="21"/>
          <w:highlight w:val="none"/>
        </w:rPr>
        <w:t>如果技术资料经买方或买方代表检查后发现有缺少、丢失或损坏，且非买方原因，卖方应在收到买方通知后</w:t>
      </w:r>
      <w:r>
        <w:rPr>
          <w:rFonts w:ascii="宋体" w:hAnsi="宋体"/>
          <w:color w:val="000000" w:themeColor="text1"/>
          <w:szCs w:val="21"/>
          <w:highlight w:val="none"/>
        </w:rPr>
        <w:t>14天内(对急用者应在3天内)免费向</w:t>
      </w:r>
      <w:r>
        <w:rPr>
          <w:rFonts w:hint="eastAsia" w:ascii="宋体" w:hAnsi="宋体"/>
          <w:color w:val="000000" w:themeColor="text1"/>
          <w:szCs w:val="21"/>
          <w:highlight w:val="none"/>
        </w:rPr>
        <w:t>买方</w:t>
      </w:r>
      <w:r>
        <w:rPr>
          <w:rFonts w:ascii="宋体" w:hAnsi="宋体"/>
          <w:color w:val="000000" w:themeColor="text1"/>
          <w:szCs w:val="21"/>
          <w:highlight w:val="none"/>
        </w:rPr>
        <w:t>补充提供缺少、丢失或损坏的部分。</w:t>
      </w:r>
    </w:p>
    <w:p>
      <w:pPr>
        <w:spacing w:line="360" w:lineRule="auto"/>
        <w:ind w:firstLine="420" w:firstLineChars="200"/>
        <w:rPr>
          <w:rFonts w:ascii="宋体" w:hAnsi="宋体"/>
          <w:color w:val="000000" w:themeColor="text1"/>
          <w:szCs w:val="21"/>
          <w:highlight w:val="none"/>
        </w:rPr>
      </w:pPr>
      <w:r>
        <w:rPr>
          <w:rFonts w:hint="eastAsia" w:ascii="宋体" w:hAnsi="宋体"/>
          <w:color w:val="000000" w:themeColor="text1"/>
          <w:szCs w:val="21"/>
          <w:highlight w:val="none"/>
        </w:rPr>
        <w:t>如因买方原因发生缺少、丢失或损坏，卖方应在接到买方通知后</w:t>
      </w:r>
      <w:r>
        <w:rPr>
          <w:rFonts w:ascii="宋体" w:hAnsi="宋体"/>
          <w:color w:val="000000" w:themeColor="text1"/>
          <w:szCs w:val="21"/>
          <w:highlight w:val="none"/>
        </w:rPr>
        <w:t>14天内(对急用者应在3天内)，向</w:t>
      </w:r>
      <w:r>
        <w:rPr>
          <w:rFonts w:hint="eastAsia" w:ascii="宋体" w:hAnsi="宋体"/>
          <w:color w:val="000000" w:themeColor="text1"/>
          <w:szCs w:val="21"/>
          <w:highlight w:val="none"/>
        </w:rPr>
        <w:t>买方</w:t>
      </w:r>
      <w:r>
        <w:rPr>
          <w:rFonts w:ascii="宋体" w:hAnsi="宋体"/>
          <w:color w:val="000000" w:themeColor="text1"/>
          <w:szCs w:val="21"/>
          <w:highlight w:val="none"/>
        </w:rPr>
        <w:t>补充提供缺少、丢失或损坏部分，费用由买方承担。</w:t>
      </w:r>
    </w:p>
    <w:p>
      <w:pPr>
        <w:tabs>
          <w:tab w:val="left" w:pos="1440"/>
        </w:tabs>
        <w:spacing w:line="360" w:lineRule="auto"/>
        <w:ind w:firstLine="420" w:firstLineChars="200"/>
        <w:rPr>
          <w:rFonts w:ascii="宋体" w:hAnsi="宋体"/>
          <w:color w:val="000000" w:themeColor="text1"/>
          <w:szCs w:val="21"/>
          <w:highlight w:val="none"/>
        </w:rPr>
      </w:pPr>
      <w:r>
        <w:rPr>
          <w:rFonts w:hint="eastAsia" w:ascii="宋体" w:hAnsi="宋体"/>
          <w:color w:val="000000" w:themeColor="text1"/>
          <w:szCs w:val="21"/>
          <w:highlight w:val="none"/>
        </w:rPr>
        <w:t>8.8 买方可派遣代表到卖方工厂及装货车站</w:t>
      </w:r>
      <w:r>
        <w:rPr>
          <w:rFonts w:ascii="宋体" w:hAnsi="宋体"/>
          <w:color w:val="000000" w:themeColor="text1"/>
          <w:szCs w:val="21"/>
          <w:highlight w:val="none"/>
        </w:rPr>
        <w:t>/码头/机场检查包装质量和监督装车情况。卖方应提前15天通知买方交运日期。买方代表的检查与监督不能免除卖方应负的责任。</w:t>
      </w:r>
    </w:p>
    <w:p>
      <w:pPr>
        <w:spacing w:line="360" w:lineRule="auto"/>
        <w:ind w:firstLine="420" w:firstLineChars="200"/>
        <w:rPr>
          <w:rFonts w:ascii="宋体" w:hAnsi="宋体"/>
          <w:color w:val="000000" w:themeColor="text1"/>
          <w:szCs w:val="21"/>
          <w:highlight w:val="none"/>
        </w:rPr>
      </w:pPr>
      <w:r>
        <w:rPr>
          <w:rFonts w:hint="eastAsia" w:ascii="宋体" w:hAnsi="宋体"/>
          <w:color w:val="000000" w:themeColor="text1"/>
          <w:szCs w:val="21"/>
          <w:highlight w:val="none"/>
        </w:rPr>
        <w:t>8.9 技术资料收件单位：江苏长江水务股份有限公司（注明技术资料）</w:t>
      </w:r>
    </w:p>
    <w:p>
      <w:pPr>
        <w:spacing w:line="360" w:lineRule="auto"/>
        <w:ind w:firstLine="420" w:firstLineChars="200"/>
        <w:rPr>
          <w:rFonts w:ascii="宋体" w:hAnsi="宋体"/>
          <w:color w:val="000000" w:themeColor="text1"/>
          <w:szCs w:val="21"/>
          <w:highlight w:val="none"/>
        </w:rPr>
      </w:pPr>
    </w:p>
    <w:p>
      <w:pPr>
        <w:spacing w:line="360" w:lineRule="auto"/>
        <w:ind w:firstLine="422" w:firstLineChars="200"/>
        <w:rPr>
          <w:rFonts w:ascii="宋体" w:hAnsi="宋体"/>
          <w:b/>
          <w:color w:val="000000" w:themeColor="text1"/>
          <w:szCs w:val="21"/>
          <w:highlight w:val="none"/>
        </w:rPr>
      </w:pPr>
      <w:r>
        <w:rPr>
          <w:rFonts w:hint="eastAsia" w:ascii="宋体" w:hAnsi="宋体"/>
          <w:b/>
          <w:color w:val="000000" w:themeColor="text1"/>
          <w:szCs w:val="21"/>
          <w:highlight w:val="none"/>
        </w:rPr>
        <w:t>第九条 保险</w:t>
      </w:r>
    </w:p>
    <w:p>
      <w:pPr>
        <w:spacing w:line="360" w:lineRule="auto"/>
        <w:ind w:firstLine="420" w:firstLineChars="200"/>
        <w:rPr>
          <w:rFonts w:ascii="宋体" w:hAnsi="宋体"/>
          <w:color w:val="000000" w:themeColor="text1"/>
          <w:szCs w:val="21"/>
          <w:highlight w:val="none"/>
        </w:rPr>
      </w:pPr>
      <w:r>
        <w:rPr>
          <w:rFonts w:hint="eastAsia" w:ascii="宋体" w:hAnsi="宋体"/>
          <w:color w:val="000000" w:themeColor="text1"/>
          <w:szCs w:val="21"/>
          <w:highlight w:val="none"/>
        </w:rPr>
        <w:t>在货物发运前卖方须对货物，根据水运、陆运和空运等运输方式，向保险公司投保以卖方为受益人，金额为发运货物价格</w:t>
      </w:r>
      <w:r>
        <w:rPr>
          <w:rFonts w:ascii="宋体" w:hAnsi="宋体"/>
          <w:color w:val="000000" w:themeColor="text1"/>
          <w:szCs w:val="21"/>
          <w:highlight w:val="none"/>
        </w:rPr>
        <w:t>110%的运输一切险(包括卸货至现场地面的最后一吊)，保险区段为卖方仓库到交货地点交货后90天止。</w:t>
      </w:r>
    </w:p>
    <w:p>
      <w:pPr>
        <w:spacing w:line="360" w:lineRule="auto"/>
        <w:ind w:firstLine="420" w:firstLineChars="200"/>
        <w:rPr>
          <w:rFonts w:ascii="宋体" w:hAnsi="宋体"/>
          <w:color w:val="000000" w:themeColor="text1"/>
          <w:szCs w:val="21"/>
          <w:highlight w:val="none"/>
        </w:rPr>
      </w:pPr>
    </w:p>
    <w:p>
      <w:pPr>
        <w:spacing w:line="360" w:lineRule="auto"/>
        <w:ind w:firstLine="422" w:firstLineChars="200"/>
        <w:rPr>
          <w:rFonts w:ascii="宋体" w:hAnsi="宋体"/>
          <w:b/>
          <w:color w:val="000000" w:themeColor="text1"/>
          <w:szCs w:val="21"/>
          <w:highlight w:val="none"/>
        </w:rPr>
      </w:pPr>
      <w:r>
        <w:rPr>
          <w:rFonts w:hint="eastAsia" w:ascii="宋体" w:hAnsi="宋体"/>
          <w:b/>
          <w:color w:val="000000" w:themeColor="text1"/>
          <w:szCs w:val="21"/>
          <w:highlight w:val="none"/>
        </w:rPr>
        <w:t>第十条 风险承担</w:t>
      </w:r>
    </w:p>
    <w:p>
      <w:pPr>
        <w:tabs>
          <w:tab w:val="left" w:pos="900"/>
          <w:tab w:val="left" w:pos="1080"/>
        </w:tabs>
        <w:spacing w:line="360" w:lineRule="auto"/>
        <w:ind w:firstLine="420" w:firstLineChars="200"/>
        <w:rPr>
          <w:rFonts w:ascii="宋体" w:hAnsi="宋体"/>
          <w:color w:val="000000" w:themeColor="text1"/>
          <w:szCs w:val="21"/>
          <w:highlight w:val="none"/>
        </w:rPr>
      </w:pPr>
      <w:r>
        <w:rPr>
          <w:rFonts w:hint="eastAsia" w:ascii="宋体" w:hAnsi="宋体"/>
          <w:color w:val="000000" w:themeColor="text1"/>
          <w:szCs w:val="21"/>
          <w:highlight w:val="none"/>
        </w:rPr>
        <w:t>所有货物在交付之前的所有风险和责任均由卖方承担。如果在交付之前因运输等问题造成货物毁损、灭失等风险，卖方在本合同项下的义务与责任均不予解除。</w:t>
      </w:r>
    </w:p>
    <w:p>
      <w:pPr>
        <w:spacing w:line="360" w:lineRule="auto"/>
        <w:ind w:firstLine="422" w:firstLineChars="200"/>
        <w:rPr>
          <w:rFonts w:ascii="宋体" w:hAnsi="宋体"/>
          <w:b/>
          <w:color w:val="000000" w:themeColor="text1"/>
          <w:szCs w:val="21"/>
          <w:highlight w:val="none"/>
        </w:rPr>
      </w:pPr>
    </w:p>
    <w:p>
      <w:pPr>
        <w:spacing w:line="360" w:lineRule="auto"/>
        <w:ind w:firstLine="422" w:firstLineChars="200"/>
        <w:rPr>
          <w:rFonts w:ascii="宋体" w:hAnsi="宋体"/>
          <w:b/>
          <w:color w:val="000000" w:themeColor="text1"/>
          <w:szCs w:val="21"/>
          <w:highlight w:val="none"/>
        </w:rPr>
      </w:pPr>
      <w:r>
        <w:rPr>
          <w:rFonts w:hint="eastAsia" w:ascii="宋体" w:hAnsi="宋体"/>
          <w:b/>
          <w:color w:val="000000" w:themeColor="text1"/>
          <w:szCs w:val="21"/>
          <w:highlight w:val="none"/>
        </w:rPr>
        <w:t>第十一条</w:t>
      </w:r>
      <w:r>
        <w:rPr>
          <w:rFonts w:ascii="宋体" w:hAnsi="宋体"/>
          <w:b/>
          <w:color w:val="000000" w:themeColor="text1"/>
          <w:szCs w:val="21"/>
          <w:highlight w:val="none"/>
        </w:rPr>
        <w:t xml:space="preserve"> 合同价款与支付 </w:t>
      </w:r>
    </w:p>
    <w:p>
      <w:pPr>
        <w:tabs>
          <w:tab w:val="left" w:pos="540"/>
          <w:tab w:val="left" w:pos="1080"/>
        </w:tabs>
        <w:spacing w:line="360" w:lineRule="auto"/>
        <w:ind w:firstLine="420" w:firstLineChars="200"/>
        <w:rPr>
          <w:rFonts w:ascii="宋体" w:hAnsi="宋体"/>
          <w:color w:val="000000" w:themeColor="text1"/>
          <w:szCs w:val="21"/>
          <w:highlight w:val="none"/>
        </w:rPr>
      </w:pPr>
      <w:r>
        <w:rPr>
          <w:rFonts w:hint="eastAsia" w:ascii="宋体" w:hAnsi="宋体"/>
          <w:color w:val="000000" w:themeColor="text1"/>
          <w:szCs w:val="21"/>
          <w:highlight w:val="none"/>
        </w:rPr>
        <w:t>11.1 本合同价款即合同总价为人民币总价：    元</w:t>
      </w:r>
      <w:r>
        <w:rPr>
          <w:rFonts w:ascii="宋体" w:hAnsi="宋体"/>
          <w:color w:val="000000" w:themeColor="text1"/>
          <w:szCs w:val="21"/>
          <w:highlight w:val="none"/>
        </w:rPr>
        <w:t>(大写：        )。</w:t>
      </w:r>
      <w:r>
        <w:rPr>
          <w:rFonts w:hint="eastAsia" w:ascii="宋体" w:hAnsi="宋体"/>
          <w:color w:val="000000" w:themeColor="text1"/>
          <w:szCs w:val="21"/>
          <w:highlight w:val="none"/>
        </w:rPr>
        <w:t>合同总价为固定不变价格，投标文件中的清单报价作为质保期外维修或更换的结算依据，除非本合同另有规定，否则在合同期内不因任何原因加以变更或调整。</w:t>
      </w:r>
    </w:p>
    <w:p>
      <w:pPr>
        <w:spacing w:line="360" w:lineRule="auto"/>
        <w:ind w:firstLine="420" w:firstLineChars="200"/>
        <w:rPr>
          <w:rFonts w:ascii="宋体" w:hAnsi="宋体"/>
          <w:color w:val="000000" w:themeColor="text1"/>
          <w:szCs w:val="21"/>
          <w:highlight w:val="none"/>
        </w:rPr>
      </w:pPr>
      <w:r>
        <w:rPr>
          <w:rFonts w:hint="eastAsia" w:ascii="宋体" w:hAnsi="宋体"/>
          <w:color w:val="000000" w:themeColor="text1"/>
          <w:szCs w:val="21"/>
          <w:highlight w:val="none"/>
        </w:rPr>
        <w:t>本合同价款包括合同设备</w:t>
      </w:r>
      <w:r>
        <w:rPr>
          <w:rFonts w:ascii="宋体" w:hAnsi="宋体"/>
          <w:color w:val="000000" w:themeColor="text1"/>
          <w:szCs w:val="21"/>
          <w:highlight w:val="none"/>
        </w:rPr>
        <w:t>(含备品备件、专用工具)、技术资料、</w:t>
      </w:r>
      <w:r>
        <w:rPr>
          <w:rFonts w:hint="eastAsia" w:ascii="宋体" w:hAnsi="宋体"/>
          <w:color w:val="000000" w:themeColor="text1"/>
          <w:szCs w:val="21"/>
          <w:highlight w:val="none"/>
        </w:rPr>
        <w:t>安装调试、</w:t>
      </w:r>
      <w:r>
        <w:rPr>
          <w:rFonts w:ascii="宋体" w:hAnsi="宋体"/>
          <w:color w:val="000000" w:themeColor="text1"/>
          <w:szCs w:val="21"/>
          <w:highlight w:val="none"/>
        </w:rPr>
        <w:t>技术服务和运输及保险费等费用,还包括合同设备的税费等与本合同中卖方应承担的所有义务和所有工作相关的费用。合同设备的技术服务及备品备件由卖方免费提供。</w:t>
      </w:r>
    </w:p>
    <w:p>
      <w:pPr>
        <w:spacing w:line="360" w:lineRule="auto"/>
        <w:ind w:firstLine="420" w:firstLineChars="200"/>
        <w:rPr>
          <w:color w:val="000000" w:themeColor="text1"/>
          <w:szCs w:val="21"/>
          <w:highlight w:val="none"/>
        </w:rPr>
      </w:pPr>
      <w:r>
        <w:rPr>
          <w:rFonts w:hint="eastAsia" w:ascii="宋体" w:hAnsi="宋体"/>
          <w:color w:val="000000" w:themeColor="text1"/>
          <w:szCs w:val="21"/>
          <w:highlight w:val="none"/>
        </w:rPr>
        <w:t>合同设备运抵项目现场的运输及保险费等杂费已含在合同价款内。运输及保险费是指合同设备从卖方</w:t>
      </w:r>
      <w:r>
        <w:rPr>
          <w:rFonts w:ascii="宋体" w:hAnsi="宋体"/>
          <w:color w:val="000000" w:themeColor="text1"/>
          <w:szCs w:val="21"/>
          <w:highlight w:val="none"/>
        </w:rPr>
        <w:t>(包括卖方的分包商)始发站（车上）/码头（船上）到交货地点地面所发生的公路、铁路、水路、航空运费</w:t>
      </w:r>
      <w:r>
        <w:rPr>
          <w:rFonts w:hint="eastAsia" w:ascii="宋体" w:hAnsi="宋体"/>
          <w:color w:val="000000" w:themeColor="text1"/>
          <w:szCs w:val="21"/>
          <w:highlight w:val="none"/>
        </w:rPr>
        <w:t>和</w:t>
      </w:r>
      <w:r>
        <w:rPr>
          <w:rFonts w:ascii="宋体" w:hAnsi="宋体"/>
          <w:color w:val="000000" w:themeColor="text1"/>
          <w:szCs w:val="21"/>
          <w:highlight w:val="none"/>
        </w:rPr>
        <w:t>保险费等运输过程中发生的各种费用。</w:t>
      </w:r>
    </w:p>
    <w:p>
      <w:pPr>
        <w:tabs>
          <w:tab w:val="left" w:pos="1080"/>
        </w:tabs>
        <w:spacing w:line="360" w:lineRule="auto"/>
        <w:ind w:firstLine="420" w:firstLineChars="200"/>
        <w:rPr>
          <w:rFonts w:ascii="宋体" w:hAnsi="宋体"/>
          <w:color w:val="000000" w:themeColor="text1"/>
          <w:szCs w:val="21"/>
          <w:highlight w:val="none"/>
        </w:rPr>
      </w:pPr>
      <w:r>
        <w:rPr>
          <w:rFonts w:hint="eastAsia" w:ascii="宋体" w:hAnsi="宋体"/>
          <w:color w:val="000000" w:themeColor="text1"/>
          <w:szCs w:val="21"/>
          <w:highlight w:val="none"/>
        </w:rPr>
        <w:t>11.2 支付</w:t>
      </w:r>
    </w:p>
    <w:p>
      <w:pPr>
        <w:spacing w:line="360" w:lineRule="auto"/>
        <w:ind w:firstLine="420" w:firstLineChars="200"/>
        <w:rPr>
          <w:rFonts w:ascii="宋体" w:hAnsi="宋体"/>
          <w:color w:val="000000" w:themeColor="text1"/>
          <w:szCs w:val="21"/>
          <w:highlight w:val="none"/>
        </w:rPr>
      </w:pPr>
      <w:r>
        <w:rPr>
          <w:rFonts w:hint="eastAsia" w:ascii="宋体" w:hAnsi="宋体"/>
          <w:color w:val="000000" w:themeColor="text1"/>
          <w:szCs w:val="21"/>
          <w:highlight w:val="none"/>
        </w:rPr>
        <w:t>无预付款，所有货物经安装调试验收合格且连续无故障运行60</w:t>
      </w:r>
      <w:r>
        <w:rPr>
          <w:rFonts w:ascii="宋体" w:hAnsi="宋体"/>
          <w:color w:val="000000" w:themeColor="text1"/>
          <w:szCs w:val="21"/>
          <w:highlight w:val="none"/>
        </w:rPr>
        <w:t>天后</w:t>
      </w:r>
      <w:r>
        <w:rPr>
          <w:rFonts w:hint="eastAsia" w:ascii="宋体" w:hAnsi="宋体"/>
          <w:color w:val="000000" w:themeColor="text1"/>
          <w:szCs w:val="21"/>
          <w:highlight w:val="none"/>
        </w:rPr>
        <w:t>，自收讫乙方全额增值税专用发票之日起三个月内通过银行转账付至合同总价款的95%，余款5%作为质保金，在合同约定的质保期满且标的设备无质量问题后根据卖方书面申请2个月内无息付清余额。</w:t>
      </w:r>
      <w:r>
        <w:rPr>
          <w:rFonts w:ascii="宋体" w:hAnsi="宋体"/>
          <w:color w:val="000000" w:themeColor="text1"/>
          <w:szCs w:val="21"/>
          <w:highlight w:val="none"/>
        </w:rPr>
        <w:t>（</w:t>
      </w:r>
      <w:r>
        <w:rPr>
          <w:rFonts w:hint="eastAsia" w:ascii="宋体"/>
          <w:color w:val="000000" w:themeColor="text1"/>
          <w:szCs w:val="21"/>
          <w:highlight w:val="none"/>
        </w:rPr>
        <w:t>备注：</w:t>
      </w:r>
      <w:r>
        <w:rPr>
          <w:rFonts w:hint="eastAsia" w:ascii="宋体" w:hAnsi="宋体"/>
          <w:color w:val="000000" w:themeColor="text1"/>
          <w:szCs w:val="21"/>
          <w:highlight w:val="none"/>
        </w:rPr>
        <w:t>本项目在结算支付时，票据为税率</w:t>
      </w:r>
      <w:r>
        <w:rPr>
          <w:rFonts w:ascii="宋体" w:hAnsi="宋体"/>
          <w:color w:val="000000" w:themeColor="text1"/>
          <w:szCs w:val="21"/>
          <w:highlight w:val="none"/>
        </w:rPr>
        <w:t>13%增值税专用发票（国家政策若发生变化以相关政策执行）。</w:t>
      </w:r>
    </w:p>
    <w:p>
      <w:pPr>
        <w:spacing w:line="360" w:lineRule="auto"/>
        <w:ind w:firstLine="420" w:firstLineChars="200"/>
        <w:rPr>
          <w:rFonts w:ascii="宋体" w:hAnsi="宋体"/>
          <w:color w:val="000000" w:themeColor="text1"/>
          <w:szCs w:val="21"/>
          <w:highlight w:val="none"/>
        </w:rPr>
      </w:pPr>
    </w:p>
    <w:p>
      <w:pPr>
        <w:spacing w:line="360" w:lineRule="auto"/>
        <w:ind w:firstLine="422" w:firstLineChars="200"/>
        <w:rPr>
          <w:rFonts w:ascii="宋体" w:hAnsi="宋体"/>
          <w:b/>
          <w:color w:val="000000" w:themeColor="text1"/>
          <w:szCs w:val="21"/>
          <w:highlight w:val="none"/>
        </w:rPr>
      </w:pPr>
      <w:r>
        <w:rPr>
          <w:rFonts w:hint="eastAsia" w:ascii="宋体" w:hAnsi="宋体"/>
          <w:b/>
          <w:color w:val="000000" w:themeColor="text1"/>
          <w:szCs w:val="21"/>
          <w:highlight w:val="none"/>
        </w:rPr>
        <w:t>第十二条 连带责任</w:t>
      </w:r>
    </w:p>
    <w:p>
      <w:pPr>
        <w:spacing w:line="360" w:lineRule="auto"/>
        <w:ind w:firstLine="420" w:firstLineChars="200"/>
        <w:rPr>
          <w:rFonts w:ascii="宋体" w:hAnsi="宋体"/>
          <w:color w:val="000000" w:themeColor="text1"/>
          <w:szCs w:val="21"/>
          <w:highlight w:val="none"/>
        </w:rPr>
      </w:pPr>
      <w:r>
        <w:rPr>
          <w:rFonts w:ascii="宋体" w:hAnsi="宋体"/>
          <w:color w:val="000000" w:themeColor="text1"/>
          <w:szCs w:val="21"/>
          <w:highlight w:val="none"/>
        </w:rPr>
        <w:t>12.1卖方应对本合同项下设备的制造、运输、装卸、交货、</w:t>
      </w:r>
      <w:r>
        <w:rPr>
          <w:rFonts w:hint="eastAsia" w:ascii="宋体" w:hAnsi="宋体"/>
          <w:color w:val="000000" w:themeColor="text1"/>
          <w:szCs w:val="21"/>
          <w:highlight w:val="none"/>
        </w:rPr>
        <w:t>安装、调试等承担全部责任。</w:t>
      </w:r>
    </w:p>
    <w:p>
      <w:pPr>
        <w:spacing w:line="360" w:lineRule="auto"/>
        <w:ind w:firstLine="420" w:firstLineChars="200"/>
        <w:rPr>
          <w:rFonts w:ascii="宋体" w:hAnsi="宋体"/>
          <w:color w:val="000000" w:themeColor="text1"/>
          <w:szCs w:val="21"/>
          <w:highlight w:val="none"/>
        </w:rPr>
      </w:pPr>
      <w:r>
        <w:rPr>
          <w:rFonts w:ascii="宋体" w:hAnsi="宋体"/>
          <w:color w:val="000000" w:themeColor="text1"/>
          <w:szCs w:val="21"/>
          <w:highlight w:val="none"/>
        </w:rPr>
        <w:t xml:space="preserve">12.2 </w:t>
      </w:r>
      <w:r>
        <w:rPr>
          <w:rFonts w:hint="eastAsia" w:ascii="宋体" w:hAnsi="宋体"/>
          <w:color w:val="000000" w:themeColor="text1"/>
          <w:szCs w:val="21"/>
          <w:highlight w:val="none"/>
        </w:rPr>
        <w:t>卖方应对本合同项下设备安装过程中影响买方安全生产的任何事宜承担全部责任。</w:t>
      </w:r>
    </w:p>
    <w:p>
      <w:pPr>
        <w:spacing w:line="360" w:lineRule="auto"/>
        <w:ind w:firstLine="420" w:firstLineChars="200"/>
        <w:rPr>
          <w:rFonts w:ascii="宋体" w:hAnsi="宋体"/>
          <w:color w:val="000000" w:themeColor="text1"/>
          <w:szCs w:val="21"/>
          <w:highlight w:val="none"/>
        </w:rPr>
      </w:pPr>
    </w:p>
    <w:p>
      <w:pPr>
        <w:spacing w:line="360" w:lineRule="auto"/>
        <w:ind w:firstLine="422" w:firstLineChars="200"/>
        <w:rPr>
          <w:rFonts w:ascii="宋体" w:hAnsi="宋体"/>
          <w:b/>
          <w:color w:val="000000" w:themeColor="text1"/>
          <w:szCs w:val="21"/>
          <w:highlight w:val="none"/>
        </w:rPr>
      </w:pPr>
      <w:r>
        <w:rPr>
          <w:rFonts w:hint="eastAsia" w:ascii="宋体" w:hAnsi="宋体"/>
          <w:b/>
          <w:color w:val="000000" w:themeColor="text1"/>
          <w:szCs w:val="21"/>
          <w:highlight w:val="none"/>
        </w:rPr>
        <w:t>第十三条 质量保证</w:t>
      </w:r>
    </w:p>
    <w:p>
      <w:pPr>
        <w:tabs>
          <w:tab w:val="left" w:pos="540"/>
          <w:tab w:val="left" w:pos="1080"/>
        </w:tabs>
        <w:spacing w:line="360" w:lineRule="auto"/>
        <w:ind w:firstLine="420" w:firstLineChars="200"/>
        <w:rPr>
          <w:rFonts w:ascii="宋体" w:hAnsi="宋体"/>
          <w:color w:val="000000" w:themeColor="text1"/>
          <w:szCs w:val="21"/>
          <w:highlight w:val="none"/>
        </w:rPr>
      </w:pPr>
      <w:r>
        <w:rPr>
          <w:rFonts w:hint="eastAsia" w:ascii="宋体" w:hAnsi="宋体"/>
          <w:color w:val="000000" w:themeColor="text1"/>
          <w:szCs w:val="21"/>
          <w:highlight w:val="none"/>
        </w:rPr>
        <w:t>13.1 卖方应保证其提供的货物在各个方面符合技术规格书规定的质量、规格和性能要求。</w:t>
      </w:r>
    </w:p>
    <w:p>
      <w:pPr>
        <w:tabs>
          <w:tab w:val="left" w:pos="540"/>
          <w:tab w:val="left" w:pos="1080"/>
        </w:tabs>
        <w:spacing w:line="360" w:lineRule="auto"/>
        <w:ind w:firstLine="420" w:firstLineChars="200"/>
        <w:rPr>
          <w:rFonts w:ascii="宋体" w:hAnsi="宋体"/>
          <w:color w:val="000000" w:themeColor="text1"/>
          <w:szCs w:val="21"/>
          <w:highlight w:val="none"/>
        </w:rPr>
      </w:pPr>
      <w:r>
        <w:rPr>
          <w:rFonts w:hint="eastAsia" w:ascii="宋体" w:hAnsi="宋体"/>
          <w:color w:val="000000" w:themeColor="text1"/>
          <w:szCs w:val="21"/>
          <w:highlight w:val="none"/>
        </w:rPr>
        <w:t>13.2 合同货物的质量保证期为联动调试合格试运行后的18</w:t>
      </w:r>
      <w:r>
        <w:rPr>
          <w:rFonts w:ascii="宋体" w:hAnsi="宋体"/>
          <w:color w:val="000000" w:themeColor="text1"/>
          <w:szCs w:val="21"/>
          <w:highlight w:val="none"/>
        </w:rPr>
        <w:t>个月。在质量保证期内，卖方应对由于设计、工艺、生产或运输导致的缺陷负责，出现上述情况，卖方应在7天内对买方提出的要求给予答复并处理。</w:t>
      </w:r>
    </w:p>
    <w:p>
      <w:pPr>
        <w:tabs>
          <w:tab w:val="left" w:pos="1080"/>
        </w:tabs>
        <w:spacing w:line="360" w:lineRule="auto"/>
        <w:ind w:firstLine="420" w:firstLineChars="200"/>
        <w:rPr>
          <w:rFonts w:ascii="宋体" w:hAnsi="宋体"/>
          <w:color w:val="000000" w:themeColor="text1"/>
          <w:szCs w:val="21"/>
          <w:highlight w:val="none"/>
        </w:rPr>
      </w:pPr>
    </w:p>
    <w:p>
      <w:pPr>
        <w:spacing w:line="360" w:lineRule="auto"/>
        <w:ind w:firstLine="422" w:firstLineChars="200"/>
        <w:rPr>
          <w:rFonts w:ascii="宋体" w:hAnsi="宋体"/>
          <w:b/>
          <w:color w:val="000000" w:themeColor="text1"/>
          <w:szCs w:val="21"/>
          <w:highlight w:val="none"/>
        </w:rPr>
      </w:pPr>
      <w:r>
        <w:rPr>
          <w:rFonts w:hint="eastAsia" w:ascii="宋体" w:hAnsi="宋体"/>
          <w:b/>
          <w:color w:val="000000" w:themeColor="text1"/>
          <w:szCs w:val="21"/>
          <w:highlight w:val="none"/>
        </w:rPr>
        <w:t>第十四条 技术服务和检验</w:t>
      </w:r>
    </w:p>
    <w:p>
      <w:pPr>
        <w:tabs>
          <w:tab w:val="left" w:pos="540"/>
        </w:tabs>
        <w:spacing w:line="360" w:lineRule="auto"/>
        <w:ind w:firstLine="420" w:firstLineChars="200"/>
        <w:rPr>
          <w:rFonts w:ascii="宋体" w:hAnsi="宋体"/>
          <w:color w:val="000000" w:themeColor="text1"/>
          <w:szCs w:val="21"/>
          <w:highlight w:val="none"/>
        </w:rPr>
      </w:pPr>
      <w:r>
        <w:rPr>
          <w:rFonts w:hint="eastAsia" w:ascii="宋体" w:hAnsi="宋体"/>
          <w:color w:val="000000" w:themeColor="text1"/>
          <w:szCs w:val="21"/>
          <w:highlight w:val="none"/>
        </w:rPr>
        <w:t>14.1 卖方应及时提供与本合同设备有关的安装、调试、验收、性能验收试验、运行、检修等相应的技术指导、技术配合、技术培训等全过程的服务。</w:t>
      </w:r>
    </w:p>
    <w:p>
      <w:pPr>
        <w:tabs>
          <w:tab w:val="left" w:pos="540"/>
        </w:tabs>
        <w:spacing w:line="360" w:lineRule="auto"/>
        <w:ind w:firstLine="420" w:firstLineChars="200"/>
        <w:rPr>
          <w:rFonts w:ascii="宋体" w:hAnsi="宋体"/>
          <w:color w:val="000000" w:themeColor="text1"/>
          <w:szCs w:val="21"/>
          <w:highlight w:val="none"/>
        </w:rPr>
      </w:pPr>
      <w:r>
        <w:rPr>
          <w:rFonts w:hint="eastAsia" w:ascii="宋体" w:hAnsi="宋体"/>
          <w:color w:val="000000" w:themeColor="text1"/>
          <w:szCs w:val="21"/>
          <w:highlight w:val="none"/>
        </w:rPr>
        <w:t>14.2 卖方根据相关设备的技术资料、检验标准、图纸及说明书进行安装、调试、运行和维修，并负责解决合同设备在安装调试、试运行中发现的制造质量及性能等有关问题。</w:t>
      </w:r>
    </w:p>
    <w:p>
      <w:pPr>
        <w:tabs>
          <w:tab w:val="left" w:pos="540"/>
        </w:tabs>
        <w:spacing w:line="360" w:lineRule="auto"/>
        <w:ind w:firstLine="420" w:firstLineChars="200"/>
        <w:rPr>
          <w:rFonts w:ascii="宋体" w:hAnsi="宋体"/>
          <w:color w:val="000000" w:themeColor="text1"/>
          <w:szCs w:val="21"/>
          <w:highlight w:val="none"/>
        </w:rPr>
      </w:pPr>
      <w:r>
        <w:rPr>
          <w:rFonts w:hint="eastAsia" w:ascii="宋体" w:hAnsi="宋体"/>
          <w:color w:val="000000" w:themeColor="text1"/>
          <w:szCs w:val="21"/>
          <w:highlight w:val="none"/>
        </w:rPr>
        <w:t>14.3 卖方应在合同生效后</w:t>
      </w:r>
      <w:r>
        <w:rPr>
          <w:rFonts w:ascii="宋体" w:hAnsi="宋体"/>
          <w:color w:val="000000" w:themeColor="text1"/>
          <w:szCs w:val="21"/>
          <w:highlight w:val="none"/>
        </w:rPr>
        <w:t>1个月内以快递邮寄方式向买方提交执行14.2条规定的服务工作的组织计划一式两份。</w:t>
      </w:r>
    </w:p>
    <w:p>
      <w:pPr>
        <w:tabs>
          <w:tab w:val="left" w:pos="540"/>
        </w:tabs>
        <w:spacing w:line="360" w:lineRule="auto"/>
        <w:ind w:firstLine="420" w:firstLineChars="200"/>
        <w:rPr>
          <w:rFonts w:ascii="宋体" w:hAnsi="宋体"/>
          <w:color w:val="000000" w:themeColor="text1"/>
          <w:szCs w:val="21"/>
          <w:highlight w:val="none"/>
        </w:rPr>
      </w:pPr>
      <w:r>
        <w:rPr>
          <w:rFonts w:hint="eastAsia" w:ascii="宋体" w:hAnsi="宋体"/>
          <w:color w:val="000000" w:themeColor="text1"/>
          <w:szCs w:val="21"/>
          <w:highlight w:val="none"/>
        </w:rPr>
        <w:t>14.4 如遇有重大问题需要双方立即研究协商时，任何一方均可建议召开会议，在一般情况下，另一方应同意参加。</w:t>
      </w:r>
    </w:p>
    <w:p>
      <w:pPr>
        <w:tabs>
          <w:tab w:val="left" w:pos="540"/>
        </w:tabs>
        <w:spacing w:line="360" w:lineRule="auto"/>
        <w:ind w:firstLine="420" w:firstLineChars="200"/>
        <w:rPr>
          <w:rFonts w:ascii="宋体" w:hAnsi="宋体"/>
          <w:color w:val="000000" w:themeColor="text1"/>
          <w:szCs w:val="21"/>
          <w:highlight w:val="none"/>
        </w:rPr>
      </w:pPr>
      <w:r>
        <w:rPr>
          <w:rFonts w:hint="eastAsia" w:ascii="宋体" w:hAnsi="宋体"/>
          <w:color w:val="000000" w:themeColor="text1"/>
          <w:szCs w:val="21"/>
          <w:highlight w:val="none"/>
        </w:rPr>
        <w:t>14.5 各次会议及其他联络方式双方均应签订会议或联络纪要，所签纪要双方均应执行。如涉及合同条款有修改时，双方需签订补充或更改合同。</w:t>
      </w:r>
    </w:p>
    <w:p>
      <w:pPr>
        <w:tabs>
          <w:tab w:val="left" w:pos="540"/>
        </w:tabs>
        <w:spacing w:line="360" w:lineRule="auto"/>
        <w:ind w:firstLine="420" w:firstLineChars="200"/>
        <w:rPr>
          <w:rFonts w:ascii="宋体" w:hAnsi="宋体"/>
          <w:color w:val="000000" w:themeColor="text1"/>
          <w:szCs w:val="21"/>
          <w:highlight w:val="none"/>
        </w:rPr>
      </w:pPr>
      <w:r>
        <w:rPr>
          <w:rFonts w:hint="eastAsia" w:ascii="宋体" w:hAnsi="宋体"/>
          <w:color w:val="000000" w:themeColor="text1"/>
          <w:szCs w:val="21"/>
          <w:highlight w:val="none"/>
        </w:rPr>
        <w:t>14.6 卖方提出并经双方在会议上确定的安装、调试和运行技术服务方案，卖方如有修改，须以书面形式通知买方，经买方确认后方可进行。为适应现场条件的要求，买方有权提出变更或修改意见，并书面通知卖方，卖方应给予充分考虑，应尽量满足买方要求。</w:t>
      </w:r>
    </w:p>
    <w:p>
      <w:pPr>
        <w:tabs>
          <w:tab w:val="left" w:pos="540"/>
        </w:tabs>
        <w:spacing w:line="360" w:lineRule="auto"/>
        <w:ind w:firstLine="420" w:firstLineChars="200"/>
        <w:rPr>
          <w:rFonts w:ascii="宋体" w:hAnsi="宋体"/>
          <w:color w:val="000000" w:themeColor="text1"/>
          <w:szCs w:val="21"/>
          <w:highlight w:val="none"/>
        </w:rPr>
      </w:pPr>
      <w:r>
        <w:rPr>
          <w:rFonts w:hint="eastAsia" w:ascii="宋体" w:hAnsi="宋体"/>
          <w:color w:val="000000" w:themeColor="text1"/>
          <w:szCs w:val="21"/>
          <w:highlight w:val="none"/>
        </w:rPr>
        <w:t>14.7 买方有权将对方所提供的一切与本合同设备有关的资料分发给与本工程有关的各方，并不由此而构成任何侵权</w:t>
      </w:r>
      <w:r>
        <w:rPr>
          <w:rFonts w:ascii="宋体" w:hAnsi="宋体"/>
          <w:color w:val="000000" w:themeColor="text1"/>
          <w:szCs w:val="21"/>
          <w:highlight w:val="none"/>
        </w:rPr>
        <w:t>,但不得向任何与本工程无关的第三方提供。</w:t>
      </w:r>
    </w:p>
    <w:p>
      <w:pPr>
        <w:tabs>
          <w:tab w:val="left" w:pos="540"/>
        </w:tabs>
        <w:spacing w:line="360" w:lineRule="auto"/>
        <w:ind w:firstLine="420" w:firstLineChars="200"/>
        <w:rPr>
          <w:rFonts w:ascii="宋体" w:hAnsi="宋体"/>
          <w:color w:val="000000" w:themeColor="text1"/>
          <w:szCs w:val="21"/>
          <w:highlight w:val="none"/>
        </w:rPr>
      </w:pPr>
      <w:r>
        <w:rPr>
          <w:rFonts w:hint="eastAsia" w:ascii="宋体" w:hAnsi="宋体"/>
          <w:color w:val="000000" w:themeColor="text1"/>
          <w:szCs w:val="21"/>
          <w:highlight w:val="none"/>
        </w:rPr>
        <w:t>14.8 对盖有“密件”印章的卖方、买方的资料，双方都有为其保密的义务。</w:t>
      </w:r>
    </w:p>
    <w:p>
      <w:pPr>
        <w:tabs>
          <w:tab w:val="left" w:pos="540"/>
        </w:tabs>
        <w:spacing w:line="360" w:lineRule="auto"/>
        <w:ind w:firstLine="420" w:firstLineChars="200"/>
        <w:rPr>
          <w:rFonts w:ascii="宋体" w:hAnsi="宋体"/>
          <w:color w:val="000000" w:themeColor="text1"/>
          <w:szCs w:val="21"/>
          <w:highlight w:val="none"/>
        </w:rPr>
      </w:pPr>
      <w:r>
        <w:rPr>
          <w:rFonts w:hint="eastAsia" w:ascii="宋体" w:hAnsi="宋体"/>
          <w:color w:val="000000" w:themeColor="text1"/>
          <w:szCs w:val="21"/>
          <w:highlight w:val="none"/>
        </w:rPr>
        <w:t>14.9 需要卖方的分包商对合同设备的部分技术服务或去现场工作，应由卖方统一组织并征得买方同意，费用应由卖方负担。</w:t>
      </w:r>
    </w:p>
    <w:p>
      <w:pPr>
        <w:tabs>
          <w:tab w:val="left" w:pos="540"/>
        </w:tabs>
        <w:spacing w:line="360" w:lineRule="auto"/>
        <w:ind w:firstLine="420" w:firstLineChars="200"/>
        <w:rPr>
          <w:rFonts w:ascii="宋体" w:hAnsi="宋体"/>
          <w:color w:val="000000" w:themeColor="text1"/>
          <w:szCs w:val="21"/>
          <w:highlight w:val="none"/>
        </w:rPr>
      </w:pPr>
      <w:r>
        <w:rPr>
          <w:rFonts w:hint="eastAsia" w:ascii="宋体" w:hAnsi="宋体"/>
          <w:color w:val="000000" w:themeColor="text1"/>
          <w:szCs w:val="21"/>
          <w:highlight w:val="none"/>
        </w:rPr>
        <w:t>14.10 卖方（包括外购）须对一切与本合同有关的供货、设备及技术接口、技术服务等问题负全部责任。</w:t>
      </w:r>
    </w:p>
    <w:p>
      <w:pPr>
        <w:tabs>
          <w:tab w:val="left" w:pos="540"/>
        </w:tabs>
        <w:spacing w:line="360" w:lineRule="auto"/>
        <w:ind w:firstLine="420" w:firstLineChars="200"/>
        <w:rPr>
          <w:rFonts w:ascii="宋体" w:hAnsi="宋体"/>
          <w:color w:val="000000" w:themeColor="text1"/>
          <w:szCs w:val="21"/>
          <w:highlight w:val="none"/>
        </w:rPr>
      </w:pPr>
      <w:r>
        <w:rPr>
          <w:rFonts w:hint="eastAsia" w:ascii="宋体" w:hAnsi="宋体"/>
          <w:color w:val="000000" w:themeColor="text1"/>
          <w:szCs w:val="21"/>
          <w:highlight w:val="none"/>
        </w:rPr>
        <w:t>14.11 凡与本合同设备相连接的其它设备装置，卖方有提供接口和技术配合的义务，并不由此而发生合同价格以外的任何费用。</w:t>
      </w:r>
    </w:p>
    <w:p>
      <w:pPr>
        <w:tabs>
          <w:tab w:val="left" w:pos="540"/>
        </w:tabs>
        <w:spacing w:line="360" w:lineRule="auto"/>
        <w:ind w:firstLine="420" w:firstLineChars="200"/>
        <w:rPr>
          <w:rFonts w:ascii="宋体" w:hAnsi="宋体"/>
          <w:color w:val="000000" w:themeColor="text1"/>
          <w:szCs w:val="21"/>
          <w:highlight w:val="none"/>
        </w:rPr>
      </w:pPr>
      <w:r>
        <w:rPr>
          <w:rFonts w:hint="eastAsia" w:ascii="宋体" w:hAnsi="宋体"/>
          <w:color w:val="000000" w:themeColor="text1"/>
          <w:szCs w:val="21"/>
          <w:highlight w:val="none"/>
        </w:rPr>
        <w:t>14.12 卖方派到现场服务的技术人员应是有实践经验、可胜任此项工作的人员。卖方派到现场服务的技术人员名单在本合同生效后</w:t>
      </w:r>
      <w:r>
        <w:rPr>
          <w:rFonts w:ascii="宋体" w:hAnsi="宋体"/>
          <w:color w:val="000000" w:themeColor="text1"/>
          <w:szCs w:val="21"/>
          <w:highlight w:val="none"/>
        </w:rPr>
        <w:t>1个月内提交买方予以确认。</w:t>
      </w:r>
    </w:p>
    <w:p>
      <w:pPr>
        <w:spacing w:line="360" w:lineRule="auto"/>
        <w:ind w:firstLine="420" w:firstLineChars="200"/>
        <w:rPr>
          <w:rFonts w:ascii="宋体" w:hAnsi="宋体"/>
          <w:color w:val="000000" w:themeColor="text1"/>
          <w:szCs w:val="21"/>
          <w:highlight w:val="none"/>
        </w:rPr>
      </w:pPr>
      <w:r>
        <w:rPr>
          <w:rFonts w:hint="eastAsia" w:ascii="宋体" w:hAnsi="宋体"/>
          <w:color w:val="000000" w:themeColor="text1"/>
          <w:szCs w:val="21"/>
          <w:highlight w:val="none"/>
        </w:rPr>
        <w:t>买方有权提出更换不符合要求的卖方现场服务人员，卖方应根据现场需要，重新选派买方认可的服务人员。如果买方在书面提出该项要求</w:t>
      </w:r>
      <w:r>
        <w:rPr>
          <w:rFonts w:ascii="宋体" w:hAnsi="宋体"/>
          <w:color w:val="000000" w:themeColor="text1"/>
          <w:szCs w:val="21"/>
          <w:highlight w:val="none"/>
        </w:rPr>
        <w:t>10天内卖方没有答复，将按第十五条视为延误工期等同处理。</w:t>
      </w:r>
    </w:p>
    <w:p>
      <w:pPr>
        <w:tabs>
          <w:tab w:val="left" w:pos="540"/>
        </w:tabs>
        <w:spacing w:line="360" w:lineRule="auto"/>
        <w:ind w:firstLine="420" w:firstLineChars="200"/>
        <w:rPr>
          <w:rFonts w:ascii="宋体" w:hAnsi="宋体"/>
          <w:color w:val="000000" w:themeColor="text1"/>
          <w:szCs w:val="21"/>
          <w:highlight w:val="none"/>
        </w:rPr>
      </w:pPr>
      <w:r>
        <w:rPr>
          <w:rFonts w:hint="eastAsia" w:ascii="宋体" w:hAnsi="宋体"/>
          <w:color w:val="000000" w:themeColor="text1"/>
          <w:szCs w:val="21"/>
          <w:highlight w:val="none"/>
        </w:rPr>
        <w:t>14.13 由于卖方人员对安装、调试、试运的疏忽和错误以及卖方未按要求派人指导而造成的损失应由卖方负责。</w:t>
      </w:r>
    </w:p>
    <w:p>
      <w:pPr>
        <w:tabs>
          <w:tab w:val="left" w:pos="540"/>
        </w:tabs>
        <w:spacing w:line="360" w:lineRule="auto"/>
        <w:ind w:firstLine="420" w:firstLineChars="200"/>
        <w:rPr>
          <w:rFonts w:ascii="宋体" w:hAnsi="宋体"/>
          <w:color w:val="000000" w:themeColor="text1"/>
          <w:szCs w:val="21"/>
          <w:highlight w:val="none"/>
        </w:rPr>
      </w:pPr>
      <w:r>
        <w:rPr>
          <w:rFonts w:hint="eastAsia" w:ascii="宋体" w:hAnsi="宋体"/>
          <w:color w:val="000000" w:themeColor="text1"/>
          <w:szCs w:val="21"/>
          <w:highlight w:val="none"/>
        </w:rPr>
        <w:t>14.14 卖方应在发货之前对货物的有关质量、规格、性能、数量进行准确的全面的检验，并出具其货物符合规定的质量证明书。该证书将作为提交付款单据的一部分。但不应视为是对质量、规格、性能、数量的定论。质量证书应附有写明制造商的出厂检验结果、细节说明。</w:t>
      </w:r>
    </w:p>
    <w:p>
      <w:pPr>
        <w:spacing w:line="360" w:lineRule="auto"/>
        <w:ind w:firstLine="420" w:firstLineChars="200"/>
        <w:rPr>
          <w:rFonts w:ascii="宋体" w:hAnsi="宋体"/>
          <w:color w:val="000000" w:themeColor="text1"/>
          <w:szCs w:val="21"/>
          <w:highlight w:val="none"/>
        </w:rPr>
      </w:pPr>
      <w:r>
        <w:rPr>
          <w:rFonts w:hint="eastAsia" w:ascii="宋体" w:hAnsi="宋体"/>
          <w:color w:val="000000" w:themeColor="text1"/>
          <w:szCs w:val="21"/>
          <w:highlight w:val="none"/>
        </w:rPr>
        <w:t>由卖方供应的所有合同设备</w:t>
      </w:r>
      <w:r>
        <w:rPr>
          <w:rFonts w:ascii="宋体" w:hAnsi="宋体"/>
          <w:color w:val="000000" w:themeColor="text1"/>
          <w:szCs w:val="21"/>
          <w:highlight w:val="none"/>
        </w:rPr>
        <w:t>/部件(包括分包与外购),在生产过程中都须进行严格的检验和试验,出厂前须进行部套和/或整机总装和试验。所有检验、试验和总装(装配)必须有正式的记录文件。以上工作完成之后,合格者才能出厂发运。</w:t>
      </w:r>
    </w:p>
    <w:p>
      <w:pPr>
        <w:spacing w:line="360" w:lineRule="auto"/>
        <w:ind w:firstLine="420" w:firstLineChars="200"/>
        <w:rPr>
          <w:rFonts w:ascii="宋体" w:hAnsi="宋体"/>
          <w:color w:val="000000" w:themeColor="text1"/>
          <w:szCs w:val="21"/>
          <w:highlight w:val="none"/>
        </w:rPr>
      </w:pPr>
      <w:r>
        <w:rPr>
          <w:rFonts w:hint="eastAsia" w:ascii="宋体" w:hAnsi="宋体"/>
          <w:color w:val="000000" w:themeColor="text1"/>
          <w:szCs w:val="21"/>
          <w:highlight w:val="none"/>
        </w:rPr>
        <w:t>所有这些正式的记录文件及合格证作为技术资料的一部分，卖方要以快递方式邮寄给买方存档。此外</w:t>
      </w:r>
      <w:r>
        <w:rPr>
          <w:rFonts w:ascii="宋体" w:hAnsi="宋体"/>
          <w:color w:val="000000" w:themeColor="text1"/>
          <w:szCs w:val="21"/>
          <w:highlight w:val="none"/>
        </w:rPr>
        <w:t>,卖方还应在随机文件中提供合格证和质量证明文件。</w:t>
      </w:r>
    </w:p>
    <w:p>
      <w:pPr>
        <w:tabs>
          <w:tab w:val="left" w:pos="540"/>
        </w:tabs>
        <w:spacing w:line="360" w:lineRule="auto"/>
        <w:ind w:firstLine="420" w:firstLineChars="200"/>
        <w:rPr>
          <w:rFonts w:ascii="宋体" w:hAnsi="宋体"/>
          <w:color w:val="000000" w:themeColor="text1"/>
          <w:szCs w:val="21"/>
          <w:highlight w:val="none"/>
        </w:rPr>
      </w:pPr>
      <w:r>
        <w:rPr>
          <w:rFonts w:hint="eastAsia" w:ascii="宋体" w:hAnsi="宋体"/>
          <w:color w:val="000000" w:themeColor="text1"/>
          <w:szCs w:val="21"/>
          <w:highlight w:val="none"/>
        </w:rPr>
        <w:t>14.15 货物运抵现场后，卖方在接到买方通知后应及时到现场，与买方将对货物的有关质量、规格、数量</w:t>
      </w:r>
      <w:r>
        <w:rPr>
          <w:rFonts w:ascii="宋体" w:hAnsi="宋体"/>
          <w:color w:val="000000" w:themeColor="text1"/>
          <w:szCs w:val="21"/>
          <w:highlight w:val="none"/>
        </w:rPr>
        <w:t>/重量进行检验，并出具检验证书，该检验证书不免除或减轻卖方对货物应承担的任何质量责任。</w:t>
      </w:r>
    </w:p>
    <w:p>
      <w:pPr>
        <w:spacing w:line="360" w:lineRule="auto"/>
        <w:ind w:firstLine="420" w:firstLineChars="200"/>
        <w:rPr>
          <w:rFonts w:ascii="宋体" w:hAnsi="宋体"/>
          <w:color w:val="000000" w:themeColor="text1"/>
          <w:szCs w:val="21"/>
          <w:highlight w:val="none"/>
        </w:rPr>
      </w:pPr>
      <w:r>
        <w:rPr>
          <w:rFonts w:hint="eastAsia" w:ascii="宋体" w:hAnsi="宋体"/>
          <w:color w:val="000000" w:themeColor="text1"/>
          <w:szCs w:val="21"/>
          <w:highlight w:val="none"/>
        </w:rPr>
        <w:t>在现场开箱检验时，如果卖方人员未按时赴现场，买方有权自行开箱检验，检验结果和记录对双方同样有效，并作为买方向卖方提出索赔的有效证据。</w:t>
      </w:r>
    </w:p>
    <w:p>
      <w:pPr>
        <w:spacing w:line="360" w:lineRule="auto"/>
        <w:ind w:firstLine="420" w:firstLineChars="200"/>
        <w:rPr>
          <w:rFonts w:ascii="宋体" w:hAnsi="宋体"/>
          <w:color w:val="000000" w:themeColor="text1"/>
          <w:szCs w:val="21"/>
          <w:highlight w:val="none"/>
        </w:rPr>
      </w:pPr>
      <w:r>
        <w:rPr>
          <w:rFonts w:hint="eastAsia" w:ascii="宋体" w:hAnsi="宋体"/>
          <w:color w:val="000000" w:themeColor="text1"/>
          <w:szCs w:val="21"/>
          <w:highlight w:val="none"/>
        </w:rPr>
        <w:t>如果经检验发现质量、规格或数量不符合技术规格书的规定时，买方有权在货物运抵现场后</w:t>
      </w:r>
      <w:r>
        <w:rPr>
          <w:rFonts w:ascii="宋体" w:hAnsi="宋体"/>
          <w:color w:val="000000" w:themeColor="text1"/>
          <w:szCs w:val="21"/>
          <w:highlight w:val="none"/>
        </w:rPr>
        <w:t>90日内向卖方提出索赔。</w:t>
      </w:r>
    </w:p>
    <w:p>
      <w:pPr>
        <w:tabs>
          <w:tab w:val="left" w:pos="540"/>
        </w:tabs>
        <w:spacing w:line="360" w:lineRule="auto"/>
        <w:ind w:firstLine="420" w:firstLineChars="200"/>
        <w:rPr>
          <w:rFonts w:ascii="宋体" w:hAnsi="宋体"/>
          <w:color w:val="000000" w:themeColor="text1"/>
          <w:szCs w:val="21"/>
          <w:highlight w:val="none"/>
        </w:rPr>
      </w:pPr>
      <w:r>
        <w:rPr>
          <w:rFonts w:hint="eastAsia" w:ascii="宋体" w:hAnsi="宋体"/>
          <w:color w:val="000000" w:themeColor="text1"/>
          <w:szCs w:val="21"/>
          <w:highlight w:val="none"/>
        </w:rPr>
        <w:t>14.16 如果在第十三条规定的质量保证期内，发现货物的质量或规格与合同规定不符，或证明货物有缺陷（包括潜在缺陷），买方有权立即将此情况通知卖方，卖方应负责处理，并对买方因此遭受的损失承担赔偿责任。</w:t>
      </w:r>
    </w:p>
    <w:p>
      <w:pPr>
        <w:spacing w:line="360" w:lineRule="auto"/>
        <w:ind w:firstLine="420" w:firstLineChars="200"/>
        <w:rPr>
          <w:rFonts w:ascii="宋体" w:hAnsi="宋体"/>
          <w:color w:val="000000" w:themeColor="text1"/>
          <w:szCs w:val="21"/>
          <w:highlight w:val="none"/>
        </w:rPr>
      </w:pPr>
    </w:p>
    <w:p>
      <w:pPr>
        <w:spacing w:line="360" w:lineRule="auto"/>
        <w:ind w:firstLine="422" w:firstLineChars="200"/>
        <w:rPr>
          <w:rFonts w:ascii="宋体" w:hAnsi="宋体"/>
          <w:b/>
          <w:color w:val="000000" w:themeColor="text1"/>
          <w:szCs w:val="21"/>
          <w:highlight w:val="none"/>
        </w:rPr>
      </w:pPr>
      <w:r>
        <w:rPr>
          <w:rFonts w:hint="eastAsia" w:ascii="宋体" w:hAnsi="宋体"/>
          <w:b/>
          <w:color w:val="000000" w:themeColor="text1"/>
          <w:szCs w:val="21"/>
          <w:highlight w:val="none"/>
        </w:rPr>
        <w:t>第十五条 索赔</w:t>
      </w:r>
    </w:p>
    <w:p>
      <w:pPr>
        <w:tabs>
          <w:tab w:val="left" w:pos="1260"/>
        </w:tabs>
        <w:spacing w:line="360" w:lineRule="auto"/>
        <w:ind w:firstLine="420" w:firstLineChars="200"/>
        <w:rPr>
          <w:rFonts w:ascii="宋体" w:hAnsi="宋体"/>
          <w:color w:val="000000" w:themeColor="text1"/>
          <w:szCs w:val="21"/>
          <w:highlight w:val="none"/>
        </w:rPr>
      </w:pPr>
      <w:r>
        <w:rPr>
          <w:rFonts w:hint="eastAsia" w:ascii="宋体" w:hAnsi="宋体"/>
          <w:color w:val="000000" w:themeColor="text1"/>
          <w:szCs w:val="21"/>
          <w:highlight w:val="none"/>
        </w:rPr>
        <w:t>15.1 如果卖方提供的货物与合同不符，并且买方已于第十三条、第十四条规定的质量保证期内和检验、验收测试期限内提出索赔，卖方应按买方同意的下述一种或多种方法解决索赔事宜。</w:t>
      </w:r>
    </w:p>
    <w:p>
      <w:pPr>
        <w:tabs>
          <w:tab w:val="left" w:pos="1260"/>
        </w:tabs>
        <w:spacing w:line="360" w:lineRule="auto"/>
        <w:ind w:firstLine="420" w:firstLineChars="200"/>
        <w:rPr>
          <w:rFonts w:ascii="宋体" w:hAnsi="宋体"/>
          <w:color w:val="000000" w:themeColor="text1"/>
          <w:szCs w:val="21"/>
          <w:highlight w:val="none"/>
        </w:rPr>
      </w:pPr>
      <w:r>
        <w:rPr>
          <w:rFonts w:hint="eastAsia" w:ascii="宋体" w:hAnsi="宋体"/>
          <w:color w:val="000000" w:themeColor="text1"/>
          <w:szCs w:val="21"/>
          <w:highlight w:val="none"/>
        </w:rPr>
        <w:t>15.1.1 卖方应向买方支付与被拒收货物价值等额的款项，并应负担由此发生的一切损失补偿和费用，包括利息、银行费用、运费和保险费、检验费、仓储费、装卸费以及为保管和保护被拒绝货物所需要的其它必要费用等。如果买方选择按本项解决索赔事宜，则在卖方支付前述款项和费用后，卖方将被免除按本合同交付该批货物的义务。</w:t>
      </w:r>
    </w:p>
    <w:p>
      <w:pPr>
        <w:spacing w:line="360" w:lineRule="auto"/>
        <w:ind w:firstLine="420" w:firstLineChars="200"/>
        <w:rPr>
          <w:rFonts w:ascii="宋体" w:hAnsi="宋体"/>
          <w:color w:val="000000" w:themeColor="text1"/>
          <w:szCs w:val="21"/>
          <w:highlight w:val="none"/>
        </w:rPr>
      </w:pPr>
      <w:r>
        <w:rPr>
          <w:rFonts w:ascii="宋体" w:hAnsi="宋体"/>
          <w:color w:val="000000" w:themeColor="text1"/>
          <w:szCs w:val="21"/>
          <w:highlight w:val="none"/>
        </w:rPr>
        <w:t xml:space="preserve">15.1.2 </w:t>
      </w:r>
      <w:r>
        <w:rPr>
          <w:rFonts w:hint="eastAsia" w:ascii="宋体" w:hAnsi="宋体"/>
          <w:color w:val="000000" w:themeColor="text1"/>
          <w:szCs w:val="21"/>
          <w:highlight w:val="none"/>
        </w:rPr>
        <w:t>更换不合格的货物，以达到合同规定的规格、质量和性能，卖方承担由此产生的一切费用和风险并负担买方遭受的一切直接费用和损失。同时卖方应根据第十三条规定对更换的货物相应地延长质量保证期。</w:t>
      </w:r>
    </w:p>
    <w:p>
      <w:pPr>
        <w:tabs>
          <w:tab w:val="left" w:pos="1260"/>
        </w:tabs>
        <w:spacing w:line="360" w:lineRule="auto"/>
        <w:ind w:firstLine="420" w:firstLineChars="200"/>
        <w:rPr>
          <w:rFonts w:ascii="宋体" w:hAnsi="宋体"/>
          <w:color w:val="000000" w:themeColor="text1"/>
          <w:szCs w:val="21"/>
          <w:highlight w:val="none"/>
        </w:rPr>
      </w:pPr>
      <w:r>
        <w:rPr>
          <w:rFonts w:hint="eastAsia" w:ascii="宋体" w:hAnsi="宋体"/>
          <w:color w:val="000000" w:themeColor="text1"/>
          <w:szCs w:val="21"/>
          <w:highlight w:val="none"/>
        </w:rPr>
        <w:t>15.2 由于卖方原因而引起的设备或部件的更换或补齐短少的零部件的时间，以不影响设备安装、调试及运行进度为原则，但最迟不得晚于发现缺陷、损坏或短缺等之后</w:t>
      </w:r>
      <w:r>
        <w:rPr>
          <w:rFonts w:ascii="宋体" w:hAnsi="宋体"/>
          <w:color w:val="000000" w:themeColor="text1"/>
          <w:szCs w:val="21"/>
          <w:highlight w:val="none"/>
        </w:rPr>
        <w:t>1周或买卖双方商定的更长时间内，否则按延迟交货处理。</w:t>
      </w:r>
    </w:p>
    <w:p>
      <w:pPr>
        <w:tabs>
          <w:tab w:val="left" w:pos="1260"/>
        </w:tabs>
        <w:spacing w:line="360" w:lineRule="auto"/>
        <w:ind w:firstLine="420" w:firstLineChars="200"/>
        <w:rPr>
          <w:rFonts w:ascii="宋体" w:hAnsi="宋体"/>
          <w:color w:val="000000" w:themeColor="text1"/>
          <w:szCs w:val="21"/>
          <w:highlight w:val="none"/>
        </w:rPr>
      </w:pPr>
      <w:r>
        <w:rPr>
          <w:rFonts w:hint="eastAsia" w:ascii="宋体" w:hAnsi="宋体"/>
          <w:color w:val="000000" w:themeColor="text1"/>
          <w:szCs w:val="21"/>
          <w:highlight w:val="none"/>
        </w:rPr>
        <w:t xml:space="preserve">15.3 </w:t>
      </w:r>
      <w:r>
        <w:rPr>
          <w:rFonts w:ascii="宋体" w:hAnsi="宋体"/>
          <w:color w:val="000000" w:themeColor="text1"/>
          <w:szCs w:val="21"/>
          <w:highlight w:val="none"/>
        </w:rPr>
        <w:t>如果买方提出索赔通知后20日内卖方未能答复，该索赔应视为已被卖方接受</w:t>
      </w:r>
      <w:r>
        <w:rPr>
          <w:rFonts w:hint="eastAsia" w:ascii="宋体" w:hAnsi="宋体"/>
          <w:color w:val="000000" w:themeColor="text1"/>
          <w:szCs w:val="21"/>
          <w:highlight w:val="none"/>
        </w:rPr>
        <w:t>（以买方寄出通知书的邮戳日期为起算日）</w:t>
      </w:r>
      <w:r>
        <w:rPr>
          <w:rFonts w:ascii="宋体" w:hAnsi="宋体"/>
          <w:color w:val="000000" w:themeColor="text1"/>
          <w:szCs w:val="21"/>
          <w:highlight w:val="none"/>
        </w:rPr>
        <w:t>。若卖方未能在买方提出索赔通知的20日内或买方同意的更长一些的时间内，按买方同意的上述任何一种方式处理索赔事宜，买方将从货款或卖方提供的履约保证金或质量保证金中扣回索赔金额，履约保证金或质量保证金金额不足时，买方有权向卖方进行进一步的索赔。</w:t>
      </w:r>
    </w:p>
    <w:p>
      <w:pPr>
        <w:spacing w:line="360" w:lineRule="auto"/>
        <w:ind w:firstLine="420" w:firstLineChars="200"/>
        <w:rPr>
          <w:rFonts w:ascii="宋体" w:hAnsi="宋体"/>
          <w:color w:val="000000" w:themeColor="text1"/>
          <w:szCs w:val="21"/>
          <w:highlight w:val="none"/>
        </w:rPr>
      </w:pPr>
    </w:p>
    <w:p>
      <w:pPr>
        <w:spacing w:line="360" w:lineRule="auto"/>
        <w:ind w:firstLine="422" w:firstLineChars="200"/>
        <w:rPr>
          <w:rFonts w:ascii="宋体" w:hAnsi="宋体"/>
          <w:b/>
          <w:color w:val="000000" w:themeColor="text1"/>
          <w:szCs w:val="21"/>
          <w:highlight w:val="none"/>
        </w:rPr>
      </w:pPr>
      <w:r>
        <w:rPr>
          <w:rFonts w:hint="eastAsia" w:ascii="宋体" w:hAnsi="宋体"/>
          <w:b/>
          <w:color w:val="000000" w:themeColor="text1"/>
          <w:szCs w:val="21"/>
          <w:highlight w:val="none"/>
        </w:rPr>
        <w:t>第十六条 安装、调试、试运和验收</w:t>
      </w:r>
    </w:p>
    <w:p>
      <w:pPr>
        <w:tabs>
          <w:tab w:val="left" w:pos="540"/>
          <w:tab w:val="left" w:pos="1260"/>
        </w:tabs>
        <w:spacing w:line="360" w:lineRule="auto"/>
        <w:ind w:firstLine="420" w:firstLineChars="200"/>
        <w:rPr>
          <w:rFonts w:ascii="宋体" w:hAnsi="宋体"/>
          <w:color w:val="000000" w:themeColor="text1"/>
          <w:szCs w:val="21"/>
          <w:highlight w:val="none"/>
        </w:rPr>
      </w:pPr>
      <w:r>
        <w:rPr>
          <w:rFonts w:hint="eastAsia" w:ascii="宋体" w:hAnsi="宋体"/>
          <w:color w:val="000000" w:themeColor="text1"/>
          <w:szCs w:val="21"/>
          <w:highlight w:val="none"/>
        </w:rPr>
        <w:t>16.1 本合同设备由卖方根据相关设备的技术资料、检验标准、图纸及说明书进行安装、调试、运行和维修；安装调试工期：</w:t>
      </w:r>
      <w:r>
        <w:rPr>
          <w:rFonts w:hint="eastAsia" w:ascii="宋体" w:hAnsi="宋体"/>
          <w:color w:val="000000" w:themeColor="text1"/>
          <w:szCs w:val="21"/>
          <w:highlight w:val="none"/>
          <w:u w:val="single"/>
        </w:rPr>
        <w:t xml:space="preserve">    天</w:t>
      </w:r>
      <w:r>
        <w:rPr>
          <w:rFonts w:hint="eastAsia" w:ascii="宋体" w:hAnsi="宋体"/>
          <w:color w:val="000000" w:themeColor="text1"/>
          <w:szCs w:val="21"/>
          <w:highlight w:val="none"/>
        </w:rPr>
        <w:t>；具体安装日期由买方另行通知或双方另行商议。重要工序须经卖方现场技术服务人员签字确认。安装、调试过程中，若卖方未按相关设备的技术资料规定和安装规定而出现问题，由卖方负责。</w:t>
      </w:r>
    </w:p>
    <w:p>
      <w:pPr>
        <w:tabs>
          <w:tab w:val="left" w:pos="540"/>
          <w:tab w:val="left" w:pos="1260"/>
        </w:tabs>
        <w:spacing w:line="360" w:lineRule="auto"/>
        <w:ind w:firstLine="420" w:firstLineChars="200"/>
        <w:rPr>
          <w:rFonts w:ascii="宋体" w:hAnsi="宋体"/>
          <w:color w:val="000000" w:themeColor="text1"/>
          <w:szCs w:val="21"/>
          <w:highlight w:val="none"/>
        </w:rPr>
      </w:pPr>
      <w:r>
        <w:rPr>
          <w:rFonts w:hint="eastAsia" w:ascii="宋体" w:hAnsi="宋体"/>
          <w:color w:val="000000" w:themeColor="text1"/>
          <w:szCs w:val="21"/>
          <w:highlight w:val="none"/>
        </w:rPr>
        <w:t>16.2 在安装之前，卖方技术人员应说明安装方法和要求。</w:t>
      </w:r>
      <w:r>
        <w:rPr>
          <w:rFonts w:ascii="宋体" w:hAnsi="宋体"/>
          <w:color w:val="000000" w:themeColor="text1"/>
          <w:szCs w:val="21"/>
          <w:highlight w:val="none"/>
        </w:rPr>
        <w:t>在单套合同设备安装完毕后，买卖双方代表将进一步核实、确认安装工作，并共同签署安装完毕证书一式二份，买卖双方各执一份。但此证书不能解除卖方在试运行、性能验收试验和保证期内的责任，以及技术性能和保证与合同规定不相符的责任。本合同设备安装完毕后的验收工作按照技术规格书的要求进行。</w:t>
      </w:r>
    </w:p>
    <w:p>
      <w:pPr>
        <w:tabs>
          <w:tab w:val="left" w:pos="540"/>
          <w:tab w:val="left" w:pos="1260"/>
        </w:tabs>
        <w:spacing w:line="360" w:lineRule="auto"/>
        <w:ind w:firstLine="420" w:firstLineChars="200"/>
        <w:rPr>
          <w:rFonts w:ascii="宋体" w:hAnsi="宋体"/>
          <w:color w:val="000000" w:themeColor="text1"/>
          <w:szCs w:val="21"/>
          <w:highlight w:val="none"/>
        </w:rPr>
      </w:pPr>
      <w:r>
        <w:rPr>
          <w:rFonts w:hint="eastAsia" w:ascii="宋体" w:hAnsi="宋体"/>
          <w:color w:val="000000" w:themeColor="text1"/>
          <w:szCs w:val="21"/>
          <w:highlight w:val="none"/>
        </w:rPr>
        <w:t>16.3 合同设备安装完毕后，卖方应派人参加调试进行指导，并应尽快解决调试中出现的因卖方原因引起的设备问题，其所需时间一般不应超过</w:t>
      </w:r>
      <w:r>
        <w:rPr>
          <w:rFonts w:ascii="宋体" w:hAnsi="宋体"/>
          <w:color w:val="000000" w:themeColor="text1"/>
          <w:szCs w:val="21"/>
          <w:highlight w:val="none"/>
        </w:rPr>
        <w:t>1周，对于因卖方原因引起的较大的设备问题，卖方应在双方协商确定的合理期间内解决，否则将视为延误工期进行处理。对于非卖方原因引起的设备问题，卖方应尽快协助买方予以处理。</w:t>
      </w:r>
    </w:p>
    <w:p>
      <w:pPr>
        <w:tabs>
          <w:tab w:val="left" w:pos="540"/>
          <w:tab w:val="left" w:pos="1260"/>
        </w:tabs>
        <w:spacing w:line="360" w:lineRule="auto"/>
        <w:ind w:firstLine="420" w:firstLineChars="200"/>
        <w:rPr>
          <w:rFonts w:ascii="宋体" w:hAnsi="宋体"/>
          <w:color w:val="000000" w:themeColor="text1"/>
          <w:szCs w:val="21"/>
          <w:highlight w:val="none"/>
        </w:rPr>
      </w:pPr>
      <w:r>
        <w:rPr>
          <w:rFonts w:hint="eastAsia" w:ascii="宋体" w:hAnsi="宋体"/>
          <w:color w:val="000000" w:themeColor="text1"/>
          <w:szCs w:val="21"/>
          <w:highlight w:val="none"/>
        </w:rPr>
        <w:t>16.4 性能验收试验的目的是为验证合同设备是否能达到各项技术性能和保证指标。验收试验由买方负责，卖方参加。性能验收试验完毕</w:t>
      </w:r>
      <w:r>
        <w:rPr>
          <w:rFonts w:ascii="宋体" w:hAnsi="宋体"/>
          <w:color w:val="000000" w:themeColor="text1"/>
          <w:szCs w:val="21"/>
          <w:highlight w:val="none"/>
        </w:rPr>
        <w:t>,每套合同设备达到技术规格书所规定的各项性能保证值指标后，买方应在10天内签署由卖方会签的本合同设备初步性能验收合格证书一式二份，双方各执一份。除合同中另有规定外，各方人员所发生的费用均由该方自行负担。</w:t>
      </w:r>
    </w:p>
    <w:p>
      <w:pPr>
        <w:tabs>
          <w:tab w:val="left" w:pos="540"/>
          <w:tab w:val="left" w:pos="1260"/>
        </w:tabs>
        <w:spacing w:line="360" w:lineRule="auto"/>
        <w:ind w:firstLine="420" w:firstLineChars="200"/>
        <w:rPr>
          <w:rFonts w:ascii="宋体" w:hAnsi="宋体"/>
          <w:color w:val="000000" w:themeColor="text1"/>
          <w:szCs w:val="21"/>
          <w:highlight w:val="none"/>
        </w:rPr>
      </w:pPr>
      <w:r>
        <w:rPr>
          <w:rFonts w:hint="eastAsia" w:ascii="宋体" w:hAnsi="宋体"/>
          <w:color w:val="000000" w:themeColor="text1"/>
          <w:szCs w:val="21"/>
          <w:highlight w:val="none"/>
        </w:rPr>
        <w:t>16.5 在不影响本合同设备安全、可靠运行的条件下，如有个别微小缺陷，且此缺陷按本合同条款被定为卖方责任</w:t>
      </w:r>
      <w:r>
        <w:rPr>
          <w:rFonts w:ascii="宋体" w:hAnsi="宋体"/>
          <w:color w:val="000000" w:themeColor="text1"/>
          <w:szCs w:val="21"/>
          <w:highlight w:val="none"/>
        </w:rPr>
        <w:t>,卖方在双方商定的时间内免费修理上述的缺陷，买方则可同意签署初步性能验收合格证书。</w:t>
      </w:r>
    </w:p>
    <w:p>
      <w:pPr>
        <w:tabs>
          <w:tab w:val="left" w:pos="540"/>
          <w:tab w:val="left" w:pos="1260"/>
        </w:tabs>
        <w:spacing w:line="360" w:lineRule="auto"/>
        <w:ind w:firstLine="420" w:firstLineChars="200"/>
        <w:rPr>
          <w:rFonts w:ascii="宋体" w:hAnsi="宋体"/>
          <w:color w:val="000000" w:themeColor="text1"/>
          <w:szCs w:val="21"/>
          <w:highlight w:val="none"/>
        </w:rPr>
      </w:pPr>
      <w:r>
        <w:rPr>
          <w:rFonts w:hint="eastAsia" w:ascii="宋体" w:hAnsi="宋体"/>
          <w:color w:val="000000" w:themeColor="text1"/>
          <w:szCs w:val="21"/>
          <w:highlight w:val="none"/>
        </w:rPr>
        <w:t>16.6 如果第一次性能验收试验达不到技术规格书所规定的一项或多项性能保证值，则双方应共同分析原因，澄清责任</w:t>
      </w:r>
      <w:r>
        <w:rPr>
          <w:rFonts w:ascii="宋体" w:hAnsi="宋体"/>
          <w:color w:val="000000" w:themeColor="text1"/>
          <w:szCs w:val="21"/>
          <w:highlight w:val="none"/>
        </w:rPr>
        <w:t>,由责任一方采取措施，并在第一次验收试验结束后1个月内进行第二次验收试验。</w:t>
      </w:r>
    </w:p>
    <w:p>
      <w:pPr>
        <w:tabs>
          <w:tab w:val="left" w:pos="540"/>
          <w:tab w:val="left" w:pos="1260"/>
        </w:tabs>
        <w:spacing w:line="360" w:lineRule="auto"/>
        <w:ind w:firstLine="420" w:firstLineChars="200"/>
        <w:rPr>
          <w:rFonts w:ascii="宋体" w:hAnsi="宋体"/>
          <w:color w:val="000000" w:themeColor="text1"/>
          <w:szCs w:val="21"/>
          <w:highlight w:val="none"/>
        </w:rPr>
      </w:pPr>
      <w:r>
        <w:rPr>
          <w:rFonts w:hint="eastAsia" w:ascii="宋体" w:hAnsi="宋体"/>
          <w:color w:val="000000" w:themeColor="text1"/>
          <w:szCs w:val="21"/>
          <w:highlight w:val="none"/>
        </w:rPr>
        <w:t>16.6.1 如属卖方责任，卖方需自费采取有效措施以使第二次性能验收试验能达到技术性能和</w:t>
      </w:r>
      <w:r>
        <w:rPr>
          <w:rFonts w:ascii="宋体" w:hAnsi="宋体"/>
          <w:color w:val="000000" w:themeColor="text1"/>
          <w:szCs w:val="21"/>
          <w:highlight w:val="none"/>
        </w:rPr>
        <w:t>/或保证指标，卖方将负担所有直接的费用，包括但不仅限于下列费用：</w:t>
      </w:r>
    </w:p>
    <w:p>
      <w:pPr>
        <w:numPr>
          <w:ilvl w:val="1"/>
          <w:numId w:val="10"/>
        </w:numPr>
        <w:tabs>
          <w:tab w:val="left" w:pos="1060"/>
          <w:tab w:val="clear" w:pos="1320"/>
        </w:tabs>
        <w:spacing w:line="360" w:lineRule="auto"/>
        <w:ind w:left="0" w:firstLine="420" w:firstLineChars="200"/>
        <w:rPr>
          <w:rFonts w:ascii="宋体" w:hAnsi="宋体"/>
          <w:color w:val="000000" w:themeColor="text1"/>
          <w:szCs w:val="21"/>
          <w:highlight w:val="none"/>
        </w:rPr>
      </w:pPr>
      <w:r>
        <w:rPr>
          <w:rFonts w:hint="eastAsia" w:ascii="宋体" w:hAnsi="宋体"/>
          <w:color w:val="000000" w:themeColor="text1"/>
          <w:szCs w:val="21"/>
          <w:highlight w:val="none"/>
        </w:rPr>
        <w:t>替换和</w:t>
      </w:r>
      <w:r>
        <w:rPr>
          <w:rFonts w:ascii="宋体" w:hAnsi="宋体"/>
          <w:color w:val="000000" w:themeColor="text1"/>
          <w:szCs w:val="21"/>
          <w:highlight w:val="none"/>
        </w:rPr>
        <w:t>/或修理的设备和材料的费用；</w:t>
      </w:r>
    </w:p>
    <w:p>
      <w:pPr>
        <w:numPr>
          <w:ilvl w:val="1"/>
          <w:numId w:val="10"/>
        </w:numPr>
        <w:tabs>
          <w:tab w:val="left" w:pos="1060"/>
          <w:tab w:val="clear" w:pos="1320"/>
        </w:tabs>
        <w:spacing w:line="360" w:lineRule="auto"/>
        <w:ind w:left="0" w:firstLine="420" w:firstLineChars="200"/>
        <w:rPr>
          <w:rFonts w:ascii="宋体" w:hAnsi="宋体"/>
          <w:color w:val="000000" w:themeColor="text1"/>
          <w:szCs w:val="21"/>
          <w:highlight w:val="none"/>
        </w:rPr>
      </w:pPr>
      <w:r>
        <w:rPr>
          <w:rFonts w:hint="eastAsia" w:ascii="宋体" w:hAnsi="宋体"/>
          <w:color w:val="000000" w:themeColor="text1"/>
          <w:szCs w:val="21"/>
          <w:highlight w:val="none"/>
        </w:rPr>
        <w:t>参与第二次性能验收试验的卖方技术人员的费用；</w:t>
      </w:r>
    </w:p>
    <w:p>
      <w:pPr>
        <w:numPr>
          <w:ilvl w:val="1"/>
          <w:numId w:val="10"/>
        </w:numPr>
        <w:tabs>
          <w:tab w:val="left" w:pos="1060"/>
          <w:tab w:val="clear" w:pos="1320"/>
        </w:tabs>
        <w:spacing w:line="360" w:lineRule="auto"/>
        <w:ind w:left="0" w:firstLine="420" w:firstLineChars="200"/>
        <w:rPr>
          <w:rFonts w:ascii="宋体" w:hAnsi="宋体"/>
          <w:color w:val="000000" w:themeColor="text1"/>
          <w:szCs w:val="21"/>
          <w:highlight w:val="none"/>
        </w:rPr>
      </w:pPr>
      <w:r>
        <w:rPr>
          <w:rFonts w:hint="eastAsia" w:ascii="宋体" w:hAnsi="宋体"/>
          <w:color w:val="000000" w:themeColor="text1"/>
          <w:szCs w:val="21"/>
          <w:highlight w:val="none"/>
        </w:rPr>
        <w:t>参加修理的买方人员的费用；</w:t>
      </w:r>
    </w:p>
    <w:p>
      <w:pPr>
        <w:numPr>
          <w:ilvl w:val="1"/>
          <w:numId w:val="10"/>
        </w:numPr>
        <w:tabs>
          <w:tab w:val="left" w:pos="1060"/>
          <w:tab w:val="clear" w:pos="1320"/>
        </w:tabs>
        <w:spacing w:line="360" w:lineRule="auto"/>
        <w:ind w:left="0" w:firstLine="420" w:firstLineChars="200"/>
        <w:rPr>
          <w:rFonts w:ascii="宋体" w:hAnsi="宋体"/>
          <w:color w:val="000000" w:themeColor="text1"/>
          <w:szCs w:val="21"/>
          <w:highlight w:val="none"/>
        </w:rPr>
      </w:pPr>
      <w:r>
        <w:rPr>
          <w:rFonts w:hint="eastAsia" w:ascii="宋体" w:hAnsi="宋体"/>
          <w:color w:val="000000" w:themeColor="text1"/>
          <w:szCs w:val="21"/>
          <w:highlight w:val="none"/>
        </w:rPr>
        <w:t>第二次性能验收试验所使用的工具和设备的费用；</w:t>
      </w:r>
    </w:p>
    <w:p>
      <w:pPr>
        <w:numPr>
          <w:ilvl w:val="1"/>
          <w:numId w:val="10"/>
        </w:numPr>
        <w:tabs>
          <w:tab w:val="left" w:pos="1060"/>
          <w:tab w:val="clear" w:pos="1320"/>
        </w:tabs>
        <w:spacing w:line="360" w:lineRule="auto"/>
        <w:ind w:left="0" w:firstLine="420" w:firstLineChars="200"/>
        <w:rPr>
          <w:rFonts w:ascii="宋体" w:hAnsi="宋体"/>
          <w:color w:val="000000" w:themeColor="text1"/>
          <w:szCs w:val="21"/>
          <w:highlight w:val="none"/>
        </w:rPr>
      </w:pPr>
      <w:r>
        <w:rPr>
          <w:rFonts w:hint="eastAsia" w:ascii="宋体" w:hAnsi="宋体"/>
          <w:color w:val="000000" w:themeColor="text1"/>
          <w:szCs w:val="21"/>
          <w:highlight w:val="none"/>
        </w:rPr>
        <w:t>第二次性能验收试验所使用的材料和消耗品的费用；</w:t>
      </w:r>
    </w:p>
    <w:p>
      <w:pPr>
        <w:numPr>
          <w:ilvl w:val="1"/>
          <w:numId w:val="10"/>
        </w:numPr>
        <w:tabs>
          <w:tab w:val="left" w:pos="1060"/>
          <w:tab w:val="clear" w:pos="1320"/>
        </w:tabs>
        <w:spacing w:line="360" w:lineRule="auto"/>
        <w:ind w:left="0" w:firstLine="420" w:firstLineChars="200"/>
        <w:rPr>
          <w:rFonts w:ascii="宋体" w:hAnsi="宋体"/>
          <w:color w:val="000000" w:themeColor="text1"/>
          <w:szCs w:val="21"/>
          <w:highlight w:val="none"/>
        </w:rPr>
      </w:pPr>
      <w:r>
        <w:rPr>
          <w:rFonts w:hint="eastAsia" w:ascii="宋体" w:hAnsi="宋体"/>
          <w:color w:val="000000" w:themeColor="text1"/>
          <w:szCs w:val="21"/>
          <w:highlight w:val="none"/>
        </w:rPr>
        <w:t>所更换和</w:t>
      </w:r>
      <w:r>
        <w:rPr>
          <w:rFonts w:ascii="宋体" w:hAnsi="宋体"/>
          <w:color w:val="000000" w:themeColor="text1"/>
          <w:szCs w:val="21"/>
          <w:highlight w:val="none"/>
        </w:rPr>
        <w:t>/或修理的设备和材料运离/运抵现场的所有运输和保险费用。</w:t>
      </w:r>
    </w:p>
    <w:p>
      <w:pPr>
        <w:tabs>
          <w:tab w:val="left" w:pos="540"/>
          <w:tab w:val="left" w:pos="1260"/>
        </w:tabs>
        <w:spacing w:line="360" w:lineRule="auto"/>
        <w:ind w:firstLine="420" w:firstLineChars="200"/>
        <w:rPr>
          <w:rFonts w:ascii="宋体" w:hAnsi="宋体"/>
          <w:color w:val="000000" w:themeColor="text1"/>
          <w:szCs w:val="21"/>
          <w:highlight w:val="none"/>
        </w:rPr>
      </w:pPr>
      <w:r>
        <w:rPr>
          <w:rFonts w:hint="eastAsia" w:ascii="宋体" w:hAnsi="宋体"/>
          <w:color w:val="000000" w:themeColor="text1"/>
          <w:szCs w:val="21"/>
          <w:highlight w:val="none"/>
        </w:rPr>
        <w:t>16.7 第二次性能验收试验后，如仍有一项或多项指标未能达到技术规格书所规定的性能保证值，双方应共同研究，分析原因，澄清责任</w:t>
      </w:r>
      <w:r>
        <w:rPr>
          <w:rFonts w:ascii="宋体" w:hAnsi="宋体"/>
          <w:color w:val="000000" w:themeColor="text1"/>
          <w:szCs w:val="21"/>
          <w:highlight w:val="none"/>
        </w:rPr>
        <w:t>:</w:t>
      </w:r>
    </w:p>
    <w:p>
      <w:pPr>
        <w:numPr>
          <w:ilvl w:val="1"/>
          <w:numId w:val="11"/>
        </w:numPr>
        <w:tabs>
          <w:tab w:val="left" w:pos="1060"/>
          <w:tab w:val="clear" w:pos="1320"/>
        </w:tabs>
        <w:spacing w:line="360" w:lineRule="auto"/>
        <w:ind w:left="0" w:firstLine="420" w:firstLineChars="200"/>
        <w:rPr>
          <w:rFonts w:ascii="宋体" w:hAnsi="宋体"/>
          <w:color w:val="000000" w:themeColor="text1"/>
          <w:szCs w:val="21"/>
          <w:highlight w:val="none"/>
        </w:rPr>
      </w:pPr>
      <w:r>
        <w:rPr>
          <w:rFonts w:hint="eastAsia" w:ascii="宋体" w:hAnsi="宋体"/>
          <w:color w:val="000000" w:themeColor="text1"/>
          <w:szCs w:val="21"/>
          <w:highlight w:val="none"/>
        </w:rPr>
        <w:t>如属卖方原因，则应按本合同第十七条执行。</w:t>
      </w:r>
    </w:p>
    <w:p>
      <w:pPr>
        <w:numPr>
          <w:ilvl w:val="1"/>
          <w:numId w:val="11"/>
        </w:numPr>
        <w:tabs>
          <w:tab w:val="left" w:pos="1060"/>
          <w:tab w:val="clear" w:pos="1320"/>
        </w:tabs>
        <w:spacing w:line="360" w:lineRule="auto"/>
        <w:ind w:left="0" w:firstLine="420" w:firstLineChars="200"/>
        <w:rPr>
          <w:rFonts w:ascii="宋体" w:hAnsi="宋体"/>
          <w:color w:val="000000" w:themeColor="text1"/>
          <w:szCs w:val="21"/>
          <w:highlight w:val="none"/>
        </w:rPr>
      </w:pPr>
      <w:r>
        <w:rPr>
          <w:rFonts w:hint="eastAsia" w:ascii="宋体" w:hAnsi="宋体"/>
          <w:color w:val="000000" w:themeColor="text1"/>
          <w:szCs w:val="21"/>
          <w:highlight w:val="none"/>
        </w:rPr>
        <w:t>如属买方原因，本合同设备应被认为初步性能验收通过，此后</w:t>
      </w:r>
      <w:r>
        <w:rPr>
          <w:rFonts w:ascii="宋体" w:hAnsi="宋体"/>
          <w:color w:val="000000" w:themeColor="text1"/>
          <w:szCs w:val="21"/>
          <w:highlight w:val="none"/>
        </w:rPr>
        <w:t>10天内由买方代表签署由卖方代表会签的本合同设备初步性能验收合格证书一式二份，双方各执一份。此时卖方仍有义务向买方提供技术帮助,与买方一起采取各种措施，使合同设备达到本合同规定的技术性能和保证指标。</w:t>
      </w:r>
    </w:p>
    <w:p>
      <w:pPr>
        <w:tabs>
          <w:tab w:val="left" w:pos="540"/>
          <w:tab w:val="left" w:pos="1260"/>
        </w:tabs>
        <w:spacing w:line="360" w:lineRule="auto"/>
        <w:ind w:firstLine="420" w:firstLineChars="200"/>
        <w:rPr>
          <w:rFonts w:ascii="宋体" w:hAnsi="宋体"/>
          <w:color w:val="000000" w:themeColor="text1"/>
          <w:szCs w:val="21"/>
          <w:highlight w:val="none"/>
        </w:rPr>
      </w:pPr>
      <w:r>
        <w:rPr>
          <w:rFonts w:hint="eastAsia" w:ascii="宋体" w:hAnsi="宋体"/>
          <w:color w:val="000000" w:themeColor="text1"/>
          <w:szCs w:val="21"/>
          <w:highlight w:val="none"/>
        </w:rPr>
        <w:t>16.8 初步性能验收合格证书只是证明卖方所提供的合同设备性能和参数截至出具初步性能验收证明时可以按合同要求予以接受，但不能视为卖方对合同设备中存在的可能引起合同设备损坏的潜在缺陷所应负的责任解除的证据；同样，最终性能验收合格证书也不能被视为卖方对合同设备中存在可能引起合同设备损坏的潜在缺陷应负责任的解除的证据。</w:t>
      </w:r>
    </w:p>
    <w:p>
      <w:pPr>
        <w:tabs>
          <w:tab w:val="left" w:pos="540"/>
          <w:tab w:val="left" w:pos="1260"/>
        </w:tabs>
        <w:spacing w:line="360" w:lineRule="auto"/>
        <w:ind w:firstLine="420" w:firstLineChars="200"/>
        <w:rPr>
          <w:rFonts w:ascii="宋体" w:hAnsi="宋体"/>
          <w:color w:val="000000" w:themeColor="text1"/>
          <w:szCs w:val="21"/>
          <w:highlight w:val="none"/>
        </w:rPr>
      </w:pPr>
      <w:r>
        <w:rPr>
          <w:rFonts w:hint="eastAsia" w:ascii="宋体" w:hAnsi="宋体"/>
          <w:color w:val="000000" w:themeColor="text1"/>
          <w:szCs w:val="21"/>
          <w:highlight w:val="none"/>
        </w:rPr>
        <w:t>16.9 在合同执行过程中的任何时候，对由于卖方责任需要进行的检查、试验、再试验、修理或调换，在卖方提出请求时，买方应作好安排进行配合以便进行上述工作。卖方应负担修理或调换及其人员的费用。如果卖方委托买方施工人员进行加工和</w:t>
      </w:r>
      <w:r>
        <w:rPr>
          <w:rFonts w:ascii="宋体" w:hAnsi="宋体"/>
          <w:color w:val="000000" w:themeColor="text1"/>
          <w:szCs w:val="21"/>
          <w:highlight w:val="none"/>
        </w:rPr>
        <w:t>/或修理、更换设备，或由于卖方设计图纸错误或卖方技术服务人员的指导错误造成返工，卖方应按下列公式向买方支付费用：（所有费用按发生时的费率水平计费）</w:t>
      </w:r>
    </w:p>
    <w:p>
      <w:pPr>
        <w:spacing w:line="360" w:lineRule="auto"/>
        <w:ind w:firstLine="420" w:firstLineChars="200"/>
        <w:rPr>
          <w:rFonts w:ascii="宋体" w:hAnsi="宋体"/>
          <w:color w:val="000000" w:themeColor="text1"/>
          <w:szCs w:val="21"/>
          <w:highlight w:val="none"/>
        </w:rPr>
      </w:pPr>
      <w:r>
        <w:rPr>
          <w:rFonts w:ascii="宋体" w:hAnsi="宋体"/>
          <w:color w:val="000000" w:themeColor="text1"/>
          <w:szCs w:val="21"/>
          <w:highlight w:val="none"/>
        </w:rPr>
        <w:t xml:space="preserve">        Ｐ＝ ａh + M + c m</w:t>
      </w:r>
    </w:p>
    <w:p>
      <w:pPr>
        <w:spacing w:line="360" w:lineRule="auto"/>
        <w:ind w:firstLine="420" w:firstLineChars="200"/>
        <w:rPr>
          <w:rFonts w:ascii="宋体" w:hAnsi="宋体"/>
          <w:color w:val="000000" w:themeColor="text1"/>
          <w:szCs w:val="21"/>
          <w:highlight w:val="none"/>
        </w:rPr>
      </w:pPr>
      <w:r>
        <w:rPr>
          <w:rFonts w:ascii="宋体" w:hAnsi="宋体"/>
          <w:color w:val="000000" w:themeColor="text1"/>
          <w:szCs w:val="21"/>
          <w:highlight w:val="none"/>
        </w:rPr>
        <w:t xml:space="preserve">        其中：Ｐ＿＿总费用(元)</w:t>
      </w:r>
    </w:p>
    <w:p>
      <w:pPr>
        <w:spacing w:line="360" w:lineRule="auto"/>
        <w:ind w:firstLine="420" w:firstLineChars="200"/>
        <w:rPr>
          <w:rFonts w:ascii="宋体" w:hAnsi="宋体"/>
          <w:color w:val="000000" w:themeColor="text1"/>
          <w:szCs w:val="21"/>
          <w:highlight w:val="none"/>
        </w:rPr>
      </w:pPr>
      <w:r>
        <w:rPr>
          <w:rFonts w:ascii="宋体" w:hAnsi="宋体"/>
          <w:color w:val="000000" w:themeColor="text1"/>
          <w:szCs w:val="21"/>
          <w:highlight w:val="none"/>
        </w:rPr>
        <w:t xml:space="preserve">              a ＿＿人工费(元/小时.人)</w:t>
      </w:r>
    </w:p>
    <w:p>
      <w:pPr>
        <w:spacing w:line="360" w:lineRule="auto"/>
        <w:ind w:firstLine="420" w:firstLineChars="200"/>
        <w:rPr>
          <w:rFonts w:ascii="宋体" w:hAnsi="宋体"/>
          <w:color w:val="000000" w:themeColor="text1"/>
          <w:szCs w:val="21"/>
          <w:highlight w:val="none"/>
        </w:rPr>
      </w:pPr>
      <w:r>
        <w:rPr>
          <w:rFonts w:ascii="宋体" w:hAnsi="宋体"/>
          <w:color w:val="000000" w:themeColor="text1"/>
          <w:szCs w:val="21"/>
          <w:highlight w:val="none"/>
        </w:rPr>
        <w:t xml:space="preserve">              h ＿＿人时(小时.人)</w:t>
      </w:r>
    </w:p>
    <w:p>
      <w:pPr>
        <w:spacing w:line="360" w:lineRule="auto"/>
        <w:ind w:firstLine="420" w:firstLineChars="200"/>
        <w:rPr>
          <w:rFonts w:ascii="宋体" w:hAnsi="宋体"/>
          <w:color w:val="000000" w:themeColor="text1"/>
          <w:szCs w:val="21"/>
          <w:highlight w:val="none"/>
        </w:rPr>
      </w:pPr>
      <w:r>
        <w:rPr>
          <w:rFonts w:ascii="宋体" w:hAnsi="宋体"/>
          <w:color w:val="000000" w:themeColor="text1"/>
          <w:szCs w:val="21"/>
          <w:highlight w:val="none"/>
        </w:rPr>
        <w:t xml:space="preserve">              M ＿＿材料费(元)</w:t>
      </w:r>
    </w:p>
    <w:p>
      <w:pPr>
        <w:spacing w:line="360" w:lineRule="auto"/>
        <w:ind w:firstLine="420" w:firstLineChars="200"/>
        <w:rPr>
          <w:rFonts w:ascii="宋体" w:hAnsi="宋体"/>
          <w:color w:val="000000" w:themeColor="text1"/>
          <w:szCs w:val="21"/>
          <w:highlight w:val="none"/>
        </w:rPr>
      </w:pPr>
      <w:r>
        <w:rPr>
          <w:rFonts w:ascii="宋体" w:hAnsi="宋体"/>
          <w:color w:val="000000" w:themeColor="text1"/>
          <w:szCs w:val="21"/>
          <w:highlight w:val="none"/>
        </w:rPr>
        <w:t xml:space="preserve">              c ＿＿台班数(台.班)</w:t>
      </w:r>
    </w:p>
    <w:p>
      <w:pPr>
        <w:spacing w:line="360" w:lineRule="auto"/>
        <w:ind w:firstLine="420" w:firstLineChars="200"/>
        <w:rPr>
          <w:rFonts w:ascii="宋体" w:hAnsi="宋体"/>
          <w:color w:val="000000" w:themeColor="text1"/>
          <w:szCs w:val="21"/>
          <w:highlight w:val="none"/>
        </w:rPr>
      </w:pPr>
      <w:r>
        <w:rPr>
          <w:rFonts w:ascii="宋体" w:hAnsi="宋体"/>
          <w:color w:val="000000" w:themeColor="text1"/>
          <w:szCs w:val="21"/>
          <w:highlight w:val="none"/>
        </w:rPr>
        <w:t xml:space="preserve">              m ＿＿每台设备的台班费(元/台.班)</w:t>
      </w:r>
    </w:p>
    <w:p>
      <w:pPr>
        <w:tabs>
          <w:tab w:val="left" w:pos="540"/>
          <w:tab w:val="left" w:pos="1260"/>
        </w:tabs>
        <w:spacing w:line="360" w:lineRule="auto"/>
        <w:ind w:firstLine="420" w:firstLineChars="200"/>
        <w:rPr>
          <w:rFonts w:ascii="宋体" w:hAnsi="宋体"/>
          <w:color w:val="000000" w:themeColor="text1"/>
          <w:szCs w:val="21"/>
          <w:highlight w:val="none"/>
        </w:rPr>
      </w:pPr>
      <w:r>
        <w:rPr>
          <w:rFonts w:hint="eastAsia" w:ascii="宋体" w:hAnsi="宋体"/>
          <w:color w:val="000000" w:themeColor="text1"/>
          <w:szCs w:val="21"/>
          <w:highlight w:val="none"/>
        </w:rPr>
        <w:t>16.10 在设备寿命内</w:t>
      </w:r>
      <w:r>
        <w:rPr>
          <w:rFonts w:ascii="宋体" w:hAnsi="宋体"/>
          <w:color w:val="000000" w:themeColor="text1"/>
          <w:szCs w:val="21"/>
          <w:highlight w:val="none"/>
        </w:rPr>
        <w:t>,卖方欲停止或不能制造某些备品备件，卖方有义务提前通知买方，以便买方有足够时间从卖方处对所需的备品备件做最后一批订货，并且卖方有义务免费提供制造这些备品备件的图纸、样板、工具、模具及技术说明等，使买方能够为合同设备制造所需的备品备件，且买方制造这些备品备件不构成对专利及工业设计权的侵权。买方在用毕后适当的时候以合理的方式和状况归还以上各项物品。</w:t>
      </w:r>
    </w:p>
    <w:p>
      <w:pPr>
        <w:tabs>
          <w:tab w:val="left" w:pos="540"/>
          <w:tab w:val="left" w:pos="1260"/>
        </w:tabs>
        <w:spacing w:line="360" w:lineRule="auto"/>
        <w:ind w:firstLine="420" w:firstLineChars="200"/>
        <w:rPr>
          <w:rFonts w:ascii="宋体" w:hAnsi="宋体"/>
          <w:color w:val="000000" w:themeColor="text1"/>
          <w:szCs w:val="21"/>
          <w:highlight w:val="none"/>
        </w:rPr>
      </w:pPr>
      <w:r>
        <w:rPr>
          <w:rFonts w:hint="eastAsia" w:ascii="宋体" w:hAnsi="宋体"/>
          <w:color w:val="000000" w:themeColor="text1"/>
          <w:szCs w:val="21"/>
          <w:highlight w:val="none"/>
        </w:rPr>
        <w:t>16.11 不论合同设备的损失或损坏的责任在买方或是在卖方，卖方应首先尽快交付更换或补充此损失或损坏的设备，然后确定上述设备的费用由哪一方承担。</w:t>
      </w:r>
    </w:p>
    <w:p>
      <w:pPr>
        <w:spacing w:line="360" w:lineRule="auto"/>
        <w:ind w:firstLine="420" w:firstLineChars="200"/>
        <w:rPr>
          <w:rFonts w:ascii="宋体" w:hAnsi="宋体"/>
          <w:color w:val="000000" w:themeColor="text1"/>
          <w:szCs w:val="21"/>
          <w:highlight w:val="none"/>
        </w:rPr>
      </w:pPr>
    </w:p>
    <w:p>
      <w:pPr>
        <w:spacing w:line="360" w:lineRule="auto"/>
        <w:ind w:firstLine="422" w:firstLineChars="200"/>
        <w:rPr>
          <w:rFonts w:ascii="宋体" w:hAnsi="宋体"/>
          <w:b/>
          <w:color w:val="000000" w:themeColor="text1"/>
          <w:szCs w:val="21"/>
          <w:highlight w:val="none"/>
        </w:rPr>
      </w:pPr>
      <w:r>
        <w:rPr>
          <w:rFonts w:hint="eastAsia" w:ascii="宋体" w:hAnsi="宋体"/>
          <w:b/>
          <w:color w:val="000000" w:themeColor="text1"/>
          <w:szCs w:val="21"/>
          <w:highlight w:val="none"/>
        </w:rPr>
        <w:t>第十七条 保证与违约金</w:t>
      </w:r>
    </w:p>
    <w:p>
      <w:pPr>
        <w:tabs>
          <w:tab w:val="left" w:pos="540"/>
          <w:tab w:val="left" w:pos="1260"/>
          <w:tab w:val="left" w:pos="1440"/>
        </w:tabs>
        <w:spacing w:line="360" w:lineRule="auto"/>
        <w:ind w:firstLine="420" w:firstLineChars="200"/>
        <w:rPr>
          <w:rFonts w:ascii="宋体" w:hAnsi="宋体"/>
          <w:color w:val="000000" w:themeColor="text1"/>
          <w:szCs w:val="21"/>
          <w:highlight w:val="none"/>
        </w:rPr>
      </w:pPr>
      <w:r>
        <w:rPr>
          <w:rFonts w:hint="eastAsia" w:ascii="宋体" w:hAnsi="宋体"/>
          <w:color w:val="000000" w:themeColor="text1"/>
          <w:szCs w:val="21"/>
          <w:highlight w:val="none"/>
        </w:rPr>
        <w:t>17.1 质保期为联动调试合格试运行后的个月。</w:t>
      </w:r>
    </w:p>
    <w:p>
      <w:pPr>
        <w:tabs>
          <w:tab w:val="left" w:pos="540"/>
          <w:tab w:val="left" w:pos="1260"/>
          <w:tab w:val="left" w:pos="1440"/>
        </w:tabs>
        <w:spacing w:line="360" w:lineRule="auto"/>
        <w:ind w:firstLine="420" w:firstLineChars="200"/>
        <w:rPr>
          <w:rFonts w:ascii="宋体" w:hAnsi="宋体"/>
          <w:color w:val="000000" w:themeColor="text1"/>
          <w:szCs w:val="21"/>
          <w:highlight w:val="none"/>
        </w:rPr>
      </w:pPr>
      <w:r>
        <w:rPr>
          <w:rFonts w:hint="eastAsia" w:ascii="宋体" w:hAnsi="宋体"/>
          <w:color w:val="000000" w:themeColor="text1"/>
          <w:szCs w:val="21"/>
          <w:highlight w:val="none"/>
        </w:rPr>
        <w:t>17.2 卖方保证其供应的本合同设备是全新的，技术水平是先进的、成熟的、质量是优良的，设备的选型均符合安全可靠、经济运行和易于维护的要求。</w:t>
      </w:r>
    </w:p>
    <w:p>
      <w:pPr>
        <w:tabs>
          <w:tab w:val="left" w:pos="540"/>
          <w:tab w:val="left" w:pos="1260"/>
          <w:tab w:val="left" w:pos="1440"/>
        </w:tabs>
        <w:spacing w:line="360" w:lineRule="auto"/>
        <w:ind w:firstLine="420" w:firstLineChars="200"/>
        <w:rPr>
          <w:rFonts w:ascii="宋体" w:hAnsi="宋体"/>
          <w:color w:val="000000" w:themeColor="text1"/>
          <w:szCs w:val="21"/>
          <w:highlight w:val="none"/>
        </w:rPr>
      </w:pPr>
      <w:r>
        <w:rPr>
          <w:rFonts w:hint="eastAsia" w:ascii="宋体" w:hAnsi="宋体"/>
          <w:color w:val="000000" w:themeColor="text1"/>
          <w:szCs w:val="21"/>
          <w:highlight w:val="none"/>
        </w:rPr>
        <w:t>17.3 卖方保证所提交技术资料完整统一和内容正确、准确并能满足合同设备的设计、安装、调试、运行和维修的要求。</w:t>
      </w:r>
    </w:p>
    <w:p>
      <w:pPr>
        <w:tabs>
          <w:tab w:val="left" w:pos="540"/>
          <w:tab w:val="left" w:pos="1260"/>
          <w:tab w:val="left" w:pos="1440"/>
        </w:tabs>
        <w:spacing w:line="360" w:lineRule="auto"/>
        <w:ind w:firstLine="420" w:firstLineChars="200"/>
        <w:rPr>
          <w:rFonts w:ascii="宋体" w:hAnsi="宋体"/>
          <w:color w:val="000000" w:themeColor="text1"/>
          <w:szCs w:val="21"/>
          <w:highlight w:val="none"/>
        </w:rPr>
      </w:pPr>
      <w:r>
        <w:rPr>
          <w:rFonts w:hint="eastAsia" w:ascii="宋体" w:hAnsi="宋体"/>
          <w:color w:val="000000" w:themeColor="text1"/>
          <w:szCs w:val="21"/>
          <w:highlight w:val="none"/>
        </w:rPr>
        <w:t>17.4 本合同执行期间，如果卖方提供的设备有缺陷和技术资料有错误，或者由于卖方技术人员指导错误和疏忽，造成合同设备的返工或报废，卖方应立即以最快捷的方式无偿予以更换和修理。如需更换，卖方应负担由此产生的到安装现场更换的一切费用，更换或修理期限应不迟于证实属卖方责任之日起的1周或双方商定的更长时间内。由于买方未按卖方所提供的技术资料、图纸、说明书和卖方现场技术服务人员的指导而进行安装、调试造成的设备损坏，由买方负责修理，更换，但卖方有义务尽快提供所需更换的部件，对于买方要求的紧急部件，卖方应安排最快的方式运输，所有费用均由买方负担。</w:t>
      </w:r>
    </w:p>
    <w:p>
      <w:pPr>
        <w:tabs>
          <w:tab w:val="left" w:pos="540"/>
          <w:tab w:val="left" w:pos="1260"/>
          <w:tab w:val="left" w:pos="1440"/>
        </w:tabs>
        <w:spacing w:line="360" w:lineRule="auto"/>
        <w:ind w:firstLine="420" w:firstLineChars="200"/>
        <w:rPr>
          <w:rFonts w:ascii="宋体" w:hAnsi="宋体"/>
          <w:color w:val="000000" w:themeColor="text1"/>
          <w:szCs w:val="21"/>
          <w:highlight w:val="none"/>
        </w:rPr>
      </w:pPr>
      <w:r>
        <w:rPr>
          <w:rFonts w:hint="eastAsia" w:ascii="宋体" w:hAnsi="宋体"/>
          <w:color w:val="000000" w:themeColor="text1"/>
          <w:szCs w:val="21"/>
          <w:highlight w:val="none"/>
        </w:rPr>
        <w:t>17.5 合同规定的质量保证期满后，由买方在14天内出具合同设备保证期满最终性能验收合格证书交给卖方。条件是：在此期间卖方应完成买方在保证期满前提出的索赔和赔偿。但卖方对非正常维修和误操作以及由于正常磨损造成的损失不负责任。</w:t>
      </w:r>
    </w:p>
    <w:p>
      <w:pPr>
        <w:tabs>
          <w:tab w:val="left" w:pos="540"/>
          <w:tab w:val="left" w:pos="1260"/>
          <w:tab w:val="left" w:pos="1440"/>
        </w:tabs>
        <w:spacing w:line="360" w:lineRule="auto"/>
        <w:ind w:firstLine="420" w:firstLineChars="200"/>
        <w:rPr>
          <w:rFonts w:ascii="宋体" w:hAnsi="宋体"/>
          <w:color w:val="000000" w:themeColor="text1"/>
          <w:szCs w:val="21"/>
          <w:highlight w:val="none"/>
        </w:rPr>
      </w:pPr>
      <w:r>
        <w:rPr>
          <w:rFonts w:hint="eastAsia" w:ascii="宋体" w:hAnsi="宋体"/>
          <w:color w:val="000000" w:themeColor="text1"/>
          <w:szCs w:val="21"/>
          <w:highlight w:val="none"/>
        </w:rPr>
        <w:t>17.6 在质量保证期内，如发现设备有缺陷，不符合本合同规定时，如属卖方责任，则买方有权向卖方提出索赔。如卖方对此索赔有异议按第十五条办理。否则卖方在接到买方索赔文件后，应立即无偿修理、更换、赔款或委托买方安排大型修理，由此产生的到安装现场的更换费用、运输费及保险费也由卖方承担。</w:t>
      </w:r>
    </w:p>
    <w:p>
      <w:pPr>
        <w:tabs>
          <w:tab w:val="left" w:pos="540"/>
          <w:tab w:val="left" w:pos="1260"/>
          <w:tab w:val="left" w:pos="1440"/>
        </w:tabs>
        <w:spacing w:line="360" w:lineRule="auto"/>
        <w:ind w:firstLine="420" w:firstLineChars="200"/>
        <w:rPr>
          <w:rFonts w:ascii="宋体" w:hAnsi="宋体"/>
          <w:color w:val="000000" w:themeColor="text1"/>
          <w:szCs w:val="21"/>
          <w:highlight w:val="none"/>
        </w:rPr>
      </w:pPr>
      <w:r>
        <w:rPr>
          <w:rFonts w:hint="eastAsia" w:ascii="宋体" w:hAnsi="宋体"/>
          <w:color w:val="000000" w:themeColor="text1"/>
          <w:szCs w:val="21"/>
          <w:highlight w:val="none"/>
        </w:rPr>
        <w:t>17.7 如由于卖方责任需要更换、修理有缺陷的设备，而使合同设备停运或推迟安装时，则保证期应按实际修理或更换所延误的时间做相应的延长。</w:t>
      </w:r>
    </w:p>
    <w:p>
      <w:pPr>
        <w:tabs>
          <w:tab w:val="left" w:pos="540"/>
          <w:tab w:val="left" w:pos="1260"/>
          <w:tab w:val="left" w:pos="1440"/>
        </w:tabs>
        <w:spacing w:line="360" w:lineRule="auto"/>
        <w:ind w:firstLine="420" w:firstLineChars="200"/>
        <w:rPr>
          <w:rFonts w:ascii="宋体" w:hAnsi="宋体"/>
          <w:color w:val="000000" w:themeColor="text1"/>
          <w:szCs w:val="21"/>
          <w:highlight w:val="none"/>
        </w:rPr>
      </w:pPr>
      <w:r>
        <w:rPr>
          <w:rFonts w:hint="eastAsia" w:ascii="宋体" w:hAnsi="宋体"/>
          <w:color w:val="000000" w:themeColor="text1"/>
          <w:szCs w:val="21"/>
          <w:highlight w:val="none"/>
        </w:rPr>
        <w:t>17.8 由于卖方责任，在第十六条规定的性能验收试验后，如经第二次验收试验(由于卖方原因)仍不能达到技术规格书所规定的一项或多项保证指标时，卖方应按下列方式承担违约责任为：卖方应在一周内予以更换设备，同时支付该设备合同价10%的违约金。</w:t>
      </w:r>
    </w:p>
    <w:p>
      <w:pPr>
        <w:tabs>
          <w:tab w:val="left" w:pos="540"/>
          <w:tab w:val="left" w:pos="1260"/>
          <w:tab w:val="left" w:pos="1440"/>
        </w:tabs>
        <w:spacing w:line="360" w:lineRule="auto"/>
        <w:ind w:firstLine="420" w:firstLineChars="200"/>
        <w:rPr>
          <w:rFonts w:ascii="宋体" w:hAnsi="宋体"/>
          <w:color w:val="000000" w:themeColor="text1"/>
          <w:szCs w:val="21"/>
          <w:highlight w:val="none"/>
        </w:rPr>
      </w:pPr>
      <w:r>
        <w:rPr>
          <w:rFonts w:hint="eastAsia" w:ascii="宋体" w:hAnsi="宋体"/>
          <w:color w:val="000000" w:themeColor="text1"/>
          <w:szCs w:val="21"/>
          <w:highlight w:val="none"/>
        </w:rPr>
        <w:t>17.9 如合同设备在质量保证期内发现属卖方责任的十分严重的缺陷（如设备性能达不到要求等）则其质量保证期将自该缺陷修正后开始重新计算。</w:t>
      </w:r>
    </w:p>
    <w:p>
      <w:pPr>
        <w:tabs>
          <w:tab w:val="left" w:pos="540"/>
          <w:tab w:val="left" w:pos="1260"/>
          <w:tab w:val="left" w:pos="1440"/>
        </w:tabs>
        <w:spacing w:line="360" w:lineRule="auto"/>
        <w:ind w:firstLine="420" w:firstLineChars="200"/>
        <w:rPr>
          <w:rFonts w:ascii="宋体" w:hAnsi="宋体"/>
          <w:color w:val="000000" w:themeColor="text1"/>
          <w:szCs w:val="21"/>
          <w:highlight w:val="none"/>
        </w:rPr>
      </w:pPr>
      <w:r>
        <w:rPr>
          <w:rFonts w:hint="eastAsia" w:ascii="宋体" w:hAnsi="宋体"/>
          <w:color w:val="000000" w:themeColor="text1"/>
          <w:szCs w:val="21"/>
          <w:highlight w:val="none"/>
        </w:rPr>
        <w:t>17.10 如果不是由于买方原因或买方没有要求推迟交货而卖方未能按本合同规定的交货期交货时（不可抗力除外），买方有权按下列比例向卖方收取违约金(不满一周按比例计算)：</w:t>
      </w:r>
    </w:p>
    <w:p>
      <w:pPr>
        <w:tabs>
          <w:tab w:val="left" w:pos="540"/>
          <w:tab w:val="left" w:pos="1260"/>
          <w:tab w:val="left" w:pos="1440"/>
        </w:tabs>
        <w:spacing w:line="360" w:lineRule="auto"/>
        <w:ind w:firstLine="420" w:firstLineChars="200"/>
        <w:rPr>
          <w:rFonts w:ascii="宋体" w:hAnsi="宋体"/>
          <w:color w:val="000000" w:themeColor="text1"/>
          <w:szCs w:val="21"/>
          <w:highlight w:val="none"/>
        </w:rPr>
      </w:pPr>
      <w:r>
        <w:rPr>
          <w:rFonts w:hint="eastAsia" w:ascii="宋体" w:hAnsi="宋体"/>
          <w:color w:val="000000" w:themeColor="text1"/>
          <w:szCs w:val="21"/>
          <w:highlight w:val="none"/>
        </w:rPr>
        <w:t>17.10.1 迟交1－4周，每周违约金金额为迟交货物金额的0.5％；</w:t>
      </w:r>
    </w:p>
    <w:p>
      <w:pPr>
        <w:tabs>
          <w:tab w:val="left" w:pos="540"/>
          <w:tab w:val="left" w:pos="1260"/>
          <w:tab w:val="left" w:pos="1440"/>
        </w:tabs>
        <w:spacing w:line="360" w:lineRule="auto"/>
        <w:ind w:firstLine="420" w:firstLineChars="200"/>
        <w:rPr>
          <w:rFonts w:ascii="宋体" w:hAnsi="宋体"/>
          <w:color w:val="000000" w:themeColor="text1"/>
          <w:szCs w:val="21"/>
          <w:highlight w:val="none"/>
        </w:rPr>
      </w:pPr>
      <w:r>
        <w:rPr>
          <w:rFonts w:hint="eastAsia" w:ascii="宋体" w:hAnsi="宋体"/>
          <w:color w:val="000000" w:themeColor="text1"/>
          <w:szCs w:val="21"/>
          <w:highlight w:val="none"/>
        </w:rPr>
        <w:t>17.10.2 迟交5－8周，每周违约金金额为迟交货物金额的1％；</w:t>
      </w:r>
    </w:p>
    <w:p>
      <w:pPr>
        <w:tabs>
          <w:tab w:val="left" w:pos="540"/>
          <w:tab w:val="left" w:pos="1260"/>
          <w:tab w:val="left" w:pos="1440"/>
        </w:tabs>
        <w:spacing w:line="360" w:lineRule="auto"/>
        <w:ind w:firstLine="420" w:firstLineChars="200"/>
        <w:rPr>
          <w:rFonts w:ascii="宋体" w:hAnsi="宋体"/>
          <w:color w:val="000000" w:themeColor="text1"/>
          <w:szCs w:val="21"/>
          <w:highlight w:val="none"/>
        </w:rPr>
      </w:pPr>
      <w:r>
        <w:rPr>
          <w:rFonts w:hint="eastAsia" w:ascii="宋体" w:hAnsi="宋体"/>
          <w:color w:val="000000" w:themeColor="text1"/>
          <w:szCs w:val="21"/>
          <w:highlight w:val="none"/>
        </w:rPr>
        <w:t>17.10.3 迟交9周以上，每周违约金金额为迟交货物金额的1.5％；</w:t>
      </w:r>
    </w:p>
    <w:p>
      <w:pPr>
        <w:tabs>
          <w:tab w:val="left" w:pos="540"/>
          <w:tab w:val="left" w:pos="1260"/>
          <w:tab w:val="left" w:pos="1440"/>
        </w:tabs>
        <w:spacing w:line="360" w:lineRule="auto"/>
        <w:ind w:firstLine="420" w:firstLineChars="200"/>
        <w:rPr>
          <w:rFonts w:ascii="宋体" w:hAnsi="宋体"/>
          <w:color w:val="000000" w:themeColor="text1"/>
          <w:szCs w:val="21"/>
          <w:highlight w:val="none"/>
        </w:rPr>
      </w:pPr>
      <w:r>
        <w:rPr>
          <w:rFonts w:hint="eastAsia" w:ascii="宋体" w:hAnsi="宋体"/>
          <w:color w:val="000000" w:themeColor="text1"/>
          <w:szCs w:val="21"/>
          <w:highlight w:val="none"/>
        </w:rPr>
        <w:t>17.11 每套合同设备迟交货物的违约金总金额不超过每套合同设备价格的10％。卖方支付迟交违约金，并不解除卖方按照合同继续交货的义务。</w:t>
      </w:r>
    </w:p>
    <w:p>
      <w:pPr>
        <w:tabs>
          <w:tab w:val="left" w:pos="540"/>
          <w:tab w:val="left" w:pos="1260"/>
          <w:tab w:val="left" w:pos="1440"/>
        </w:tabs>
        <w:spacing w:line="360" w:lineRule="auto"/>
        <w:ind w:firstLine="420" w:firstLineChars="200"/>
        <w:rPr>
          <w:rFonts w:ascii="宋体" w:hAnsi="宋体"/>
          <w:color w:val="000000" w:themeColor="text1"/>
          <w:szCs w:val="21"/>
          <w:highlight w:val="none"/>
        </w:rPr>
      </w:pPr>
      <w:r>
        <w:rPr>
          <w:rFonts w:hint="eastAsia" w:ascii="宋体" w:hAnsi="宋体"/>
          <w:color w:val="000000" w:themeColor="text1"/>
          <w:szCs w:val="21"/>
          <w:highlight w:val="none"/>
        </w:rPr>
        <w:t>17.12 对安装、运行有重大影响的设备迟延交付达90日时，卖方除应向买方支付合同价款10%的迟延交付违约金外，还应向买方赔偿因此而遭受的损失, 此损失在履约保证金中扣除，履约保证金金额不足时，买方有权向卖方进行进一步的索赔。</w:t>
      </w:r>
    </w:p>
    <w:p>
      <w:pPr>
        <w:tabs>
          <w:tab w:val="left" w:pos="540"/>
          <w:tab w:val="left" w:pos="1260"/>
          <w:tab w:val="left" w:pos="1440"/>
        </w:tabs>
        <w:spacing w:line="360" w:lineRule="auto"/>
        <w:ind w:firstLine="420" w:firstLineChars="200"/>
        <w:rPr>
          <w:rFonts w:ascii="宋体" w:hAnsi="宋体"/>
          <w:color w:val="000000" w:themeColor="text1"/>
          <w:szCs w:val="21"/>
          <w:highlight w:val="none"/>
        </w:rPr>
      </w:pPr>
      <w:r>
        <w:rPr>
          <w:rFonts w:hint="eastAsia" w:ascii="宋体" w:hAnsi="宋体"/>
          <w:color w:val="000000" w:themeColor="text1"/>
          <w:szCs w:val="21"/>
          <w:highlight w:val="none"/>
        </w:rPr>
        <w:t>17.13 如由于确属卖方责任未能按本合同规定按时交付经双方确认属严重影响关键技术资料时，买方有权按下列比例向卖方收取违约金(不满一周按比例计算)：</w:t>
      </w:r>
    </w:p>
    <w:p>
      <w:pPr>
        <w:tabs>
          <w:tab w:val="left" w:pos="540"/>
          <w:tab w:val="left" w:pos="1260"/>
          <w:tab w:val="left" w:pos="1440"/>
        </w:tabs>
        <w:spacing w:line="360" w:lineRule="auto"/>
        <w:ind w:firstLine="420" w:firstLineChars="200"/>
        <w:rPr>
          <w:rFonts w:ascii="宋体" w:hAnsi="宋体"/>
          <w:color w:val="000000" w:themeColor="text1"/>
          <w:szCs w:val="21"/>
          <w:highlight w:val="none"/>
        </w:rPr>
      </w:pPr>
      <w:r>
        <w:rPr>
          <w:rFonts w:hint="eastAsia" w:ascii="宋体" w:hAnsi="宋体"/>
          <w:color w:val="000000" w:themeColor="text1"/>
          <w:szCs w:val="21"/>
          <w:highlight w:val="none"/>
        </w:rPr>
        <w:t>17.13.1迟交１周内，违约金金额为人民币2000元/周；</w:t>
      </w:r>
    </w:p>
    <w:p>
      <w:pPr>
        <w:tabs>
          <w:tab w:val="left" w:pos="540"/>
          <w:tab w:val="left" w:pos="1260"/>
          <w:tab w:val="left" w:pos="1440"/>
        </w:tabs>
        <w:spacing w:line="360" w:lineRule="auto"/>
        <w:ind w:left="420" w:leftChars="200"/>
        <w:rPr>
          <w:rFonts w:ascii="宋体" w:hAnsi="宋体"/>
          <w:color w:val="000000" w:themeColor="text1"/>
          <w:szCs w:val="21"/>
          <w:highlight w:val="none"/>
        </w:rPr>
      </w:pPr>
      <w:r>
        <w:rPr>
          <w:rFonts w:hint="eastAsia" w:ascii="宋体" w:hAnsi="宋体"/>
          <w:color w:val="000000" w:themeColor="text1"/>
          <w:szCs w:val="21"/>
          <w:highlight w:val="none"/>
        </w:rPr>
        <w:t>17.13.2 迟交2－4周，违约金金额为人民币5000元/周；</w:t>
      </w:r>
    </w:p>
    <w:p>
      <w:pPr>
        <w:tabs>
          <w:tab w:val="left" w:pos="540"/>
          <w:tab w:val="left" w:pos="1260"/>
          <w:tab w:val="left" w:pos="1440"/>
        </w:tabs>
        <w:spacing w:line="360" w:lineRule="auto"/>
        <w:ind w:left="420" w:leftChars="200"/>
        <w:rPr>
          <w:rFonts w:ascii="宋体" w:hAnsi="宋体"/>
          <w:color w:val="000000" w:themeColor="text1"/>
          <w:szCs w:val="21"/>
          <w:highlight w:val="none"/>
        </w:rPr>
      </w:pPr>
      <w:r>
        <w:rPr>
          <w:rFonts w:hint="eastAsia" w:ascii="宋体" w:hAnsi="宋体"/>
          <w:color w:val="000000" w:themeColor="text1"/>
          <w:szCs w:val="21"/>
          <w:highlight w:val="none"/>
        </w:rPr>
        <w:t>17.13.3 迟交4周以上，违约金金额为人民币10000元/周；</w:t>
      </w:r>
    </w:p>
    <w:p>
      <w:pPr>
        <w:tabs>
          <w:tab w:val="left" w:pos="540"/>
          <w:tab w:val="left" w:pos="1260"/>
          <w:tab w:val="left" w:pos="1440"/>
        </w:tabs>
        <w:spacing w:line="360" w:lineRule="auto"/>
        <w:ind w:firstLine="420" w:firstLineChars="200"/>
        <w:rPr>
          <w:rFonts w:ascii="宋体" w:hAnsi="宋体"/>
          <w:color w:val="000000" w:themeColor="text1"/>
          <w:szCs w:val="21"/>
          <w:highlight w:val="none"/>
        </w:rPr>
      </w:pPr>
      <w:r>
        <w:rPr>
          <w:rFonts w:hint="eastAsia" w:ascii="宋体" w:hAnsi="宋体"/>
          <w:color w:val="000000" w:themeColor="text1"/>
          <w:szCs w:val="21"/>
          <w:highlight w:val="none"/>
        </w:rPr>
        <w:t>17.14 如果由于卖方技术服务的延误、疏忽和/或错误，交付合同设备安装调试成果造成延误，每延误工期一周卖方将向买方支付合同价款的0.5％违约金。且卖方需支付由于卖方技术服务错误或违约造成买方的直接损失。如果由于卖方运抵现场的设备包装不符合买、卖双方达成的包装与保管技术标准与规范的要求，则买方有权要求卖方支付合同价款1%的违约金。</w:t>
      </w:r>
    </w:p>
    <w:p>
      <w:pPr>
        <w:tabs>
          <w:tab w:val="left" w:pos="540"/>
          <w:tab w:val="left" w:pos="1260"/>
          <w:tab w:val="left" w:pos="1440"/>
        </w:tabs>
        <w:spacing w:line="360" w:lineRule="auto"/>
        <w:ind w:firstLine="420" w:firstLineChars="200"/>
        <w:rPr>
          <w:rFonts w:ascii="宋体" w:hAnsi="宋体"/>
          <w:color w:val="000000" w:themeColor="text1"/>
          <w:szCs w:val="21"/>
          <w:highlight w:val="none"/>
        </w:rPr>
      </w:pPr>
      <w:r>
        <w:rPr>
          <w:rFonts w:hint="eastAsia" w:ascii="宋体" w:hAnsi="宋体"/>
          <w:color w:val="000000" w:themeColor="text1"/>
          <w:szCs w:val="21"/>
          <w:highlight w:val="none"/>
        </w:rPr>
        <w:t>17.15 卖方按本合同规定所承担的违约金总额不论单项或多项累计将不超过合同价款的30％。</w:t>
      </w:r>
    </w:p>
    <w:p>
      <w:pPr>
        <w:tabs>
          <w:tab w:val="left" w:pos="540"/>
          <w:tab w:val="left" w:pos="1260"/>
          <w:tab w:val="left" w:pos="1440"/>
        </w:tabs>
        <w:spacing w:line="360" w:lineRule="auto"/>
        <w:ind w:left="420" w:leftChars="200"/>
        <w:rPr>
          <w:rFonts w:ascii="宋体" w:hAnsi="宋体"/>
          <w:color w:val="000000" w:themeColor="text1"/>
          <w:szCs w:val="21"/>
          <w:highlight w:val="none"/>
        </w:rPr>
      </w:pPr>
      <w:r>
        <w:rPr>
          <w:rFonts w:hint="eastAsia" w:ascii="宋体" w:hAnsi="宋体"/>
          <w:color w:val="000000" w:themeColor="text1"/>
          <w:szCs w:val="21"/>
          <w:highlight w:val="none"/>
        </w:rPr>
        <w:t>17.16 卖方支付迟交违约金并不解除按合同所规定的相应义务。</w:t>
      </w:r>
    </w:p>
    <w:p>
      <w:pPr>
        <w:spacing w:line="360" w:lineRule="auto"/>
        <w:ind w:firstLine="420" w:firstLineChars="200"/>
        <w:rPr>
          <w:rFonts w:ascii="宋体" w:hAnsi="宋体"/>
          <w:color w:val="000000" w:themeColor="text1"/>
          <w:szCs w:val="21"/>
          <w:highlight w:val="none"/>
        </w:rPr>
      </w:pPr>
    </w:p>
    <w:p>
      <w:pPr>
        <w:spacing w:line="360" w:lineRule="auto"/>
        <w:ind w:firstLine="422" w:firstLineChars="200"/>
        <w:rPr>
          <w:rFonts w:ascii="宋体" w:hAnsi="宋体"/>
          <w:b/>
          <w:color w:val="000000" w:themeColor="text1"/>
          <w:szCs w:val="21"/>
          <w:highlight w:val="none"/>
        </w:rPr>
      </w:pPr>
      <w:r>
        <w:rPr>
          <w:rFonts w:hint="eastAsia" w:ascii="宋体" w:hAnsi="宋体"/>
          <w:b/>
          <w:color w:val="000000" w:themeColor="text1"/>
          <w:szCs w:val="21"/>
          <w:highlight w:val="none"/>
        </w:rPr>
        <w:t>第十八条 不可抗力</w:t>
      </w:r>
    </w:p>
    <w:p>
      <w:pPr>
        <w:tabs>
          <w:tab w:val="left" w:pos="540"/>
          <w:tab w:val="left" w:pos="1260"/>
          <w:tab w:val="left" w:pos="1440"/>
        </w:tabs>
        <w:spacing w:line="360" w:lineRule="auto"/>
        <w:ind w:firstLine="420" w:firstLineChars="200"/>
        <w:rPr>
          <w:rFonts w:ascii="宋体" w:hAnsi="宋体"/>
          <w:color w:val="000000" w:themeColor="text1"/>
          <w:szCs w:val="21"/>
          <w:highlight w:val="none"/>
        </w:rPr>
      </w:pPr>
      <w:r>
        <w:rPr>
          <w:rFonts w:hint="eastAsia" w:ascii="宋体" w:hAnsi="宋体"/>
          <w:color w:val="000000" w:themeColor="text1"/>
          <w:szCs w:val="21"/>
          <w:highlight w:val="none"/>
        </w:rPr>
        <w:t>18.1 任何一方由于不可抗力事件而影响其履行合同义务时，可以延迟履行合同义务，但延迟履行合同义务的期限和范围应仅限于受不可抗力事件影响的时间和范围，无论本合同其他条款如何规定，任何一方均不得因不可抗力事件而要求调整合同价款。</w:t>
      </w:r>
    </w:p>
    <w:p>
      <w:pPr>
        <w:tabs>
          <w:tab w:val="left" w:pos="540"/>
          <w:tab w:val="left" w:pos="1260"/>
          <w:tab w:val="left" w:pos="1440"/>
        </w:tabs>
        <w:spacing w:line="360" w:lineRule="auto"/>
        <w:ind w:firstLine="420" w:firstLineChars="200"/>
        <w:rPr>
          <w:rFonts w:ascii="宋体" w:hAnsi="宋体"/>
          <w:color w:val="000000" w:themeColor="text1"/>
          <w:szCs w:val="21"/>
          <w:highlight w:val="none"/>
        </w:rPr>
      </w:pPr>
      <w:r>
        <w:rPr>
          <w:rFonts w:hint="eastAsia" w:ascii="宋体" w:hAnsi="宋体"/>
          <w:color w:val="000000" w:themeColor="text1"/>
          <w:szCs w:val="21"/>
          <w:highlight w:val="none"/>
        </w:rPr>
        <w:t>18.2 受不可抗力影响的一方应在不可抗力事故发生后，尽快将所发生的不可抗力事件的情况以传真或电报等方式通知另一方，受影响的一方同时应尽量设法缩小这种影响和由此而引起的延误，一旦不可抗力的影响消除后，应将此情况立即通知对方，并立即恢复履行受不可抗力事件影响的合同义务。</w:t>
      </w:r>
    </w:p>
    <w:p>
      <w:pPr>
        <w:tabs>
          <w:tab w:val="left" w:pos="540"/>
          <w:tab w:val="left" w:pos="1260"/>
          <w:tab w:val="left" w:pos="1440"/>
        </w:tabs>
        <w:spacing w:line="360" w:lineRule="auto"/>
        <w:ind w:firstLine="420" w:firstLineChars="200"/>
        <w:rPr>
          <w:rFonts w:ascii="宋体" w:hAnsi="宋体"/>
          <w:color w:val="000000" w:themeColor="text1"/>
          <w:szCs w:val="21"/>
          <w:highlight w:val="none"/>
        </w:rPr>
      </w:pPr>
      <w:r>
        <w:rPr>
          <w:rFonts w:hint="eastAsia" w:ascii="宋体" w:hAnsi="宋体"/>
          <w:color w:val="000000" w:themeColor="text1"/>
          <w:szCs w:val="21"/>
          <w:highlight w:val="none"/>
        </w:rPr>
        <w:t>18.3 如果双方对不可抗力事件的影响估计将延续到一百天以上时，双方应通过友好协商解决本合同的执行问题。</w:t>
      </w:r>
    </w:p>
    <w:p>
      <w:pPr>
        <w:spacing w:line="360" w:lineRule="auto"/>
        <w:ind w:firstLine="420" w:firstLineChars="200"/>
        <w:rPr>
          <w:rFonts w:ascii="宋体" w:hAnsi="宋体"/>
          <w:color w:val="000000" w:themeColor="text1"/>
          <w:szCs w:val="21"/>
          <w:highlight w:val="none"/>
        </w:rPr>
      </w:pPr>
    </w:p>
    <w:p>
      <w:pPr>
        <w:spacing w:line="360" w:lineRule="auto"/>
        <w:ind w:firstLine="422" w:firstLineChars="200"/>
        <w:rPr>
          <w:rFonts w:ascii="宋体" w:hAnsi="宋体"/>
          <w:b/>
          <w:color w:val="000000" w:themeColor="text1"/>
          <w:szCs w:val="21"/>
          <w:highlight w:val="none"/>
        </w:rPr>
      </w:pPr>
      <w:r>
        <w:rPr>
          <w:rFonts w:hint="eastAsia" w:ascii="宋体" w:hAnsi="宋体"/>
          <w:b/>
          <w:color w:val="000000" w:themeColor="text1"/>
          <w:szCs w:val="21"/>
          <w:highlight w:val="none"/>
        </w:rPr>
        <w:t>第十九条 违约终止合同</w:t>
      </w:r>
    </w:p>
    <w:p>
      <w:pPr>
        <w:tabs>
          <w:tab w:val="left" w:pos="540"/>
          <w:tab w:val="left" w:pos="1260"/>
          <w:tab w:val="left" w:pos="1440"/>
        </w:tabs>
        <w:spacing w:line="360" w:lineRule="auto"/>
        <w:ind w:firstLine="420" w:firstLineChars="200"/>
        <w:rPr>
          <w:rFonts w:ascii="宋体" w:hAnsi="宋体"/>
          <w:color w:val="000000" w:themeColor="text1"/>
          <w:szCs w:val="21"/>
          <w:highlight w:val="none"/>
        </w:rPr>
      </w:pPr>
      <w:r>
        <w:rPr>
          <w:rFonts w:hint="eastAsia" w:ascii="宋体" w:hAnsi="宋体"/>
          <w:color w:val="000000" w:themeColor="text1"/>
          <w:szCs w:val="21"/>
          <w:highlight w:val="none"/>
        </w:rPr>
        <w:t>19.1 因卖方违约，买方有权采取任何必要的措施予以补救，在下列卖方违约情况下，买方在向卖方发出书面违约通知后，可立即解除全部或部分合同：</w:t>
      </w:r>
    </w:p>
    <w:p>
      <w:pPr>
        <w:numPr>
          <w:ilvl w:val="1"/>
          <w:numId w:val="12"/>
        </w:numPr>
        <w:tabs>
          <w:tab w:val="left" w:pos="1060"/>
          <w:tab w:val="clear" w:pos="1320"/>
        </w:tabs>
        <w:spacing w:line="360" w:lineRule="auto"/>
        <w:ind w:left="0" w:firstLine="420" w:firstLineChars="200"/>
        <w:rPr>
          <w:rFonts w:ascii="宋体" w:hAnsi="宋体"/>
          <w:color w:val="000000" w:themeColor="text1"/>
          <w:szCs w:val="21"/>
          <w:highlight w:val="none"/>
        </w:rPr>
      </w:pPr>
      <w:r>
        <w:rPr>
          <w:rFonts w:hint="eastAsia" w:ascii="宋体" w:hAnsi="宋体"/>
          <w:color w:val="000000" w:themeColor="text1"/>
          <w:szCs w:val="21"/>
          <w:highlight w:val="none"/>
        </w:rPr>
        <w:t>卖方原因导致的迟延交付超过</w:t>
      </w:r>
      <w:r>
        <w:rPr>
          <w:rFonts w:ascii="宋体" w:hAnsi="宋体"/>
          <w:color w:val="000000" w:themeColor="text1"/>
          <w:szCs w:val="21"/>
          <w:highlight w:val="none"/>
        </w:rPr>
        <w:t>90天时；</w:t>
      </w:r>
    </w:p>
    <w:p>
      <w:pPr>
        <w:numPr>
          <w:ilvl w:val="1"/>
          <w:numId w:val="12"/>
        </w:numPr>
        <w:tabs>
          <w:tab w:val="left" w:pos="1060"/>
          <w:tab w:val="clear" w:pos="1320"/>
        </w:tabs>
        <w:spacing w:line="360" w:lineRule="auto"/>
        <w:ind w:left="0" w:firstLine="420" w:firstLineChars="200"/>
        <w:rPr>
          <w:rFonts w:ascii="宋体" w:hAnsi="宋体"/>
          <w:color w:val="000000" w:themeColor="text1"/>
          <w:szCs w:val="21"/>
          <w:highlight w:val="none"/>
        </w:rPr>
      </w:pPr>
      <w:r>
        <w:rPr>
          <w:rFonts w:hint="eastAsia" w:ascii="宋体" w:hAnsi="宋体"/>
          <w:color w:val="000000" w:themeColor="text1"/>
          <w:szCs w:val="21"/>
          <w:highlight w:val="none"/>
        </w:rPr>
        <w:t>卖方未能履行合同项下的任何其它义务，导致买方利益遭受严重损害的；</w:t>
      </w:r>
    </w:p>
    <w:p>
      <w:pPr>
        <w:numPr>
          <w:ilvl w:val="1"/>
          <w:numId w:val="12"/>
        </w:numPr>
        <w:tabs>
          <w:tab w:val="left" w:pos="1060"/>
          <w:tab w:val="clear" w:pos="1320"/>
        </w:tabs>
        <w:spacing w:line="360" w:lineRule="auto"/>
        <w:ind w:left="0" w:firstLine="420" w:firstLineChars="200"/>
        <w:rPr>
          <w:rFonts w:ascii="宋体" w:hAnsi="宋体"/>
          <w:color w:val="000000" w:themeColor="text1"/>
          <w:szCs w:val="21"/>
          <w:highlight w:val="none"/>
        </w:rPr>
      </w:pPr>
      <w:r>
        <w:rPr>
          <w:rFonts w:hint="eastAsia" w:ascii="宋体" w:hAnsi="宋体"/>
          <w:color w:val="000000" w:themeColor="text1"/>
          <w:szCs w:val="21"/>
          <w:highlight w:val="none"/>
        </w:rPr>
        <w:t>卖方破产或无清偿能力。</w:t>
      </w:r>
    </w:p>
    <w:p>
      <w:pPr>
        <w:tabs>
          <w:tab w:val="left" w:pos="540"/>
          <w:tab w:val="left" w:pos="1260"/>
          <w:tab w:val="left" w:pos="1440"/>
        </w:tabs>
        <w:spacing w:line="360" w:lineRule="auto"/>
        <w:ind w:firstLine="420" w:firstLineChars="200"/>
        <w:rPr>
          <w:rFonts w:ascii="宋体" w:hAnsi="宋体"/>
          <w:color w:val="000000" w:themeColor="text1"/>
          <w:szCs w:val="21"/>
          <w:highlight w:val="none"/>
        </w:rPr>
      </w:pPr>
      <w:r>
        <w:rPr>
          <w:rFonts w:hint="eastAsia" w:ascii="宋体" w:hAnsi="宋体"/>
          <w:color w:val="000000" w:themeColor="text1"/>
          <w:szCs w:val="21"/>
          <w:highlight w:val="none"/>
        </w:rPr>
        <w:t>19.2 一旦买方根据第19</w:t>
      </w:r>
      <w:r>
        <w:rPr>
          <w:rFonts w:ascii="宋体" w:hAnsi="宋体"/>
          <w:color w:val="000000" w:themeColor="text1"/>
          <w:szCs w:val="21"/>
          <w:highlight w:val="none"/>
        </w:rPr>
        <w:t>.1款</w:t>
      </w:r>
      <w:r>
        <w:rPr>
          <w:rFonts w:hint="eastAsia" w:ascii="宋体" w:hAnsi="宋体"/>
          <w:color w:val="000000" w:themeColor="text1"/>
          <w:szCs w:val="21"/>
          <w:highlight w:val="none"/>
        </w:rPr>
        <w:t>解除</w:t>
      </w:r>
      <w:r>
        <w:rPr>
          <w:rFonts w:ascii="宋体" w:hAnsi="宋体"/>
          <w:color w:val="000000" w:themeColor="text1"/>
          <w:szCs w:val="21"/>
          <w:highlight w:val="none"/>
        </w:rPr>
        <w:t>部分或全部合同，买方有权按其认为适当的条件和方式采购类似未交付部分货物。卖方应承担买方购买类似货物的额外费用，以及因此而造成的一切损失。</w:t>
      </w:r>
      <w:r>
        <w:rPr>
          <w:rFonts w:hint="eastAsia" w:ascii="宋体" w:hAnsi="宋体"/>
          <w:color w:val="000000" w:themeColor="text1"/>
          <w:szCs w:val="21"/>
          <w:highlight w:val="none"/>
        </w:rPr>
        <w:t>合同中未解除的部分，</w:t>
      </w:r>
      <w:r>
        <w:rPr>
          <w:rFonts w:ascii="宋体" w:hAnsi="宋体"/>
          <w:color w:val="000000" w:themeColor="text1"/>
          <w:szCs w:val="21"/>
          <w:highlight w:val="none"/>
        </w:rPr>
        <w:t>卖方应继续履行。</w:t>
      </w:r>
    </w:p>
    <w:p>
      <w:pPr>
        <w:spacing w:line="360" w:lineRule="auto"/>
        <w:ind w:firstLine="420" w:firstLineChars="200"/>
        <w:rPr>
          <w:rFonts w:ascii="宋体" w:hAnsi="宋体"/>
          <w:color w:val="000000" w:themeColor="text1"/>
          <w:szCs w:val="21"/>
          <w:highlight w:val="none"/>
        </w:rPr>
      </w:pPr>
    </w:p>
    <w:p>
      <w:pPr>
        <w:spacing w:line="360" w:lineRule="auto"/>
        <w:ind w:firstLine="422" w:firstLineChars="200"/>
        <w:rPr>
          <w:rFonts w:ascii="宋体" w:hAnsi="宋体"/>
          <w:b/>
          <w:color w:val="000000" w:themeColor="text1"/>
          <w:szCs w:val="21"/>
          <w:highlight w:val="none"/>
        </w:rPr>
      </w:pPr>
      <w:r>
        <w:rPr>
          <w:rFonts w:hint="eastAsia" w:ascii="宋体" w:hAnsi="宋体"/>
          <w:b/>
          <w:color w:val="000000" w:themeColor="text1"/>
          <w:szCs w:val="21"/>
          <w:highlight w:val="none"/>
        </w:rPr>
        <w:t>第二十条 变更指示</w:t>
      </w:r>
    </w:p>
    <w:p>
      <w:pPr>
        <w:tabs>
          <w:tab w:val="left" w:pos="540"/>
          <w:tab w:val="left" w:pos="1260"/>
          <w:tab w:val="left" w:pos="1440"/>
        </w:tabs>
        <w:spacing w:line="360" w:lineRule="auto"/>
        <w:ind w:firstLine="420" w:firstLineChars="200"/>
        <w:rPr>
          <w:rFonts w:ascii="宋体" w:hAnsi="宋体"/>
          <w:color w:val="000000" w:themeColor="text1"/>
          <w:szCs w:val="21"/>
          <w:highlight w:val="none"/>
        </w:rPr>
      </w:pPr>
      <w:r>
        <w:rPr>
          <w:rFonts w:hint="eastAsia" w:ascii="宋体" w:hAnsi="宋体"/>
          <w:color w:val="000000" w:themeColor="text1"/>
          <w:szCs w:val="21"/>
          <w:highlight w:val="none"/>
        </w:rPr>
        <w:t>20.1买方在任何时候可以按第二十三条规定向卖方发出书面指示，对合同的下列内容及相应条款作出变更或修改：</w:t>
      </w:r>
    </w:p>
    <w:p>
      <w:pPr>
        <w:numPr>
          <w:ilvl w:val="1"/>
          <w:numId w:val="13"/>
        </w:numPr>
        <w:tabs>
          <w:tab w:val="left" w:pos="1060"/>
          <w:tab w:val="clear" w:pos="1320"/>
        </w:tabs>
        <w:spacing w:line="360" w:lineRule="auto"/>
        <w:ind w:left="0" w:firstLine="420" w:firstLineChars="200"/>
        <w:rPr>
          <w:rFonts w:ascii="宋体" w:hAnsi="宋体"/>
          <w:color w:val="000000" w:themeColor="text1"/>
          <w:szCs w:val="21"/>
          <w:highlight w:val="none"/>
        </w:rPr>
      </w:pPr>
      <w:r>
        <w:rPr>
          <w:rFonts w:hint="eastAsia" w:ascii="宋体" w:hAnsi="宋体"/>
          <w:color w:val="000000" w:themeColor="text1"/>
          <w:szCs w:val="21"/>
          <w:highlight w:val="none"/>
        </w:rPr>
        <w:t>装运方式和包装方式；</w:t>
      </w:r>
    </w:p>
    <w:p>
      <w:pPr>
        <w:numPr>
          <w:ilvl w:val="1"/>
          <w:numId w:val="13"/>
        </w:numPr>
        <w:tabs>
          <w:tab w:val="left" w:pos="1060"/>
          <w:tab w:val="clear" w:pos="1320"/>
        </w:tabs>
        <w:spacing w:line="360" w:lineRule="auto"/>
        <w:ind w:left="0" w:firstLine="420" w:firstLineChars="200"/>
        <w:rPr>
          <w:rFonts w:ascii="宋体" w:hAnsi="宋体"/>
          <w:color w:val="000000" w:themeColor="text1"/>
          <w:szCs w:val="21"/>
          <w:highlight w:val="none"/>
        </w:rPr>
      </w:pPr>
      <w:r>
        <w:rPr>
          <w:rFonts w:hint="eastAsia" w:ascii="宋体" w:hAnsi="宋体"/>
          <w:color w:val="000000" w:themeColor="text1"/>
          <w:szCs w:val="21"/>
          <w:highlight w:val="none"/>
        </w:rPr>
        <w:t>交货地点；</w:t>
      </w:r>
    </w:p>
    <w:p>
      <w:pPr>
        <w:numPr>
          <w:ilvl w:val="1"/>
          <w:numId w:val="13"/>
        </w:numPr>
        <w:tabs>
          <w:tab w:val="left" w:pos="1060"/>
          <w:tab w:val="clear" w:pos="1320"/>
        </w:tabs>
        <w:spacing w:line="360" w:lineRule="auto"/>
        <w:ind w:left="0" w:firstLine="420" w:firstLineChars="200"/>
        <w:rPr>
          <w:rFonts w:ascii="宋体" w:hAnsi="宋体"/>
          <w:color w:val="000000" w:themeColor="text1"/>
          <w:szCs w:val="21"/>
          <w:highlight w:val="none"/>
        </w:rPr>
      </w:pPr>
      <w:r>
        <w:rPr>
          <w:rFonts w:hint="eastAsia" w:ascii="宋体" w:hAnsi="宋体"/>
          <w:color w:val="000000" w:themeColor="text1"/>
          <w:szCs w:val="21"/>
          <w:highlight w:val="none"/>
        </w:rPr>
        <w:t>卖方须提供的服务。</w:t>
      </w:r>
    </w:p>
    <w:p>
      <w:pPr>
        <w:spacing w:line="360" w:lineRule="auto"/>
        <w:ind w:firstLine="420" w:firstLineChars="200"/>
        <w:rPr>
          <w:rFonts w:ascii="宋体" w:hAnsi="宋体"/>
          <w:color w:val="000000" w:themeColor="text1"/>
          <w:szCs w:val="21"/>
          <w:highlight w:val="none"/>
        </w:rPr>
      </w:pPr>
    </w:p>
    <w:p>
      <w:pPr>
        <w:spacing w:line="360" w:lineRule="auto"/>
        <w:ind w:firstLine="422" w:firstLineChars="200"/>
        <w:rPr>
          <w:rFonts w:ascii="宋体" w:hAnsi="宋体"/>
          <w:b/>
          <w:color w:val="000000" w:themeColor="text1"/>
          <w:szCs w:val="21"/>
          <w:highlight w:val="none"/>
        </w:rPr>
      </w:pPr>
      <w:r>
        <w:rPr>
          <w:rFonts w:hint="eastAsia" w:ascii="宋体" w:hAnsi="宋体"/>
          <w:b/>
          <w:color w:val="000000" w:themeColor="text1"/>
          <w:szCs w:val="21"/>
          <w:highlight w:val="none"/>
        </w:rPr>
        <w:t>第二十一条 合同修改</w:t>
      </w:r>
    </w:p>
    <w:p>
      <w:pPr>
        <w:spacing w:line="360" w:lineRule="auto"/>
        <w:ind w:firstLine="420" w:firstLineChars="200"/>
        <w:rPr>
          <w:rFonts w:ascii="宋体" w:hAnsi="宋体"/>
          <w:color w:val="000000" w:themeColor="text1"/>
          <w:szCs w:val="21"/>
          <w:highlight w:val="none"/>
        </w:rPr>
      </w:pPr>
      <w:r>
        <w:rPr>
          <w:rFonts w:hint="eastAsia" w:ascii="宋体" w:hAnsi="宋体"/>
          <w:color w:val="000000" w:themeColor="text1"/>
          <w:szCs w:val="21"/>
          <w:highlight w:val="none"/>
        </w:rPr>
        <w:t>根据第二十条，欲对合同条款作出任何改动或偏离，买卖双方均须签署书面的合同修改书。</w:t>
      </w:r>
    </w:p>
    <w:p>
      <w:pPr>
        <w:spacing w:line="360" w:lineRule="auto"/>
        <w:ind w:firstLine="420" w:firstLineChars="200"/>
        <w:rPr>
          <w:rFonts w:ascii="宋体" w:hAnsi="宋体"/>
          <w:color w:val="000000" w:themeColor="text1"/>
          <w:szCs w:val="21"/>
          <w:highlight w:val="none"/>
        </w:rPr>
      </w:pPr>
    </w:p>
    <w:p>
      <w:pPr>
        <w:spacing w:line="360" w:lineRule="auto"/>
        <w:ind w:firstLine="422" w:firstLineChars="200"/>
        <w:rPr>
          <w:rFonts w:ascii="宋体" w:hAnsi="宋体"/>
          <w:b/>
          <w:color w:val="000000" w:themeColor="text1"/>
          <w:szCs w:val="21"/>
          <w:highlight w:val="none"/>
        </w:rPr>
      </w:pPr>
      <w:r>
        <w:rPr>
          <w:rFonts w:hint="eastAsia" w:ascii="宋体" w:hAnsi="宋体"/>
          <w:b/>
          <w:color w:val="000000" w:themeColor="text1"/>
          <w:szCs w:val="21"/>
          <w:highlight w:val="none"/>
        </w:rPr>
        <w:t>第二十二条 转包与分包</w:t>
      </w:r>
    </w:p>
    <w:p>
      <w:pPr>
        <w:spacing w:line="360" w:lineRule="auto"/>
        <w:ind w:firstLine="420" w:firstLineChars="200"/>
        <w:rPr>
          <w:rFonts w:ascii="宋体" w:hAnsi="宋体"/>
          <w:color w:val="000000" w:themeColor="text1"/>
          <w:szCs w:val="21"/>
          <w:highlight w:val="none"/>
        </w:rPr>
      </w:pPr>
      <w:r>
        <w:rPr>
          <w:rFonts w:hint="eastAsia" w:ascii="宋体" w:hAnsi="宋体"/>
          <w:color w:val="000000" w:themeColor="text1"/>
          <w:szCs w:val="21"/>
          <w:highlight w:val="none"/>
        </w:rPr>
        <w:t>卖方不得将其在本合同项下的义务全部转让或分包给任何第三方。</w:t>
      </w:r>
    </w:p>
    <w:p>
      <w:pPr>
        <w:spacing w:line="360" w:lineRule="auto"/>
        <w:ind w:firstLine="420" w:firstLineChars="200"/>
        <w:rPr>
          <w:rFonts w:ascii="宋体" w:hAnsi="宋体"/>
          <w:color w:val="000000" w:themeColor="text1"/>
          <w:szCs w:val="21"/>
          <w:highlight w:val="none"/>
        </w:rPr>
      </w:pPr>
    </w:p>
    <w:p>
      <w:pPr>
        <w:spacing w:line="360" w:lineRule="auto"/>
        <w:ind w:firstLine="422" w:firstLineChars="200"/>
        <w:rPr>
          <w:rFonts w:ascii="宋体" w:hAnsi="宋体"/>
          <w:b/>
          <w:color w:val="000000" w:themeColor="text1"/>
          <w:szCs w:val="21"/>
          <w:highlight w:val="none"/>
        </w:rPr>
      </w:pPr>
      <w:r>
        <w:rPr>
          <w:rFonts w:hint="eastAsia" w:ascii="宋体" w:hAnsi="宋体"/>
          <w:b/>
          <w:color w:val="000000" w:themeColor="text1"/>
          <w:szCs w:val="21"/>
          <w:highlight w:val="none"/>
        </w:rPr>
        <w:t>第二十三条 通知</w:t>
      </w:r>
    </w:p>
    <w:p>
      <w:pPr>
        <w:spacing w:line="360" w:lineRule="auto"/>
        <w:ind w:firstLine="420" w:firstLineChars="200"/>
        <w:rPr>
          <w:rFonts w:ascii="宋体" w:hAnsi="宋体"/>
          <w:color w:val="000000" w:themeColor="text1"/>
          <w:szCs w:val="21"/>
          <w:highlight w:val="none"/>
        </w:rPr>
      </w:pPr>
      <w:r>
        <w:rPr>
          <w:rFonts w:hint="eastAsia" w:ascii="宋体" w:hAnsi="宋体"/>
          <w:color w:val="000000" w:themeColor="text1"/>
          <w:szCs w:val="21"/>
          <w:highlight w:val="none"/>
        </w:rPr>
        <w:t>本合同任何一方给另一方的通知都应以信函或电报、传真等书面形式发送，而另一方应以书面形式确认并发送到对方明确的地址。</w:t>
      </w:r>
    </w:p>
    <w:p>
      <w:pPr>
        <w:spacing w:line="360" w:lineRule="auto"/>
        <w:ind w:firstLine="420" w:firstLineChars="200"/>
        <w:rPr>
          <w:rFonts w:ascii="宋体" w:hAnsi="宋体"/>
          <w:color w:val="000000" w:themeColor="text1"/>
          <w:szCs w:val="21"/>
          <w:highlight w:val="none"/>
        </w:rPr>
      </w:pPr>
    </w:p>
    <w:p>
      <w:pPr>
        <w:spacing w:line="360" w:lineRule="auto"/>
        <w:ind w:firstLine="422" w:firstLineChars="200"/>
        <w:rPr>
          <w:rFonts w:ascii="宋体" w:hAnsi="宋体"/>
          <w:b/>
          <w:color w:val="000000" w:themeColor="text1"/>
          <w:szCs w:val="21"/>
          <w:highlight w:val="none"/>
        </w:rPr>
      </w:pPr>
      <w:r>
        <w:rPr>
          <w:rFonts w:hint="eastAsia" w:ascii="宋体" w:hAnsi="宋体"/>
          <w:b/>
          <w:color w:val="000000" w:themeColor="text1"/>
          <w:szCs w:val="21"/>
          <w:highlight w:val="none"/>
        </w:rPr>
        <w:t>第二十四条 合同文件资料的使用</w:t>
      </w:r>
    </w:p>
    <w:p>
      <w:pPr>
        <w:tabs>
          <w:tab w:val="left" w:pos="540"/>
          <w:tab w:val="left" w:pos="1260"/>
          <w:tab w:val="left" w:pos="1440"/>
        </w:tabs>
        <w:spacing w:line="360" w:lineRule="auto"/>
        <w:ind w:firstLine="420" w:firstLineChars="200"/>
        <w:rPr>
          <w:rFonts w:ascii="宋体" w:hAnsi="宋体"/>
          <w:color w:val="000000" w:themeColor="text1"/>
          <w:szCs w:val="21"/>
          <w:highlight w:val="none"/>
        </w:rPr>
      </w:pPr>
      <w:r>
        <w:rPr>
          <w:rFonts w:hint="eastAsia" w:ascii="宋体" w:hAnsi="宋体"/>
          <w:color w:val="000000" w:themeColor="text1"/>
          <w:szCs w:val="21"/>
          <w:highlight w:val="none"/>
        </w:rPr>
        <w:t>24.1 除了卖方为执行合同所雇人员外，在未经买方同意的情况下，卖方不得将合同、或其中任何规定、或任何有关规格、计划或买方为上述内容向卖方提供的资料透露给任何人。卖方须在对外保密的前提下，对其雇用人员提供有关情况，所提供的情况仅限于执行合同必不可少的范围内。</w:t>
      </w:r>
    </w:p>
    <w:p>
      <w:pPr>
        <w:tabs>
          <w:tab w:val="left" w:pos="540"/>
          <w:tab w:val="left" w:pos="1260"/>
          <w:tab w:val="left" w:pos="1440"/>
        </w:tabs>
        <w:spacing w:line="360" w:lineRule="auto"/>
        <w:ind w:firstLine="420" w:firstLineChars="200"/>
        <w:rPr>
          <w:rFonts w:ascii="宋体" w:hAnsi="宋体"/>
          <w:color w:val="000000" w:themeColor="text1"/>
          <w:szCs w:val="21"/>
          <w:highlight w:val="none"/>
        </w:rPr>
      </w:pPr>
      <w:r>
        <w:rPr>
          <w:rFonts w:hint="eastAsia" w:ascii="宋体" w:hAnsi="宋体"/>
          <w:color w:val="000000" w:themeColor="text1"/>
          <w:szCs w:val="21"/>
          <w:highlight w:val="none"/>
        </w:rPr>
        <w:t>24.2 除非执行合同需要，在事先未得到买方同意的情况下，卖方不得使用第</w:t>
      </w:r>
      <w:r>
        <w:rPr>
          <w:rFonts w:ascii="宋体" w:hAnsi="宋体"/>
          <w:color w:val="000000" w:themeColor="text1"/>
          <w:szCs w:val="21"/>
          <w:highlight w:val="none"/>
        </w:rPr>
        <w:t>2</w:t>
      </w:r>
      <w:r>
        <w:rPr>
          <w:rFonts w:hint="eastAsia" w:ascii="宋体" w:hAnsi="宋体"/>
          <w:color w:val="000000" w:themeColor="text1"/>
          <w:szCs w:val="21"/>
          <w:highlight w:val="none"/>
        </w:rPr>
        <w:t>4.1</w:t>
      </w:r>
      <w:r>
        <w:rPr>
          <w:rFonts w:ascii="宋体" w:hAnsi="宋体"/>
          <w:color w:val="000000" w:themeColor="text1"/>
          <w:szCs w:val="21"/>
          <w:highlight w:val="none"/>
        </w:rPr>
        <w:t>款中所列的任何文件和资料。</w:t>
      </w:r>
    </w:p>
    <w:p>
      <w:pPr>
        <w:spacing w:line="360" w:lineRule="auto"/>
        <w:ind w:firstLine="420" w:firstLineChars="200"/>
        <w:rPr>
          <w:rFonts w:ascii="宋体" w:hAnsi="宋体"/>
          <w:color w:val="000000" w:themeColor="text1"/>
          <w:szCs w:val="21"/>
          <w:highlight w:val="none"/>
        </w:rPr>
      </w:pPr>
    </w:p>
    <w:p>
      <w:pPr>
        <w:spacing w:line="360" w:lineRule="auto"/>
        <w:ind w:firstLine="422" w:firstLineChars="200"/>
        <w:rPr>
          <w:rFonts w:ascii="宋体" w:hAnsi="宋体"/>
          <w:b/>
          <w:color w:val="000000" w:themeColor="text1"/>
          <w:szCs w:val="21"/>
          <w:highlight w:val="none"/>
        </w:rPr>
      </w:pPr>
      <w:r>
        <w:rPr>
          <w:rFonts w:hint="eastAsia" w:ascii="宋体" w:hAnsi="宋体"/>
          <w:b/>
          <w:color w:val="000000" w:themeColor="text1"/>
          <w:szCs w:val="21"/>
          <w:highlight w:val="none"/>
        </w:rPr>
        <w:t>第二十五条 合同生效及期限</w:t>
      </w:r>
    </w:p>
    <w:p>
      <w:pPr>
        <w:tabs>
          <w:tab w:val="left" w:pos="1260"/>
          <w:tab w:val="left" w:pos="1440"/>
        </w:tabs>
        <w:spacing w:line="360" w:lineRule="auto"/>
        <w:ind w:firstLine="420" w:firstLineChars="200"/>
        <w:rPr>
          <w:rFonts w:ascii="宋体" w:hAnsi="宋体"/>
          <w:color w:val="000000" w:themeColor="text1"/>
          <w:szCs w:val="21"/>
          <w:highlight w:val="none"/>
        </w:rPr>
      </w:pPr>
      <w:r>
        <w:rPr>
          <w:rFonts w:hint="eastAsia" w:ascii="宋体" w:hAnsi="宋体"/>
          <w:color w:val="000000" w:themeColor="text1"/>
          <w:szCs w:val="21"/>
          <w:highlight w:val="none"/>
        </w:rPr>
        <w:t>25.1本合同经双方法定代表人或其授权代表签字盖章后生效。</w:t>
      </w:r>
    </w:p>
    <w:p>
      <w:pPr>
        <w:tabs>
          <w:tab w:val="left" w:pos="1260"/>
          <w:tab w:val="left" w:pos="1440"/>
        </w:tabs>
        <w:spacing w:line="360" w:lineRule="auto"/>
        <w:ind w:firstLine="420" w:firstLineChars="200"/>
        <w:rPr>
          <w:rFonts w:ascii="宋体" w:hAnsi="宋体"/>
          <w:color w:val="000000" w:themeColor="text1"/>
          <w:szCs w:val="21"/>
          <w:highlight w:val="none"/>
        </w:rPr>
      </w:pPr>
      <w:r>
        <w:rPr>
          <w:rFonts w:hint="eastAsia" w:ascii="宋体" w:hAnsi="宋体"/>
          <w:color w:val="000000" w:themeColor="text1"/>
          <w:szCs w:val="21"/>
          <w:highlight w:val="none"/>
        </w:rPr>
        <w:t>25.2本合同有效期自合同生效日起到双方之间已完全解决了所有索赔事项并货款两清之日止。</w:t>
      </w:r>
    </w:p>
    <w:p>
      <w:pPr>
        <w:spacing w:line="360" w:lineRule="auto"/>
        <w:ind w:firstLine="420" w:firstLineChars="200"/>
        <w:rPr>
          <w:rFonts w:ascii="宋体" w:hAnsi="宋体"/>
          <w:color w:val="000000" w:themeColor="text1"/>
          <w:szCs w:val="21"/>
          <w:highlight w:val="none"/>
        </w:rPr>
      </w:pPr>
    </w:p>
    <w:p>
      <w:pPr>
        <w:spacing w:line="360" w:lineRule="auto"/>
        <w:ind w:firstLine="422" w:firstLineChars="200"/>
        <w:rPr>
          <w:rFonts w:ascii="宋体" w:hAnsi="宋体"/>
          <w:b/>
          <w:color w:val="000000" w:themeColor="text1"/>
          <w:szCs w:val="21"/>
          <w:highlight w:val="none"/>
        </w:rPr>
      </w:pPr>
      <w:r>
        <w:rPr>
          <w:rFonts w:hint="eastAsia" w:ascii="宋体" w:hAnsi="宋体"/>
          <w:b/>
          <w:color w:val="000000" w:themeColor="text1"/>
          <w:szCs w:val="21"/>
          <w:highlight w:val="none"/>
        </w:rPr>
        <w:t>第二十六条争议解决</w:t>
      </w:r>
    </w:p>
    <w:p>
      <w:pPr>
        <w:tabs>
          <w:tab w:val="left" w:pos="540"/>
          <w:tab w:val="left" w:pos="1260"/>
          <w:tab w:val="left" w:pos="1440"/>
        </w:tabs>
        <w:spacing w:line="360" w:lineRule="auto"/>
        <w:ind w:firstLine="420" w:firstLineChars="200"/>
        <w:rPr>
          <w:rFonts w:ascii="宋体" w:hAnsi="宋体"/>
          <w:color w:val="000000" w:themeColor="text1"/>
          <w:szCs w:val="21"/>
          <w:highlight w:val="none"/>
        </w:rPr>
      </w:pPr>
      <w:r>
        <w:rPr>
          <w:rFonts w:hint="eastAsia" w:ascii="宋体" w:hAnsi="宋体"/>
          <w:color w:val="000000" w:themeColor="text1"/>
          <w:szCs w:val="21"/>
          <w:highlight w:val="none"/>
        </w:rPr>
        <w:t>26.1 因货物的质量问题发生争议的，可在国家认可的质量检测机构对货物质量进行鉴定。货物符合标准的，鉴定费由买方承担；货物不符合质量标准的，鉴定费由卖方承担。</w:t>
      </w:r>
    </w:p>
    <w:p>
      <w:pPr>
        <w:tabs>
          <w:tab w:val="left" w:pos="540"/>
          <w:tab w:val="left" w:pos="1260"/>
          <w:tab w:val="left" w:pos="1440"/>
        </w:tabs>
        <w:spacing w:line="360" w:lineRule="auto"/>
        <w:ind w:firstLine="420" w:firstLineChars="200"/>
        <w:rPr>
          <w:rFonts w:ascii="宋体" w:hAnsi="宋体"/>
          <w:color w:val="000000" w:themeColor="text1"/>
          <w:szCs w:val="21"/>
          <w:highlight w:val="none"/>
        </w:rPr>
      </w:pPr>
      <w:r>
        <w:rPr>
          <w:rFonts w:hint="eastAsia" w:ascii="宋体" w:hAnsi="宋体"/>
          <w:color w:val="000000" w:themeColor="text1"/>
          <w:szCs w:val="21"/>
          <w:highlight w:val="none"/>
        </w:rPr>
        <w:t>26.2因履行本合同引起的或与本合同有关的争议，甲、乙双方应首先通过友好协商解决；如果协商不能解决争议，买卖双方同意采取下列两种方式的第（ 1 ）种方式解决争议：</w:t>
      </w:r>
    </w:p>
    <w:p>
      <w:pPr>
        <w:tabs>
          <w:tab w:val="left" w:pos="540"/>
          <w:tab w:val="left" w:pos="1260"/>
          <w:tab w:val="left" w:pos="1440"/>
        </w:tabs>
        <w:spacing w:line="360" w:lineRule="auto"/>
        <w:ind w:firstLine="420" w:firstLineChars="200"/>
        <w:rPr>
          <w:rFonts w:ascii="宋体" w:hAnsi="宋体"/>
          <w:color w:val="000000" w:themeColor="text1"/>
          <w:szCs w:val="21"/>
          <w:highlight w:val="none"/>
        </w:rPr>
      </w:pPr>
      <w:r>
        <w:rPr>
          <w:rFonts w:hint="eastAsia" w:ascii="宋体" w:hAnsi="宋体"/>
          <w:color w:val="000000" w:themeColor="text1"/>
          <w:szCs w:val="21"/>
          <w:highlight w:val="none"/>
        </w:rPr>
        <w:t>（1）向买方住所地的基层人民法院提起诉讼，适用中华人民共和国法律；</w:t>
      </w:r>
    </w:p>
    <w:p>
      <w:pPr>
        <w:tabs>
          <w:tab w:val="left" w:pos="540"/>
          <w:tab w:val="left" w:pos="1260"/>
          <w:tab w:val="left" w:pos="1440"/>
        </w:tabs>
        <w:spacing w:line="360" w:lineRule="auto"/>
        <w:ind w:firstLine="420" w:firstLineChars="200"/>
        <w:rPr>
          <w:rFonts w:ascii="宋体" w:hAnsi="宋体"/>
          <w:color w:val="000000" w:themeColor="text1"/>
          <w:szCs w:val="21"/>
          <w:highlight w:val="none"/>
        </w:rPr>
      </w:pPr>
      <w:r>
        <w:rPr>
          <w:rFonts w:hint="eastAsia" w:ascii="宋体" w:hAnsi="宋体"/>
          <w:color w:val="000000" w:themeColor="text1"/>
          <w:szCs w:val="21"/>
          <w:highlight w:val="none"/>
        </w:rPr>
        <w:t>（2）向扬州仲裁委员会按其仲裁规则申请仲裁。</w:t>
      </w:r>
    </w:p>
    <w:p>
      <w:pPr>
        <w:tabs>
          <w:tab w:val="left" w:pos="540"/>
          <w:tab w:val="left" w:pos="1260"/>
          <w:tab w:val="left" w:pos="1440"/>
        </w:tabs>
        <w:spacing w:line="360" w:lineRule="auto"/>
        <w:ind w:firstLine="420" w:firstLineChars="200"/>
        <w:rPr>
          <w:rFonts w:ascii="宋体" w:hAnsi="宋体"/>
          <w:color w:val="000000" w:themeColor="text1"/>
          <w:szCs w:val="21"/>
          <w:highlight w:val="none"/>
        </w:rPr>
      </w:pPr>
      <w:r>
        <w:rPr>
          <w:rFonts w:hint="eastAsia" w:ascii="宋体" w:hAnsi="宋体"/>
          <w:color w:val="000000" w:themeColor="text1"/>
          <w:szCs w:val="21"/>
          <w:highlight w:val="none"/>
        </w:rPr>
        <w:t>26.3 若买卖双方任何一方都没有选择解除合同的，为避免扩大损失，在诉讼或仲裁期间，双方应继续履行。</w:t>
      </w:r>
    </w:p>
    <w:p>
      <w:pPr>
        <w:pStyle w:val="11"/>
        <w:spacing w:line="360" w:lineRule="auto"/>
        <w:ind w:firstLine="420" w:firstLineChars="200"/>
        <w:rPr>
          <w:color w:val="000000" w:themeColor="text1"/>
          <w:szCs w:val="21"/>
          <w:highlight w:val="none"/>
        </w:rPr>
      </w:pPr>
    </w:p>
    <w:p>
      <w:pPr>
        <w:tabs>
          <w:tab w:val="left" w:pos="1260"/>
          <w:tab w:val="left" w:pos="1440"/>
        </w:tabs>
        <w:spacing w:line="360" w:lineRule="auto"/>
        <w:ind w:firstLine="420" w:firstLineChars="200"/>
        <w:rPr>
          <w:rFonts w:ascii="宋体" w:hAnsi="宋体"/>
          <w:color w:val="000000" w:themeColor="text1"/>
          <w:szCs w:val="21"/>
          <w:highlight w:val="none"/>
        </w:rPr>
      </w:pPr>
    </w:p>
    <w:p>
      <w:pPr>
        <w:spacing w:line="360" w:lineRule="auto"/>
        <w:ind w:firstLine="422" w:firstLineChars="200"/>
        <w:rPr>
          <w:rFonts w:ascii="宋体" w:hAnsi="宋体"/>
          <w:b/>
          <w:color w:val="000000" w:themeColor="text1"/>
          <w:szCs w:val="21"/>
          <w:highlight w:val="none"/>
        </w:rPr>
      </w:pPr>
      <w:r>
        <w:rPr>
          <w:rFonts w:hint="eastAsia" w:ascii="宋体" w:hAnsi="宋体"/>
          <w:b/>
          <w:color w:val="000000" w:themeColor="text1"/>
          <w:szCs w:val="21"/>
          <w:highlight w:val="none"/>
        </w:rPr>
        <w:t>第二十七条 其他</w:t>
      </w:r>
    </w:p>
    <w:p>
      <w:pPr>
        <w:tabs>
          <w:tab w:val="left" w:pos="540"/>
          <w:tab w:val="left" w:pos="1260"/>
          <w:tab w:val="left" w:pos="1440"/>
        </w:tabs>
        <w:spacing w:line="360" w:lineRule="auto"/>
        <w:ind w:firstLine="420" w:firstLineChars="200"/>
        <w:rPr>
          <w:rFonts w:ascii="宋体" w:hAnsi="宋体"/>
          <w:color w:val="000000" w:themeColor="text1"/>
          <w:szCs w:val="21"/>
          <w:highlight w:val="none"/>
        </w:rPr>
      </w:pPr>
      <w:r>
        <w:rPr>
          <w:rFonts w:hint="eastAsia" w:ascii="宋体" w:hAnsi="宋体"/>
          <w:color w:val="000000" w:themeColor="text1"/>
          <w:szCs w:val="21"/>
          <w:highlight w:val="none"/>
        </w:rPr>
        <w:t>27.1本合同正本贰份，买方、卖方双方各执壹份，副本伍份，买方执肆份、卖方执壹份。</w:t>
      </w:r>
    </w:p>
    <w:p>
      <w:pPr>
        <w:tabs>
          <w:tab w:val="left" w:pos="1260"/>
          <w:tab w:val="left" w:pos="1440"/>
        </w:tabs>
        <w:spacing w:line="360" w:lineRule="auto"/>
        <w:ind w:firstLine="420" w:firstLineChars="200"/>
        <w:rPr>
          <w:rFonts w:ascii="宋体" w:hAnsi="宋体"/>
          <w:b/>
          <w:color w:val="000000" w:themeColor="text1"/>
          <w:szCs w:val="21"/>
          <w:highlight w:val="none"/>
        </w:rPr>
      </w:pPr>
      <w:r>
        <w:rPr>
          <w:rFonts w:hint="eastAsia" w:ascii="宋体" w:hAnsi="宋体"/>
          <w:color w:val="000000" w:themeColor="text1"/>
          <w:szCs w:val="21"/>
          <w:highlight w:val="none"/>
        </w:rPr>
        <w:t>27.2本合同若有未尽事宜，以招标文件为准，或经双方协商一致后签订补充合同。</w:t>
      </w:r>
    </w:p>
    <w:p>
      <w:pPr>
        <w:spacing w:line="360" w:lineRule="auto"/>
        <w:ind w:firstLine="420" w:firstLineChars="200"/>
        <w:rPr>
          <w:color w:val="000000" w:themeColor="text1"/>
          <w:szCs w:val="21"/>
          <w:highlight w:val="none"/>
        </w:rPr>
      </w:pPr>
    </w:p>
    <w:p>
      <w:pPr>
        <w:spacing w:line="360" w:lineRule="auto"/>
        <w:ind w:firstLine="420" w:firstLineChars="200"/>
        <w:rPr>
          <w:rFonts w:ascii="宋体" w:hAnsi="宋体"/>
          <w:color w:val="000000" w:themeColor="text1"/>
          <w:szCs w:val="21"/>
          <w:highlight w:val="none"/>
        </w:rPr>
      </w:pPr>
    </w:p>
    <w:p>
      <w:pPr>
        <w:spacing w:line="360" w:lineRule="auto"/>
        <w:ind w:firstLine="420" w:firstLineChars="200"/>
        <w:rPr>
          <w:rFonts w:ascii="宋体" w:hAnsi="宋体"/>
          <w:color w:val="000000" w:themeColor="text1"/>
          <w:szCs w:val="21"/>
          <w:highlight w:val="none"/>
        </w:rPr>
      </w:pPr>
      <w:r>
        <w:rPr>
          <w:rFonts w:hint="eastAsia" w:ascii="宋体" w:hAnsi="宋体"/>
          <w:color w:val="000000" w:themeColor="text1"/>
          <w:szCs w:val="21"/>
          <w:highlight w:val="none"/>
        </w:rPr>
        <w:t>买方：                            卖方：</w:t>
      </w:r>
    </w:p>
    <w:p>
      <w:pPr>
        <w:spacing w:line="360" w:lineRule="auto"/>
        <w:ind w:firstLine="420" w:firstLineChars="200"/>
        <w:rPr>
          <w:rFonts w:ascii="宋体" w:hAnsi="宋体"/>
          <w:color w:val="000000" w:themeColor="text1"/>
          <w:szCs w:val="21"/>
          <w:highlight w:val="none"/>
        </w:rPr>
      </w:pPr>
      <w:r>
        <w:rPr>
          <w:rFonts w:hint="eastAsia" w:ascii="宋体" w:hAnsi="宋体"/>
          <w:color w:val="000000" w:themeColor="text1"/>
          <w:szCs w:val="21"/>
          <w:highlight w:val="none"/>
        </w:rPr>
        <w:t>授权代表人：　　　　            　授权代表人：</w:t>
      </w:r>
    </w:p>
    <w:p>
      <w:pPr>
        <w:spacing w:line="360" w:lineRule="auto"/>
        <w:ind w:firstLine="420" w:firstLineChars="200"/>
        <w:rPr>
          <w:rFonts w:ascii="宋体" w:hAnsi="宋体"/>
          <w:color w:val="000000" w:themeColor="text1"/>
          <w:szCs w:val="21"/>
          <w:highlight w:val="none"/>
        </w:rPr>
      </w:pPr>
      <w:r>
        <w:rPr>
          <w:rFonts w:hint="eastAsia" w:ascii="宋体" w:hAnsi="宋体"/>
          <w:color w:val="000000" w:themeColor="text1"/>
          <w:szCs w:val="21"/>
          <w:highlight w:val="none"/>
        </w:rPr>
        <w:t>开户银行：　　　　                开户银行：</w:t>
      </w:r>
    </w:p>
    <w:p>
      <w:pPr>
        <w:spacing w:line="360" w:lineRule="auto"/>
        <w:ind w:firstLine="420" w:firstLineChars="200"/>
        <w:rPr>
          <w:rFonts w:ascii="宋体" w:hAnsi="宋体"/>
          <w:color w:val="000000" w:themeColor="text1"/>
          <w:szCs w:val="21"/>
          <w:highlight w:val="none"/>
        </w:rPr>
      </w:pPr>
      <w:r>
        <w:rPr>
          <w:rFonts w:hint="eastAsia" w:ascii="宋体" w:hAnsi="宋体"/>
          <w:color w:val="000000" w:themeColor="text1"/>
          <w:szCs w:val="21"/>
          <w:highlight w:val="none"/>
        </w:rPr>
        <w:t>账　号：　                        账　号：</w:t>
      </w:r>
    </w:p>
    <w:p>
      <w:pPr>
        <w:spacing w:line="360" w:lineRule="auto"/>
        <w:ind w:firstLine="420" w:firstLineChars="200"/>
        <w:jc w:val="left"/>
        <w:rPr>
          <w:rFonts w:ascii="宋体" w:hAnsi="宋体"/>
          <w:color w:val="000000" w:themeColor="text1"/>
          <w:szCs w:val="21"/>
          <w:highlight w:val="none"/>
        </w:rPr>
      </w:pPr>
      <w:r>
        <w:rPr>
          <w:rFonts w:hint="eastAsia" w:ascii="宋体" w:hAnsi="宋体"/>
          <w:color w:val="000000" w:themeColor="text1"/>
          <w:szCs w:val="21"/>
          <w:highlight w:val="none"/>
        </w:rPr>
        <w:t>地址：                            地址：</w:t>
      </w:r>
    </w:p>
    <w:p>
      <w:pPr>
        <w:spacing w:line="360" w:lineRule="auto"/>
        <w:ind w:firstLine="420" w:firstLineChars="200"/>
        <w:rPr>
          <w:rFonts w:ascii="宋体" w:hAnsi="宋体"/>
          <w:color w:val="000000" w:themeColor="text1"/>
          <w:szCs w:val="21"/>
          <w:highlight w:val="none"/>
        </w:rPr>
      </w:pPr>
      <w:r>
        <w:rPr>
          <w:rFonts w:hint="eastAsia" w:ascii="宋体" w:hAnsi="宋体"/>
          <w:color w:val="000000" w:themeColor="text1"/>
          <w:szCs w:val="21"/>
          <w:highlight w:val="none"/>
        </w:rPr>
        <w:t>邮　编：　　　　　　　          　邮　编：</w:t>
      </w:r>
    </w:p>
    <w:p>
      <w:pPr>
        <w:spacing w:line="360" w:lineRule="auto"/>
        <w:ind w:firstLine="420" w:firstLineChars="200"/>
        <w:rPr>
          <w:rFonts w:ascii="宋体" w:hAnsi="宋体"/>
          <w:color w:val="000000" w:themeColor="text1"/>
          <w:szCs w:val="21"/>
          <w:highlight w:val="none"/>
        </w:rPr>
      </w:pPr>
      <w:r>
        <w:rPr>
          <w:rFonts w:hint="eastAsia" w:ascii="宋体" w:hAnsi="宋体"/>
          <w:color w:val="000000" w:themeColor="text1"/>
          <w:szCs w:val="21"/>
          <w:highlight w:val="none"/>
        </w:rPr>
        <w:t>电　话：　　                      电　话：</w:t>
      </w:r>
    </w:p>
    <w:p>
      <w:pPr>
        <w:spacing w:line="360" w:lineRule="auto"/>
        <w:ind w:firstLine="420" w:firstLineChars="200"/>
        <w:rPr>
          <w:color w:val="000000" w:themeColor="text1"/>
          <w:szCs w:val="21"/>
          <w:highlight w:val="none"/>
        </w:rPr>
      </w:pPr>
      <w:r>
        <w:rPr>
          <w:rFonts w:hint="eastAsia" w:ascii="宋体" w:hAnsi="宋体"/>
          <w:color w:val="000000" w:themeColor="text1"/>
          <w:szCs w:val="21"/>
          <w:highlight w:val="none"/>
        </w:rPr>
        <w:t>日期：                            日期：</w:t>
      </w:r>
    </w:p>
    <w:p>
      <w:pPr>
        <w:spacing w:line="360" w:lineRule="auto"/>
        <w:ind w:firstLine="420" w:firstLineChars="200"/>
        <w:rPr>
          <w:color w:val="000000" w:themeColor="text1"/>
          <w:szCs w:val="21"/>
          <w:highlight w:val="none"/>
        </w:rPr>
      </w:pPr>
    </w:p>
    <w:p>
      <w:pPr>
        <w:autoSpaceDE w:val="0"/>
        <w:autoSpaceDN w:val="0"/>
        <w:adjustRightInd w:val="0"/>
        <w:snapToGrid w:val="0"/>
        <w:spacing w:line="480" w:lineRule="exact"/>
        <w:outlineLvl w:val="1"/>
        <w:rPr>
          <w:rFonts w:ascii="黑体" w:eastAsia="黑体"/>
          <w:color w:val="000000" w:themeColor="text1"/>
          <w:sz w:val="30"/>
          <w:highlight w:val="none"/>
        </w:rPr>
      </w:pPr>
      <w:r>
        <w:rPr>
          <w:rFonts w:hint="eastAsia" w:ascii="宋体" w:hAnsi="宋体" w:cs="宋体"/>
          <w:b/>
          <w:bCs/>
          <w:color w:val="000000" w:themeColor="text1"/>
          <w:kern w:val="0"/>
          <w:szCs w:val="21"/>
          <w:highlight w:val="none"/>
        </w:rPr>
        <w:br w:type="page"/>
      </w:r>
      <w:r>
        <w:rPr>
          <w:rFonts w:hint="eastAsia" w:ascii="宋体" w:hAnsi="宋体"/>
          <w:b/>
          <w:color w:val="000000" w:themeColor="text1"/>
          <w:szCs w:val="21"/>
          <w:highlight w:val="none"/>
        </w:rPr>
        <w:t>九、 投标文件格式</w:t>
      </w:r>
    </w:p>
    <w:p>
      <w:pPr>
        <w:spacing w:line="980" w:lineRule="exact"/>
        <w:jc w:val="center"/>
        <w:rPr>
          <w:rFonts w:ascii="黑体" w:eastAsia="黑体"/>
          <w:color w:val="000000" w:themeColor="text1"/>
          <w:sz w:val="30"/>
          <w:highlight w:val="none"/>
        </w:rPr>
      </w:pPr>
      <w:r>
        <w:rPr>
          <w:rFonts w:hint="eastAsia" w:ascii="黑体" w:eastAsia="黑体"/>
          <w:color w:val="000000" w:themeColor="text1"/>
          <w:sz w:val="30"/>
          <w:highlight w:val="none"/>
        </w:rPr>
        <w:t>目   录</w:t>
      </w:r>
    </w:p>
    <w:p>
      <w:pPr>
        <w:spacing w:line="460" w:lineRule="exact"/>
        <w:rPr>
          <w:rFonts w:ascii="宋体" w:hAnsi="宋体"/>
          <w:color w:val="000000" w:themeColor="text1"/>
          <w:sz w:val="24"/>
          <w:highlight w:val="none"/>
        </w:rPr>
      </w:pPr>
      <w:r>
        <w:rPr>
          <w:rFonts w:hint="eastAsia" w:ascii="宋体" w:hAnsi="宋体"/>
          <w:color w:val="000000" w:themeColor="text1"/>
          <w:sz w:val="24"/>
          <w:highlight w:val="none"/>
        </w:rPr>
        <w:t>一、投标书及其附件</w:t>
      </w:r>
    </w:p>
    <w:p>
      <w:pPr>
        <w:spacing w:line="460" w:lineRule="exact"/>
        <w:rPr>
          <w:rFonts w:ascii="宋体" w:hAnsi="宋体"/>
          <w:color w:val="000000" w:themeColor="text1"/>
          <w:sz w:val="24"/>
          <w:highlight w:val="none"/>
        </w:rPr>
      </w:pPr>
      <w:r>
        <w:rPr>
          <w:rFonts w:hint="eastAsia" w:ascii="宋体" w:hAnsi="宋体"/>
          <w:color w:val="000000" w:themeColor="text1"/>
          <w:sz w:val="24"/>
          <w:highlight w:val="none"/>
        </w:rPr>
        <w:t xml:space="preserve">      1.投标书</w:t>
      </w:r>
    </w:p>
    <w:p>
      <w:pPr>
        <w:spacing w:line="460" w:lineRule="exact"/>
        <w:rPr>
          <w:rFonts w:ascii="宋体" w:hAnsi="宋体"/>
          <w:color w:val="000000" w:themeColor="text1"/>
          <w:sz w:val="24"/>
          <w:highlight w:val="none"/>
        </w:rPr>
      </w:pPr>
      <w:r>
        <w:rPr>
          <w:rFonts w:hint="eastAsia" w:ascii="宋体" w:hAnsi="宋体"/>
          <w:color w:val="000000" w:themeColor="text1"/>
          <w:sz w:val="24"/>
          <w:highlight w:val="none"/>
        </w:rPr>
        <w:t xml:space="preserve">      2.开标一览表     </w:t>
      </w:r>
    </w:p>
    <w:p>
      <w:pPr>
        <w:spacing w:line="460" w:lineRule="exact"/>
        <w:rPr>
          <w:rFonts w:ascii="宋体" w:hAnsi="宋体"/>
          <w:color w:val="000000" w:themeColor="text1"/>
          <w:sz w:val="24"/>
          <w:highlight w:val="none"/>
        </w:rPr>
      </w:pPr>
      <w:r>
        <w:rPr>
          <w:rFonts w:hint="eastAsia" w:ascii="宋体" w:hAnsi="宋体"/>
          <w:color w:val="000000" w:themeColor="text1"/>
          <w:sz w:val="24"/>
          <w:highlight w:val="none"/>
        </w:rPr>
        <w:t>二、投标人资格证明文件</w:t>
      </w:r>
    </w:p>
    <w:p>
      <w:pPr>
        <w:spacing w:line="460" w:lineRule="exact"/>
        <w:rPr>
          <w:rFonts w:ascii="宋体" w:hAnsi="宋体"/>
          <w:color w:val="000000" w:themeColor="text1"/>
          <w:sz w:val="24"/>
          <w:highlight w:val="none"/>
        </w:rPr>
      </w:pPr>
      <w:r>
        <w:rPr>
          <w:rFonts w:hint="eastAsia" w:ascii="宋体" w:hAnsi="宋体"/>
          <w:color w:val="000000" w:themeColor="text1"/>
          <w:sz w:val="24"/>
          <w:highlight w:val="none"/>
        </w:rPr>
        <w:t xml:space="preserve">      1.投标人概况</w:t>
      </w:r>
    </w:p>
    <w:p>
      <w:pPr>
        <w:spacing w:line="460" w:lineRule="exact"/>
        <w:rPr>
          <w:rFonts w:ascii="宋体" w:hAnsi="宋体"/>
          <w:color w:val="000000" w:themeColor="text1"/>
          <w:sz w:val="24"/>
          <w:highlight w:val="none"/>
        </w:rPr>
      </w:pPr>
      <w:r>
        <w:rPr>
          <w:rFonts w:hint="eastAsia" w:ascii="宋体" w:hAnsi="宋体"/>
          <w:color w:val="000000" w:themeColor="text1"/>
          <w:sz w:val="24"/>
          <w:highlight w:val="none"/>
        </w:rPr>
        <w:t xml:space="preserve">      2.投标人技术能力</w:t>
      </w:r>
    </w:p>
    <w:p>
      <w:pPr>
        <w:spacing w:line="460" w:lineRule="exact"/>
        <w:rPr>
          <w:rFonts w:ascii="宋体" w:hAnsi="宋体"/>
          <w:color w:val="000000" w:themeColor="text1"/>
          <w:sz w:val="24"/>
          <w:highlight w:val="none"/>
        </w:rPr>
      </w:pPr>
      <w:r>
        <w:rPr>
          <w:rFonts w:hint="eastAsia" w:ascii="宋体" w:hAnsi="宋体"/>
          <w:color w:val="000000" w:themeColor="text1"/>
          <w:sz w:val="24"/>
          <w:highlight w:val="none"/>
        </w:rPr>
        <w:t xml:space="preserve">      3.投标人财务状况</w:t>
      </w:r>
    </w:p>
    <w:p>
      <w:pPr>
        <w:spacing w:line="460" w:lineRule="exact"/>
        <w:rPr>
          <w:rFonts w:ascii="宋体" w:hAnsi="宋体"/>
          <w:color w:val="000000" w:themeColor="text1"/>
          <w:sz w:val="24"/>
          <w:highlight w:val="none"/>
        </w:rPr>
      </w:pPr>
      <w:r>
        <w:rPr>
          <w:rFonts w:hint="eastAsia" w:ascii="宋体" w:hAnsi="宋体"/>
          <w:color w:val="000000" w:themeColor="text1"/>
          <w:sz w:val="24"/>
          <w:highlight w:val="none"/>
        </w:rPr>
        <w:t xml:space="preserve">      4.营业执照副本</w:t>
      </w:r>
    </w:p>
    <w:p>
      <w:pPr>
        <w:spacing w:line="460" w:lineRule="exact"/>
        <w:rPr>
          <w:rFonts w:ascii="宋体" w:hAnsi="宋体"/>
          <w:color w:val="000000" w:themeColor="text1"/>
          <w:sz w:val="24"/>
          <w:highlight w:val="none"/>
        </w:rPr>
      </w:pPr>
      <w:r>
        <w:rPr>
          <w:rFonts w:hint="eastAsia" w:ascii="宋体" w:hAnsi="宋体"/>
          <w:color w:val="000000" w:themeColor="text1"/>
          <w:sz w:val="24"/>
          <w:highlight w:val="none"/>
        </w:rPr>
        <w:t xml:space="preserve">      5.授权委托书</w:t>
      </w:r>
    </w:p>
    <w:p>
      <w:pPr>
        <w:spacing w:line="460" w:lineRule="exact"/>
        <w:rPr>
          <w:rFonts w:ascii="宋体" w:hAnsi="宋体"/>
          <w:color w:val="000000" w:themeColor="text1"/>
          <w:sz w:val="24"/>
          <w:highlight w:val="none"/>
        </w:rPr>
      </w:pPr>
      <w:r>
        <w:rPr>
          <w:rFonts w:hint="eastAsia" w:ascii="宋体" w:hAnsi="宋体"/>
          <w:color w:val="000000" w:themeColor="text1"/>
          <w:sz w:val="24"/>
          <w:highlight w:val="none"/>
        </w:rPr>
        <w:t xml:space="preserve">      6.制造商授权书格式</w:t>
      </w:r>
    </w:p>
    <w:p>
      <w:pPr>
        <w:spacing w:line="460" w:lineRule="exact"/>
        <w:rPr>
          <w:rFonts w:ascii="宋体" w:hAnsi="宋体"/>
          <w:color w:val="000000" w:themeColor="text1"/>
          <w:sz w:val="24"/>
          <w:highlight w:val="none"/>
        </w:rPr>
      </w:pPr>
      <w:r>
        <w:rPr>
          <w:rFonts w:hint="eastAsia" w:ascii="宋体" w:hAnsi="宋体"/>
          <w:color w:val="000000" w:themeColor="text1"/>
          <w:sz w:val="24"/>
          <w:highlight w:val="none"/>
        </w:rPr>
        <w:t xml:space="preserve">      7.联合投标协议（如果有的话）</w:t>
      </w:r>
    </w:p>
    <w:p>
      <w:pPr>
        <w:spacing w:line="460" w:lineRule="exact"/>
        <w:rPr>
          <w:rFonts w:ascii="宋体" w:hAnsi="宋体"/>
          <w:color w:val="000000" w:themeColor="text1"/>
          <w:sz w:val="24"/>
          <w:highlight w:val="none"/>
        </w:rPr>
      </w:pPr>
      <w:r>
        <w:rPr>
          <w:rFonts w:hint="eastAsia" w:ascii="宋体" w:hAnsi="宋体"/>
          <w:color w:val="000000" w:themeColor="text1"/>
          <w:sz w:val="24"/>
          <w:highlight w:val="none"/>
        </w:rPr>
        <w:t>三、证明货物的合格性和符合招标文件规定的文件</w:t>
      </w:r>
    </w:p>
    <w:p>
      <w:pPr>
        <w:numPr>
          <w:ilvl w:val="0"/>
          <w:numId w:val="14"/>
        </w:numPr>
        <w:spacing w:line="460" w:lineRule="exact"/>
        <w:rPr>
          <w:rFonts w:ascii="宋体" w:hAnsi="宋体"/>
          <w:color w:val="000000" w:themeColor="text1"/>
          <w:sz w:val="24"/>
          <w:highlight w:val="none"/>
        </w:rPr>
      </w:pPr>
      <w:r>
        <w:rPr>
          <w:rFonts w:hint="eastAsia" w:ascii="宋体" w:hAnsi="宋体"/>
          <w:color w:val="000000" w:themeColor="text1"/>
          <w:sz w:val="24"/>
          <w:highlight w:val="none"/>
        </w:rPr>
        <w:t>质量保证书</w:t>
      </w:r>
    </w:p>
    <w:p>
      <w:pPr>
        <w:numPr>
          <w:ilvl w:val="0"/>
          <w:numId w:val="14"/>
        </w:numPr>
        <w:spacing w:line="460" w:lineRule="exact"/>
        <w:rPr>
          <w:rFonts w:ascii="宋体" w:hAnsi="宋体"/>
          <w:color w:val="000000" w:themeColor="text1"/>
          <w:sz w:val="24"/>
          <w:highlight w:val="none"/>
        </w:rPr>
      </w:pPr>
      <w:r>
        <w:rPr>
          <w:rFonts w:hint="eastAsia" w:ascii="宋体" w:hAnsi="宋体"/>
          <w:color w:val="000000" w:themeColor="text1"/>
          <w:sz w:val="24"/>
          <w:highlight w:val="none"/>
        </w:rPr>
        <w:t>有关部门的检测报告（如有）</w:t>
      </w:r>
    </w:p>
    <w:p>
      <w:pPr>
        <w:spacing w:line="460" w:lineRule="exact"/>
        <w:rPr>
          <w:rFonts w:ascii="宋体" w:hAnsi="宋体"/>
          <w:color w:val="000000" w:themeColor="text1"/>
          <w:sz w:val="24"/>
          <w:highlight w:val="none"/>
        </w:rPr>
      </w:pPr>
      <w:r>
        <w:rPr>
          <w:rFonts w:hint="eastAsia" w:ascii="宋体" w:hAnsi="宋体"/>
          <w:color w:val="000000" w:themeColor="text1"/>
          <w:sz w:val="24"/>
          <w:highlight w:val="none"/>
        </w:rPr>
        <w:t xml:space="preserve">      3. 货物组成（供货范围表）</w:t>
      </w:r>
    </w:p>
    <w:p>
      <w:pPr>
        <w:spacing w:line="460" w:lineRule="exact"/>
        <w:rPr>
          <w:rFonts w:ascii="宋体" w:hAnsi="宋体"/>
          <w:color w:val="000000" w:themeColor="text1"/>
          <w:sz w:val="24"/>
          <w:highlight w:val="none"/>
        </w:rPr>
      </w:pPr>
      <w:r>
        <w:rPr>
          <w:rFonts w:hint="eastAsia" w:ascii="宋体" w:hAnsi="宋体"/>
          <w:color w:val="000000" w:themeColor="text1"/>
          <w:sz w:val="24"/>
          <w:highlight w:val="none"/>
        </w:rPr>
        <w:t xml:space="preserve">      4.投标货物规格响应表格式</w:t>
      </w:r>
    </w:p>
    <w:p>
      <w:pPr>
        <w:spacing w:line="460" w:lineRule="exact"/>
        <w:rPr>
          <w:rFonts w:ascii="宋体" w:hAnsi="宋体"/>
          <w:color w:val="000000" w:themeColor="text1"/>
          <w:sz w:val="24"/>
          <w:highlight w:val="none"/>
        </w:rPr>
      </w:pPr>
      <w:r>
        <w:rPr>
          <w:rFonts w:hint="eastAsia" w:ascii="宋体" w:hAnsi="宋体"/>
          <w:color w:val="000000" w:themeColor="text1"/>
          <w:sz w:val="24"/>
          <w:highlight w:val="none"/>
        </w:rPr>
        <w:t xml:space="preserve">      5. 商务条款偏离表</w:t>
      </w:r>
    </w:p>
    <w:p>
      <w:pPr>
        <w:spacing w:line="460" w:lineRule="exact"/>
        <w:rPr>
          <w:rFonts w:ascii="宋体" w:hAnsi="宋体"/>
          <w:color w:val="000000" w:themeColor="text1"/>
          <w:sz w:val="24"/>
          <w:highlight w:val="none"/>
        </w:rPr>
      </w:pPr>
      <w:r>
        <w:rPr>
          <w:rFonts w:hint="eastAsia" w:ascii="宋体" w:hAnsi="宋体"/>
          <w:color w:val="000000" w:themeColor="text1"/>
          <w:sz w:val="24"/>
          <w:highlight w:val="none"/>
        </w:rPr>
        <w:t xml:space="preserve">      6.服务（培训、售后服务等）</w:t>
      </w:r>
    </w:p>
    <w:p>
      <w:pPr>
        <w:spacing w:line="460" w:lineRule="exact"/>
        <w:rPr>
          <w:rFonts w:ascii="宋体" w:hAnsi="宋体"/>
          <w:color w:val="000000" w:themeColor="text1"/>
          <w:sz w:val="24"/>
          <w:highlight w:val="none"/>
        </w:rPr>
      </w:pPr>
      <w:r>
        <w:rPr>
          <w:rFonts w:hint="eastAsia" w:ascii="宋体" w:hAnsi="宋体"/>
          <w:color w:val="000000" w:themeColor="text1"/>
          <w:sz w:val="24"/>
          <w:highlight w:val="none"/>
        </w:rPr>
        <w:t xml:space="preserve">      7.经营业绩</w:t>
      </w:r>
    </w:p>
    <w:p>
      <w:pPr>
        <w:spacing w:line="460" w:lineRule="exact"/>
        <w:rPr>
          <w:rFonts w:ascii="宋体" w:hAnsi="宋体"/>
          <w:color w:val="000000" w:themeColor="text1"/>
          <w:sz w:val="24"/>
          <w:highlight w:val="none"/>
        </w:rPr>
      </w:pPr>
      <w:r>
        <w:rPr>
          <w:rFonts w:hint="eastAsia" w:ascii="宋体" w:hAnsi="宋体"/>
          <w:color w:val="000000" w:themeColor="text1"/>
          <w:sz w:val="24"/>
          <w:highlight w:val="none"/>
        </w:rPr>
        <w:t xml:space="preserve">      8.投标人认为需要提供的其他资料</w:t>
      </w:r>
    </w:p>
    <w:p>
      <w:pPr>
        <w:spacing w:line="460" w:lineRule="exact"/>
        <w:rPr>
          <w:rFonts w:ascii="宋体" w:hAnsi="宋体"/>
          <w:color w:val="000000" w:themeColor="text1"/>
          <w:sz w:val="24"/>
          <w:highlight w:val="none"/>
        </w:rPr>
      </w:pPr>
    </w:p>
    <w:p>
      <w:pPr>
        <w:spacing w:line="460" w:lineRule="exact"/>
        <w:rPr>
          <w:rFonts w:ascii="宋体" w:hAnsi="宋体"/>
          <w:color w:val="000000" w:themeColor="text1"/>
          <w:sz w:val="24"/>
          <w:highlight w:val="none"/>
        </w:rPr>
      </w:pPr>
    </w:p>
    <w:p>
      <w:pPr>
        <w:spacing w:line="460" w:lineRule="exact"/>
        <w:rPr>
          <w:rFonts w:ascii="宋体" w:hAnsi="宋体"/>
          <w:color w:val="000000" w:themeColor="text1"/>
          <w:sz w:val="24"/>
          <w:highlight w:val="none"/>
        </w:rPr>
      </w:pPr>
    </w:p>
    <w:p>
      <w:pPr>
        <w:spacing w:line="460" w:lineRule="exact"/>
        <w:rPr>
          <w:rFonts w:ascii="宋体" w:hAnsi="宋体"/>
          <w:color w:val="000000" w:themeColor="text1"/>
          <w:sz w:val="24"/>
          <w:highlight w:val="none"/>
        </w:rPr>
      </w:pPr>
    </w:p>
    <w:p>
      <w:pPr>
        <w:spacing w:line="460" w:lineRule="exact"/>
        <w:rPr>
          <w:rFonts w:ascii="宋体" w:hAnsi="宋体"/>
          <w:color w:val="000000" w:themeColor="text1"/>
          <w:sz w:val="24"/>
          <w:highlight w:val="none"/>
        </w:rPr>
      </w:pPr>
    </w:p>
    <w:p>
      <w:pPr>
        <w:spacing w:line="460" w:lineRule="exact"/>
        <w:rPr>
          <w:rFonts w:ascii="宋体" w:hAnsi="宋体"/>
          <w:color w:val="000000" w:themeColor="text1"/>
          <w:sz w:val="24"/>
          <w:highlight w:val="none"/>
        </w:rPr>
      </w:pPr>
    </w:p>
    <w:p>
      <w:pPr>
        <w:spacing w:line="460" w:lineRule="exact"/>
        <w:rPr>
          <w:rFonts w:ascii="宋体" w:hAnsi="宋体"/>
          <w:color w:val="000000" w:themeColor="text1"/>
          <w:sz w:val="24"/>
          <w:highlight w:val="none"/>
        </w:rPr>
      </w:pPr>
    </w:p>
    <w:p>
      <w:pPr>
        <w:spacing w:line="460" w:lineRule="exact"/>
        <w:rPr>
          <w:rFonts w:ascii="宋体" w:hAnsi="宋体"/>
          <w:color w:val="000000" w:themeColor="text1"/>
          <w:sz w:val="24"/>
          <w:highlight w:val="none"/>
        </w:rPr>
      </w:pPr>
    </w:p>
    <w:p>
      <w:pPr>
        <w:spacing w:line="460" w:lineRule="exact"/>
        <w:rPr>
          <w:rFonts w:ascii="宋体" w:hAnsi="宋体"/>
          <w:color w:val="000000" w:themeColor="text1"/>
          <w:sz w:val="24"/>
          <w:highlight w:val="none"/>
        </w:rPr>
      </w:pPr>
    </w:p>
    <w:p>
      <w:pPr>
        <w:spacing w:line="460" w:lineRule="exact"/>
        <w:rPr>
          <w:rFonts w:ascii="宋体" w:hAnsi="宋体"/>
          <w:color w:val="000000" w:themeColor="text1"/>
          <w:sz w:val="24"/>
          <w:highlight w:val="none"/>
        </w:rPr>
      </w:pPr>
    </w:p>
    <w:p>
      <w:pPr>
        <w:numPr>
          <w:ilvl w:val="0"/>
          <w:numId w:val="15"/>
        </w:numPr>
        <w:spacing w:line="560" w:lineRule="exact"/>
        <w:jc w:val="center"/>
        <w:rPr>
          <w:rFonts w:ascii="楷体_GB2312" w:eastAsia="楷体_GB2312"/>
          <w:b/>
          <w:color w:val="000000" w:themeColor="text1"/>
          <w:sz w:val="44"/>
          <w:highlight w:val="none"/>
        </w:rPr>
      </w:pPr>
      <w:r>
        <w:rPr>
          <w:rFonts w:hint="eastAsia" w:ascii="楷体_GB2312" w:eastAsia="楷体_GB2312"/>
          <w:b/>
          <w:color w:val="000000" w:themeColor="text1"/>
          <w:sz w:val="44"/>
          <w:highlight w:val="none"/>
        </w:rPr>
        <w:t>投标书及其附件</w:t>
      </w:r>
    </w:p>
    <w:p>
      <w:pPr>
        <w:spacing w:line="560" w:lineRule="exact"/>
        <w:rPr>
          <w:rFonts w:ascii="楷体_GB2312" w:eastAsia="楷体_GB2312"/>
          <w:color w:val="000000" w:themeColor="text1"/>
          <w:sz w:val="24"/>
          <w:highlight w:val="none"/>
        </w:rPr>
      </w:pPr>
    </w:p>
    <w:p>
      <w:pPr>
        <w:spacing w:line="560" w:lineRule="exact"/>
        <w:rPr>
          <w:rFonts w:ascii="楷体_GB2312" w:eastAsia="楷体_GB2312"/>
          <w:color w:val="000000" w:themeColor="text1"/>
          <w:sz w:val="24"/>
          <w:highlight w:val="none"/>
        </w:rPr>
      </w:pPr>
    </w:p>
    <w:p>
      <w:pPr>
        <w:widowControl/>
        <w:jc w:val="left"/>
        <w:rPr>
          <w:rFonts w:ascii="楷体_GB2312" w:eastAsia="楷体_GB2312"/>
          <w:color w:val="000000" w:themeColor="text1"/>
          <w:sz w:val="24"/>
          <w:highlight w:val="none"/>
        </w:rPr>
        <w:sectPr>
          <w:pgSz w:w="11906" w:h="16838"/>
          <w:pgMar w:top="1440" w:right="1800" w:bottom="1440" w:left="1800" w:header="851" w:footer="992" w:gutter="0"/>
          <w:cols w:space="720" w:num="1"/>
          <w:docGrid w:type="lines" w:linePitch="312" w:charSpace="0"/>
        </w:sectPr>
      </w:pPr>
    </w:p>
    <w:p>
      <w:pPr>
        <w:numPr>
          <w:ilvl w:val="0"/>
          <w:numId w:val="16"/>
        </w:numPr>
        <w:spacing w:line="560" w:lineRule="exact"/>
        <w:jc w:val="center"/>
        <w:rPr>
          <w:rFonts w:ascii="黑体" w:eastAsia="黑体"/>
          <w:color w:val="000000" w:themeColor="text1"/>
          <w:sz w:val="36"/>
          <w:highlight w:val="none"/>
        </w:rPr>
      </w:pPr>
      <w:r>
        <w:rPr>
          <w:rFonts w:hint="eastAsia" w:ascii="黑体" w:eastAsia="黑体"/>
          <w:color w:val="000000" w:themeColor="text1"/>
          <w:sz w:val="36"/>
          <w:highlight w:val="none"/>
        </w:rPr>
        <w:t>投标书格式</w:t>
      </w:r>
    </w:p>
    <w:p>
      <w:pPr>
        <w:spacing w:line="720" w:lineRule="exact"/>
        <w:rPr>
          <w:rFonts w:ascii="楷体_GB2312" w:eastAsia="楷体_GB2312"/>
          <w:b/>
          <w:color w:val="000000" w:themeColor="text1"/>
          <w:sz w:val="30"/>
          <w:highlight w:val="none"/>
        </w:rPr>
      </w:pPr>
      <w:r>
        <w:rPr>
          <w:rFonts w:hint="eastAsia" w:ascii="楷体_GB2312" w:eastAsia="楷体_GB2312"/>
          <w:b/>
          <w:color w:val="000000" w:themeColor="text1"/>
          <w:sz w:val="30"/>
          <w:highlight w:val="none"/>
        </w:rPr>
        <w:t>投标书</w:t>
      </w:r>
    </w:p>
    <w:p>
      <w:pPr>
        <w:spacing w:line="480" w:lineRule="exact"/>
        <w:rPr>
          <w:rFonts w:ascii="楷体_GB2312" w:eastAsia="楷体_GB2312"/>
          <w:color w:val="000000" w:themeColor="text1"/>
          <w:sz w:val="24"/>
          <w:highlight w:val="none"/>
        </w:rPr>
      </w:pPr>
      <w:r>
        <w:rPr>
          <w:rFonts w:hint="eastAsia" w:ascii="宋体" w:hAnsi="宋体"/>
          <w:color w:val="000000" w:themeColor="text1"/>
          <w:spacing w:val="28"/>
          <w:sz w:val="24"/>
          <w:highlight w:val="none"/>
        </w:rPr>
        <w:t>江苏长江水务股份有限公司</w:t>
      </w:r>
      <w:r>
        <w:rPr>
          <w:rFonts w:hint="eastAsia" w:ascii="楷体_GB2312" w:eastAsia="楷体_GB2312"/>
          <w:color w:val="000000" w:themeColor="text1"/>
          <w:sz w:val="24"/>
          <w:highlight w:val="none"/>
        </w:rPr>
        <w:t>：</w:t>
      </w:r>
    </w:p>
    <w:p>
      <w:pPr>
        <w:spacing w:line="480" w:lineRule="exact"/>
        <w:ind w:firstLine="480"/>
        <w:rPr>
          <w:rFonts w:ascii="宋体" w:hAnsi="宋体"/>
          <w:color w:val="000000" w:themeColor="text1"/>
          <w:sz w:val="24"/>
          <w:highlight w:val="none"/>
        </w:rPr>
      </w:pPr>
      <w:r>
        <w:rPr>
          <w:rFonts w:hint="eastAsia" w:ascii="宋体" w:hAnsi="宋体"/>
          <w:color w:val="000000" w:themeColor="text1"/>
          <w:sz w:val="24"/>
          <w:highlight w:val="none"/>
        </w:rPr>
        <w:t>你们 招标文件（包括补充文件，如果有的话）收悉，我们经详细审阅和研究，现决定参加投标。</w:t>
      </w:r>
    </w:p>
    <w:p>
      <w:pPr>
        <w:spacing w:line="480" w:lineRule="exact"/>
        <w:rPr>
          <w:rFonts w:ascii="宋体" w:hAnsi="宋体"/>
          <w:color w:val="000000" w:themeColor="text1"/>
          <w:sz w:val="24"/>
          <w:highlight w:val="none"/>
        </w:rPr>
      </w:pPr>
      <w:r>
        <w:rPr>
          <w:rFonts w:hint="eastAsia" w:ascii="宋体" w:hAnsi="宋体"/>
          <w:color w:val="000000" w:themeColor="text1"/>
          <w:sz w:val="24"/>
          <w:highlight w:val="none"/>
        </w:rPr>
        <w:t xml:space="preserve">    1.我们愿按照招标文件中的条款、要求，提供所需的招标货物及一切相关的服务，投标价为</w:t>
      </w:r>
      <w:r>
        <w:rPr>
          <w:rFonts w:hint="eastAsia" w:ascii="宋体" w:hAnsi="宋体"/>
          <w:color w:val="000000" w:themeColor="text1"/>
          <w:sz w:val="24"/>
          <w:highlight w:val="none"/>
          <w:u w:val="single"/>
        </w:rPr>
        <w:t xml:space="preserve">（币种及金额） </w:t>
      </w:r>
      <w:r>
        <w:rPr>
          <w:rFonts w:hint="eastAsia" w:ascii="宋体" w:hAnsi="宋体"/>
          <w:color w:val="000000" w:themeColor="text1"/>
          <w:sz w:val="24"/>
          <w:highlight w:val="none"/>
        </w:rPr>
        <w:t>。</w:t>
      </w:r>
    </w:p>
    <w:p>
      <w:pPr>
        <w:spacing w:line="480" w:lineRule="exact"/>
        <w:ind w:firstLine="420"/>
        <w:rPr>
          <w:rFonts w:ascii="宋体" w:hAnsi="宋体"/>
          <w:color w:val="000000" w:themeColor="text1"/>
          <w:sz w:val="24"/>
          <w:highlight w:val="none"/>
        </w:rPr>
      </w:pPr>
      <w:r>
        <w:rPr>
          <w:rFonts w:hint="eastAsia" w:ascii="宋体" w:hAnsi="宋体"/>
          <w:color w:val="000000" w:themeColor="text1"/>
          <w:sz w:val="24"/>
          <w:highlight w:val="none"/>
        </w:rPr>
        <w:t>2.如果我们中标，我们将在之后的天内交货。</w:t>
      </w:r>
    </w:p>
    <w:p>
      <w:pPr>
        <w:spacing w:line="480" w:lineRule="exact"/>
        <w:ind w:firstLine="420"/>
        <w:rPr>
          <w:rFonts w:ascii="宋体" w:hAnsi="宋体"/>
          <w:color w:val="000000" w:themeColor="text1"/>
          <w:sz w:val="24"/>
          <w:highlight w:val="none"/>
        </w:rPr>
      </w:pPr>
      <w:r>
        <w:rPr>
          <w:rFonts w:hint="eastAsia" w:ascii="宋体" w:hAnsi="宋体"/>
          <w:color w:val="000000" w:themeColor="text1"/>
          <w:sz w:val="24"/>
          <w:highlight w:val="none"/>
        </w:rPr>
        <w:t>3.我们同意招标文件 “投标人须知”的规定，本投标文件在有效期内，将始终对我们具有约束力，并可随时被接受。如果我们入围，本投标文件在此期间之后将继续保持有效，直至合同生效。</w:t>
      </w:r>
    </w:p>
    <w:p>
      <w:pPr>
        <w:spacing w:line="480" w:lineRule="exact"/>
        <w:rPr>
          <w:rFonts w:ascii="宋体" w:hAnsi="宋体"/>
          <w:color w:val="000000" w:themeColor="text1"/>
          <w:sz w:val="24"/>
          <w:highlight w:val="none"/>
        </w:rPr>
      </w:pPr>
      <w:r>
        <w:rPr>
          <w:rFonts w:hint="eastAsia" w:ascii="宋体" w:hAnsi="宋体"/>
          <w:color w:val="000000" w:themeColor="text1"/>
          <w:sz w:val="24"/>
          <w:highlight w:val="none"/>
        </w:rPr>
        <w:t xml:space="preserve">    4.我们同意提供招标人要求的有关本次招标的所有资料。</w:t>
      </w:r>
    </w:p>
    <w:p>
      <w:pPr>
        <w:spacing w:line="480" w:lineRule="exact"/>
        <w:ind w:firstLine="480"/>
        <w:rPr>
          <w:rFonts w:ascii="宋体" w:hAnsi="宋体"/>
          <w:color w:val="000000" w:themeColor="text1"/>
          <w:sz w:val="24"/>
          <w:highlight w:val="none"/>
        </w:rPr>
      </w:pPr>
      <w:r>
        <w:rPr>
          <w:rFonts w:hint="eastAsia" w:ascii="宋体" w:hAnsi="宋体"/>
          <w:color w:val="000000" w:themeColor="text1"/>
          <w:sz w:val="24"/>
          <w:highlight w:val="none"/>
        </w:rPr>
        <w:t>5.我们理解，你们无义务必须接受投标价最低的投标，并有权拒绝所有的投标。</w:t>
      </w:r>
    </w:p>
    <w:p>
      <w:pPr>
        <w:spacing w:line="480" w:lineRule="exact"/>
        <w:ind w:firstLine="480"/>
        <w:rPr>
          <w:rFonts w:ascii="宋体" w:hAnsi="宋体"/>
          <w:color w:val="000000" w:themeColor="text1"/>
          <w:sz w:val="24"/>
          <w:highlight w:val="none"/>
        </w:rPr>
      </w:pPr>
      <w:r>
        <w:rPr>
          <w:rFonts w:hint="eastAsia" w:ascii="宋体" w:hAnsi="宋体"/>
          <w:color w:val="000000" w:themeColor="text1"/>
          <w:sz w:val="24"/>
          <w:highlight w:val="none"/>
        </w:rPr>
        <w:t>6.如果我们中标，为执行合同，我们将按招标文件的要求提供必要的履约保证。</w:t>
      </w:r>
    </w:p>
    <w:p>
      <w:pPr>
        <w:spacing w:line="480" w:lineRule="exact"/>
        <w:rPr>
          <w:rFonts w:ascii="楷体_GB2312" w:eastAsia="楷体_GB2312"/>
          <w:color w:val="000000" w:themeColor="text1"/>
          <w:sz w:val="24"/>
          <w:highlight w:val="none"/>
        </w:rPr>
      </w:pPr>
    </w:p>
    <w:p>
      <w:pPr>
        <w:spacing w:line="480" w:lineRule="exact"/>
        <w:rPr>
          <w:rFonts w:ascii="楷体_GB2312" w:eastAsia="楷体_GB2312"/>
          <w:color w:val="000000" w:themeColor="text1"/>
          <w:sz w:val="24"/>
          <w:highlight w:val="none"/>
        </w:rPr>
      </w:pPr>
    </w:p>
    <w:p>
      <w:pPr>
        <w:spacing w:line="480" w:lineRule="exact"/>
        <w:rPr>
          <w:rFonts w:ascii="楷体_GB2312" w:eastAsia="楷体_GB2312"/>
          <w:color w:val="000000" w:themeColor="text1"/>
          <w:sz w:val="24"/>
          <w:highlight w:val="none"/>
        </w:rPr>
      </w:pPr>
    </w:p>
    <w:p>
      <w:pPr>
        <w:spacing w:line="480" w:lineRule="exact"/>
        <w:jc w:val="center"/>
        <w:rPr>
          <w:rFonts w:ascii="宋体" w:hAnsi="宋体"/>
          <w:color w:val="000000" w:themeColor="text1"/>
          <w:sz w:val="24"/>
          <w:highlight w:val="none"/>
        </w:rPr>
      </w:pPr>
      <w:r>
        <w:rPr>
          <w:rFonts w:hint="eastAsia" w:ascii="宋体" w:hAnsi="宋体"/>
          <w:color w:val="000000" w:themeColor="text1"/>
          <w:sz w:val="24"/>
          <w:highlight w:val="none"/>
        </w:rPr>
        <w:t xml:space="preserve">  投标人名称：</w:t>
      </w:r>
    </w:p>
    <w:p>
      <w:pPr>
        <w:spacing w:line="480" w:lineRule="exact"/>
        <w:rPr>
          <w:rFonts w:ascii="宋体" w:hAnsi="宋体"/>
          <w:color w:val="000000" w:themeColor="text1"/>
          <w:sz w:val="24"/>
          <w:highlight w:val="none"/>
        </w:rPr>
      </w:pPr>
      <w:r>
        <w:rPr>
          <w:rFonts w:hint="eastAsia" w:ascii="宋体" w:hAnsi="宋体"/>
          <w:color w:val="000000" w:themeColor="text1"/>
          <w:sz w:val="24"/>
          <w:highlight w:val="none"/>
        </w:rPr>
        <w:t xml:space="preserve">                             （盖章）</w:t>
      </w:r>
    </w:p>
    <w:p>
      <w:pPr>
        <w:spacing w:line="480" w:lineRule="exact"/>
        <w:rPr>
          <w:rFonts w:ascii="宋体" w:hAnsi="宋体"/>
          <w:color w:val="000000" w:themeColor="text1"/>
          <w:sz w:val="24"/>
          <w:highlight w:val="none"/>
        </w:rPr>
      </w:pPr>
      <w:r>
        <w:rPr>
          <w:rFonts w:hint="eastAsia" w:ascii="宋体" w:hAnsi="宋体"/>
          <w:color w:val="000000" w:themeColor="text1"/>
          <w:sz w:val="24"/>
          <w:highlight w:val="none"/>
        </w:rPr>
        <w:t xml:space="preserve">                              地址：               邮编：</w:t>
      </w:r>
    </w:p>
    <w:p>
      <w:pPr>
        <w:spacing w:line="480" w:lineRule="exact"/>
        <w:rPr>
          <w:rFonts w:ascii="宋体" w:hAnsi="宋体"/>
          <w:color w:val="000000" w:themeColor="text1"/>
          <w:sz w:val="24"/>
          <w:highlight w:val="none"/>
        </w:rPr>
      </w:pPr>
      <w:r>
        <w:rPr>
          <w:rFonts w:hint="eastAsia" w:ascii="宋体" w:hAnsi="宋体"/>
          <w:color w:val="000000" w:themeColor="text1"/>
          <w:sz w:val="24"/>
          <w:highlight w:val="none"/>
        </w:rPr>
        <w:t xml:space="preserve">                              电话：               传真：</w:t>
      </w:r>
    </w:p>
    <w:p>
      <w:pPr>
        <w:spacing w:line="480" w:lineRule="exact"/>
        <w:rPr>
          <w:rFonts w:ascii="宋体" w:hAnsi="宋体"/>
          <w:color w:val="000000" w:themeColor="text1"/>
          <w:sz w:val="24"/>
          <w:highlight w:val="none"/>
        </w:rPr>
      </w:pPr>
      <w:r>
        <w:rPr>
          <w:rFonts w:hint="eastAsia" w:ascii="宋体" w:hAnsi="宋体"/>
          <w:color w:val="000000" w:themeColor="text1"/>
          <w:sz w:val="24"/>
          <w:highlight w:val="none"/>
        </w:rPr>
        <w:t xml:space="preserve">                              授权代表签字：</w:t>
      </w:r>
    </w:p>
    <w:p>
      <w:pPr>
        <w:spacing w:line="480" w:lineRule="exact"/>
        <w:rPr>
          <w:rFonts w:ascii="宋体" w:hAnsi="宋体"/>
          <w:color w:val="000000" w:themeColor="text1"/>
          <w:sz w:val="24"/>
          <w:highlight w:val="none"/>
        </w:rPr>
      </w:pPr>
      <w:r>
        <w:rPr>
          <w:rFonts w:hint="eastAsia" w:ascii="宋体" w:hAnsi="宋体"/>
          <w:color w:val="000000" w:themeColor="text1"/>
          <w:sz w:val="24"/>
          <w:highlight w:val="none"/>
        </w:rPr>
        <w:t xml:space="preserve">                              职务：</w:t>
      </w:r>
    </w:p>
    <w:p>
      <w:pPr>
        <w:spacing w:line="480" w:lineRule="exact"/>
        <w:rPr>
          <w:rFonts w:ascii="宋体" w:hAnsi="宋体"/>
          <w:color w:val="000000" w:themeColor="text1"/>
          <w:sz w:val="24"/>
          <w:highlight w:val="none"/>
        </w:rPr>
      </w:pPr>
      <w:r>
        <w:rPr>
          <w:rFonts w:hint="eastAsia" w:ascii="宋体" w:hAnsi="宋体"/>
          <w:color w:val="000000" w:themeColor="text1"/>
          <w:sz w:val="24"/>
          <w:highlight w:val="none"/>
        </w:rPr>
        <w:t xml:space="preserve">                              日期：</w:t>
      </w:r>
    </w:p>
    <w:p>
      <w:pPr>
        <w:spacing w:line="480" w:lineRule="exact"/>
        <w:rPr>
          <w:rFonts w:ascii="宋体" w:hAnsi="宋体"/>
          <w:color w:val="000000" w:themeColor="text1"/>
          <w:sz w:val="24"/>
          <w:highlight w:val="none"/>
        </w:rPr>
      </w:pPr>
    </w:p>
    <w:p>
      <w:pPr>
        <w:spacing w:line="480" w:lineRule="exact"/>
        <w:rPr>
          <w:rFonts w:ascii="宋体" w:hAnsi="宋体"/>
          <w:color w:val="000000" w:themeColor="text1"/>
          <w:sz w:val="24"/>
          <w:highlight w:val="none"/>
        </w:rPr>
      </w:pPr>
    </w:p>
    <w:p>
      <w:pPr>
        <w:spacing w:line="480" w:lineRule="exact"/>
        <w:rPr>
          <w:rFonts w:ascii="宋体" w:hAnsi="宋体"/>
          <w:color w:val="000000" w:themeColor="text1"/>
          <w:sz w:val="24"/>
          <w:highlight w:val="none"/>
        </w:rPr>
      </w:pPr>
    </w:p>
    <w:p>
      <w:pPr>
        <w:spacing w:line="480" w:lineRule="exact"/>
        <w:rPr>
          <w:rFonts w:ascii="宋体" w:hAnsi="宋体"/>
          <w:color w:val="000000" w:themeColor="text1"/>
          <w:sz w:val="24"/>
          <w:highlight w:val="none"/>
        </w:rPr>
      </w:pPr>
    </w:p>
    <w:p>
      <w:pPr>
        <w:spacing w:line="560" w:lineRule="exact"/>
        <w:ind w:firstLine="2880" w:firstLineChars="800"/>
        <w:rPr>
          <w:rFonts w:ascii="黑体" w:eastAsia="黑体"/>
          <w:color w:val="000000" w:themeColor="text1"/>
          <w:sz w:val="36"/>
          <w:highlight w:val="none"/>
        </w:rPr>
      </w:pPr>
      <w:r>
        <w:rPr>
          <w:rFonts w:hint="eastAsia" w:ascii="黑体" w:eastAsia="黑体"/>
          <w:color w:val="000000" w:themeColor="text1"/>
          <w:sz w:val="36"/>
          <w:highlight w:val="none"/>
        </w:rPr>
        <w:t>2、开标一览表</w:t>
      </w:r>
    </w:p>
    <w:p>
      <w:pPr>
        <w:pStyle w:val="10"/>
        <w:ind w:left="0" w:firstLine="0"/>
        <w:rPr>
          <w:color w:val="000000" w:themeColor="text1"/>
          <w:highlight w:val="none"/>
          <w:lang w:eastAsia="zh-CN"/>
        </w:rPr>
      </w:pPr>
      <w:r>
        <w:rPr>
          <w:rFonts w:hint="eastAsia"/>
          <w:color w:val="000000" w:themeColor="text1"/>
          <w:highlight w:val="none"/>
          <w:lang w:eastAsia="zh-CN"/>
        </w:rPr>
        <w:t xml:space="preserve">      项目名称:</w:t>
      </w:r>
    </w:p>
    <w:tbl>
      <w:tblPr>
        <w:tblStyle w:val="8"/>
        <w:tblW w:w="703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5"/>
        <w:gridCol w:w="2310"/>
        <w:gridCol w:w="817"/>
        <w:gridCol w:w="1721"/>
        <w:gridCol w:w="15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1" w:hRule="atLeast"/>
          <w:jc w:val="center"/>
        </w:trPr>
        <w:tc>
          <w:tcPr>
            <w:tcW w:w="615" w:type="dxa"/>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color w:val="000000" w:themeColor="text1"/>
                <w:szCs w:val="21"/>
                <w:highlight w:val="none"/>
              </w:rPr>
            </w:pPr>
            <w:r>
              <w:rPr>
                <w:rFonts w:hint="eastAsia" w:ascii="宋体" w:hAnsi="宋体"/>
                <w:color w:val="000000" w:themeColor="text1"/>
                <w:szCs w:val="21"/>
                <w:highlight w:val="none"/>
              </w:rPr>
              <w:t>序号</w:t>
            </w:r>
          </w:p>
        </w:tc>
        <w:tc>
          <w:tcPr>
            <w:tcW w:w="2310" w:type="dxa"/>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color w:val="000000" w:themeColor="text1"/>
                <w:szCs w:val="21"/>
                <w:highlight w:val="none"/>
              </w:rPr>
            </w:pPr>
            <w:r>
              <w:rPr>
                <w:rFonts w:hint="eastAsia" w:ascii="宋体" w:hAnsi="宋体"/>
                <w:color w:val="000000" w:themeColor="text1"/>
                <w:szCs w:val="21"/>
                <w:highlight w:val="none"/>
              </w:rPr>
              <w:t>类 别</w:t>
            </w:r>
          </w:p>
        </w:tc>
        <w:tc>
          <w:tcPr>
            <w:tcW w:w="817" w:type="dxa"/>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color w:val="000000" w:themeColor="text1"/>
                <w:szCs w:val="21"/>
                <w:highlight w:val="none"/>
              </w:rPr>
            </w:pPr>
            <w:r>
              <w:rPr>
                <w:rFonts w:hint="eastAsia" w:ascii="宋体" w:hAnsi="宋体"/>
                <w:color w:val="000000" w:themeColor="text1"/>
                <w:szCs w:val="21"/>
                <w:highlight w:val="none"/>
              </w:rPr>
              <w:t>制造厂商</w:t>
            </w:r>
          </w:p>
        </w:tc>
        <w:tc>
          <w:tcPr>
            <w:tcW w:w="1721" w:type="dxa"/>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color w:val="000000" w:themeColor="text1"/>
                <w:szCs w:val="21"/>
                <w:highlight w:val="none"/>
              </w:rPr>
            </w:pPr>
            <w:r>
              <w:rPr>
                <w:rFonts w:hint="eastAsia" w:ascii="宋体" w:hAnsi="宋体"/>
                <w:color w:val="000000" w:themeColor="text1"/>
                <w:szCs w:val="21"/>
                <w:highlight w:val="none"/>
              </w:rPr>
              <w:t>投标人报价</w:t>
            </w:r>
          </w:p>
        </w:tc>
        <w:tc>
          <w:tcPr>
            <w:tcW w:w="1572" w:type="dxa"/>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color w:val="000000" w:themeColor="text1"/>
                <w:szCs w:val="21"/>
                <w:highlight w:val="none"/>
              </w:rPr>
            </w:pPr>
            <w:r>
              <w:rPr>
                <w:rFonts w:hint="eastAsia" w:ascii="宋体" w:hAnsi="宋体"/>
                <w:color w:val="000000" w:themeColor="text1"/>
                <w:szCs w:val="21"/>
                <w:highlight w:val="none"/>
              </w:rPr>
              <w:t>品牌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8" w:hRule="atLeast"/>
          <w:jc w:val="center"/>
        </w:trPr>
        <w:tc>
          <w:tcPr>
            <w:tcW w:w="615" w:type="dxa"/>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color w:val="000000" w:themeColor="text1"/>
                <w:szCs w:val="21"/>
                <w:highlight w:val="none"/>
              </w:rPr>
            </w:pPr>
            <w:r>
              <w:rPr>
                <w:rFonts w:hint="eastAsia" w:ascii="宋体" w:hAnsi="宋体"/>
                <w:color w:val="000000" w:themeColor="text1"/>
                <w:szCs w:val="21"/>
                <w:highlight w:val="none"/>
              </w:rPr>
              <w:t>1</w:t>
            </w:r>
          </w:p>
        </w:tc>
        <w:tc>
          <w:tcPr>
            <w:tcW w:w="2310" w:type="dxa"/>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ascii="宋体" w:hAnsi="宋体" w:cs="宋体"/>
                <w:color w:val="000000" w:themeColor="text1"/>
                <w:kern w:val="0"/>
                <w:szCs w:val="21"/>
                <w:highlight w:val="none"/>
              </w:rPr>
            </w:pPr>
          </w:p>
        </w:tc>
        <w:tc>
          <w:tcPr>
            <w:tcW w:w="817" w:type="dxa"/>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color w:val="000000" w:themeColor="text1"/>
                <w:szCs w:val="21"/>
                <w:highlight w:val="none"/>
              </w:rPr>
            </w:pPr>
          </w:p>
        </w:tc>
        <w:tc>
          <w:tcPr>
            <w:tcW w:w="1721" w:type="dxa"/>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ascii="宋体" w:hAnsi="宋体"/>
                <w:color w:val="000000" w:themeColor="text1"/>
                <w:szCs w:val="21"/>
                <w:highlight w:val="none"/>
              </w:rPr>
            </w:pPr>
          </w:p>
        </w:tc>
        <w:tc>
          <w:tcPr>
            <w:tcW w:w="1572" w:type="dxa"/>
            <w:tcBorders>
              <w:top w:val="single" w:color="auto" w:sz="4" w:space="0"/>
              <w:left w:val="single" w:color="auto" w:sz="4" w:space="0"/>
              <w:right w:val="single" w:color="auto" w:sz="4" w:space="0"/>
            </w:tcBorders>
            <w:noWrap/>
            <w:vAlign w:val="center"/>
          </w:tcPr>
          <w:p>
            <w:pPr>
              <w:tabs>
                <w:tab w:val="left" w:pos="236"/>
              </w:tabs>
              <w:spacing w:line="0" w:lineRule="atLeast"/>
              <w:jc w:val="left"/>
              <w:rPr>
                <w:rFonts w:ascii="宋体" w:hAnsi="宋体"/>
                <w:color w:val="000000" w:themeColor="text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8" w:hRule="atLeast"/>
          <w:jc w:val="center"/>
        </w:trPr>
        <w:tc>
          <w:tcPr>
            <w:tcW w:w="615" w:type="dxa"/>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color w:val="000000" w:themeColor="text1"/>
                <w:szCs w:val="21"/>
                <w:highlight w:val="none"/>
              </w:rPr>
            </w:pPr>
            <w:r>
              <w:rPr>
                <w:rFonts w:hint="eastAsia" w:ascii="宋体" w:hAnsi="宋体"/>
                <w:color w:val="000000" w:themeColor="text1"/>
                <w:szCs w:val="21"/>
                <w:highlight w:val="none"/>
              </w:rPr>
              <w:t>2</w:t>
            </w:r>
          </w:p>
        </w:tc>
        <w:tc>
          <w:tcPr>
            <w:tcW w:w="2310" w:type="dxa"/>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ascii="宋体" w:hAnsi="宋体" w:cs="宋体"/>
                <w:color w:val="000000" w:themeColor="text1"/>
                <w:kern w:val="0"/>
                <w:szCs w:val="21"/>
                <w:highlight w:val="none"/>
              </w:rPr>
            </w:pPr>
          </w:p>
        </w:tc>
        <w:tc>
          <w:tcPr>
            <w:tcW w:w="817" w:type="dxa"/>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color w:val="000000" w:themeColor="text1"/>
                <w:szCs w:val="21"/>
                <w:highlight w:val="none"/>
              </w:rPr>
            </w:pPr>
          </w:p>
        </w:tc>
        <w:tc>
          <w:tcPr>
            <w:tcW w:w="1721" w:type="dxa"/>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ascii="宋体" w:hAnsi="宋体"/>
                <w:color w:val="000000" w:themeColor="text1"/>
                <w:szCs w:val="21"/>
                <w:highlight w:val="none"/>
              </w:rPr>
            </w:pPr>
          </w:p>
        </w:tc>
        <w:tc>
          <w:tcPr>
            <w:tcW w:w="1572" w:type="dxa"/>
            <w:tcBorders>
              <w:left w:val="single" w:color="auto" w:sz="4" w:space="0"/>
              <w:right w:val="single" w:color="auto" w:sz="4" w:space="0"/>
            </w:tcBorders>
            <w:noWrap/>
            <w:vAlign w:val="center"/>
          </w:tcPr>
          <w:p>
            <w:pPr>
              <w:spacing w:line="0" w:lineRule="atLeast"/>
              <w:jc w:val="center"/>
              <w:rPr>
                <w:rFonts w:ascii="宋体" w:hAnsi="宋体"/>
                <w:color w:val="000000" w:themeColor="text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8" w:hRule="atLeast"/>
          <w:jc w:val="center"/>
        </w:trPr>
        <w:tc>
          <w:tcPr>
            <w:tcW w:w="615" w:type="dxa"/>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color w:val="000000" w:themeColor="text1"/>
                <w:szCs w:val="21"/>
                <w:highlight w:val="none"/>
              </w:rPr>
            </w:pPr>
            <w:r>
              <w:rPr>
                <w:rFonts w:hint="eastAsia" w:ascii="宋体" w:hAnsi="宋体"/>
                <w:color w:val="000000" w:themeColor="text1"/>
                <w:szCs w:val="21"/>
                <w:highlight w:val="none"/>
              </w:rPr>
              <w:t>3</w:t>
            </w:r>
          </w:p>
        </w:tc>
        <w:tc>
          <w:tcPr>
            <w:tcW w:w="2310" w:type="dxa"/>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ascii="宋体" w:hAnsi="宋体" w:cs="宋体"/>
                <w:color w:val="000000" w:themeColor="text1"/>
                <w:kern w:val="0"/>
                <w:szCs w:val="21"/>
                <w:highlight w:val="none"/>
              </w:rPr>
            </w:pPr>
          </w:p>
        </w:tc>
        <w:tc>
          <w:tcPr>
            <w:tcW w:w="817" w:type="dxa"/>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color w:val="000000" w:themeColor="text1"/>
                <w:szCs w:val="21"/>
                <w:highlight w:val="none"/>
              </w:rPr>
            </w:pPr>
          </w:p>
        </w:tc>
        <w:tc>
          <w:tcPr>
            <w:tcW w:w="1721" w:type="dxa"/>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ascii="宋体" w:hAnsi="宋体"/>
                <w:color w:val="000000" w:themeColor="text1"/>
                <w:szCs w:val="21"/>
                <w:highlight w:val="none"/>
              </w:rPr>
            </w:pPr>
          </w:p>
        </w:tc>
        <w:tc>
          <w:tcPr>
            <w:tcW w:w="1572" w:type="dxa"/>
            <w:tcBorders>
              <w:left w:val="single" w:color="auto" w:sz="4" w:space="0"/>
              <w:right w:val="single" w:color="auto" w:sz="4" w:space="0"/>
            </w:tcBorders>
            <w:noWrap/>
            <w:vAlign w:val="center"/>
          </w:tcPr>
          <w:p>
            <w:pPr>
              <w:spacing w:line="0" w:lineRule="atLeast"/>
              <w:jc w:val="center"/>
              <w:rPr>
                <w:rFonts w:ascii="宋体" w:hAnsi="宋体"/>
                <w:color w:val="000000" w:themeColor="text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8" w:hRule="atLeast"/>
          <w:jc w:val="center"/>
        </w:trPr>
        <w:tc>
          <w:tcPr>
            <w:tcW w:w="615" w:type="dxa"/>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color w:val="000000" w:themeColor="text1"/>
                <w:szCs w:val="21"/>
                <w:highlight w:val="none"/>
              </w:rPr>
            </w:pPr>
            <w:r>
              <w:rPr>
                <w:rFonts w:hint="eastAsia" w:ascii="宋体" w:hAnsi="宋体"/>
                <w:color w:val="000000" w:themeColor="text1"/>
                <w:szCs w:val="21"/>
                <w:highlight w:val="none"/>
              </w:rPr>
              <w:t>4</w:t>
            </w:r>
          </w:p>
        </w:tc>
        <w:tc>
          <w:tcPr>
            <w:tcW w:w="2310" w:type="dxa"/>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ascii="宋体" w:hAnsi="宋体" w:cs="宋体"/>
                <w:color w:val="000000" w:themeColor="text1"/>
                <w:kern w:val="0"/>
                <w:szCs w:val="21"/>
                <w:highlight w:val="none"/>
              </w:rPr>
            </w:pPr>
          </w:p>
        </w:tc>
        <w:tc>
          <w:tcPr>
            <w:tcW w:w="817" w:type="dxa"/>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color w:val="000000" w:themeColor="text1"/>
                <w:szCs w:val="21"/>
                <w:highlight w:val="none"/>
              </w:rPr>
            </w:pPr>
          </w:p>
        </w:tc>
        <w:tc>
          <w:tcPr>
            <w:tcW w:w="1721" w:type="dxa"/>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ascii="宋体" w:hAnsi="宋体"/>
                <w:color w:val="000000" w:themeColor="text1"/>
                <w:szCs w:val="21"/>
                <w:highlight w:val="none"/>
              </w:rPr>
            </w:pPr>
          </w:p>
        </w:tc>
        <w:tc>
          <w:tcPr>
            <w:tcW w:w="1572" w:type="dxa"/>
            <w:tcBorders>
              <w:left w:val="single" w:color="auto" w:sz="4" w:space="0"/>
              <w:right w:val="single" w:color="auto" w:sz="4" w:space="0"/>
            </w:tcBorders>
            <w:noWrap/>
            <w:vAlign w:val="center"/>
          </w:tcPr>
          <w:p>
            <w:pPr>
              <w:spacing w:line="0" w:lineRule="atLeast"/>
              <w:jc w:val="center"/>
              <w:rPr>
                <w:rFonts w:ascii="宋体" w:hAnsi="宋体"/>
                <w:color w:val="000000" w:themeColor="text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8" w:hRule="atLeast"/>
          <w:jc w:val="center"/>
        </w:trPr>
        <w:tc>
          <w:tcPr>
            <w:tcW w:w="615" w:type="dxa"/>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color w:val="000000" w:themeColor="text1"/>
                <w:szCs w:val="21"/>
                <w:highlight w:val="none"/>
              </w:rPr>
            </w:pPr>
            <w:r>
              <w:rPr>
                <w:rFonts w:hint="eastAsia" w:ascii="宋体" w:hAnsi="宋体"/>
                <w:color w:val="000000" w:themeColor="text1"/>
                <w:szCs w:val="21"/>
                <w:highlight w:val="none"/>
              </w:rPr>
              <w:t>5</w:t>
            </w:r>
          </w:p>
        </w:tc>
        <w:tc>
          <w:tcPr>
            <w:tcW w:w="2310" w:type="dxa"/>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ascii="宋体" w:hAnsi="宋体" w:cs="宋体"/>
                <w:color w:val="000000" w:themeColor="text1"/>
                <w:kern w:val="0"/>
                <w:szCs w:val="21"/>
                <w:highlight w:val="none"/>
              </w:rPr>
            </w:pPr>
          </w:p>
        </w:tc>
        <w:tc>
          <w:tcPr>
            <w:tcW w:w="817" w:type="dxa"/>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color w:val="000000" w:themeColor="text1"/>
                <w:szCs w:val="21"/>
                <w:highlight w:val="none"/>
              </w:rPr>
            </w:pPr>
          </w:p>
        </w:tc>
        <w:tc>
          <w:tcPr>
            <w:tcW w:w="1721" w:type="dxa"/>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ascii="宋体" w:hAnsi="宋体"/>
                <w:color w:val="000000" w:themeColor="text1"/>
                <w:szCs w:val="21"/>
                <w:highlight w:val="none"/>
              </w:rPr>
            </w:pPr>
          </w:p>
        </w:tc>
        <w:tc>
          <w:tcPr>
            <w:tcW w:w="1572" w:type="dxa"/>
            <w:tcBorders>
              <w:left w:val="single" w:color="auto" w:sz="4" w:space="0"/>
              <w:right w:val="single" w:color="auto" w:sz="4" w:space="0"/>
            </w:tcBorders>
            <w:noWrap/>
            <w:vAlign w:val="center"/>
          </w:tcPr>
          <w:p>
            <w:pPr>
              <w:spacing w:line="0" w:lineRule="atLeast"/>
              <w:jc w:val="center"/>
              <w:rPr>
                <w:rFonts w:ascii="宋体" w:hAnsi="宋体"/>
                <w:color w:val="000000" w:themeColor="text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8" w:hRule="atLeast"/>
          <w:jc w:val="center"/>
        </w:trPr>
        <w:tc>
          <w:tcPr>
            <w:tcW w:w="2925" w:type="dxa"/>
            <w:gridSpan w:val="2"/>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b/>
                <w:bCs/>
                <w:color w:val="000000" w:themeColor="text1"/>
                <w:szCs w:val="21"/>
                <w:highlight w:val="none"/>
              </w:rPr>
            </w:pPr>
            <w:r>
              <w:rPr>
                <w:rFonts w:hint="eastAsia" w:ascii="宋体" w:hAnsi="宋体"/>
                <w:color w:val="000000" w:themeColor="text1"/>
                <w:szCs w:val="21"/>
                <w:highlight w:val="none"/>
              </w:rPr>
              <w:t>总价合计（人民币：元）</w:t>
            </w:r>
          </w:p>
        </w:tc>
        <w:tc>
          <w:tcPr>
            <w:tcW w:w="4110" w:type="dxa"/>
            <w:gridSpan w:val="3"/>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color w:val="000000" w:themeColor="text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8" w:hRule="atLeast"/>
          <w:jc w:val="center"/>
        </w:trPr>
        <w:tc>
          <w:tcPr>
            <w:tcW w:w="2925" w:type="dxa"/>
            <w:gridSpan w:val="2"/>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color w:val="000000" w:themeColor="text1"/>
                <w:szCs w:val="21"/>
                <w:highlight w:val="none"/>
              </w:rPr>
            </w:pPr>
            <w:r>
              <w:rPr>
                <w:rFonts w:hint="eastAsia" w:ascii="宋体" w:hAnsi="宋体"/>
                <w:color w:val="000000" w:themeColor="text1"/>
                <w:szCs w:val="21"/>
                <w:highlight w:val="none"/>
              </w:rPr>
              <w:t>价格条件</w:t>
            </w:r>
          </w:p>
        </w:tc>
        <w:tc>
          <w:tcPr>
            <w:tcW w:w="4110" w:type="dxa"/>
            <w:gridSpan w:val="3"/>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color w:val="000000" w:themeColor="text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8" w:hRule="atLeast"/>
          <w:jc w:val="center"/>
        </w:trPr>
        <w:tc>
          <w:tcPr>
            <w:tcW w:w="2925" w:type="dxa"/>
            <w:gridSpan w:val="2"/>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color w:val="000000" w:themeColor="text1"/>
                <w:szCs w:val="21"/>
                <w:highlight w:val="none"/>
              </w:rPr>
            </w:pPr>
            <w:r>
              <w:rPr>
                <w:rFonts w:hint="eastAsia" w:ascii="宋体" w:hAnsi="宋体"/>
                <w:color w:val="000000" w:themeColor="text1"/>
                <w:szCs w:val="21"/>
                <w:highlight w:val="none"/>
              </w:rPr>
              <w:t>交 货 期</w:t>
            </w:r>
          </w:p>
        </w:tc>
        <w:tc>
          <w:tcPr>
            <w:tcW w:w="4110" w:type="dxa"/>
            <w:gridSpan w:val="3"/>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color w:val="000000" w:themeColor="text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8" w:hRule="atLeast"/>
          <w:jc w:val="center"/>
        </w:trPr>
        <w:tc>
          <w:tcPr>
            <w:tcW w:w="2925" w:type="dxa"/>
            <w:gridSpan w:val="2"/>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color w:val="000000" w:themeColor="text1"/>
                <w:szCs w:val="21"/>
                <w:highlight w:val="none"/>
              </w:rPr>
            </w:pPr>
            <w:r>
              <w:rPr>
                <w:rFonts w:hint="eastAsia" w:ascii="宋体" w:hAnsi="宋体"/>
                <w:color w:val="000000" w:themeColor="text1"/>
                <w:szCs w:val="21"/>
                <w:highlight w:val="none"/>
              </w:rPr>
              <w:t>质保期限</w:t>
            </w:r>
          </w:p>
        </w:tc>
        <w:tc>
          <w:tcPr>
            <w:tcW w:w="4110" w:type="dxa"/>
            <w:gridSpan w:val="3"/>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color w:val="000000" w:themeColor="text1"/>
                <w:szCs w:val="21"/>
                <w:highlight w:val="none"/>
              </w:rPr>
            </w:pPr>
          </w:p>
        </w:tc>
      </w:tr>
    </w:tbl>
    <w:p>
      <w:pPr>
        <w:spacing w:line="560" w:lineRule="exact"/>
        <w:rPr>
          <w:rFonts w:ascii="宋体" w:hAnsi="宋体"/>
          <w:color w:val="000000" w:themeColor="text1"/>
          <w:sz w:val="24"/>
          <w:highlight w:val="none"/>
        </w:rPr>
      </w:pPr>
    </w:p>
    <w:p>
      <w:pPr>
        <w:spacing w:line="560" w:lineRule="exact"/>
        <w:ind w:firstLine="480" w:firstLineChars="200"/>
        <w:rPr>
          <w:rFonts w:ascii="宋体" w:hAnsi="宋体"/>
          <w:color w:val="000000" w:themeColor="text1"/>
          <w:sz w:val="24"/>
          <w:highlight w:val="none"/>
        </w:rPr>
      </w:pPr>
      <w:r>
        <w:rPr>
          <w:rFonts w:hint="eastAsia" w:ascii="宋体" w:hAnsi="宋体"/>
          <w:color w:val="000000" w:themeColor="text1"/>
          <w:sz w:val="24"/>
          <w:highlight w:val="none"/>
        </w:rPr>
        <w:t>投标人全称：（盖章或签字）</w:t>
      </w:r>
    </w:p>
    <w:p>
      <w:pPr>
        <w:spacing w:line="560" w:lineRule="exact"/>
        <w:ind w:firstLine="480" w:firstLineChars="200"/>
        <w:rPr>
          <w:rFonts w:ascii="宋体" w:hAnsi="宋体"/>
          <w:color w:val="000000" w:themeColor="text1"/>
          <w:sz w:val="24"/>
          <w:highlight w:val="none"/>
        </w:rPr>
      </w:pPr>
      <w:r>
        <w:rPr>
          <w:rFonts w:hint="eastAsia" w:ascii="宋体" w:hAnsi="宋体"/>
          <w:color w:val="000000" w:themeColor="text1"/>
          <w:sz w:val="24"/>
          <w:highlight w:val="none"/>
        </w:rPr>
        <w:t>授权代表签字：</w:t>
      </w:r>
    </w:p>
    <w:p>
      <w:pPr>
        <w:spacing w:line="560" w:lineRule="exact"/>
        <w:ind w:firstLine="480" w:firstLineChars="200"/>
        <w:rPr>
          <w:rFonts w:ascii="宋体" w:hAnsi="宋体"/>
          <w:color w:val="000000" w:themeColor="text1"/>
          <w:sz w:val="24"/>
          <w:highlight w:val="none"/>
        </w:rPr>
      </w:pPr>
      <w:r>
        <w:rPr>
          <w:rFonts w:hint="eastAsia" w:ascii="宋体" w:hAnsi="宋体"/>
          <w:color w:val="000000" w:themeColor="text1"/>
          <w:sz w:val="24"/>
          <w:highlight w:val="none"/>
        </w:rPr>
        <w:t>日  期：</w:t>
      </w:r>
    </w:p>
    <w:p>
      <w:pPr>
        <w:spacing w:line="480" w:lineRule="exact"/>
        <w:ind w:firstLine="480" w:firstLineChars="200"/>
        <w:rPr>
          <w:rFonts w:ascii="宋体" w:hAnsi="宋体"/>
          <w:color w:val="000000" w:themeColor="text1"/>
          <w:sz w:val="24"/>
          <w:highlight w:val="none"/>
        </w:rPr>
      </w:pPr>
      <w:r>
        <w:rPr>
          <w:rFonts w:hint="eastAsia" w:ascii="宋体" w:hAnsi="宋体"/>
          <w:color w:val="000000" w:themeColor="text1"/>
          <w:sz w:val="24"/>
          <w:highlight w:val="none"/>
        </w:rPr>
        <w:t>说明：1、综合报价包括货物出厂价、辅配件费、运输费、包装费、运输损耗、上车费、安装费、劳务费、抽检费、卸货费、质保期费用、保险、利润、税金及所有风险、责任等各项应有费用。</w:t>
      </w:r>
    </w:p>
    <w:p>
      <w:pPr>
        <w:spacing w:line="480" w:lineRule="exact"/>
        <w:ind w:firstLine="480" w:firstLineChars="200"/>
        <w:rPr>
          <w:rFonts w:ascii="宋体" w:hAnsi="宋体"/>
          <w:color w:val="000000" w:themeColor="text1"/>
          <w:sz w:val="24"/>
          <w:highlight w:val="none"/>
        </w:rPr>
      </w:pPr>
      <w:r>
        <w:rPr>
          <w:rFonts w:hint="eastAsia" w:ascii="宋体" w:hAnsi="宋体"/>
          <w:color w:val="000000" w:themeColor="text1"/>
          <w:sz w:val="24"/>
          <w:highlight w:val="none"/>
        </w:rPr>
        <w:t>2、此表一式两份，按招标文件要求封装，装入正本袋中；</w:t>
      </w:r>
    </w:p>
    <w:p>
      <w:pPr>
        <w:spacing w:line="480" w:lineRule="exact"/>
        <w:ind w:firstLine="480" w:firstLineChars="200"/>
        <w:rPr>
          <w:rFonts w:ascii="宋体" w:hAnsi="宋体"/>
          <w:color w:val="000000" w:themeColor="text1"/>
          <w:sz w:val="24"/>
          <w:highlight w:val="none"/>
        </w:rPr>
      </w:pPr>
      <w:r>
        <w:rPr>
          <w:rFonts w:hint="eastAsia" w:ascii="宋体" w:hAnsi="宋体"/>
          <w:color w:val="000000" w:themeColor="text1"/>
          <w:sz w:val="24"/>
          <w:highlight w:val="none"/>
        </w:rPr>
        <w:t>3、投标单位报价不得高于最高限价。</w:t>
      </w:r>
    </w:p>
    <w:p>
      <w:pPr>
        <w:spacing w:line="480" w:lineRule="exact"/>
        <w:ind w:firstLine="480" w:firstLineChars="200"/>
        <w:rPr>
          <w:rFonts w:eastAsia="仿宋_GB2312"/>
          <w:color w:val="000000" w:themeColor="text1"/>
          <w:highlight w:val="none"/>
        </w:rPr>
      </w:pPr>
      <w:r>
        <w:rPr>
          <w:rFonts w:hint="eastAsia" w:ascii="宋体" w:hAnsi="宋体"/>
          <w:color w:val="000000" w:themeColor="text1"/>
          <w:sz w:val="24"/>
          <w:highlight w:val="none"/>
        </w:rPr>
        <w:t>4、以上报价包含13%增值税，为送达买方指定地点的落地价；</w:t>
      </w:r>
    </w:p>
    <w:p>
      <w:pPr>
        <w:spacing w:line="560" w:lineRule="exact"/>
        <w:ind w:firstLine="480" w:firstLineChars="200"/>
        <w:rPr>
          <w:rFonts w:ascii="宋体" w:hAnsi="宋体"/>
          <w:color w:val="000000" w:themeColor="text1"/>
          <w:sz w:val="24"/>
          <w:highlight w:val="none"/>
        </w:rPr>
      </w:pPr>
      <w:r>
        <w:rPr>
          <w:rFonts w:hint="eastAsia" w:ascii="宋体" w:hAnsi="宋体"/>
          <w:color w:val="000000" w:themeColor="text1"/>
          <w:sz w:val="24"/>
          <w:highlight w:val="none"/>
        </w:rPr>
        <w:t>5、如因投标人填写有误，导致无法唱标，责任由投标人自负。</w:t>
      </w:r>
    </w:p>
    <w:p>
      <w:pPr>
        <w:spacing w:line="560" w:lineRule="exact"/>
        <w:ind w:firstLine="480" w:firstLineChars="200"/>
        <w:rPr>
          <w:rFonts w:ascii="宋体" w:hAnsi="宋体"/>
          <w:color w:val="000000" w:themeColor="text1"/>
          <w:sz w:val="24"/>
          <w:highlight w:val="none"/>
        </w:rPr>
      </w:pPr>
      <w:r>
        <w:rPr>
          <w:rFonts w:hint="eastAsia" w:ascii="宋体" w:hAnsi="宋体"/>
          <w:color w:val="000000" w:themeColor="text1"/>
          <w:sz w:val="24"/>
          <w:highlight w:val="none"/>
        </w:rPr>
        <w:t>6、全自动固相萃取仪和全自动平行浓缩仪分开报价（单项设备报价需细化到设备主、配件）、单价汇总。</w:t>
      </w:r>
    </w:p>
    <w:p>
      <w:pPr>
        <w:rPr>
          <w:rFonts w:ascii="宋体" w:hAnsi="宋体"/>
          <w:color w:val="000000" w:themeColor="text1"/>
          <w:sz w:val="24"/>
          <w:highlight w:val="none"/>
        </w:rPr>
      </w:pPr>
      <w:r>
        <w:rPr>
          <w:rFonts w:hint="eastAsia" w:ascii="宋体" w:hAnsi="宋体"/>
          <w:color w:val="000000" w:themeColor="text1"/>
          <w:sz w:val="24"/>
          <w:highlight w:val="none"/>
        </w:rPr>
        <w:br w:type="page"/>
      </w:r>
    </w:p>
    <w:p>
      <w:pPr>
        <w:pStyle w:val="3"/>
        <w:rPr>
          <w:color w:val="000000" w:themeColor="text1"/>
          <w:highlight w:val="none"/>
        </w:rPr>
      </w:pPr>
    </w:p>
    <w:p>
      <w:pPr>
        <w:spacing w:line="560" w:lineRule="exact"/>
        <w:jc w:val="center"/>
        <w:rPr>
          <w:rFonts w:ascii="楷体_GB2312" w:eastAsia="楷体_GB2312"/>
          <w:b/>
          <w:color w:val="000000" w:themeColor="text1"/>
          <w:sz w:val="44"/>
          <w:highlight w:val="none"/>
        </w:rPr>
      </w:pPr>
      <w:r>
        <w:rPr>
          <w:rFonts w:hint="eastAsia" w:ascii="楷体_GB2312" w:eastAsia="楷体_GB2312"/>
          <w:b/>
          <w:color w:val="000000" w:themeColor="text1"/>
          <w:sz w:val="44"/>
          <w:highlight w:val="none"/>
        </w:rPr>
        <w:t>二、投标人资格证明文件</w:t>
      </w:r>
    </w:p>
    <w:p>
      <w:pPr>
        <w:spacing w:line="560" w:lineRule="exact"/>
        <w:jc w:val="center"/>
        <w:rPr>
          <w:rFonts w:ascii="楷体_GB2312" w:eastAsia="楷体_GB2312"/>
          <w:color w:val="000000" w:themeColor="text1"/>
          <w:sz w:val="24"/>
          <w:highlight w:val="none"/>
        </w:rPr>
      </w:pPr>
      <w:r>
        <w:rPr>
          <w:rFonts w:hint="eastAsia" w:ascii="黑体" w:eastAsia="黑体"/>
          <w:color w:val="000000" w:themeColor="text1"/>
          <w:sz w:val="36"/>
          <w:highlight w:val="none"/>
        </w:rPr>
        <w:t>1.投标人概况</w:t>
      </w:r>
    </w:p>
    <w:p>
      <w:pPr>
        <w:spacing w:line="560" w:lineRule="exact"/>
        <w:rPr>
          <w:rFonts w:ascii="宋体" w:hAnsi="宋体"/>
          <w:color w:val="000000" w:themeColor="text1"/>
          <w:highlight w:val="none"/>
        </w:rPr>
      </w:pPr>
      <w:r>
        <w:rPr>
          <w:rFonts w:hint="eastAsia" w:ascii="宋体" w:hAnsi="宋体"/>
          <w:color w:val="000000" w:themeColor="text1"/>
          <w:highlight w:val="none"/>
        </w:rPr>
        <w:t>（注：投标人简要历史、生产的主要产品或经营业务范围；组织机构、所属集（财）团等）</w:t>
      </w:r>
    </w:p>
    <w:p>
      <w:pPr>
        <w:spacing w:line="560" w:lineRule="exact"/>
        <w:rPr>
          <w:rFonts w:ascii="楷体_GB2312" w:eastAsia="楷体_GB2312"/>
          <w:color w:val="000000" w:themeColor="text1"/>
          <w:sz w:val="24"/>
          <w:highlight w:val="none"/>
        </w:rPr>
      </w:pPr>
    </w:p>
    <w:p>
      <w:pPr>
        <w:spacing w:line="560" w:lineRule="exact"/>
        <w:jc w:val="center"/>
        <w:rPr>
          <w:rFonts w:ascii="黑体" w:eastAsia="黑体"/>
          <w:color w:val="000000" w:themeColor="text1"/>
          <w:sz w:val="36"/>
          <w:highlight w:val="none"/>
        </w:rPr>
      </w:pPr>
      <w:r>
        <w:rPr>
          <w:rFonts w:hint="eastAsia" w:ascii="黑体" w:eastAsia="黑体"/>
          <w:color w:val="000000" w:themeColor="text1"/>
          <w:sz w:val="36"/>
          <w:highlight w:val="none"/>
        </w:rPr>
        <w:t>2.投标人技术能力</w:t>
      </w:r>
    </w:p>
    <w:p>
      <w:pPr>
        <w:spacing w:line="560" w:lineRule="exact"/>
        <w:jc w:val="center"/>
        <w:rPr>
          <w:rFonts w:ascii="宋体" w:hAnsi="宋体"/>
          <w:color w:val="000000" w:themeColor="text1"/>
          <w:highlight w:val="none"/>
        </w:rPr>
      </w:pPr>
      <w:r>
        <w:rPr>
          <w:rFonts w:hint="eastAsia" w:ascii="宋体" w:hAnsi="宋体"/>
          <w:color w:val="000000" w:themeColor="text1"/>
          <w:highlight w:val="none"/>
        </w:rPr>
        <w:t>（注：简要介绍投标人的生产水平、技术力量、装备水平及生产能力等）</w:t>
      </w:r>
    </w:p>
    <w:p>
      <w:pPr>
        <w:spacing w:line="560" w:lineRule="exact"/>
        <w:rPr>
          <w:rFonts w:ascii="楷体_GB2312" w:eastAsia="楷体_GB2312"/>
          <w:color w:val="000000" w:themeColor="text1"/>
          <w:sz w:val="24"/>
          <w:highlight w:val="none"/>
        </w:rPr>
      </w:pPr>
    </w:p>
    <w:p>
      <w:pPr>
        <w:spacing w:line="560" w:lineRule="exact"/>
        <w:rPr>
          <w:rFonts w:ascii="楷体_GB2312" w:eastAsia="楷体_GB2312"/>
          <w:color w:val="000000" w:themeColor="text1"/>
          <w:sz w:val="24"/>
          <w:highlight w:val="none"/>
        </w:rPr>
      </w:pPr>
    </w:p>
    <w:p>
      <w:pPr>
        <w:spacing w:line="560" w:lineRule="exact"/>
        <w:jc w:val="center"/>
        <w:rPr>
          <w:rFonts w:ascii="黑体" w:eastAsia="黑体"/>
          <w:color w:val="000000" w:themeColor="text1"/>
          <w:sz w:val="36"/>
          <w:highlight w:val="none"/>
        </w:rPr>
      </w:pPr>
      <w:r>
        <w:rPr>
          <w:rFonts w:hint="eastAsia" w:ascii="黑体" w:eastAsia="黑体"/>
          <w:color w:val="000000" w:themeColor="text1"/>
          <w:sz w:val="36"/>
          <w:highlight w:val="none"/>
        </w:rPr>
        <w:t>3.投标人及制造商财务状况</w:t>
      </w:r>
    </w:p>
    <w:p>
      <w:pPr>
        <w:spacing w:line="400" w:lineRule="exact"/>
        <w:rPr>
          <w:rFonts w:ascii="宋体" w:hAnsi="宋体"/>
          <w:color w:val="000000" w:themeColor="text1"/>
          <w:highlight w:val="none"/>
        </w:rPr>
      </w:pPr>
      <w:r>
        <w:rPr>
          <w:rFonts w:hint="eastAsia" w:ascii="宋体" w:hAnsi="宋体"/>
          <w:color w:val="000000" w:themeColor="text1"/>
          <w:highlight w:val="none"/>
        </w:rPr>
        <w:t>（注：请提供开户行名称及由其开具的资信证明；固定资产原值、净值、流动资金、最近三年年产值、销售额或贸易额和利润额）</w:t>
      </w:r>
    </w:p>
    <w:p>
      <w:pPr>
        <w:spacing w:line="400" w:lineRule="exact"/>
        <w:rPr>
          <w:rFonts w:ascii="宋体" w:hAnsi="宋体"/>
          <w:color w:val="000000" w:themeColor="text1"/>
          <w:highlight w:val="none"/>
        </w:rPr>
      </w:pPr>
    </w:p>
    <w:p>
      <w:pPr>
        <w:spacing w:line="400" w:lineRule="exact"/>
        <w:rPr>
          <w:rFonts w:ascii="宋体" w:hAnsi="宋体"/>
          <w:color w:val="000000" w:themeColor="text1"/>
          <w:highlight w:val="none"/>
        </w:rPr>
      </w:pPr>
    </w:p>
    <w:p>
      <w:pPr>
        <w:spacing w:line="560" w:lineRule="exact"/>
        <w:jc w:val="center"/>
        <w:rPr>
          <w:rFonts w:ascii="黑体" w:eastAsia="黑体"/>
          <w:color w:val="000000" w:themeColor="text1"/>
          <w:sz w:val="36"/>
          <w:highlight w:val="none"/>
        </w:rPr>
      </w:pPr>
      <w:r>
        <w:rPr>
          <w:rFonts w:hint="eastAsia" w:ascii="黑体" w:eastAsia="黑体"/>
          <w:color w:val="000000" w:themeColor="text1"/>
          <w:sz w:val="36"/>
          <w:highlight w:val="none"/>
        </w:rPr>
        <w:t>4.营业执照副本</w:t>
      </w:r>
    </w:p>
    <w:p>
      <w:pPr>
        <w:spacing w:line="560" w:lineRule="exact"/>
        <w:rPr>
          <w:rFonts w:ascii="楷体_GB2312" w:eastAsia="楷体_GB2312"/>
          <w:color w:val="000000" w:themeColor="text1"/>
          <w:sz w:val="24"/>
          <w:highlight w:val="none"/>
        </w:rPr>
      </w:pPr>
    </w:p>
    <w:p>
      <w:pPr>
        <w:spacing w:line="560" w:lineRule="exact"/>
        <w:jc w:val="center"/>
        <w:rPr>
          <w:rFonts w:ascii="黑体" w:eastAsia="黑体"/>
          <w:color w:val="000000" w:themeColor="text1"/>
          <w:sz w:val="36"/>
          <w:highlight w:val="none"/>
        </w:rPr>
      </w:pPr>
    </w:p>
    <w:p>
      <w:pPr>
        <w:spacing w:line="560" w:lineRule="exact"/>
        <w:jc w:val="center"/>
        <w:rPr>
          <w:rFonts w:ascii="黑体" w:eastAsia="黑体"/>
          <w:color w:val="000000" w:themeColor="text1"/>
          <w:sz w:val="36"/>
          <w:highlight w:val="none"/>
        </w:rPr>
      </w:pPr>
    </w:p>
    <w:p>
      <w:pPr>
        <w:spacing w:line="560" w:lineRule="exact"/>
        <w:jc w:val="center"/>
        <w:rPr>
          <w:rFonts w:ascii="黑体" w:eastAsia="黑体"/>
          <w:color w:val="000000" w:themeColor="text1"/>
          <w:sz w:val="36"/>
          <w:highlight w:val="none"/>
        </w:rPr>
      </w:pPr>
    </w:p>
    <w:p>
      <w:pPr>
        <w:spacing w:line="560" w:lineRule="exact"/>
        <w:jc w:val="center"/>
        <w:rPr>
          <w:rFonts w:ascii="黑体" w:eastAsia="黑体"/>
          <w:color w:val="000000" w:themeColor="text1"/>
          <w:sz w:val="36"/>
          <w:highlight w:val="none"/>
        </w:rPr>
      </w:pPr>
    </w:p>
    <w:p>
      <w:pPr>
        <w:spacing w:line="560" w:lineRule="exact"/>
        <w:jc w:val="center"/>
        <w:rPr>
          <w:rFonts w:ascii="黑体" w:eastAsia="黑体"/>
          <w:color w:val="000000" w:themeColor="text1"/>
          <w:sz w:val="36"/>
          <w:highlight w:val="none"/>
        </w:rPr>
      </w:pPr>
    </w:p>
    <w:p>
      <w:pPr>
        <w:spacing w:line="560" w:lineRule="exact"/>
        <w:jc w:val="center"/>
        <w:rPr>
          <w:rFonts w:ascii="黑体" w:eastAsia="黑体"/>
          <w:color w:val="000000" w:themeColor="text1"/>
          <w:sz w:val="36"/>
          <w:highlight w:val="none"/>
        </w:rPr>
      </w:pPr>
    </w:p>
    <w:p>
      <w:pPr>
        <w:spacing w:line="560" w:lineRule="exact"/>
        <w:jc w:val="center"/>
        <w:rPr>
          <w:rFonts w:ascii="黑体" w:eastAsia="黑体"/>
          <w:color w:val="000000" w:themeColor="text1"/>
          <w:sz w:val="36"/>
          <w:highlight w:val="none"/>
        </w:rPr>
      </w:pPr>
    </w:p>
    <w:p>
      <w:pPr>
        <w:spacing w:line="560" w:lineRule="exact"/>
        <w:jc w:val="center"/>
        <w:rPr>
          <w:rFonts w:ascii="黑体" w:eastAsia="黑体"/>
          <w:color w:val="000000" w:themeColor="text1"/>
          <w:sz w:val="36"/>
          <w:highlight w:val="none"/>
        </w:rPr>
      </w:pPr>
    </w:p>
    <w:p>
      <w:pPr>
        <w:spacing w:line="560" w:lineRule="exact"/>
        <w:jc w:val="center"/>
        <w:rPr>
          <w:rFonts w:ascii="黑体" w:eastAsia="黑体"/>
          <w:color w:val="000000" w:themeColor="text1"/>
          <w:sz w:val="36"/>
          <w:highlight w:val="none"/>
        </w:rPr>
      </w:pPr>
    </w:p>
    <w:p>
      <w:pPr>
        <w:spacing w:line="560" w:lineRule="exact"/>
        <w:jc w:val="center"/>
        <w:rPr>
          <w:rFonts w:ascii="黑体" w:eastAsia="黑体"/>
          <w:color w:val="000000" w:themeColor="text1"/>
          <w:sz w:val="36"/>
          <w:highlight w:val="none"/>
        </w:rPr>
      </w:pPr>
    </w:p>
    <w:p>
      <w:pPr>
        <w:spacing w:line="560" w:lineRule="exact"/>
        <w:jc w:val="center"/>
        <w:rPr>
          <w:rFonts w:ascii="黑体" w:eastAsia="黑体"/>
          <w:color w:val="000000" w:themeColor="text1"/>
          <w:sz w:val="36"/>
          <w:highlight w:val="none"/>
        </w:rPr>
      </w:pPr>
    </w:p>
    <w:p>
      <w:pPr>
        <w:spacing w:line="560" w:lineRule="exact"/>
        <w:jc w:val="center"/>
        <w:rPr>
          <w:rFonts w:ascii="黑体" w:eastAsia="黑体"/>
          <w:color w:val="000000" w:themeColor="text1"/>
          <w:sz w:val="36"/>
          <w:highlight w:val="none"/>
        </w:rPr>
      </w:pPr>
      <w:r>
        <w:rPr>
          <w:rFonts w:hint="eastAsia" w:ascii="黑体" w:eastAsia="黑体"/>
          <w:color w:val="000000" w:themeColor="text1"/>
          <w:sz w:val="36"/>
          <w:highlight w:val="none"/>
        </w:rPr>
        <w:t>5.授权委托书(如有)</w:t>
      </w:r>
    </w:p>
    <w:p>
      <w:pPr>
        <w:spacing w:line="560" w:lineRule="exact"/>
        <w:rPr>
          <w:rFonts w:ascii="楷体_GB2312" w:eastAsia="楷体_GB2312"/>
          <w:color w:val="000000" w:themeColor="text1"/>
          <w:sz w:val="24"/>
          <w:highlight w:val="none"/>
        </w:rPr>
      </w:pPr>
    </w:p>
    <w:p>
      <w:pPr>
        <w:spacing w:after="240" w:line="360" w:lineRule="auto"/>
        <w:jc w:val="center"/>
        <w:rPr>
          <w:rFonts w:ascii="宋体" w:hAnsi="宋体"/>
          <w:b/>
          <w:color w:val="000000" w:themeColor="text1"/>
          <w:sz w:val="32"/>
          <w:highlight w:val="none"/>
        </w:rPr>
      </w:pPr>
      <w:r>
        <w:rPr>
          <w:rFonts w:hint="eastAsia" w:ascii="宋体" w:hAnsi="宋体"/>
          <w:b/>
          <w:color w:val="000000" w:themeColor="text1"/>
          <w:sz w:val="32"/>
          <w:highlight w:val="none"/>
        </w:rPr>
        <w:t>授 权 委 托 书</w:t>
      </w:r>
    </w:p>
    <w:p>
      <w:pPr>
        <w:topLinePunct/>
        <w:spacing w:line="360" w:lineRule="auto"/>
        <w:ind w:firstLine="480" w:firstLineChars="200"/>
        <w:rPr>
          <w:color w:val="000000" w:themeColor="text1"/>
          <w:sz w:val="24"/>
          <w:highlight w:val="none"/>
          <w:u w:val="single"/>
        </w:rPr>
      </w:pPr>
      <w:r>
        <w:rPr>
          <w:rFonts w:hint="eastAsia"/>
          <w:color w:val="000000" w:themeColor="text1"/>
          <w:sz w:val="24"/>
          <w:highlight w:val="none"/>
        </w:rPr>
        <w:t>本人（姓名）系（投标人名称）的法定代表人，现委托</w:t>
      </w:r>
    </w:p>
    <w:p>
      <w:pPr>
        <w:topLinePunct/>
        <w:spacing w:line="360" w:lineRule="auto"/>
        <w:rPr>
          <w:color w:val="000000" w:themeColor="text1"/>
          <w:sz w:val="24"/>
          <w:highlight w:val="none"/>
        </w:rPr>
      </w:pPr>
      <w:r>
        <w:rPr>
          <w:rFonts w:hint="eastAsia"/>
          <w:color w:val="000000" w:themeColor="text1"/>
          <w:sz w:val="24"/>
          <w:highlight w:val="none"/>
        </w:rPr>
        <w:t>（姓名）为我方代理人。代理人根据授权，以我方名义签署、澄清、说明、补正、递交、撤回、修改</w:t>
      </w:r>
      <w:r>
        <w:rPr>
          <w:rFonts w:hint="eastAsia" w:ascii="宋体" w:hAnsi="宋体"/>
          <w:color w:val="000000" w:themeColor="text1"/>
          <w:sz w:val="24"/>
          <w:highlight w:val="none"/>
        </w:rPr>
        <w:t>项目（项目名称）</w:t>
      </w:r>
      <w:r>
        <w:rPr>
          <w:rFonts w:hint="eastAsia"/>
          <w:color w:val="000000" w:themeColor="text1"/>
          <w:sz w:val="24"/>
          <w:highlight w:val="none"/>
        </w:rPr>
        <w:t>投标文件、签订合同和处理有关事宜，其法律后果由我方承担。</w:t>
      </w:r>
    </w:p>
    <w:p>
      <w:pPr>
        <w:spacing w:line="360" w:lineRule="auto"/>
        <w:rPr>
          <w:color w:val="000000" w:themeColor="text1"/>
          <w:sz w:val="24"/>
          <w:highlight w:val="none"/>
        </w:rPr>
      </w:pPr>
      <w:r>
        <w:rPr>
          <w:rFonts w:hint="eastAsia"/>
          <w:color w:val="000000" w:themeColor="text1"/>
          <w:sz w:val="24"/>
          <w:highlight w:val="none"/>
        </w:rPr>
        <w:t>代理人无转委托权。</w:t>
      </w:r>
    </w:p>
    <w:p>
      <w:pPr>
        <w:spacing w:line="360" w:lineRule="auto"/>
        <w:rPr>
          <w:color w:val="000000" w:themeColor="text1"/>
          <w:sz w:val="24"/>
          <w:highlight w:val="none"/>
        </w:rPr>
      </w:pPr>
    </w:p>
    <w:p>
      <w:pPr>
        <w:spacing w:line="440" w:lineRule="exact"/>
        <w:rPr>
          <w:color w:val="000000" w:themeColor="text1"/>
          <w:sz w:val="24"/>
          <w:highlight w:val="none"/>
        </w:rPr>
      </w:pPr>
      <w:r>
        <w:rPr>
          <w:rFonts w:hint="eastAsia"/>
          <w:color w:val="000000" w:themeColor="text1"/>
          <w:sz w:val="24"/>
          <w:highlight w:val="none"/>
        </w:rPr>
        <w:t>投标人：（盖单位章）</w:t>
      </w:r>
    </w:p>
    <w:p>
      <w:pPr>
        <w:spacing w:line="440" w:lineRule="exact"/>
        <w:rPr>
          <w:color w:val="000000" w:themeColor="text1"/>
          <w:sz w:val="24"/>
          <w:highlight w:val="none"/>
        </w:rPr>
      </w:pPr>
    </w:p>
    <w:p>
      <w:pPr>
        <w:spacing w:line="440" w:lineRule="exact"/>
        <w:rPr>
          <w:color w:val="000000" w:themeColor="text1"/>
          <w:sz w:val="24"/>
          <w:highlight w:val="none"/>
        </w:rPr>
      </w:pPr>
      <w:r>
        <w:rPr>
          <w:rFonts w:hint="eastAsia"/>
          <w:color w:val="000000" w:themeColor="text1"/>
          <w:sz w:val="24"/>
          <w:highlight w:val="none"/>
        </w:rPr>
        <w:t>法定代表人：（签字）</w:t>
      </w:r>
    </w:p>
    <w:p>
      <w:pPr>
        <w:spacing w:line="440" w:lineRule="exact"/>
        <w:rPr>
          <w:color w:val="000000" w:themeColor="text1"/>
          <w:sz w:val="24"/>
          <w:highlight w:val="none"/>
        </w:rPr>
      </w:pPr>
    </w:p>
    <w:p>
      <w:pPr>
        <w:spacing w:line="440" w:lineRule="exact"/>
        <w:rPr>
          <w:color w:val="000000" w:themeColor="text1"/>
          <w:sz w:val="24"/>
          <w:highlight w:val="none"/>
        </w:rPr>
      </w:pPr>
      <w:r>
        <w:rPr>
          <w:rFonts w:hint="eastAsia"/>
          <w:color w:val="000000" w:themeColor="text1"/>
          <w:sz w:val="24"/>
          <w:highlight w:val="none"/>
        </w:rPr>
        <w:t>身份证号码：</w:t>
      </w:r>
    </w:p>
    <w:p>
      <w:pPr>
        <w:spacing w:line="440" w:lineRule="exact"/>
        <w:rPr>
          <w:color w:val="000000" w:themeColor="text1"/>
          <w:sz w:val="24"/>
          <w:highlight w:val="none"/>
        </w:rPr>
      </w:pPr>
    </w:p>
    <w:p>
      <w:pPr>
        <w:spacing w:line="440" w:lineRule="exact"/>
        <w:rPr>
          <w:color w:val="000000" w:themeColor="text1"/>
          <w:sz w:val="24"/>
          <w:highlight w:val="none"/>
        </w:rPr>
      </w:pPr>
      <w:r>
        <w:rPr>
          <w:rFonts w:hint="eastAsia"/>
          <w:color w:val="000000" w:themeColor="text1"/>
          <w:sz w:val="24"/>
          <w:highlight w:val="none"/>
        </w:rPr>
        <w:t>委托代理人：（签字）</w:t>
      </w:r>
    </w:p>
    <w:p>
      <w:pPr>
        <w:spacing w:line="440" w:lineRule="exact"/>
        <w:rPr>
          <w:color w:val="000000" w:themeColor="text1"/>
          <w:sz w:val="24"/>
          <w:highlight w:val="none"/>
        </w:rPr>
      </w:pPr>
    </w:p>
    <w:p>
      <w:pPr>
        <w:spacing w:line="440" w:lineRule="exact"/>
        <w:rPr>
          <w:color w:val="000000" w:themeColor="text1"/>
          <w:sz w:val="24"/>
          <w:highlight w:val="none"/>
        </w:rPr>
      </w:pPr>
      <w:r>
        <w:rPr>
          <w:rFonts w:hint="eastAsia"/>
          <w:color w:val="000000" w:themeColor="text1"/>
          <w:sz w:val="24"/>
          <w:highlight w:val="none"/>
        </w:rPr>
        <w:t>身份证号码：附身份证复印件</w:t>
      </w:r>
    </w:p>
    <w:p>
      <w:pPr>
        <w:spacing w:line="440" w:lineRule="exact"/>
        <w:rPr>
          <w:color w:val="000000" w:themeColor="text1"/>
          <w:sz w:val="24"/>
          <w:highlight w:val="none"/>
        </w:rPr>
      </w:pPr>
    </w:p>
    <w:p>
      <w:pPr>
        <w:spacing w:line="440" w:lineRule="exact"/>
        <w:rPr>
          <w:color w:val="000000" w:themeColor="text1"/>
          <w:sz w:val="24"/>
          <w:highlight w:val="none"/>
        </w:rPr>
      </w:pPr>
    </w:p>
    <w:p>
      <w:pPr>
        <w:spacing w:line="560" w:lineRule="exact"/>
        <w:rPr>
          <w:rFonts w:ascii="楷体_GB2312" w:eastAsia="楷体_GB2312"/>
          <w:color w:val="000000" w:themeColor="text1"/>
          <w:sz w:val="24"/>
          <w:highlight w:val="none"/>
        </w:rPr>
      </w:pPr>
      <w:r>
        <w:rPr>
          <w:rFonts w:hint="eastAsia"/>
          <w:color w:val="000000" w:themeColor="text1"/>
          <w:sz w:val="24"/>
          <w:highlight w:val="none"/>
        </w:rPr>
        <w:t>年月日</w:t>
      </w:r>
    </w:p>
    <w:p>
      <w:pPr>
        <w:spacing w:line="560" w:lineRule="exact"/>
        <w:rPr>
          <w:rFonts w:ascii="楷体_GB2312" w:eastAsia="楷体_GB2312"/>
          <w:color w:val="000000" w:themeColor="text1"/>
          <w:sz w:val="24"/>
          <w:highlight w:val="none"/>
        </w:rPr>
      </w:pPr>
    </w:p>
    <w:p>
      <w:pPr>
        <w:spacing w:line="560" w:lineRule="exact"/>
        <w:rPr>
          <w:rFonts w:ascii="楷体_GB2312" w:eastAsia="楷体_GB2312"/>
          <w:color w:val="000000" w:themeColor="text1"/>
          <w:sz w:val="24"/>
          <w:highlight w:val="none"/>
        </w:rPr>
      </w:pPr>
    </w:p>
    <w:p>
      <w:pPr>
        <w:spacing w:line="560" w:lineRule="exact"/>
        <w:rPr>
          <w:rFonts w:ascii="楷体_GB2312" w:eastAsia="楷体_GB2312"/>
          <w:color w:val="000000" w:themeColor="text1"/>
          <w:sz w:val="24"/>
          <w:highlight w:val="none"/>
        </w:rPr>
      </w:pPr>
    </w:p>
    <w:p>
      <w:pPr>
        <w:spacing w:line="560" w:lineRule="exact"/>
        <w:rPr>
          <w:rFonts w:ascii="楷体_GB2312" w:eastAsia="楷体_GB2312"/>
          <w:color w:val="000000" w:themeColor="text1"/>
          <w:sz w:val="24"/>
          <w:highlight w:val="none"/>
        </w:rPr>
      </w:pPr>
    </w:p>
    <w:p>
      <w:pPr>
        <w:spacing w:line="560" w:lineRule="exact"/>
        <w:rPr>
          <w:rFonts w:ascii="楷体_GB2312" w:eastAsia="楷体_GB2312"/>
          <w:color w:val="000000" w:themeColor="text1"/>
          <w:sz w:val="24"/>
          <w:highlight w:val="none"/>
        </w:rPr>
      </w:pPr>
    </w:p>
    <w:p>
      <w:pPr>
        <w:spacing w:line="560" w:lineRule="exact"/>
        <w:rPr>
          <w:rFonts w:ascii="楷体_GB2312" w:eastAsia="楷体_GB2312"/>
          <w:color w:val="000000" w:themeColor="text1"/>
          <w:sz w:val="24"/>
          <w:highlight w:val="none"/>
        </w:rPr>
      </w:pPr>
    </w:p>
    <w:p>
      <w:pPr>
        <w:spacing w:line="720" w:lineRule="exact"/>
        <w:jc w:val="center"/>
        <w:rPr>
          <w:rFonts w:ascii="黑体" w:eastAsia="黑体"/>
          <w:color w:val="000000" w:themeColor="text1"/>
          <w:sz w:val="36"/>
          <w:highlight w:val="none"/>
        </w:rPr>
      </w:pPr>
    </w:p>
    <w:p>
      <w:pPr>
        <w:spacing w:line="720" w:lineRule="exact"/>
        <w:jc w:val="center"/>
        <w:rPr>
          <w:rFonts w:ascii="楷体_GB2312" w:eastAsia="楷体_GB2312"/>
          <w:color w:val="000000" w:themeColor="text1"/>
          <w:sz w:val="36"/>
          <w:highlight w:val="none"/>
        </w:rPr>
      </w:pPr>
      <w:r>
        <w:rPr>
          <w:rFonts w:hint="eastAsia" w:ascii="黑体" w:eastAsia="黑体"/>
          <w:color w:val="000000" w:themeColor="text1"/>
          <w:sz w:val="36"/>
          <w:highlight w:val="none"/>
        </w:rPr>
        <w:t>6.制造商授权书格式(如有)</w:t>
      </w:r>
    </w:p>
    <w:p>
      <w:pPr>
        <w:spacing w:line="720" w:lineRule="exact"/>
        <w:jc w:val="center"/>
        <w:rPr>
          <w:rFonts w:ascii="楷体_GB2312" w:eastAsia="楷体_GB2312"/>
          <w:b/>
          <w:color w:val="000000" w:themeColor="text1"/>
          <w:sz w:val="30"/>
          <w:highlight w:val="none"/>
        </w:rPr>
      </w:pPr>
      <w:r>
        <w:rPr>
          <w:rFonts w:hint="eastAsia" w:ascii="楷体_GB2312" w:eastAsia="楷体_GB2312"/>
          <w:b/>
          <w:color w:val="000000" w:themeColor="text1"/>
          <w:sz w:val="30"/>
          <w:highlight w:val="none"/>
        </w:rPr>
        <w:t>制造商授权书</w:t>
      </w:r>
    </w:p>
    <w:p>
      <w:pPr>
        <w:spacing w:line="480" w:lineRule="exact"/>
        <w:rPr>
          <w:rFonts w:ascii="楷体_GB2312" w:eastAsia="楷体_GB2312"/>
          <w:color w:val="000000" w:themeColor="text1"/>
          <w:sz w:val="24"/>
          <w:highlight w:val="none"/>
        </w:rPr>
      </w:pPr>
      <w:r>
        <w:rPr>
          <w:rFonts w:hint="eastAsia" w:ascii="宋体" w:hAnsi="宋体"/>
          <w:color w:val="000000" w:themeColor="text1"/>
          <w:spacing w:val="28"/>
          <w:sz w:val="24"/>
          <w:highlight w:val="none"/>
        </w:rPr>
        <w:t>江苏长江水务股份有限公司</w:t>
      </w:r>
      <w:r>
        <w:rPr>
          <w:rFonts w:hint="eastAsia" w:ascii="楷体_GB2312" w:eastAsia="楷体_GB2312"/>
          <w:color w:val="000000" w:themeColor="text1"/>
          <w:sz w:val="24"/>
          <w:highlight w:val="none"/>
        </w:rPr>
        <w:t>：</w:t>
      </w:r>
    </w:p>
    <w:p>
      <w:pPr>
        <w:spacing w:line="560" w:lineRule="exact"/>
        <w:rPr>
          <w:rFonts w:ascii="宋体" w:hAnsi="宋体"/>
          <w:color w:val="000000" w:themeColor="text1"/>
          <w:sz w:val="24"/>
          <w:highlight w:val="none"/>
        </w:rPr>
      </w:pPr>
      <w:r>
        <w:rPr>
          <w:rFonts w:hint="eastAsia" w:ascii="宋体" w:hAnsi="宋体"/>
          <w:color w:val="000000" w:themeColor="text1"/>
          <w:sz w:val="24"/>
          <w:highlight w:val="none"/>
        </w:rPr>
        <w:t xml:space="preserve">    位于</w:t>
      </w:r>
      <w:r>
        <w:rPr>
          <w:rFonts w:hint="eastAsia" w:ascii="宋体" w:hAnsi="宋体"/>
          <w:color w:val="000000" w:themeColor="text1"/>
          <w:sz w:val="24"/>
          <w:highlight w:val="none"/>
          <w:u w:val="single"/>
        </w:rPr>
        <w:t>（制造厂家地址）</w:t>
      </w:r>
      <w:r>
        <w:rPr>
          <w:rFonts w:hint="eastAsia" w:ascii="宋体" w:hAnsi="宋体"/>
          <w:color w:val="000000" w:themeColor="text1"/>
          <w:sz w:val="24"/>
          <w:highlight w:val="none"/>
        </w:rPr>
        <w:t>的</w:t>
      </w:r>
      <w:r>
        <w:rPr>
          <w:rFonts w:hint="eastAsia" w:ascii="宋体" w:hAnsi="宋体"/>
          <w:color w:val="000000" w:themeColor="text1"/>
          <w:sz w:val="24"/>
          <w:highlight w:val="none"/>
          <w:u w:val="single"/>
        </w:rPr>
        <w:t>（制造厂家名称）</w:t>
      </w:r>
      <w:r>
        <w:rPr>
          <w:rFonts w:hint="eastAsia" w:ascii="宋体" w:hAnsi="宋体"/>
          <w:color w:val="000000" w:themeColor="text1"/>
          <w:sz w:val="24"/>
          <w:highlight w:val="none"/>
        </w:rPr>
        <w:t>是有声望的制造（货物名称和描述）的制造者，在此授权</w:t>
      </w:r>
      <w:r>
        <w:rPr>
          <w:rFonts w:hint="eastAsia" w:ascii="宋体" w:hAnsi="宋体"/>
          <w:color w:val="000000" w:themeColor="text1"/>
          <w:sz w:val="24"/>
          <w:highlight w:val="none"/>
          <w:u w:val="single"/>
        </w:rPr>
        <w:t>（代理机构名称和地址）</w:t>
      </w:r>
      <w:r>
        <w:rPr>
          <w:rFonts w:hint="eastAsia" w:ascii="宋体" w:hAnsi="宋体"/>
          <w:color w:val="000000" w:themeColor="text1"/>
          <w:sz w:val="24"/>
          <w:highlight w:val="none"/>
        </w:rPr>
        <w:t>就</w:t>
      </w:r>
      <w:r>
        <w:rPr>
          <w:rFonts w:hint="eastAsia"/>
          <w:color w:val="000000" w:themeColor="text1"/>
          <w:sz w:val="24"/>
          <w:highlight w:val="none"/>
        </w:rPr>
        <w:t>江苏长江水务股份有限公司</w:t>
      </w:r>
      <w:r>
        <w:rPr>
          <w:rFonts w:hint="eastAsia" w:ascii="宋体" w:hAnsi="宋体"/>
          <w:color w:val="000000" w:themeColor="text1"/>
          <w:sz w:val="24"/>
          <w:highlight w:val="none"/>
        </w:rPr>
        <w:t>招标用我厂制造的货物递交投标文件，并与买方进行后续合同谈判和签订合同。</w:t>
      </w:r>
    </w:p>
    <w:p>
      <w:pPr>
        <w:spacing w:line="560" w:lineRule="exact"/>
        <w:rPr>
          <w:rFonts w:ascii="宋体" w:hAnsi="宋体"/>
          <w:color w:val="000000" w:themeColor="text1"/>
          <w:sz w:val="24"/>
          <w:highlight w:val="none"/>
        </w:rPr>
      </w:pPr>
      <w:r>
        <w:rPr>
          <w:rFonts w:hint="eastAsia" w:ascii="宋体" w:hAnsi="宋体"/>
          <w:color w:val="000000" w:themeColor="text1"/>
          <w:sz w:val="24"/>
          <w:highlight w:val="none"/>
        </w:rPr>
        <w:t xml:space="preserve">    我方在此保证为上述公司响应本次招标而提供的货物按照招标文件合同条款的规定提供全部质量保证。</w:t>
      </w:r>
    </w:p>
    <w:p>
      <w:pPr>
        <w:spacing w:line="560" w:lineRule="exact"/>
        <w:rPr>
          <w:rFonts w:ascii="宋体" w:hAnsi="宋体"/>
          <w:color w:val="000000" w:themeColor="text1"/>
          <w:sz w:val="24"/>
          <w:highlight w:val="none"/>
        </w:rPr>
      </w:pPr>
    </w:p>
    <w:p>
      <w:pPr>
        <w:spacing w:line="560" w:lineRule="exact"/>
        <w:rPr>
          <w:rFonts w:ascii="宋体" w:hAnsi="宋体"/>
          <w:color w:val="000000" w:themeColor="text1"/>
          <w:sz w:val="24"/>
          <w:highlight w:val="none"/>
        </w:rPr>
      </w:pPr>
    </w:p>
    <w:p>
      <w:pPr>
        <w:spacing w:line="560" w:lineRule="exact"/>
        <w:rPr>
          <w:rFonts w:ascii="宋体" w:hAnsi="宋体"/>
          <w:color w:val="000000" w:themeColor="text1"/>
          <w:sz w:val="24"/>
          <w:highlight w:val="none"/>
        </w:rPr>
      </w:pPr>
    </w:p>
    <w:p>
      <w:pPr>
        <w:spacing w:line="560" w:lineRule="exact"/>
        <w:rPr>
          <w:rFonts w:ascii="宋体" w:hAnsi="宋体"/>
          <w:color w:val="000000" w:themeColor="text1"/>
          <w:sz w:val="24"/>
          <w:highlight w:val="none"/>
        </w:rPr>
      </w:pPr>
      <w:r>
        <w:rPr>
          <w:rFonts w:hint="eastAsia" w:ascii="宋体" w:hAnsi="宋体"/>
          <w:color w:val="000000" w:themeColor="text1"/>
          <w:sz w:val="24"/>
          <w:highlight w:val="none"/>
        </w:rPr>
        <w:t xml:space="preserve">                                         制造厂家：</w:t>
      </w:r>
    </w:p>
    <w:p>
      <w:pPr>
        <w:spacing w:line="560" w:lineRule="exact"/>
        <w:rPr>
          <w:rFonts w:ascii="宋体" w:hAnsi="宋体"/>
          <w:color w:val="000000" w:themeColor="text1"/>
          <w:sz w:val="24"/>
          <w:highlight w:val="none"/>
        </w:rPr>
      </w:pPr>
      <w:r>
        <w:rPr>
          <w:rFonts w:hint="eastAsia" w:ascii="宋体" w:hAnsi="宋体"/>
          <w:color w:val="000000" w:themeColor="text1"/>
          <w:sz w:val="24"/>
          <w:highlight w:val="none"/>
        </w:rPr>
        <w:t xml:space="preserve">                                     授权代表签字：</w:t>
      </w:r>
    </w:p>
    <w:p>
      <w:pPr>
        <w:spacing w:line="560" w:lineRule="exact"/>
        <w:rPr>
          <w:rFonts w:ascii="宋体" w:hAnsi="宋体"/>
          <w:color w:val="000000" w:themeColor="text1"/>
          <w:sz w:val="24"/>
          <w:highlight w:val="none"/>
        </w:rPr>
      </w:pPr>
      <w:r>
        <w:rPr>
          <w:rFonts w:hint="eastAsia" w:ascii="宋体" w:hAnsi="宋体"/>
          <w:color w:val="000000" w:themeColor="text1"/>
          <w:sz w:val="24"/>
          <w:highlight w:val="none"/>
        </w:rPr>
        <w:t xml:space="preserve">                                             职务：</w:t>
      </w:r>
    </w:p>
    <w:p>
      <w:pPr>
        <w:spacing w:line="560" w:lineRule="exact"/>
        <w:rPr>
          <w:rFonts w:ascii="宋体" w:hAnsi="宋体"/>
          <w:color w:val="000000" w:themeColor="text1"/>
          <w:sz w:val="24"/>
          <w:highlight w:val="none"/>
        </w:rPr>
      </w:pPr>
      <w:r>
        <w:rPr>
          <w:rFonts w:hint="eastAsia" w:ascii="宋体" w:hAnsi="宋体"/>
          <w:color w:val="000000" w:themeColor="text1"/>
          <w:sz w:val="24"/>
          <w:highlight w:val="none"/>
        </w:rPr>
        <w:t xml:space="preserve">                                             日期：</w:t>
      </w:r>
    </w:p>
    <w:p>
      <w:pPr>
        <w:spacing w:line="560" w:lineRule="exact"/>
        <w:rPr>
          <w:rFonts w:ascii="楷体_GB2312" w:eastAsia="楷体_GB2312"/>
          <w:color w:val="000000" w:themeColor="text1"/>
          <w:sz w:val="24"/>
          <w:highlight w:val="none"/>
        </w:rPr>
      </w:pPr>
    </w:p>
    <w:p>
      <w:pPr>
        <w:spacing w:line="560" w:lineRule="exact"/>
        <w:rPr>
          <w:rFonts w:ascii="楷体_GB2312" w:eastAsia="楷体_GB2312"/>
          <w:color w:val="000000" w:themeColor="text1"/>
          <w:sz w:val="24"/>
          <w:highlight w:val="none"/>
        </w:rPr>
      </w:pPr>
    </w:p>
    <w:p>
      <w:pPr>
        <w:spacing w:line="560" w:lineRule="exact"/>
        <w:rPr>
          <w:rFonts w:ascii="楷体_GB2312" w:eastAsia="楷体_GB2312"/>
          <w:color w:val="000000" w:themeColor="text1"/>
          <w:sz w:val="24"/>
          <w:highlight w:val="none"/>
        </w:rPr>
      </w:pPr>
    </w:p>
    <w:p>
      <w:pPr>
        <w:spacing w:line="560" w:lineRule="exact"/>
        <w:rPr>
          <w:rFonts w:ascii="楷体_GB2312" w:eastAsia="楷体_GB2312"/>
          <w:color w:val="000000" w:themeColor="text1"/>
          <w:sz w:val="24"/>
          <w:highlight w:val="none"/>
        </w:rPr>
      </w:pPr>
    </w:p>
    <w:p>
      <w:pPr>
        <w:spacing w:line="560" w:lineRule="exact"/>
        <w:rPr>
          <w:rFonts w:ascii="楷体_GB2312" w:eastAsia="楷体_GB2312"/>
          <w:color w:val="000000" w:themeColor="text1"/>
          <w:sz w:val="24"/>
          <w:highlight w:val="none"/>
        </w:rPr>
      </w:pPr>
    </w:p>
    <w:p>
      <w:pPr>
        <w:spacing w:line="560" w:lineRule="exact"/>
        <w:rPr>
          <w:rFonts w:ascii="楷体_GB2312" w:eastAsia="楷体_GB2312"/>
          <w:color w:val="000000" w:themeColor="text1"/>
          <w:sz w:val="24"/>
          <w:highlight w:val="none"/>
        </w:rPr>
      </w:pPr>
    </w:p>
    <w:p>
      <w:pPr>
        <w:spacing w:line="560" w:lineRule="exact"/>
        <w:rPr>
          <w:rFonts w:ascii="楷体_GB2312" w:eastAsia="楷体_GB2312"/>
          <w:color w:val="000000" w:themeColor="text1"/>
          <w:sz w:val="24"/>
          <w:highlight w:val="none"/>
        </w:rPr>
      </w:pPr>
    </w:p>
    <w:p>
      <w:pPr>
        <w:spacing w:line="560" w:lineRule="exact"/>
        <w:rPr>
          <w:rFonts w:ascii="楷体_GB2312" w:eastAsia="楷体_GB2312"/>
          <w:color w:val="000000" w:themeColor="text1"/>
          <w:sz w:val="24"/>
          <w:highlight w:val="none"/>
        </w:rPr>
      </w:pPr>
    </w:p>
    <w:p>
      <w:pPr>
        <w:spacing w:line="560" w:lineRule="exact"/>
        <w:jc w:val="center"/>
        <w:rPr>
          <w:rFonts w:ascii="黑体" w:eastAsia="黑体"/>
          <w:color w:val="000000" w:themeColor="text1"/>
          <w:sz w:val="36"/>
          <w:highlight w:val="none"/>
        </w:rPr>
      </w:pPr>
      <w:r>
        <w:rPr>
          <w:rFonts w:hint="eastAsia" w:ascii="黑体" w:eastAsia="黑体"/>
          <w:color w:val="000000" w:themeColor="text1"/>
          <w:sz w:val="36"/>
          <w:highlight w:val="none"/>
        </w:rPr>
        <w:br w:type="page"/>
      </w:r>
      <w:r>
        <w:rPr>
          <w:rFonts w:hint="eastAsia" w:ascii="黑体" w:eastAsia="黑体"/>
          <w:color w:val="000000" w:themeColor="text1"/>
          <w:sz w:val="36"/>
          <w:highlight w:val="none"/>
        </w:rPr>
        <w:t>7.联合投标协议</w:t>
      </w:r>
    </w:p>
    <w:p>
      <w:pPr>
        <w:spacing w:line="560" w:lineRule="exact"/>
        <w:jc w:val="center"/>
        <w:rPr>
          <w:rFonts w:ascii="宋体" w:hAnsi="宋体"/>
          <w:color w:val="000000" w:themeColor="text1"/>
          <w:sz w:val="24"/>
          <w:highlight w:val="none"/>
        </w:rPr>
      </w:pPr>
      <w:r>
        <w:rPr>
          <w:rFonts w:hint="eastAsia" w:ascii="宋体" w:hAnsi="宋体"/>
          <w:color w:val="000000" w:themeColor="text1"/>
          <w:sz w:val="24"/>
          <w:highlight w:val="none"/>
        </w:rPr>
        <w:t xml:space="preserve">（如果有的话）                    </w:t>
      </w:r>
    </w:p>
    <w:p>
      <w:pPr>
        <w:spacing w:line="560" w:lineRule="exact"/>
        <w:jc w:val="center"/>
        <w:rPr>
          <w:rFonts w:ascii="楷体_GB2312" w:eastAsia="楷体_GB2312"/>
          <w:color w:val="000000" w:themeColor="text1"/>
          <w:sz w:val="24"/>
          <w:highlight w:val="none"/>
        </w:rPr>
      </w:pPr>
    </w:p>
    <w:p>
      <w:pPr>
        <w:spacing w:line="560" w:lineRule="exact"/>
        <w:jc w:val="center"/>
        <w:rPr>
          <w:rFonts w:ascii="楷体_GB2312" w:eastAsia="楷体_GB2312"/>
          <w:color w:val="000000" w:themeColor="text1"/>
          <w:sz w:val="24"/>
          <w:highlight w:val="none"/>
        </w:rPr>
      </w:pPr>
    </w:p>
    <w:p>
      <w:pPr>
        <w:spacing w:line="560" w:lineRule="exact"/>
        <w:jc w:val="center"/>
        <w:rPr>
          <w:rFonts w:ascii="楷体_GB2312" w:eastAsia="楷体_GB2312"/>
          <w:color w:val="000000" w:themeColor="text1"/>
          <w:sz w:val="24"/>
          <w:highlight w:val="none"/>
        </w:rPr>
      </w:pPr>
    </w:p>
    <w:p>
      <w:pPr>
        <w:spacing w:line="560" w:lineRule="exact"/>
        <w:jc w:val="center"/>
        <w:rPr>
          <w:rFonts w:ascii="楷体_GB2312" w:eastAsia="楷体_GB2312"/>
          <w:color w:val="000000" w:themeColor="text1"/>
          <w:sz w:val="24"/>
          <w:highlight w:val="none"/>
        </w:rPr>
      </w:pPr>
    </w:p>
    <w:p>
      <w:pPr>
        <w:spacing w:line="560" w:lineRule="exact"/>
        <w:jc w:val="center"/>
        <w:rPr>
          <w:rFonts w:ascii="楷体_GB2312" w:eastAsia="楷体_GB2312"/>
          <w:color w:val="000000" w:themeColor="text1"/>
          <w:sz w:val="24"/>
          <w:highlight w:val="none"/>
        </w:rPr>
      </w:pPr>
    </w:p>
    <w:p>
      <w:pPr>
        <w:spacing w:line="560" w:lineRule="exact"/>
        <w:jc w:val="center"/>
        <w:rPr>
          <w:rFonts w:ascii="楷体_GB2312" w:eastAsia="楷体_GB2312"/>
          <w:color w:val="000000" w:themeColor="text1"/>
          <w:sz w:val="24"/>
          <w:highlight w:val="none"/>
        </w:rPr>
      </w:pPr>
    </w:p>
    <w:p>
      <w:pPr>
        <w:spacing w:line="560" w:lineRule="exact"/>
        <w:jc w:val="center"/>
        <w:rPr>
          <w:rFonts w:ascii="楷体_GB2312" w:eastAsia="楷体_GB2312"/>
          <w:color w:val="000000" w:themeColor="text1"/>
          <w:sz w:val="24"/>
          <w:highlight w:val="none"/>
        </w:rPr>
      </w:pPr>
    </w:p>
    <w:p>
      <w:pPr>
        <w:spacing w:line="560" w:lineRule="exact"/>
        <w:jc w:val="center"/>
        <w:rPr>
          <w:rFonts w:ascii="楷体_GB2312" w:eastAsia="楷体_GB2312"/>
          <w:color w:val="000000" w:themeColor="text1"/>
          <w:sz w:val="24"/>
          <w:highlight w:val="none"/>
        </w:rPr>
      </w:pPr>
    </w:p>
    <w:p>
      <w:pPr>
        <w:spacing w:line="560" w:lineRule="exact"/>
        <w:jc w:val="center"/>
        <w:rPr>
          <w:rFonts w:ascii="楷体_GB2312" w:eastAsia="楷体_GB2312"/>
          <w:color w:val="000000" w:themeColor="text1"/>
          <w:sz w:val="24"/>
          <w:highlight w:val="none"/>
        </w:rPr>
      </w:pPr>
    </w:p>
    <w:p>
      <w:pPr>
        <w:spacing w:line="560" w:lineRule="exact"/>
        <w:jc w:val="center"/>
        <w:rPr>
          <w:rFonts w:ascii="楷体_GB2312" w:eastAsia="楷体_GB2312"/>
          <w:color w:val="000000" w:themeColor="text1"/>
          <w:sz w:val="24"/>
          <w:highlight w:val="none"/>
        </w:rPr>
      </w:pPr>
    </w:p>
    <w:p>
      <w:pPr>
        <w:spacing w:line="560" w:lineRule="exact"/>
        <w:jc w:val="center"/>
        <w:rPr>
          <w:rFonts w:ascii="楷体_GB2312" w:eastAsia="楷体_GB2312"/>
          <w:color w:val="000000" w:themeColor="text1"/>
          <w:sz w:val="24"/>
          <w:highlight w:val="none"/>
        </w:rPr>
      </w:pPr>
    </w:p>
    <w:p>
      <w:pPr>
        <w:spacing w:line="560" w:lineRule="exact"/>
        <w:jc w:val="center"/>
        <w:rPr>
          <w:rFonts w:ascii="楷体_GB2312" w:eastAsia="楷体_GB2312"/>
          <w:color w:val="000000" w:themeColor="text1"/>
          <w:sz w:val="24"/>
          <w:highlight w:val="none"/>
        </w:rPr>
      </w:pPr>
    </w:p>
    <w:p>
      <w:pPr>
        <w:spacing w:line="560" w:lineRule="exact"/>
        <w:jc w:val="center"/>
        <w:rPr>
          <w:rFonts w:ascii="楷体_GB2312" w:eastAsia="楷体_GB2312"/>
          <w:color w:val="000000" w:themeColor="text1"/>
          <w:sz w:val="24"/>
          <w:highlight w:val="none"/>
        </w:rPr>
      </w:pPr>
    </w:p>
    <w:p>
      <w:pPr>
        <w:spacing w:line="560" w:lineRule="exact"/>
        <w:jc w:val="center"/>
        <w:rPr>
          <w:rFonts w:ascii="楷体_GB2312" w:eastAsia="楷体_GB2312"/>
          <w:color w:val="000000" w:themeColor="text1"/>
          <w:sz w:val="24"/>
          <w:highlight w:val="none"/>
        </w:rPr>
      </w:pPr>
    </w:p>
    <w:p>
      <w:pPr>
        <w:spacing w:line="560" w:lineRule="exact"/>
        <w:jc w:val="center"/>
        <w:rPr>
          <w:rFonts w:ascii="楷体_GB2312" w:eastAsia="楷体_GB2312"/>
          <w:color w:val="000000" w:themeColor="text1"/>
          <w:sz w:val="24"/>
          <w:highlight w:val="none"/>
        </w:rPr>
      </w:pPr>
    </w:p>
    <w:p>
      <w:pPr>
        <w:spacing w:line="560" w:lineRule="exact"/>
        <w:jc w:val="center"/>
        <w:rPr>
          <w:rFonts w:ascii="楷体_GB2312" w:eastAsia="楷体_GB2312"/>
          <w:color w:val="000000" w:themeColor="text1"/>
          <w:sz w:val="24"/>
          <w:highlight w:val="none"/>
        </w:rPr>
      </w:pPr>
    </w:p>
    <w:p>
      <w:pPr>
        <w:spacing w:line="560" w:lineRule="exact"/>
        <w:jc w:val="center"/>
        <w:rPr>
          <w:rFonts w:ascii="楷体_GB2312" w:eastAsia="楷体_GB2312"/>
          <w:color w:val="000000" w:themeColor="text1"/>
          <w:sz w:val="24"/>
          <w:highlight w:val="none"/>
        </w:rPr>
      </w:pPr>
    </w:p>
    <w:p>
      <w:pPr>
        <w:spacing w:line="560" w:lineRule="exact"/>
        <w:jc w:val="center"/>
        <w:rPr>
          <w:rFonts w:ascii="楷体_GB2312" w:eastAsia="楷体_GB2312"/>
          <w:color w:val="000000" w:themeColor="text1"/>
          <w:sz w:val="24"/>
          <w:highlight w:val="none"/>
        </w:rPr>
      </w:pPr>
    </w:p>
    <w:p>
      <w:pPr>
        <w:spacing w:line="560" w:lineRule="exact"/>
        <w:jc w:val="center"/>
        <w:rPr>
          <w:rFonts w:ascii="楷体_GB2312" w:eastAsia="楷体_GB2312"/>
          <w:color w:val="000000" w:themeColor="text1"/>
          <w:sz w:val="24"/>
          <w:highlight w:val="none"/>
        </w:rPr>
      </w:pPr>
    </w:p>
    <w:p>
      <w:pPr>
        <w:spacing w:line="560" w:lineRule="exact"/>
        <w:jc w:val="center"/>
        <w:rPr>
          <w:rFonts w:ascii="楷体_GB2312" w:eastAsia="楷体_GB2312"/>
          <w:color w:val="000000" w:themeColor="text1"/>
          <w:sz w:val="24"/>
          <w:highlight w:val="none"/>
        </w:rPr>
      </w:pPr>
    </w:p>
    <w:p>
      <w:pPr>
        <w:spacing w:line="560" w:lineRule="exact"/>
        <w:jc w:val="center"/>
        <w:rPr>
          <w:rFonts w:ascii="楷体_GB2312" w:eastAsia="楷体_GB2312"/>
          <w:color w:val="000000" w:themeColor="text1"/>
          <w:sz w:val="24"/>
          <w:highlight w:val="none"/>
        </w:rPr>
      </w:pPr>
    </w:p>
    <w:p>
      <w:pPr>
        <w:spacing w:line="560" w:lineRule="exact"/>
        <w:jc w:val="center"/>
        <w:rPr>
          <w:rFonts w:ascii="楷体_GB2312" w:eastAsia="楷体_GB2312"/>
          <w:color w:val="000000" w:themeColor="text1"/>
          <w:sz w:val="24"/>
          <w:highlight w:val="none"/>
        </w:rPr>
      </w:pPr>
    </w:p>
    <w:p>
      <w:pPr>
        <w:spacing w:line="560" w:lineRule="exact"/>
        <w:jc w:val="center"/>
        <w:rPr>
          <w:rFonts w:ascii="楷体_GB2312" w:eastAsia="楷体_GB2312"/>
          <w:color w:val="000000" w:themeColor="text1"/>
          <w:sz w:val="24"/>
          <w:highlight w:val="none"/>
        </w:rPr>
      </w:pPr>
    </w:p>
    <w:p>
      <w:pPr>
        <w:spacing w:line="560" w:lineRule="exact"/>
        <w:rPr>
          <w:rFonts w:ascii="楷体_GB2312" w:eastAsia="楷体_GB2312"/>
          <w:b/>
          <w:color w:val="000000" w:themeColor="text1"/>
          <w:sz w:val="36"/>
          <w:highlight w:val="none"/>
        </w:rPr>
      </w:pPr>
      <w:r>
        <w:rPr>
          <w:rFonts w:hint="eastAsia" w:ascii="楷体_GB2312" w:eastAsia="楷体_GB2312"/>
          <w:b/>
          <w:color w:val="000000" w:themeColor="text1"/>
          <w:sz w:val="36"/>
          <w:highlight w:val="none"/>
        </w:rPr>
        <w:t>三、证明货物的合格性和符合招标文件规定的文件</w:t>
      </w:r>
    </w:p>
    <w:p>
      <w:pPr>
        <w:spacing w:line="560" w:lineRule="exact"/>
        <w:rPr>
          <w:rFonts w:ascii="楷体_GB2312" w:eastAsia="楷体_GB2312"/>
          <w:color w:val="000000" w:themeColor="text1"/>
          <w:sz w:val="24"/>
          <w:highlight w:val="none"/>
        </w:rPr>
      </w:pPr>
    </w:p>
    <w:p>
      <w:pPr>
        <w:numPr>
          <w:ilvl w:val="0"/>
          <w:numId w:val="17"/>
        </w:numPr>
        <w:spacing w:line="560" w:lineRule="exact"/>
        <w:jc w:val="center"/>
        <w:rPr>
          <w:rFonts w:ascii="黑体" w:eastAsia="黑体"/>
          <w:color w:val="000000" w:themeColor="text1"/>
          <w:sz w:val="36"/>
          <w:highlight w:val="none"/>
        </w:rPr>
      </w:pPr>
      <w:r>
        <w:rPr>
          <w:rFonts w:hint="eastAsia" w:ascii="黑体" w:eastAsia="黑体"/>
          <w:color w:val="000000" w:themeColor="text1"/>
          <w:sz w:val="36"/>
          <w:highlight w:val="none"/>
        </w:rPr>
        <w:t>质量保证书</w:t>
      </w:r>
    </w:p>
    <w:p>
      <w:pPr>
        <w:spacing w:line="560" w:lineRule="exact"/>
        <w:rPr>
          <w:rFonts w:ascii="楷体_GB2312" w:eastAsia="楷体_GB2312"/>
          <w:color w:val="000000" w:themeColor="text1"/>
          <w:sz w:val="24"/>
          <w:highlight w:val="none"/>
        </w:rPr>
      </w:pPr>
    </w:p>
    <w:p>
      <w:pPr>
        <w:numPr>
          <w:ilvl w:val="0"/>
          <w:numId w:val="17"/>
        </w:numPr>
        <w:spacing w:line="560" w:lineRule="exact"/>
        <w:jc w:val="center"/>
        <w:rPr>
          <w:rFonts w:ascii="黑体" w:eastAsia="黑体"/>
          <w:color w:val="000000" w:themeColor="text1"/>
          <w:sz w:val="36"/>
          <w:highlight w:val="none"/>
        </w:rPr>
      </w:pPr>
      <w:r>
        <w:rPr>
          <w:rFonts w:hint="eastAsia" w:ascii="黑体" w:eastAsia="黑体"/>
          <w:color w:val="000000" w:themeColor="text1"/>
          <w:sz w:val="36"/>
          <w:highlight w:val="none"/>
        </w:rPr>
        <w:t>有关部门的检测报告</w:t>
      </w:r>
    </w:p>
    <w:p>
      <w:pPr>
        <w:spacing w:line="560" w:lineRule="exact"/>
        <w:jc w:val="center"/>
        <w:rPr>
          <w:rFonts w:ascii="黑体" w:eastAsia="黑体"/>
          <w:color w:val="000000" w:themeColor="text1"/>
          <w:sz w:val="36"/>
          <w:highlight w:val="none"/>
        </w:rPr>
      </w:pPr>
    </w:p>
    <w:p>
      <w:pPr>
        <w:spacing w:line="560" w:lineRule="exact"/>
        <w:ind w:firstLine="3060" w:firstLineChars="850"/>
        <w:rPr>
          <w:rFonts w:ascii="黑体" w:eastAsia="黑体"/>
          <w:color w:val="000000" w:themeColor="text1"/>
          <w:sz w:val="36"/>
          <w:highlight w:val="none"/>
        </w:rPr>
      </w:pPr>
      <w:r>
        <w:rPr>
          <w:rFonts w:hint="eastAsia" w:ascii="黑体" w:eastAsia="黑体"/>
          <w:color w:val="000000" w:themeColor="text1"/>
          <w:sz w:val="36"/>
          <w:highlight w:val="none"/>
        </w:rPr>
        <w:t>3．生产资质证书</w:t>
      </w:r>
      <w:r>
        <w:rPr>
          <w:rFonts w:hint="eastAsia" w:ascii="黑体" w:eastAsia="黑体"/>
          <w:color w:val="000000" w:themeColor="text1"/>
          <w:sz w:val="36"/>
          <w:highlight w:val="none"/>
        </w:rPr>
        <w:br w:type="page"/>
      </w:r>
      <w:r>
        <w:rPr>
          <w:rFonts w:hint="eastAsia" w:ascii="黑体" w:eastAsia="黑体"/>
          <w:color w:val="000000" w:themeColor="text1"/>
          <w:sz w:val="36"/>
          <w:highlight w:val="none"/>
        </w:rPr>
        <w:t xml:space="preserve"> 4.投标货物规格响应表格式</w:t>
      </w:r>
    </w:p>
    <w:p>
      <w:pPr>
        <w:spacing w:line="560" w:lineRule="exact"/>
        <w:jc w:val="center"/>
        <w:rPr>
          <w:rFonts w:ascii="宋体" w:hAnsi="宋体"/>
          <w:color w:val="000000" w:themeColor="text1"/>
          <w:sz w:val="24"/>
          <w:highlight w:val="none"/>
        </w:rPr>
      </w:pPr>
      <w:r>
        <w:rPr>
          <w:rFonts w:hint="eastAsia" w:ascii="宋体" w:hAnsi="宋体"/>
          <w:color w:val="000000" w:themeColor="text1"/>
          <w:sz w:val="24"/>
          <w:highlight w:val="none"/>
        </w:rPr>
        <w:t>投标货物技术规格响应表</w:t>
      </w:r>
    </w:p>
    <w:p>
      <w:pPr>
        <w:spacing w:line="560" w:lineRule="exact"/>
        <w:rPr>
          <w:rFonts w:ascii="宋体" w:hAnsi="宋体"/>
          <w:color w:val="000000" w:themeColor="text1"/>
          <w:sz w:val="24"/>
          <w:highlight w:val="none"/>
          <w:u w:val="single"/>
        </w:rPr>
      </w:pPr>
      <w:r>
        <w:rPr>
          <w:rFonts w:hint="eastAsia" w:ascii="宋体" w:hAnsi="宋体"/>
          <w:color w:val="000000" w:themeColor="text1"/>
          <w:sz w:val="24"/>
          <w:highlight w:val="none"/>
        </w:rPr>
        <w:t>投标人名称：   招标编号： 标段号：</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3"/>
        <w:gridCol w:w="1890"/>
        <w:gridCol w:w="1890"/>
        <w:gridCol w:w="1605"/>
        <w:gridCol w:w="23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3" w:type="dxa"/>
            <w:tcBorders>
              <w:top w:val="single" w:color="auto" w:sz="4" w:space="0"/>
              <w:left w:val="single" w:color="auto" w:sz="4" w:space="0"/>
              <w:bottom w:val="single" w:color="auto" w:sz="4" w:space="0"/>
              <w:right w:val="single" w:color="auto" w:sz="4" w:space="0"/>
            </w:tcBorders>
            <w:noWrap/>
          </w:tcPr>
          <w:p>
            <w:pPr>
              <w:spacing w:line="560" w:lineRule="exact"/>
              <w:jc w:val="center"/>
              <w:rPr>
                <w:rFonts w:ascii="宋体" w:hAnsi="宋体"/>
                <w:color w:val="000000" w:themeColor="text1"/>
                <w:sz w:val="24"/>
                <w:highlight w:val="none"/>
              </w:rPr>
            </w:pPr>
            <w:r>
              <w:rPr>
                <w:rFonts w:hint="eastAsia" w:ascii="宋体" w:hAnsi="宋体"/>
                <w:color w:val="000000" w:themeColor="text1"/>
                <w:sz w:val="24"/>
                <w:highlight w:val="none"/>
              </w:rPr>
              <w:t>序号</w:t>
            </w:r>
          </w:p>
        </w:tc>
        <w:tc>
          <w:tcPr>
            <w:tcW w:w="1890" w:type="dxa"/>
            <w:tcBorders>
              <w:top w:val="single" w:color="auto" w:sz="4" w:space="0"/>
              <w:left w:val="single" w:color="auto" w:sz="4" w:space="0"/>
              <w:bottom w:val="single" w:color="auto" w:sz="4" w:space="0"/>
              <w:right w:val="single" w:color="auto" w:sz="4" w:space="0"/>
            </w:tcBorders>
            <w:noWrap/>
          </w:tcPr>
          <w:p>
            <w:pPr>
              <w:spacing w:line="560" w:lineRule="exact"/>
              <w:jc w:val="center"/>
              <w:rPr>
                <w:rFonts w:ascii="宋体" w:hAnsi="宋体"/>
                <w:color w:val="000000" w:themeColor="text1"/>
                <w:sz w:val="24"/>
                <w:highlight w:val="none"/>
              </w:rPr>
            </w:pPr>
            <w:r>
              <w:rPr>
                <w:rFonts w:hint="eastAsia" w:ascii="宋体" w:hAnsi="宋体"/>
                <w:color w:val="000000" w:themeColor="text1"/>
                <w:sz w:val="24"/>
                <w:highlight w:val="none"/>
              </w:rPr>
              <w:t>标书规格</w:t>
            </w:r>
          </w:p>
        </w:tc>
        <w:tc>
          <w:tcPr>
            <w:tcW w:w="1890" w:type="dxa"/>
            <w:tcBorders>
              <w:top w:val="single" w:color="auto" w:sz="4" w:space="0"/>
              <w:left w:val="single" w:color="auto" w:sz="4" w:space="0"/>
              <w:bottom w:val="single" w:color="auto" w:sz="4" w:space="0"/>
              <w:right w:val="single" w:color="auto" w:sz="4" w:space="0"/>
            </w:tcBorders>
            <w:noWrap/>
          </w:tcPr>
          <w:p>
            <w:pPr>
              <w:spacing w:line="560" w:lineRule="exact"/>
              <w:jc w:val="center"/>
              <w:rPr>
                <w:rFonts w:ascii="宋体" w:hAnsi="宋体"/>
                <w:color w:val="000000" w:themeColor="text1"/>
                <w:sz w:val="24"/>
                <w:highlight w:val="none"/>
              </w:rPr>
            </w:pPr>
            <w:r>
              <w:rPr>
                <w:rFonts w:hint="eastAsia" w:ascii="宋体" w:hAnsi="宋体"/>
                <w:color w:val="000000" w:themeColor="text1"/>
                <w:sz w:val="24"/>
                <w:highlight w:val="none"/>
              </w:rPr>
              <w:t>投标规格</w:t>
            </w:r>
          </w:p>
        </w:tc>
        <w:tc>
          <w:tcPr>
            <w:tcW w:w="1605" w:type="dxa"/>
            <w:tcBorders>
              <w:top w:val="single" w:color="auto" w:sz="4" w:space="0"/>
              <w:left w:val="single" w:color="auto" w:sz="4" w:space="0"/>
              <w:bottom w:val="single" w:color="auto" w:sz="4" w:space="0"/>
              <w:right w:val="single" w:color="auto" w:sz="4" w:space="0"/>
            </w:tcBorders>
            <w:noWrap/>
          </w:tcPr>
          <w:p>
            <w:pPr>
              <w:spacing w:line="560" w:lineRule="exact"/>
              <w:jc w:val="center"/>
              <w:rPr>
                <w:rFonts w:ascii="宋体" w:hAnsi="宋体"/>
                <w:color w:val="000000" w:themeColor="text1"/>
                <w:sz w:val="24"/>
                <w:highlight w:val="none"/>
              </w:rPr>
            </w:pPr>
            <w:r>
              <w:rPr>
                <w:rFonts w:hint="eastAsia" w:ascii="宋体" w:hAnsi="宋体"/>
                <w:color w:val="000000" w:themeColor="text1"/>
                <w:sz w:val="24"/>
                <w:highlight w:val="none"/>
              </w:rPr>
              <w:t>偏离与否</w:t>
            </w:r>
          </w:p>
        </w:tc>
        <w:tc>
          <w:tcPr>
            <w:tcW w:w="2300" w:type="dxa"/>
            <w:tcBorders>
              <w:top w:val="single" w:color="auto" w:sz="4" w:space="0"/>
              <w:left w:val="single" w:color="auto" w:sz="4" w:space="0"/>
              <w:bottom w:val="single" w:color="auto" w:sz="4" w:space="0"/>
              <w:right w:val="single" w:color="auto" w:sz="4" w:space="0"/>
            </w:tcBorders>
            <w:noWrap/>
          </w:tcPr>
          <w:p>
            <w:pPr>
              <w:spacing w:line="560" w:lineRule="exact"/>
              <w:jc w:val="center"/>
              <w:rPr>
                <w:rFonts w:ascii="宋体" w:hAnsi="宋体"/>
                <w:color w:val="000000" w:themeColor="text1"/>
                <w:sz w:val="24"/>
                <w:highlight w:val="none"/>
              </w:rPr>
            </w:pPr>
            <w:r>
              <w:rPr>
                <w:rFonts w:hint="eastAsia" w:ascii="宋体" w:hAnsi="宋体"/>
                <w:color w:val="000000" w:themeColor="text1"/>
                <w:sz w:val="24"/>
                <w:highlight w:val="none"/>
              </w:rPr>
              <w:t>说 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3"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color w:val="000000" w:themeColor="text1"/>
                <w:sz w:val="24"/>
                <w:highlight w:val="none"/>
              </w:rPr>
            </w:pPr>
          </w:p>
        </w:tc>
        <w:tc>
          <w:tcPr>
            <w:tcW w:w="1890"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color w:val="000000" w:themeColor="text1"/>
                <w:sz w:val="24"/>
                <w:highlight w:val="none"/>
              </w:rPr>
            </w:pPr>
          </w:p>
        </w:tc>
        <w:tc>
          <w:tcPr>
            <w:tcW w:w="1890"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color w:val="000000" w:themeColor="text1"/>
                <w:sz w:val="24"/>
                <w:highlight w:val="none"/>
              </w:rPr>
            </w:pPr>
          </w:p>
        </w:tc>
        <w:tc>
          <w:tcPr>
            <w:tcW w:w="16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color w:val="000000" w:themeColor="text1"/>
                <w:sz w:val="24"/>
                <w:highlight w:val="none"/>
              </w:rPr>
            </w:pPr>
          </w:p>
          <w:p>
            <w:pPr>
              <w:spacing w:line="560" w:lineRule="exact"/>
              <w:rPr>
                <w:rFonts w:ascii="宋体" w:hAnsi="宋体"/>
                <w:color w:val="000000" w:themeColor="text1"/>
                <w:sz w:val="24"/>
                <w:highlight w:val="none"/>
              </w:rPr>
            </w:pPr>
          </w:p>
          <w:p>
            <w:pPr>
              <w:spacing w:line="560" w:lineRule="exact"/>
              <w:rPr>
                <w:rFonts w:ascii="宋体" w:hAnsi="宋体"/>
                <w:color w:val="000000" w:themeColor="text1"/>
                <w:sz w:val="24"/>
                <w:highlight w:val="none"/>
              </w:rPr>
            </w:pPr>
          </w:p>
          <w:p>
            <w:pPr>
              <w:spacing w:line="560" w:lineRule="exact"/>
              <w:rPr>
                <w:rFonts w:ascii="宋体" w:hAnsi="宋体"/>
                <w:color w:val="000000" w:themeColor="text1"/>
                <w:sz w:val="24"/>
                <w:highlight w:val="none"/>
              </w:rPr>
            </w:pPr>
          </w:p>
          <w:p>
            <w:pPr>
              <w:spacing w:line="560" w:lineRule="exact"/>
              <w:rPr>
                <w:rFonts w:ascii="宋体" w:hAnsi="宋体"/>
                <w:color w:val="000000" w:themeColor="text1"/>
                <w:sz w:val="24"/>
                <w:highlight w:val="none"/>
              </w:rPr>
            </w:pPr>
          </w:p>
          <w:p>
            <w:pPr>
              <w:spacing w:line="560" w:lineRule="exact"/>
              <w:rPr>
                <w:rFonts w:ascii="宋体" w:hAnsi="宋体"/>
                <w:color w:val="000000" w:themeColor="text1"/>
                <w:sz w:val="24"/>
                <w:highlight w:val="none"/>
              </w:rPr>
            </w:pPr>
          </w:p>
          <w:p>
            <w:pPr>
              <w:spacing w:line="560" w:lineRule="exact"/>
              <w:rPr>
                <w:rFonts w:ascii="宋体" w:hAnsi="宋体"/>
                <w:color w:val="000000" w:themeColor="text1"/>
                <w:sz w:val="24"/>
                <w:highlight w:val="none"/>
              </w:rPr>
            </w:pPr>
          </w:p>
          <w:p>
            <w:pPr>
              <w:spacing w:line="560" w:lineRule="exact"/>
              <w:rPr>
                <w:rFonts w:ascii="宋体" w:hAnsi="宋体"/>
                <w:color w:val="000000" w:themeColor="text1"/>
                <w:sz w:val="24"/>
                <w:highlight w:val="none"/>
              </w:rPr>
            </w:pPr>
          </w:p>
          <w:p>
            <w:pPr>
              <w:spacing w:line="560" w:lineRule="exact"/>
              <w:rPr>
                <w:rFonts w:ascii="宋体" w:hAnsi="宋体"/>
                <w:color w:val="000000" w:themeColor="text1"/>
                <w:sz w:val="24"/>
                <w:highlight w:val="none"/>
              </w:rPr>
            </w:pPr>
          </w:p>
          <w:p>
            <w:pPr>
              <w:spacing w:line="560" w:lineRule="exact"/>
              <w:rPr>
                <w:rFonts w:ascii="宋体" w:hAnsi="宋体"/>
                <w:color w:val="000000" w:themeColor="text1"/>
                <w:sz w:val="24"/>
                <w:highlight w:val="none"/>
              </w:rPr>
            </w:pPr>
          </w:p>
          <w:p>
            <w:pPr>
              <w:spacing w:line="560" w:lineRule="exact"/>
              <w:rPr>
                <w:rFonts w:ascii="宋体" w:hAnsi="宋体"/>
                <w:color w:val="000000" w:themeColor="text1"/>
                <w:sz w:val="24"/>
                <w:highlight w:val="none"/>
              </w:rPr>
            </w:pPr>
          </w:p>
          <w:p>
            <w:pPr>
              <w:spacing w:line="560" w:lineRule="exact"/>
              <w:rPr>
                <w:rFonts w:ascii="宋体" w:hAnsi="宋体"/>
                <w:color w:val="000000" w:themeColor="text1"/>
                <w:sz w:val="24"/>
                <w:highlight w:val="none"/>
              </w:rPr>
            </w:pPr>
          </w:p>
          <w:p>
            <w:pPr>
              <w:spacing w:line="560" w:lineRule="exact"/>
              <w:rPr>
                <w:rFonts w:ascii="宋体" w:hAnsi="宋体"/>
                <w:color w:val="000000" w:themeColor="text1"/>
                <w:sz w:val="24"/>
                <w:highlight w:val="none"/>
              </w:rPr>
            </w:pPr>
          </w:p>
          <w:p>
            <w:pPr>
              <w:spacing w:line="560" w:lineRule="exact"/>
              <w:rPr>
                <w:rFonts w:ascii="宋体" w:hAnsi="宋体"/>
                <w:color w:val="000000" w:themeColor="text1"/>
                <w:sz w:val="24"/>
                <w:highlight w:val="none"/>
              </w:rPr>
            </w:pPr>
          </w:p>
          <w:p>
            <w:pPr>
              <w:spacing w:line="560" w:lineRule="exact"/>
              <w:rPr>
                <w:rFonts w:ascii="宋体" w:hAnsi="宋体"/>
                <w:color w:val="000000" w:themeColor="text1"/>
                <w:sz w:val="24"/>
                <w:highlight w:val="none"/>
              </w:rPr>
            </w:pPr>
          </w:p>
          <w:p>
            <w:pPr>
              <w:spacing w:line="560" w:lineRule="exact"/>
              <w:rPr>
                <w:rFonts w:ascii="宋体" w:hAnsi="宋体"/>
                <w:color w:val="000000" w:themeColor="text1"/>
                <w:sz w:val="24"/>
                <w:highlight w:val="none"/>
              </w:rPr>
            </w:pPr>
          </w:p>
          <w:p>
            <w:pPr>
              <w:spacing w:line="560" w:lineRule="exact"/>
              <w:rPr>
                <w:rFonts w:ascii="宋体" w:hAnsi="宋体"/>
                <w:color w:val="000000" w:themeColor="text1"/>
                <w:sz w:val="24"/>
                <w:highlight w:val="none"/>
              </w:rPr>
            </w:pPr>
          </w:p>
        </w:tc>
        <w:tc>
          <w:tcPr>
            <w:tcW w:w="2300" w:type="dxa"/>
            <w:tcBorders>
              <w:top w:val="single" w:color="auto" w:sz="4" w:space="0"/>
              <w:left w:val="single" w:color="auto" w:sz="4" w:space="0"/>
              <w:bottom w:val="single" w:color="auto" w:sz="4" w:space="0"/>
              <w:right w:val="single" w:color="auto" w:sz="4" w:space="0"/>
            </w:tcBorders>
            <w:noWrap/>
          </w:tcPr>
          <w:p>
            <w:pPr>
              <w:widowControl/>
              <w:jc w:val="left"/>
              <w:rPr>
                <w:rFonts w:ascii="宋体" w:hAnsi="宋体"/>
                <w:color w:val="000000" w:themeColor="text1"/>
                <w:sz w:val="24"/>
                <w:highlight w:val="none"/>
              </w:rPr>
            </w:pPr>
          </w:p>
          <w:p>
            <w:pPr>
              <w:widowControl/>
              <w:jc w:val="left"/>
              <w:rPr>
                <w:rFonts w:ascii="宋体" w:hAnsi="宋体"/>
                <w:color w:val="000000" w:themeColor="text1"/>
                <w:sz w:val="24"/>
                <w:highlight w:val="none"/>
              </w:rPr>
            </w:pPr>
          </w:p>
          <w:p>
            <w:pPr>
              <w:widowControl/>
              <w:jc w:val="left"/>
              <w:rPr>
                <w:rFonts w:ascii="宋体" w:hAnsi="宋体"/>
                <w:color w:val="000000" w:themeColor="text1"/>
                <w:sz w:val="24"/>
                <w:highlight w:val="none"/>
              </w:rPr>
            </w:pPr>
          </w:p>
          <w:p>
            <w:pPr>
              <w:widowControl/>
              <w:jc w:val="left"/>
              <w:rPr>
                <w:rFonts w:ascii="宋体" w:hAnsi="宋体"/>
                <w:color w:val="000000" w:themeColor="text1"/>
                <w:sz w:val="24"/>
                <w:highlight w:val="none"/>
              </w:rPr>
            </w:pPr>
          </w:p>
          <w:p>
            <w:pPr>
              <w:widowControl/>
              <w:jc w:val="left"/>
              <w:rPr>
                <w:rFonts w:ascii="宋体" w:hAnsi="宋体"/>
                <w:color w:val="000000" w:themeColor="text1"/>
                <w:sz w:val="24"/>
                <w:highlight w:val="none"/>
              </w:rPr>
            </w:pPr>
          </w:p>
          <w:p>
            <w:pPr>
              <w:widowControl/>
              <w:jc w:val="left"/>
              <w:rPr>
                <w:rFonts w:ascii="宋体" w:hAnsi="宋体"/>
                <w:color w:val="000000" w:themeColor="text1"/>
                <w:sz w:val="24"/>
                <w:highlight w:val="none"/>
              </w:rPr>
            </w:pPr>
          </w:p>
          <w:p>
            <w:pPr>
              <w:widowControl/>
              <w:jc w:val="left"/>
              <w:rPr>
                <w:rFonts w:ascii="宋体" w:hAnsi="宋体"/>
                <w:color w:val="000000" w:themeColor="text1"/>
                <w:sz w:val="24"/>
                <w:highlight w:val="none"/>
              </w:rPr>
            </w:pPr>
          </w:p>
          <w:p>
            <w:pPr>
              <w:widowControl/>
              <w:jc w:val="left"/>
              <w:rPr>
                <w:rFonts w:ascii="宋体" w:hAnsi="宋体"/>
                <w:color w:val="000000" w:themeColor="text1"/>
                <w:sz w:val="24"/>
                <w:highlight w:val="none"/>
              </w:rPr>
            </w:pPr>
          </w:p>
          <w:p>
            <w:pPr>
              <w:widowControl/>
              <w:jc w:val="left"/>
              <w:rPr>
                <w:rFonts w:ascii="宋体" w:hAnsi="宋体"/>
                <w:color w:val="000000" w:themeColor="text1"/>
                <w:sz w:val="24"/>
                <w:highlight w:val="none"/>
              </w:rPr>
            </w:pPr>
          </w:p>
          <w:p>
            <w:pPr>
              <w:widowControl/>
              <w:jc w:val="left"/>
              <w:rPr>
                <w:rFonts w:ascii="宋体" w:hAnsi="宋体"/>
                <w:color w:val="000000" w:themeColor="text1"/>
                <w:sz w:val="24"/>
                <w:highlight w:val="none"/>
              </w:rPr>
            </w:pPr>
          </w:p>
          <w:p>
            <w:pPr>
              <w:widowControl/>
              <w:jc w:val="left"/>
              <w:rPr>
                <w:rFonts w:ascii="宋体" w:hAnsi="宋体"/>
                <w:color w:val="000000" w:themeColor="text1"/>
                <w:sz w:val="24"/>
                <w:highlight w:val="none"/>
              </w:rPr>
            </w:pPr>
          </w:p>
          <w:p>
            <w:pPr>
              <w:widowControl/>
              <w:jc w:val="left"/>
              <w:rPr>
                <w:rFonts w:ascii="宋体" w:hAnsi="宋体"/>
                <w:color w:val="000000" w:themeColor="text1"/>
                <w:sz w:val="24"/>
                <w:highlight w:val="none"/>
              </w:rPr>
            </w:pPr>
          </w:p>
          <w:p>
            <w:pPr>
              <w:widowControl/>
              <w:jc w:val="left"/>
              <w:rPr>
                <w:rFonts w:ascii="宋体" w:hAnsi="宋体"/>
                <w:color w:val="000000" w:themeColor="text1"/>
                <w:sz w:val="24"/>
                <w:highlight w:val="none"/>
              </w:rPr>
            </w:pPr>
          </w:p>
          <w:p>
            <w:pPr>
              <w:widowControl/>
              <w:jc w:val="left"/>
              <w:rPr>
                <w:rFonts w:ascii="宋体" w:hAnsi="宋体"/>
                <w:color w:val="000000" w:themeColor="text1"/>
                <w:sz w:val="24"/>
                <w:highlight w:val="none"/>
              </w:rPr>
            </w:pPr>
          </w:p>
          <w:p>
            <w:pPr>
              <w:widowControl/>
              <w:jc w:val="left"/>
              <w:rPr>
                <w:rFonts w:ascii="宋体" w:hAnsi="宋体"/>
                <w:color w:val="000000" w:themeColor="text1"/>
                <w:sz w:val="24"/>
                <w:highlight w:val="none"/>
              </w:rPr>
            </w:pPr>
          </w:p>
          <w:p>
            <w:pPr>
              <w:widowControl/>
              <w:jc w:val="left"/>
              <w:rPr>
                <w:rFonts w:ascii="宋体" w:hAnsi="宋体"/>
                <w:color w:val="000000" w:themeColor="text1"/>
                <w:sz w:val="24"/>
                <w:highlight w:val="none"/>
              </w:rPr>
            </w:pPr>
          </w:p>
          <w:p>
            <w:pPr>
              <w:widowControl/>
              <w:jc w:val="left"/>
              <w:rPr>
                <w:rFonts w:ascii="宋体" w:hAnsi="宋体"/>
                <w:color w:val="000000" w:themeColor="text1"/>
                <w:sz w:val="24"/>
                <w:highlight w:val="none"/>
              </w:rPr>
            </w:pPr>
          </w:p>
          <w:p>
            <w:pPr>
              <w:widowControl/>
              <w:jc w:val="left"/>
              <w:rPr>
                <w:rFonts w:ascii="宋体" w:hAnsi="宋体"/>
                <w:color w:val="000000" w:themeColor="text1"/>
                <w:sz w:val="24"/>
                <w:highlight w:val="none"/>
              </w:rPr>
            </w:pPr>
          </w:p>
          <w:p>
            <w:pPr>
              <w:widowControl/>
              <w:jc w:val="left"/>
              <w:rPr>
                <w:rFonts w:ascii="宋体" w:hAnsi="宋体"/>
                <w:color w:val="000000" w:themeColor="text1"/>
                <w:sz w:val="24"/>
                <w:highlight w:val="none"/>
              </w:rPr>
            </w:pPr>
          </w:p>
          <w:p>
            <w:pPr>
              <w:spacing w:line="560" w:lineRule="exact"/>
              <w:rPr>
                <w:rFonts w:ascii="宋体" w:hAnsi="宋体"/>
                <w:color w:val="000000" w:themeColor="text1"/>
                <w:sz w:val="24"/>
                <w:highlight w:val="none"/>
              </w:rPr>
            </w:pPr>
          </w:p>
        </w:tc>
      </w:tr>
    </w:tbl>
    <w:p>
      <w:pPr>
        <w:spacing w:line="560" w:lineRule="exact"/>
        <w:jc w:val="center"/>
        <w:rPr>
          <w:rFonts w:ascii="宋体" w:hAnsi="宋体"/>
          <w:color w:val="000000" w:themeColor="text1"/>
          <w:sz w:val="36"/>
          <w:highlight w:val="none"/>
        </w:rPr>
      </w:pPr>
    </w:p>
    <w:p>
      <w:pPr>
        <w:spacing w:line="560" w:lineRule="exact"/>
        <w:rPr>
          <w:rFonts w:ascii="楷体_GB2312" w:eastAsia="楷体_GB2312"/>
          <w:color w:val="000000" w:themeColor="text1"/>
          <w:sz w:val="24"/>
          <w:highlight w:val="none"/>
          <w:u w:val="single"/>
        </w:rPr>
      </w:pPr>
      <w:r>
        <w:rPr>
          <w:rFonts w:hint="eastAsia" w:ascii="宋体" w:hAnsi="宋体"/>
          <w:color w:val="000000" w:themeColor="text1"/>
          <w:sz w:val="24"/>
          <w:highlight w:val="none"/>
        </w:rPr>
        <w:t>投标人代表签字：</w:t>
      </w:r>
    </w:p>
    <w:p>
      <w:pPr>
        <w:spacing w:line="560" w:lineRule="exact"/>
        <w:jc w:val="center"/>
        <w:rPr>
          <w:rFonts w:ascii="黑体" w:eastAsia="黑体"/>
          <w:color w:val="000000" w:themeColor="text1"/>
          <w:sz w:val="36"/>
          <w:highlight w:val="none"/>
        </w:rPr>
      </w:pPr>
      <w:r>
        <w:rPr>
          <w:rFonts w:hint="eastAsia" w:ascii="黑体" w:eastAsia="黑体"/>
          <w:color w:val="000000" w:themeColor="text1"/>
          <w:sz w:val="36"/>
          <w:highlight w:val="none"/>
        </w:rPr>
        <w:br w:type="page"/>
      </w:r>
      <w:r>
        <w:rPr>
          <w:rFonts w:hint="eastAsia" w:ascii="黑体" w:eastAsia="黑体"/>
          <w:color w:val="000000" w:themeColor="text1"/>
          <w:sz w:val="36"/>
          <w:highlight w:val="none"/>
        </w:rPr>
        <w:t>5.商务条款偏离表</w:t>
      </w:r>
    </w:p>
    <w:p>
      <w:pPr>
        <w:spacing w:line="560" w:lineRule="exact"/>
        <w:rPr>
          <w:rFonts w:ascii="宋体" w:hAnsi="宋体"/>
          <w:color w:val="000000" w:themeColor="text1"/>
          <w:sz w:val="24"/>
          <w:highlight w:val="none"/>
          <w:u w:val="single"/>
        </w:rPr>
      </w:pPr>
      <w:r>
        <w:rPr>
          <w:rFonts w:hint="eastAsia" w:ascii="宋体" w:hAnsi="宋体"/>
          <w:color w:val="000000" w:themeColor="text1"/>
          <w:sz w:val="24"/>
          <w:highlight w:val="none"/>
        </w:rPr>
        <w:t>投标人名称：   招标编号：   标度号：</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5"/>
        <w:gridCol w:w="1705"/>
        <w:gridCol w:w="1705"/>
        <w:gridCol w:w="1705"/>
        <w:gridCol w:w="17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noWrap/>
          </w:tcPr>
          <w:p>
            <w:pPr>
              <w:spacing w:line="560" w:lineRule="exact"/>
              <w:jc w:val="center"/>
              <w:rPr>
                <w:rFonts w:ascii="宋体" w:hAnsi="宋体"/>
                <w:color w:val="000000" w:themeColor="text1"/>
                <w:sz w:val="24"/>
                <w:highlight w:val="none"/>
              </w:rPr>
            </w:pPr>
            <w:r>
              <w:rPr>
                <w:rFonts w:hint="eastAsia" w:ascii="宋体" w:hAnsi="宋体"/>
                <w:color w:val="000000" w:themeColor="text1"/>
                <w:sz w:val="24"/>
                <w:highlight w:val="none"/>
              </w:rPr>
              <w:t>序  号</w:t>
            </w: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jc w:val="center"/>
              <w:rPr>
                <w:rFonts w:ascii="宋体" w:hAnsi="宋体"/>
                <w:color w:val="000000" w:themeColor="text1"/>
                <w:sz w:val="24"/>
                <w:highlight w:val="none"/>
              </w:rPr>
            </w:pPr>
            <w:r>
              <w:rPr>
                <w:rFonts w:hint="eastAsia" w:ascii="宋体" w:hAnsi="宋体"/>
                <w:color w:val="000000" w:themeColor="text1"/>
                <w:sz w:val="24"/>
                <w:highlight w:val="none"/>
              </w:rPr>
              <w:t>标书要求的商务条款</w:t>
            </w: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jc w:val="center"/>
              <w:rPr>
                <w:rFonts w:ascii="宋体" w:hAnsi="宋体"/>
                <w:color w:val="000000" w:themeColor="text1"/>
                <w:sz w:val="24"/>
                <w:highlight w:val="none"/>
              </w:rPr>
            </w:pPr>
            <w:r>
              <w:rPr>
                <w:rFonts w:hint="eastAsia" w:ascii="宋体" w:hAnsi="宋体"/>
                <w:color w:val="000000" w:themeColor="text1"/>
                <w:sz w:val="24"/>
                <w:highlight w:val="none"/>
              </w:rPr>
              <w:t>投标文件的商务条款</w:t>
            </w: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jc w:val="center"/>
              <w:rPr>
                <w:rFonts w:ascii="宋体" w:hAnsi="宋体"/>
                <w:color w:val="000000" w:themeColor="text1"/>
                <w:sz w:val="24"/>
                <w:highlight w:val="none"/>
              </w:rPr>
            </w:pPr>
            <w:r>
              <w:rPr>
                <w:rFonts w:hint="eastAsia" w:ascii="宋体" w:hAnsi="宋体"/>
                <w:color w:val="000000" w:themeColor="text1"/>
                <w:sz w:val="24"/>
                <w:highlight w:val="none"/>
              </w:rPr>
              <w:t>偏离与否</w:t>
            </w: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jc w:val="center"/>
              <w:rPr>
                <w:rFonts w:ascii="宋体" w:hAnsi="宋体"/>
                <w:color w:val="000000" w:themeColor="text1"/>
                <w:sz w:val="24"/>
                <w:highlight w:val="none"/>
              </w:rPr>
            </w:pPr>
            <w:r>
              <w:rPr>
                <w:rFonts w:hint="eastAsia" w:ascii="宋体" w:hAnsi="宋体"/>
                <w:color w:val="000000" w:themeColor="text1"/>
                <w:sz w:val="24"/>
                <w:highlight w:val="none"/>
              </w:rPr>
              <w:t>说 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color w:val="000000" w:themeColor="text1"/>
                <w:sz w:val="36"/>
                <w:highlight w:val="none"/>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color w:val="000000" w:themeColor="text1"/>
                <w:sz w:val="36"/>
                <w:highlight w:val="none"/>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color w:val="000000" w:themeColor="text1"/>
                <w:sz w:val="36"/>
                <w:highlight w:val="none"/>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color w:val="000000" w:themeColor="text1"/>
                <w:sz w:val="36"/>
                <w:highlight w:val="none"/>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color w:val="000000" w:themeColor="text1"/>
                <w:sz w:val="36"/>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color w:val="000000" w:themeColor="text1"/>
                <w:sz w:val="36"/>
                <w:highlight w:val="none"/>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color w:val="000000" w:themeColor="text1"/>
                <w:sz w:val="36"/>
                <w:highlight w:val="none"/>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color w:val="000000" w:themeColor="text1"/>
                <w:sz w:val="36"/>
                <w:highlight w:val="none"/>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color w:val="000000" w:themeColor="text1"/>
                <w:sz w:val="36"/>
                <w:highlight w:val="none"/>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color w:val="000000" w:themeColor="text1"/>
                <w:sz w:val="36"/>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color w:val="000000" w:themeColor="text1"/>
                <w:sz w:val="36"/>
                <w:highlight w:val="none"/>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color w:val="000000" w:themeColor="text1"/>
                <w:sz w:val="36"/>
                <w:highlight w:val="none"/>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color w:val="000000" w:themeColor="text1"/>
                <w:sz w:val="36"/>
                <w:highlight w:val="none"/>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color w:val="000000" w:themeColor="text1"/>
                <w:sz w:val="36"/>
                <w:highlight w:val="none"/>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color w:val="000000" w:themeColor="text1"/>
                <w:sz w:val="36"/>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color w:val="000000" w:themeColor="text1"/>
                <w:sz w:val="36"/>
                <w:highlight w:val="none"/>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color w:val="000000" w:themeColor="text1"/>
                <w:sz w:val="36"/>
                <w:highlight w:val="none"/>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color w:val="000000" w:themeColor="text1"/>
                <w:sz w:val="36"/>
                <w:highlight w:val="none"/>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color w:val="000000" w:themeColor="text1"/>
                <w:sz w:val="36"/>
                <w:highlight w:val="none"/>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color w:val="000000" w:themeColor="text1"/>
                <w:sz w:val="36"/>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color w:val="000000" w:themeColor="text1"/>
                <w:sz w:val="36"/>
                <w:highlight w:val="none"/>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color w:val="000000" w:themeColor="text1"/>
                <w:sz w:val="36"/>
                <w:highlight w:val="none"/>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color w:val="000000" w:themeColor="text1"/>
                <w:sz w:val="36"/>
                <w:highlight w:val="none"/>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color w:val="000000" w:themeColor="text1"/>
                <w:sz w:val="36"/>
                <w:highlight w:val="none"/>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color w:val="000000" w:themeColor="text1"/>
                <w:sz w:val="36"/>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color w:val="000000" w:themeColor="text1"/>
                <w:sz w:val="36"/>
                <w:highlight w:val="none"/>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color w:val="000000" w:themeColor="text1"/>
                <w:sz w:val="36"/>
                <w:highlight w:val="none"/>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color w:val="000000" w:themeColor="text1"/>
                <w:sz w:val="36"/>
                <w:highlight w:val="none"/>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color w:val="000000" w:themeColor="text1"/>
                <w:sz w:val="36"/>
                <w:highlight w:val="none"/>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color w:val="000000" w:themeColor="text1"/>
                <w:sz w:val="36"/>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color w:val="000000" w:themeColor="text1"/>
                <w:sz w:val="36"/>
                <w:highlight w:val="none"/>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color w:val="000000" w:themeColor="text1"/>
                <w:sz w:val="36"/>
                <w:highlight w:val="none"/>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color w:val="000000" w:themeColor="text1"/>
                <w:sz w:val="36"/>
                <w:highlight w:val="none"/>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color w:val="000000" w:themeColor="text1"/>
                <w:sz w:val="36"/>
                <w:highlight w:val="none"/>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color w:val="000000" w:themeColor="text1"/>
                <w:sz w:val="36"/>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color w:val="000000" w:themeColor="text1"/>
                <w:sz w:val="36"/>
                <w:highlight w:val="none"/>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color w:val="000000" w:themeColor="text1"/>
                <w:sz w:val="36"/>
                <w:highlight w:val="none"/>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color w:val="000000" w:themeColor="text1"/>
                <w:sz w:val="36"/>
                <w:highlight w:val="none"/>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color w:val="000000" w:themeColor="text1"/>
                <w:sz w:val="36"/>
                <w:highlight w:val="none"/>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color w:val="000000" w:themeColor="text1"/>
                <w:sz w:val="36"/>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color w:val="000000" w:themeColor="text1"/>
                <w:sz w:val="36"/>
                <w:highlight w:val="none"/>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color w:val="000000" w:themeColor="text1"/>
                <w:sz w:val="36"/>
                <w:highlight w:val="none"/>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color w:val="000000" w:themeColor="text1"/>
                <w:sz w:val="36"/>
                <w:highlight w:val="none"/>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color w:val="000000" w:themeColor="text1"/>
                <w:sz w:val="36"/>
                <w:highlight w:val="none"/>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color w:val="000000" w:themeColor="text1"/>
                <w:sz w:val="36"/>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color w:val="000000" w:themeColor="text1"/>
                <w:sz w:val="36"/>
                <w:highlight w:val="none"/>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color w:val="000000" w:themeColor="text1"/>
                <w:sz w:val="36"/>
                <w:highlight w:val="none"/>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color w:val="000000" w:themeColor="text1"/>
                <w:sz w:val="36"/>
                <w:highlight w:val="none"/>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color w:val="000000" w:themeColor="text1"/>
                <w:sz w:val="36"/>
                <w:highlight w:val="none"/>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color w:val="000000" w:themeColor="text1"/>
                <w:sz w:val="36"/>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color w:val="000000" w:themeColor="text1"/>
                <w:sz w:val="36"/>
                <w:highlight w:val="none"/>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color w:val="000000" w:themeColor="text1"/>
                <w:sz w:val="36"/>
                <w:highlight w:val="none"/>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color w:val="000000" w:themeColor="text1"/>
                <w:sz w:val="36"/>
                <w:highlight w:val="none"/>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color w:val="000000" w:themeColor="text1"/>
                <w:sz w:val="36"/>
                <w:highlight w:val="none"/>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color w:val="000000" w:themeColor="text1"/>
                <w:sz w:val="36"/>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color w:val="000000" w:themeColor="text1"/>
                <w:sz w:val="36"/>
                <w:highlight w:val="none"/>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color w:val="000000" w:themeColor="text1"/>
                <w:sz w:val="36"/>
                <w:highlight w:val="none"/>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color w:val="000000" w:themeColor="text1"/>
                <w:sz w:val="36"/>
                <w:highlight w:val="none"/>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color w:val="000000" w:themeColor="text1"/>
                <w:sz w:val="36"/>
                <w:highlight w:val="none"/>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color w:val="000000" w:themeColor="text1"/>
                <w:sz w:val="36"/>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color w:val="000000" w:themeColor="text1"/>
                <w:sz w:val="36"/>
                <w:highlight w:val="none"/>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color w:val="000000" w:themeColor="text1"/>
                <w:sz w:val="36"/>
                <w:highlight w:val="none"/>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color w:val="000000" w:themeColor="text1"/>
                <w:sz w:val="36"/>
                <w:highlight w:val="none"/>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color w:val="000000" w:themeColor="text1"/>
                <w:sz w:val="36"/>
                <w:highlight w:val="none"/>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color w:val="000000" w:themeColor="text1"/>
                <w:sz w:val="36"/>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color w:val="000000" w:themeColor="text1"/>
                <w:sz w:val="36"/>
                <w:highlight w:val="none"/>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color w:val="000000" w:themeColor="text1"/>
                <w:sz w:val="36"/>
                <w:highlight w:val="none"/>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color w:val="000000" w:themeColor="text1"/>
                <w:sz w:val="36"/>
                <w:highlight w:val="none"/>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color w:val="000000" w:themeColor="text1"/>
                <w:sz w:val="36"/>
                <w:highlight w:val="none"/>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color w:val="000000" w:themeColor="text1"/>
                <w:sz w:val="36"/>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color w:val="000000" w:themeColor="text1"/>
                <w:sz w:val="36"/>
                <w:highlight w:val="none"/>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color w:val="000000" w:themeColor="text1"/>
                <w:sz w:val="36"/>
                <w:highlight w:val="none"/>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color w:val="000000" w:themeColor="text1"/>
                <w:sz w:val="36"/>
                <w:highlight w:val="none"/>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color w:val="000000" w:themeColor="text1"/>
                <w:sz w:val="36"/>
                <w:highlight w:val="none"/>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color w:val="000000" w:themeColor="text1"/>
                <w:sz w:val="36"/>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color w:val="000000" w:themeColor="text1"/>
                <w:sz w:val="36"/>
                <w:highlight w:val="none"/>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color w:val="000000" w:themeColor="text1"/>
                <w:sz w:val="36"/>
                <w:highlight w:val="none"/>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color w:val="000000" w:themeColor="text1"/>
                <w:sz w:val="36"/>
                <w:highlight w:val="none"/>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color w:val="000000" w:themeColor="text1"/>
                <w:sz w:val="36"/>
                <w:highlight w:val="none"/>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color w:val="000000" w:themeColor="text1"/>
                <w:sz w:val="36"/>
                <w:highlight w:val="none"/>
              </w:rPr>
            </w:pPr>
          </w:p>
        </w:tc>
      </w:tr>
    </w:tbl>
    <w:p>
      <w:pPr>
        <w:pStyle w:val="4"/>
        <w:rPr>
          <w:rFonts w:ascii="黑体" w:eastAsia="黑体"/>
          <w:color w:val="000000" w:themeColor="text1"/>
          <w:sz w:val="36"/>
          <w:highlight w:val="none"/>
        </w:rPr>
      </w:pPr>
      <w:r>
        <w:rPr>
          <w:rFonts w:hint="eastAsia" w:ascii="宋体" w:hAnsi="宋体" w:eastAsia="宋体"/>
          <w:color w:val="000000" w:themeColor="text1"/>
          <w:highlight w:val="none"/>
        </w:rPr>
        <w:t>投标人名称：</w:t>
      </w:r>
      <w:r>
        <w:rPr>
          <w:rFonts w:hint="eastAsia" w:ascii="黑体" w:eastAsia="黑体"/>
          <w:color w:val="000000" w:themeColor="text1"/>
          <w:sz w:val="36"/>
          <w:highlight w:val="none"/>
        </w:rPr>
        <w:br w:type="page"/>
      </w:r>
    </w:p>
    <w:p>
      <w:pPr>
        <w:pStyle w:val="4"/>
        <w:jc w:val="center"/>
        <w:rPr>
          <w:rFonts w:ascii="黑体" w:eastAsia="黑体"/>
          <w:color w:val="000000" w:themeColor="text1"/>
          <w:sz w:val="36"/>
          <w:highlight w:val="none"/>
        </w:rPr>
      </w:pPr>
      <w:r>
        <w:rPr>
          <w:rFonts w:hint="eastAsia" w:ascii="黑体" w:eastAsia="黑体"/>
          <w:color w:val="000000" w:themeColor="text1"/>
          <w:sz w:val="36"/>
          <w:highlight w:val="none"/>
        </w:rPr>
        <w:t>6.服  务</w:t>
      </w:r>
    </w:p>
    <w:p>
      <w:pPr>
        <w:spacing w:line="560" w:lineRule="exact"/>
        <w:rPr>
          <w:rFonts w:ascii="宋体" w:hAnsi="宋体"/>
          <w:color w:val="000000" w:themeColor="text1"/>
          <w:sz w:val="24"/>
          <w:highlight w:val="none"/>
        </w:rPr>
      </w:pPr>
      <w:r>
        <w:rPr>
          <w:rFonts w:hint="eastAsia" w:ascii="宋体" w:hAnsi="宋体"/>
          <w:color w:val="000000" w:themeColor="text1"/>
          <w:sz w:val="24"/>
          <w:highlight w:val="none"/>
        </w:rPr>
        <w:t>注：1、投标人可提供的培训、售后服务等技术服务情况。</w:t>
      </w:r>
    </w:p>
    <w:p>
      <w:pPr>
        <w:spacing w:line="560" w:lineRule="exact"/>
        <w:rPr>
          <w:rFonts w:ascii="宋体" w:hAnsi="宋体"/>
          <w:color w:val="000000" w:themeColor="text1"/>
          <w:sz w:val="24"/>
          <w:highlight w:val="none"/>
        </w:rPr>
      </w:pPr>
      <w:r>
        <w:rPr>
          <w:rFonts w:hint="eastAsia" w:ascii="宋体" w:hAnsi="宋体"/>
          <w:color w:val="000000" w:themeColor="text1"/>
          <w:sz w:val="24"/>
          <w:highlight w:val="none"/>
        </w:rPr>
        <w:t xml:space="preserve">    2、须提供培训、售后服务等详细计划，包括时间、人员等安排，及须买方预先做的准备工作等（如有）。</w:t>
      </w:r>
    </w:p>
    <w:p>
      <w:pPr>
        <w:spacing w:line="560" w:lineRule="exact"/>
        <w:jc w:val="center"/>
        <w:outlineLvl w:val="1"/>
        <w:rPr>
          <w:rFonts w:ascii="黑体" w:eastAsia="黑体"/>
          <w:color w:val="000000" w:themeColor="text1"/>
          <w:sz w:val="36"/>
          <w:highlight w:val="none"/>
        </w:rPr>
      </w:pPr>
      <w:r>
        <w:rPr>
          <w:rFonts w:hint="eastAsia" w:ascii="黑体" w:eastAsia="黑体"/>
          <w:color w:val="000000" w:themeColor="text1"/>
          <w:sz w:val="36"/>
          <w:highlight w:val="none"/>
        </w:rPr>
        <w:br w:type="page"/>
      </w:r>
      <w:r>
        <w:rPr>
          <w:rFonts w:hint="eastAsia" w:ascii="黑体" w:eastAsia="黑体"/>
          <w:color w:val="000000" w:themeColor="text1"/>
          <w:sz w:val="36"/>
          <w:highlight w:val="none"/>
        </w:rPr>
        <w:t>7.经营业绩</w:t>
      </w:r>
    </w:p>
    <w:p>
      <w:pPr>
        <w:spacing w:line="560" w:lineRule="exact"/>
        <w:rPr>
          <w:rFonts w:ascii="宋体" w:hAnsi="宋体"/>
          <w:color w:val="000000" w:themeColor="text1"/>
          <w:sz w:val="24"/>
          <w:highlight w:val="none"/>
        </w:rPr>
      </w:pPr>
      <w:r>
        <w:rPr>
          <w:rFonts w:hint="eastAsia" w:ascii="宋体" w:hAnsi="宋体"/>
          <w:color w:val="000000" w:themeColor="text1"/>
          <w:sz w:val="24"/>
          <w:highlight w:val="none"/>
        </w:rPr>
        <w:t>（注：投标货物的制造及销售业绩，提供近三年同类货物的规模及销售情况，以及在用户名单、联系方法、合同复印件等。）</w:t>
      </w:r>
    </w:p>
    <w:p>
      <w:pPr>
        <w:spacing w:line="440" w:lineRule="exact"/>
        <w:ind w:firstLine="723" w:firstLineChars="200"/>
        <w:jc w:val="center"/>
        <w:rPr>
          <w:rFonts w:ascii="仿宋_GB2312" w:hAnsi="宋体" w:eastAsia="仿宋_GB2312"/>
          <w:b/>
          <w:color w:val="000000" w:themeColor="text1"/>
          <w:sz w:val="36"/>
          <w:szCs w:val="36"/>
          <w:highlight w:val="none"/>
        </w:rPr>
      </w:pPr>
    </w:p>
    <w:p>
      <w:pPr>
        <w:spacing w:line="460" w:lineRule="exact"/>
        <w:ind w:firstLine="2160" w:firstLineChars="600"/>
        <w:rPr>
          <w:rFonts w:ascii="黑体" w:hAnsi="黑体" w:eastAsia="黑体" w:cs="黑体"/>
          <w:color w:val="000000" w:themeColor="text1"/>
          <w:sz w:val="36"/>
          <w:szCs w:val="36"/>
          <w:highlight w:val="none"/>
        </w:rPr>
      </w:pPr>
      <w:r>
        <w:rPr>
          <w:rFonts w:hint="eastAsia" w:ascii="黑体" w:hAnsi="黑体" w:eastAsia="黑体" w:cs="黑体"/>
          <w:color w:val="000000" w:themeColor="text1"/>
          <w:sz w:val="36"/>
          <w:szCs w:val="36"/>
          <w:highlight w:val="none"/>
        </w:rPr>
        <w:t>8.投标人认为需要提供的其他资料</w:t>
      </w:r>
    </w:p>
    <w:p>
      <w:pPr>
        <w:spacing w:line="440" w:lineRule="exact"/>
        <w:ind w:firstLine="723" w:firstLineChars="200"/>
        <w:jc w:val="center"/>
        <w:rPr>
          <w:rFonts w:ascii="仿宋_GB2312" w:hAnsi="宋体" w:eastAsia="仿宋_GB2312"/>
          <w:b/>
          <w:color w:val="000000" w:themeColor="text1"/>
          <w:sz w:val="36"/>
          <w:szCs w:val="36"/>
          <w:highlight w:val="none"/>
        </w:rPr>
      </w:pPr>
    </w:p>
    <w:p>
      <w:pPr>
        <w:spacing w:line="440" w:lineRule="exact"/>
        <w:ind w:firstLine="723" w:firstLineChars="200"/>
        <w:jc w:val="center"/>
        <w:rPr>
          <w:rFonts w:ascii="仿宋_GB2312" w:hAnsi="宋体" w:eastAsia="仿宋_GB2312"/>
          <w:b/>
          <w:color w:val="000000" w:themeColor="text1"/>
          <w:sz w:val="36"/>
          <w:szCs w:val="36"/>
          <w:highlight w:val="none"/>
        </w:rPr>
      </w:pPr>
    </w:p>
    <w:p>
      <w:pPr>
        <w:spacing w:line="440" w:lineRule="exact"/>
        <w:ind w:firstLine="723" w:firstLineChars="200"/>
        <w:jc w:val="center"/>
        <w:rPr>
          <w:rFonts w:ascii="仿宋_GB2312" w:hAnsi="宋体" w:eastAsia="仿宋_GB2312"/>
          <w:b/>
          <w:color w:val="000000" w:themeColor="text1"/>
          <w:sz w:val="36"/>
          <w:szCs w:val="36"/>
          <w:highlight w:val="none"/>
        </w:rPr>
      </w:pPr>
    </w:p>
    <w:p>
      <w:pPr>
        <w:spacing w:line="440" w:lineRule="exact"/>
        <w:ind w:firstLine="723" w:firstLineChars="200"/>
        <w:jc w:val="center"/>
        <w:rPr>
          <w:rFonts w:ascii="仿宋_GB2312" w:hAnsi="宋体" w:eastAsia="仿宋_GB2312"/>
          <w:b/>
          <w:color w:val="000000" w:themeColor="text1"/>
          <w:sz w:val="36"/>
          <w:szCs w:val="36"/>
          <w:highlight w:val="none"/>
        </w:rPr>
      </w:pPr>
    </w:p>
    <w:p>
      <w:pPr>
        <w:spacing w:line="440" w:lineRule="exact"/>
        <w:ind w:firstLine="723" w:firstLineChars="200"/>
        <w:jc w:val="center"/>
        <w:rPr>
          <w:rFonts w:ascii="仿宋_GB2312" w:hAnsi="宋体" w:eastAsia="仿宋_GB2312"/>
          <w:b/>
          <w:color w:val="000000" w:themeColor="text1"/>
          <w:sz w:val="36"/>
          <w:szCs w:val="36"/>
          <w:highlight w:val="none"/>
        </w:rPr>
      </w:pPr>
    </w:p>
    <w:p>
      <w:pPr>
        <w:spacing w:line="440" w:lineRule="exact"/>
        <w:ind w:firstLine="723" w:firstLineChars="200"/>
        <w:jc w:val="center"/>
        <w:rPr>
          <w:rFonts w:ascii="仿宋_GB2312" w:hAnsi="宋体" w:eastAsia="仿宋_GB2312"/>
          <w:b/>
          <w:color w:val="000000" w:themeColor="text1"/>
          <w:sz w:val="36"/>
          <w:szCs w:val="36"/>
          <w:highlight w:val="none"/>
        </w:rPr>
      </w:pPr>
    </w:p>
    <w:p>
      <w:pPr>
        <w:spacing w:line="440" w:lineRule="exact"/>
        <w:ind w:firstLine="723" w:firstLineChars="200"/>
        <w:jc w:val="center"/>
        <w:rPr>
          <w:rFonts w:ascii="仿宋_GB2312" w:hAnsi="宋体" w:eastAsia="仿宋_GB2312"/>
          <w:b/>
          <w:color w:val="000000" w:themeColor="text1"/>
          <w:sz w:val="36"/>
          <w:szCs w:val="36"/>
          <w:highlight w:val="none"/>
        </w:rPr>
      </w:pPr>
    </w:p>
    <w:p>
      <w:pPr>
        <w:spacing w:line="440" w:lineRule="exact"/>
        <w:ind w:firstLine="723" w:firstLineChars="200"/>
        <w:jc w:val="center"/>
        <w:rPr>
          <w:rFonts w:ascii="仿宋_GB2312" w:hAnsi="宋体" w:eastAsia="仿宋_GB2312"/>
          <w:b/>
          <w:color w:val="000000" w:themeColor="text1"/>
          <w:sz w:val="36"/>
          <w:szCs w:val="36"/>
          <w:highlight w:val="none"/>
        </w:rPr>
      </w:pPr>
    </w:p>
    <w:p>
      <w:pPr>
        <w:spacing w:line="440" w:lineRule="exact"/>
        <w:ind w:firstLine="723" w:firstLineChars="200"/>
        <w:jc w:val="center"/>
        <w:rPr>
          <w:rFonts w:ascii="仿宋_GB2312" w:hAnsi="宋体" w:eastAsia="仿宋_GB2312"/>
          <w:b/>
          <w:color w:val="000000" w:themeColor="text1"/>
          <w:sz w:val="36"/>
          <w:szCs w:val="36"/>
          <w:highlight w:val="none"/>
        </w:rPr>
      </w:pPr>
    </w:p>
    <w:p>
      <w:pPr>
        <w:spacing w:line="440" w:lineRule="exact"/>
        <w:ind w:firstLine="723" w:firstLineChars="200"/>
        <w:jc w:val="center"/>
        <w:rPr>
          <w:rFonts w:ascii="仿宋_GB2312" w:hAnsi="宋体" w:eastAsia="仿宋_GB2312"/>
          <w:b/>
          <w:color w:val="000000" w:themeColor="text1"/>
          <w:sz w:val="36"/>
          <w:szCs w:val="36"/>
          <w:highlight w:val="none"/>
        </w:rPr>
      </w:pPr>
    </w:p>
    <w:p>
      <w:pPr>
        <w:spacing w:line="440" w:lineRule="exact"/>
        <w:ind w:firstLine="723" w:firstLineChars="200"/>
        <w:jc w:val="center"/>
        <w:rPr>
          <w:rFonts w:ascii="仿宋_GB2312" w:hAnsi="宋体" w:eastAsia="仿宋_GB2312"/>
          <w:b/>
          <w:color w:val="000000" w:themeColor="text1"/>
          <w:sz w:val="36"/>
          <w:szCs w:val="36"/>
          <w:highlight w:val="none"/>
        </w:rPr>
      </w:pPr>
    </w:p>
    <w:p>
      <w:pPr>
        <w:spacing w:line="440" w:lineRule="exact"/>
        <w:ind w:firstLine="723" w:firstLineChars="200"/>
        <w:jc w:val="center"/>
        <w:rPr>
          <w:rFonts w:ascii="仿宋_GB2312" w:hAnsi="宋体" w:eastAsia="仿宋_GB2312"/>
          <w:b/>
          <w:color w:val="000000" w:themeColor="text1"/>
          <w:sz w:val="36"/>
          <w:szCs w:val="36"/>
          <w:highlight w:val="none"/>
        </w:rPr>
      </w:pPr>
    </w:p>
    <w:p>
      <w:pPr>
        <w:spacing w:line="440" w:lineRule="exact"/>
        <w:ind w:firstLine="723" w:firstLineChars="200"/>
        <w:jc w:val="center"/>
        <w:rPr>
          <w:rFonts w:ascii="仿宋_GB2312" w:hAnsi="宋体" w:eastAsia="仿宋_GB2312"/>
          <w:b/>
          <w:color w:val="000000" w:themeColor="text1"/>
          <w:sz w:val="36"/>
          <w:szCs w:val="36"/>
          <w:highlight w:val="none"/>
        </w:rPr>
      </w:pPr>
    </w:p>
    <w:p>
      <w:pPr>
        <w:spacing w:line="440" w:lineRule="exact"/>
        <w:ind w:firstLine="723" w:firstLineChars="200"/>
        <w:jc w:val="center"/>
        <w:rPr>
          <w:rFonts w:ascii="仿宋_GB2312" w:hAnsi="宋体" w:eastAsia="仿宋_GB2312"/>
          <w:b/>
          <w:color w:val="000000" w:themeColor="text1"/>
          <w:sz w:val="36"/>
          <w:szCs w:val="36"/>
          <w:highlight w:val="none"/>
        </w:rPr>
      </w:pPr>
    </w:p>
    <w:p>
      <w:pPr>
        <w:spacing w:line="440" w:lineRule="exact"/>
        <w:ind w:firstLine="723" w:firstLineChars="200"/>
        <w:jc w:val="center"/>
        <w:rPr>
          <w:rFonts w:ascii="仿宋_GB2312" w:hAnsi="宋体" w:eastAsia="仿宋_GB2312"/>
          <w:b/>
          <w:color w:val="000000" w:themeColor="text1"/>
          <w:sz w:val="36"/>
          <w:szCs w:val="36"/>
          <w:highlight w:val="none"/>
        </w:rPr>
      </w:pPr>
    </w:p>
    <w:p>
      <w:pPr>
        <w:spacing w:line="440" w:lineRule="exact"/>
        <w:ind w:firstLine="723" w:firstLineChars="200"/>
        <w:jc w:val="center"/>
        <w:rPr>
          <w:rFonts w:ascii="仿宋_GB2312" w:hAnsi="宋体" w:eastAsia="仿宋_GB2312"/>
          <w:b/>
          <w:color w:val="000000" w:themeColor="text1"/>
          <w:sz w:val="36"/>
          <w:szCs w:val="36"/>
          <w:highlight w:val="none"/>
        </w:rPr>
      </w:pPr>
    </w:p>
    <w:p>
      <w:pPr>
        <w:spacing w:line="440" w:lineRule="exact"/>
        <w:ind w:firstLine="723" w:firstLineChars="200"/>
        <w:jc w:val="center"/>
        <w:rPr>
          <w:rFonts w:ascii="仿宋_GB2312" w:hAnsi="宋体" w:eastAsia="仿宋_GB2312"/>
          <w:b/>
          <w:color w:val="000000" w:themeColor="text1"/>
          <w:sz w:val="36"/>
          <w:szCs w:val="36"/>
          <w:highlight w:val="none"/>
        </w:rPr>
      </w:pPr>
    </w:p>
    <w:p>
      <w:pPr>
        <w:spacing w:line="440" w:lineRule="exact"/>
        <w:ind w:firstLine="723" w:firstLineChars="200"/>
        <w:jc w:val="center"/>
        <w:rPr>
          <w:rFonts w:ascii="仿宋_GB2312" w:hAnsi="宋体" w:eastAsia="仿宋_GB2312"/>
          <w:b/>
          <w:color w:val="000000" w:themeColor="text1"/>
          <w:sz w:val="36"/>
          <w:szCs w:val="36"/>
          <w:highlight w:val="none"/>
        </w:rPr>
      </w:pPr>
    </w:p>
    <w:p>
      <w:pPr>
        <w:spacing w:line="440" w:lineRule="exact"/>
        <w:ind w:firstLine="723" w:firstLineChars="200"/>
        <w:jc w:val="center"/>
        <w:rPr>
          <w:rFonts w:ascii="仿宋_GB2312" w:hAnsi="宋体" w:eastAsia="仿宋_GB2312"/>
          <w:b/>
          <w:color w:val="000000" w:themeColor="text1"/>
          <w:sz w:val="36"/>
          <w:szCs w:val="36"/>
          <w:highlight w:val="none"/>
        </w:rPr>
      </w:pPr>
    </w:p>
    <w:p>
      <w:pPr>
        <w:spacing w:line="440" w:lineRule="exact"/>
        <w:ind w:firstLine="723" w:firstLineChars="200"/>
        <w:jc w:val="center"/>
        <w:rPr>
          <w:rFonts w:ascii="仿宋_GB2312" w:hAnsi="宋体" w:eastAsia="仿宋_GB2312"/>
          <w:b/>
          <w:color w:val="000000" w:themeColor="text1"/>
          <w:sz w:val="36"/>
          <w:szCs w:val="36"/>
          <w:highlight w:val="none"/>
        </w:rPr>
      </w:pPr>
    </w:p>
    <w:p>
      <w:pPr>
        <w:spacing w:line="440" w:lineRule="exact"/>
        <w:ind w:firstLine="723" w:firstLineChars="200"/>
        <w:jc w:val="center"/>
        <w:rPr>
          <w:rFonts w:ascii="仿宋_GB2312" w:hAnsi="宋体" w:eastAsia="仿宋_GB2312"/>
          <w:b/>
          <w:color w:val="000000" w:themeColor="text1"/>
          <w:sz w:val="36"/>
          <w:szCs w:val="36"/>
          <w:highlight w:val="none"/>
        </w:rPr>
      </w:pPr>
    </w:p>
    <w:p>
      <w:pPr>
        <w:spacing w:line="440" w:lineRule="exact"/>
        <w:ind w:firstLine="723" w:firstLineChars="200"/>
        <w:jc w:val="center"/>
        <w:rPr>
          <w:rFonts w:ascii="仿宋_GB2312" w:hAnsi="宋体" w:eastAsia="仿宋_GB2312"/>
          <w:b/>
          <w:color w:val="000000" w:themeColor="text1"/>
          <w:sz w:val="36"/>
          <w:szCs w:val="36"/>
          <w:highlight w:val="none"/>
        </w:rPr>
      </w:pPr>
    </w:p>
    <w:p>
      <w:pPr>
        <w:spacing w:line="440" w:lineRule="exact"/>
        <w:ind w:firstLine="723" w:firstLineChars="200"/>
        <w:jc w:val="center"/>
        <w:rPr>
          <w:rFonts w:ascii="仿宋_GB2312" w:hAnsi="宋体" w:eastAsia="仿宋_GB2312"/>
          <w:b/>
          <w:color w:val="000000" w:themeColor="text1"/>
          <w:sz w:val="36"/>
          <w:szCs w:val="36"/>
          <w:highlight w:val="none"/>
        </w:rPr>
      </w:pPr>
    </w:p>
    <w:p>
      <w:pPr>
        <w:spacing w:line="440" w:lineRule="exact"/>
        <w:ind w:firstLine="723" w:firstLineChars="200"/>
        <w:jc w:val="center"/>
        <w:rPr>
          <w:rFonts w:ascii="仿宋_GB2312" w:hAnsi="宋体" w:eastAsia="仿宋_GB2312"/>
          <w:b/>
          <w:color w:val="000000" w:themeColor="text1"/>
          <w:sz w:val="36"/>
          <w:szCs w:val="36"/>
          <w:highlight w:val="none"/>
        </w:rPr>
      </w:pPr>
    </w:p>
    <w:p>
      <w:pPr>
        <w:autoSpaceDE w:val="0"/>
        <w:autoSpaceDN w:val="0"/>
        <w:adjustRightInd w:val="0"/>
        <w:snapToGrid w:val="0"/>
        <w:spacing w:line="360" w:lineRule="auto"/>
        <w:rPr>
          <w:rFonts w:ascii="宋体" w:hAnsi="宋体"/>
          <w:color w:val="000000" w:themeColor="text1"/>
          <w:szCs w:val="21"/>
          <w:highlight w:val="none"/>
        </w:rPr>
      </w:pPr>
    </w:p>
    <w:p>
      <w:pPr>
        <w:autoSpaceDE w:val="0"/>
        <w:autoSpaceDN w:val="0"/>
        <w:adjustRightInd w:val="0"/>
        <w:snapToGrid w:val="0"/>
        <w:spacing w:line="360" w:lineRule="auto"/>
        <w:rPr>
          <w:rFonts w:ascii="宋体" w:hAnsi="宋体"/>
          <w:color w:val="000000" w:themeColor="text1"/>
          <w:szCs w:val="21"/>
          <w:highlight w:val="none"/>
        </w:rPr>
      </w:pPr>
    </w:p>
    <w:p>
      <w:pPr>
        <w:autoSpaceDE w:val="0"/>
        <w:autoSpaceDN w:val="0"/>
        <w:adjustRightInd w:val="0"/>
        <w:snapToGrid w:val="0"/>
        <w:spacing w:line="360" w:lineRule="auto"/>
        <w:rPr>
          <w:rFonts w:ascii="宋体" w:hAnsi="宋体"/>
          <w:color w:val="000000" w:themeColor="text1"/>
          <w:szCs w:val="21"/>
          <w:highlight w:val="none"/>
        </w:rPr>
      </w:pPr>
    </w:p>
    <w:p>
      <w:pPr>
        <w:rPr>
          <w:color w:val="000000" w:themeColor="text1"/>
          <w:highlight w:val="none"/>
        </w:rPr>
      </w:pPr>
    </w:p>
    <w:sectPr>
      <w:headerReference r:id="rId5" w:type="default"/>
      <w:pgSz w:w="11907" w:h="16840"/>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JhengHei">
    <w:panose1 w:val="020B0604030504040204"/>
    <w:charset w:val="88"/>
    <w:family w:val="swiss"/>
    <w:pitch w:val="default"/>
    <w:sig w:usb0="00000087" w:usb1="28AF4000" w:usb2="00000016" w:usb3="00000000" w:csb0="00100009" w:csb1="00000000"/>
  </w:font>
  <w:font w:name="仿宋_GB2312">
    <w:altName w:val="仿宋"/>
    <w:panose1 w:val="00000000000000000000"/>
    <w:charset w:val="86"/>
    <w:family w:val="modern"/>
    <w:pitch w:val="default"/>
    <w:sig w:usb0="00000000" w:usb1="00000000" w:usb2="00000010" w:usb3="00000000" w:csb0="00040000" w:csb1="00000000"/>
  </w:font>
  <w:font w:name="方正小标宋简体">
    <w:altName w:val="黑体"/>
    <w:panose1 w:val="00000000000000000000"/>
    <w:charset w:val="86"/>
    <w:family w:val="auto"/>
    <w:pitch w:val="default"/>
    <w:sig w:usb0="00000000" w:usb1="00000000" w:usb2="00000000" w:usb3="00000000" w:csb0="00040000" w:csb1="00000000"/>
  </w:font>
  <w:font w:name="楷体_GB2312">
    <w:altName w:val="楷体"/>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pict>
        <v:shape id="_x0000_s1026" o:spid="_x0000_s1026" o:spt="202" type="#_x0000_t202" style="position:absolute;left:0pt;margin-top:0pt;height:10.35pt;width:9.05pt;mso-position-horizontal:center;mso-position-horizontal-relative:margin;mso-wrap-style:none;z-index:251659264;mso-width-relative:page;mso-height-relative:page;" filled="f" stroked="f" coordsize="21600,21600" o:gfxdata="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&#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Q+V+SdAAAAADAQAADwAAAAAAAAABACAAAAAiAAAAZHJz&#10;L2Rvd25yZXYueG1sUEsBAhQAFAAAAAgAh07iQAIRidbTAQAApQMAAA4AAAAAAAAAAQAgAAAAHwEA&#10;AGRycy9lMm9Eb2MueG1sUEsFBgAAAAAGAAYAWQEAAGQFAAAAAA==&#10;">
          <v:path/>
          <v:fill on="f" focussize="0,0"/>
          <v:stroke on="f" joinstyle="miter"/>
          <v:imagedata o:title=""/>
          <o:lock v:ext="edit"/>
          <v:textbox inset="0mm,0mm,0mm,0mm" style="mso-fit-shape-to-text:t;">
            <w:txbxContent>
              <w:p>
                <w:pPr>
                  <w:pStyle w:val="5"/>
                </w:pPr>
                <w:r>
                  <w:fldChar w:fldCharType="begin"/>
                </w:r>
                <w:r>
                  <w:instrText xml:space="preserve"> PAGE  \* MERGEFORMAT </w:instrText>
                </w:r>
                <w:r>
                  <w:fldChar w:fldCharType="separate"/>
                </w:r>
                <w:r>
                  <w:t>1</w:t>
                </w:r>
                <w: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D"/>
    <w:multiLevelType w:val="multilevel"/>
    <w:tmpl w:val="0000000D"/>
    <w:lvl w:ilvl="0" w:tentative="0">
      <w:start w:val="1"/>
      <w:numFmt w:val="decimal"/>
      <w:lvlText w:val="7.%1"/>
      <w:lvlJc w:val="left"/>
      <w:pPr>
        <w:tabs>
          <w:tab w:val="left" w:pos="1080"/>
        </w:tabs>
        <w:ind w:left="1080" w:hanging="360"/>
      </w:pPr>
      <w:rPr>
        <w:rFonts w:hint="eastAsia" w:ascii="宋体" w:hAnsi="宋体" w:eastAsia="宋体"/>
        <w:b w:val="0"/>
        <w:i w:val="0"/>
      </w:rPr>
    </w:lvl>
    <w:lvl w:ilvl="1" w:tentative="0">
      <w:start w:val="1"/>
      <w:numFmt w:val="lowerLetter"/>
      <w:lvlText w:val="%2)"/>
      <w:lvlJc w:val="left"/>
      <w:pPr>
        <w:tabs>
          <w:tab w:val="left" w:pos="780"/>
        </w:tabs>
        <w:ind w:left="780" w:hanging="360"/>
      </w:pPr>
      <w:rPr>
        <w:rFonts w:hint="default"/>
      </w:r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
    <w:nsid w:val="00000016"/>
    <w:multiLevelType w:val="multilevel"/>
    <w:tmpl w:val="00000016"/>
    <w:lvl w:ilvl="0" w:tentative="0">
      <w:start w:val="1"/>
      <w:numFmt w:val="decimal"/>
      <w:lvlText w:val="%1."/>
      <w:lvlJc w:val="left"/>
      <w:pPr>
        <w:tabs>
          <w:tab w:val="left" w:pos="1380"/>
        </w:tabs>
        <w:ind w:left="1380" w:hanging="420"/>
      </w:pPr>
      <w:rPr>
        <w:rFonts w:hint="eastAsia"/>
      </w:rPr>
    </w:lvl>
    <w:lvl w:ilvl="1" w:tentative="0">
      <w:start w:val="1"/>
      <w:numFmt w:val="lowerLetter"/>
      <w:lvlText w:val="（%2）"/>
      <w:lvlJc w:val="left"/>
      <w:pPr>
        <w:tabs>
          <w:tab w:val="left" w:pos="1320"/>
        </w:tabs>
        <w:ind w:left="1320" w:hanging="420"/>
      </w:pPr>
      <w:rPr>
        <w:rFonts w:hint="eastAsia"/>
      </w:rPr>
    </w:lvl>
    <w:lvl w:ilvl="2" w:tentative="0">
      <w:start w:val="1"/>
      <w:numFmt w:val="lowerRoman"/>
      <w:lvlText w:val="%3."/>
      <w:lvlJc w:val="right"/>
      <w:pPr>
        <w:tabs>
          <w:tab w:val="left" w:pos="1740"/>
        </w:tabs>
        <w:ind w:left="1740" w:hanging="420"/>
      </w:pPr>
      <w:rPr>
        <w:rFonts w:hint="eastAsia"/>
      </w:rPr>
    </w:lvl>
    <w:lvl w:ilvl="3" w:tentative="0">
      <w:start w:val="1"/>
      <w:numFmt w:val="decimal"/>
      <w:lvlText w:val="%4."/>
      <w:lvlJc w:val="left"/>
      <w:pPr>
        <w:tabs>
          <w:tab w:val="left" w:pos="2160"/>
        </w:tabs>
        <w:ind w:left="2160" w:hanging="420"/>
      </w:pPr>
      <w:rPr>
        <w:rFonts w:hint="eastAsia"/>
      </w:rPr>
    </w:lvl>
    <w:lvl w:ilvl="4" w:tentative="0">
      <w:start w:val="1"/>
      <w:numFmt w:val="lowerLetter"/>
      <w:lvlText w:val="%5)"/>
      <w:lvlJc w:val="left"/>
      <w:pPr>
        <w:tabs>
          <w:tab w:val="left" w:pos="2580"/>
        </w:tabs>
        <w:ind w:left="2580" w:hanging="420"/>
      </w:pPr>
      <w:rPr>
        <w:rFonts w:hint="eastAsia"/>
      </w:rPr>
    </w:lvl>
    <w:lvl w:ilvl="5" w:tentative="0">
      <w:start w:val="1"/>
      <w:numFmt w:val="lowerRoman"/>
      <w:lvlText w:val="%6."/>
      <w:lvlJc w:val="right"/>
      <w:pPr>
        <w:tabs>
          <w:tab w:val="left" w:pos="3000"/>
        </w:tabs>
        <w:ind w:left="3000" w:hanging="420"/>
      </w:pPr>
      <w:rPr>
        <w:rFonts w:hint="eastAsia"/>
      </w:rPr>
    </w:lvl>
    <w:lvl w:ilvl="6" w:tentative="0">
      <w:start w:val="1"/>
      <w:numFmt w:val="decimal"/>
      <w:lvlText w:val="%7."/>
      <w:lvlJc w:val="left"/>
      <w:pPr>
        <w:tabs>
          <w:tab w:val="left" w:pos="3420"/>
        </w:tabs>
        <w:ind w:left="3420" w:hanging="420"/>
      </w:pPr>
      <w:rPr>
        <w:rFonts w:hint="eastAsia"/>
      </w:rPr>
    </w:lvl>
    <w:lvl w:ilvl="7" w:tentative="0">
      <w:start w:val="1"/>
      <w:numFmt w:val="lowerLetter"/>
      <w:lvlText w:val="%8)"/>
      <w:lvlJc w:val="left"/>
      <w:pPr>
        <w:tabs>
          <w:tab w:val="left" w:pos="3840"/>
        </w:tabs>
        <w:ind w:left="3840" w:hanging="420"/>
      </w:pPr>
      <w:rPr>
        <w:rFonts w:hint="eastAsia"/>
      </w:rPr>
    </w:lvl>
    <w:lvl w:ilvl="8" w:tentative="0">
      <w:start w:val="1"/>
      <w:numFmt w:val="lowerRoman"/>
      <w:lvlText w:val="%9."/>
      <w:lvlJc w:val="right"/>
      <w:pPr>
        <w:tabs>
          <w:tab w:val="left" w:pos="4260"/>
        </w:tabs>
        <w:ind w:left="4260" w:hanging="420"/>
      </w:pPr>
      <w:rPr>
        <w:rFonts w:hint="eastAsia"/>
      </w:rPr>
    </w:lvl>
  </w:abstractNum>
  <w:abstractNum w:abstractNumId="2">
    <w:nsid w:val="0000001E"/>
    <w:multiLevelType w:val="multilevel"/>
    <w:tmpl w:val="0000001E"/>
    <w:lvl w:ilvl="0" w:tentative="0">
      <w:start w:val="1"/>
      <w:numFmt w:val="decimal"/>
      <w:lvlText w:val="%1."/>
      <w:lvlJc w:val="left"/>
      <w:pPr>
        <w:tabs>
          <w:tab w:val="left" w:pos="1380"/>
        </w:tabs>
        <w:ind w:left="1380" w:hanging="420"/>
      </w:pPr>
      <w:rPr>
        <w:rFonts w:hint="eastAsia"/>
      </w:rPr>
    </w:lvl>
    <w:lvl w:ilvl="1" w:tentative="0">
      <w:start w:val="1"/>
      <w:numFmt w:val="lowerLetter"/>
      <w:lvlText w:val="（%2）"/>
      <w:lvlJc w:val="left"/>
      <w:pPr>
        <w:tabs>
          <w:tab w:val="left" w:pos="1320"/>
        </w:tabs>
        <w:ind w:left="1320" w:hanging="420"/>
      </w:pPr>
      <w:rPr>
        <w:rFonts w:hint="eastAsia"/>
        <w:lang w:val="en-US"/>
      </w:rPr>
    </w:lvl>
    <w:lvl w:ilvl="2" w:tentative="0">
      <w:start w:val="1"/>
      <w:numFmt w:val="lowerRoman"/>
      <w:lvlText w:val="%3."/>
      <w:lvlJc w:val="right"/>
      <w:pPr>
        <w:tabs>
          <w:tab w:val="left" w:pos="1740"/>
        </w:tabs>
        <w:ind w:left="1740" w:hanging="420"/>
      </w:pPr>
      <w:rPr>
        <w:rFonts w:hint="eastAsia"/>
      </w:rPr>
    </w:lvl>
    <w:lvl w:ilvl="3" w:tentative="0">
      <w:start w:val="1"/>
      <w:numFmt w:val="decimal"/>
      <w:lvlText w:val="%4."/>
      <w:lvlJc w:val="left"/>
      <w:pPr>
        <w:tabs>
          <w:tab w:val="left" w:pos="2160"/>
        </w:tabs>
        <w:ind w:left="2160" w:hanging="420"/>
      </w:pPr>
      <w:rPr>
        <w:rFonts w:hint="eastAsia"/>
      </w:rPr>
    </w:lvl>
    <w:lvl w:ilvl="4" w:tentative="0">
      <w:start w:val="1"/>
      <w:numFmt w:val="lowerLetter"/>
      <w:lvlText w:val="%5)"/>
      <w:lvlJc w:val="left"/>
      <w:pPr>
        <w:tabs>
          <w:tab w:val="left" w:pos="2580"/>
        </w:tabs>
        <w:ind w:left="2580" w:hanging="420"/>
      </w:pPr>
      <w:rPr>
        <w:rFonts w:hint="eastAsia"/>
      </w:rPr>
    </w:lvl>
    <w:lvl w:ilvl="5" w:tentative="0">
      <w:start w:val="1"/>
      <w:numFmt w:val="lowerRoman"/>
      <w:lvlText w:val="%6."/>
      <w:lvlJc w:val="right"/>
      <w:pPr>
        <w:tabs>
          <w:tab w:val="left" w:pos="3000"/>
        </w:tabs>
        <w:ind w:left="3000" w:hanging="420"/>
      </w:pPr>
      <w:rPr>
        <w:rFonts w:hint="eastAsia"/>
      </w:rPr>
    </w:lvl>
    <w:lvl w:ilvl="6" w:tentative="0">
      <w:start w:val="1"/>
      <w:numFmt w:val="decimal"/>
      <w:lvlText w:val="%7."/>
      <w:lvlJc w:val="left"/>
      <w:pPr>
        <w:tabs>
          <w:tab w:val="left" w:pos="3420"/>
        </w:tabs>
        <w:ind w:left="3420" w:hanging="420"/>
      </w:pPr>
      <w:rPr>
        <w:rFonts w:hint="eastAsia"/>
      </w:rPr>
    </w:lvl>
    <w:lvl w:ilvl="7" w:tentative="0">
      <w:start w:val="1"/>
      <w:numFmt w:val="lowerLetter"/>
      <w:lvlText w:val="%8)"/>
      <w:lvlJc w:val="left"/>
      <w:pPr>
        <w:tabs>
          <w:tab w:val="left" w:pos="3840"/>
        </w:tabs>
        <w:ind w:left="3840" w:hanging="420"/>
      </w:pPr>
      <w:rPr>
        <w:rFonts w:hint="eastAsia"/>
      </w:rPr>
    </w:lvl>
    <w:lvl w:ilvl="8" w:tentative="0">
      <w:start w:val="1"/>
      <w:numFmt w:val="lowerRoman"/>
      <w:lvlText w:val="%9."/>
      <w:lvlJc w:val="right"/>
      <w:pPr>
        <w:tabs>
          <w:tab w:val="left" w:pos="4260"/>
        </w:tabs>
        <w:ind w:left="4260" w:hanging="420"/>
      </w:pPr>
      <w:rPr>
        <w:rFonts w:hint="eastAsia"/>
      </w:rPr>
    </w:lvl>
  </w:abstractNum>
  <w:abstractNum w:abstractNumId="3">
    <w:nsid w:val="00000021"/>
    <w:multiLevelType w:val="multilevel"/>
    <w:tmpl w:val="00000021"/>
    <w:lvl w:ilvl="0" w:tentative="0">
      <w:start w:val="1"/>
      <w:numFmt w:val="decimal"/>
      <w:lvlText w:val="4.%1"/>
      <w:lvlJc w:val="left"/>
      <w:pPr>
        <w:tabs>
          <w:tab w:val="left" w:pos="1080"/>
        </w:tabs>
        <w:ind w:left="1080" w:hanging="360"/>
      </w:pPr>
      <w:rPr>
        <w:rFonts w:hint="eastAsia" w:ascii="宋体" w:hAnsi="宋体" w:eastAsia="宋体"/>
        <w:b w:val="0"/>
        <w:i w:val="0"/>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4">
    <w:nsid w:val="00000025"/>
    <w:multiLevelType w:val="multilevel"/>
    <w:tmpl w:val="00000025"/>
    <w:lvl w:ilvl="0" w:tentative="0">
      <w:start w:val="1"/>
      <w:numFmt w:val="decimal"/>
      <w:lvlText w:val="%1."/>
      <w:lvlJc w:val="left"/>
      <w:pPr>
        <w:tabs>
          <w:tab w:val="left" w:pos="1380"/>
        </w:tabs>
        <w:ind w:left="1380" w:hanging="420"/>
      </w:pPr>
      <w:rPr>
        <w:rFonts w:hint="eastAsia"/>
      </w:rPr>
    </w:lvl>
    <w:lvl w:ilvl="1" w:tentative="0">
      <w:start w:val="1"/>
      <w:numFmt w:val="lowerLetter"/>
      <w:lvlText w:val="%2)"/>
      <w:lvlJc w:val="left"/>
      <w:pPr>
        <w:tabs>
          <w:tab w:val="left" w:pos="1320"/>
        </w:tabs>
        <w:ind w:left="1320" w:hanging="420"/>
      </w:pPr>
      <w:rPr>
        <w:rFonts w:hint="eastAsia"/>
      </w:rPr>
    </w:lvl>
    <w:lvl w:ilvl="2" w:tentative="0">
      <w:start w:val="1"/>
      <w:numFmt w:val="lowerRoman"/>
      <w:lvlText w:val="%3."/>
      <w:lvlJc w:val="right"/>
      <w:pPr>
        <w:tabs>
          <w:tab w:val="left" w:pos="1740"/>
        </w:tabs>
        <w:ind w:left="1740" w:hanging="420"/>
      </w:pPr>
      <w:rPr>
        <w:rFonts w:hint="eastAsia"/>
      </w:rPr>
    </w:lvl>
    <w:lvl w:ilvl="3" w:tentative="0">
      <w:start w:val="1"/>
      <w:numFmt w:val="decimal"/>
      <w:lvlText w:val="%4."/>
      <w:lvlJc w:val="left"/>
      <w:pPr>
        <w:tabs>
          <w:tab w:val="left" w:pos="2160"/>
        </w:tabs>
        <w:ind w:left="2160" w:hanging="420"/>
      </w:pPr>
      <w:rPr>
        <w:rFonts w:hint="eastAsia"/>
      </w:rPr>
    </w:lvl>
    <w:lvl w:ilvl="4" w:tentative="0">
      <w:start w:val="1"/>
      <w:numFmt w:val="lowerLetter"/>
      <w:lvlText w:val="%5)"/>
      <w:lvlJc w:val="left"/>
      <w:pPr>
        <w:tabs>
          <w:tab w:val="left" w:pos="2580"/>
        </w:tabs>
        <w:ind w:left="2580" w:hanging="420"/>
      </w:pPr>
      <w:rPr>
        <w:rFonts w:hint="eastAsia"/>
      </w:rPr>
    </w:lvl>
    <w:lvl w:ilvl="5" w:tentative="0">
      <w:start w:val="1"/>
      <w:numFmt w:val="lowerRoman"/>
      <w:lvlText w:val="%6."/>
      <w:lvlJc w:val="right"/>
      <w:pPr>
        <w:tabs>
          <w:tab w:val="left" w:pos="3000"/>
        </w:tabs>
        <w:ind w:left="3000" w:hanging="420"/>
      </w:pPr>
      <w:rPr>
        <w:rFonts w:hint="eastAsia"/>
      </w:rPr>
    </w:lvl>
    <w:lvl w:ilvl="6" w:tentative="0">
      <w:start w:val="1"/>
      <w:numFmt w:val="decimal"/>
      <w:lvlText w:val="%7."/>
      <w:lvlJc w:val="left"/>
      <w:pPr>
        <w:tabs>
          <w:tab w:val="left" w:pos="3420"/>
        </w:tabs>
        <w:ind w:left="3420" w:hanging="420"/>
      </w:pPr>
      <w:rPr>
        <w:rFonts w:hint="eastAsia"/>
      </w:rPr>
    </w:lvl>
    <w:lvl w:ilvl="7" w:tentative="0">
      <w:start w:val="1"/>
      <w:numFmt w:val="lowerLetter"/>
      <w:lvlText w:val="%8)"/>
      <w:lvlJc w:val="left"/>
      <w:pPr>
        <w:tabs>
          <w:tab w:val="left" w:pos="3840"/>
        </w:tabs>
        <w:ind w:left="3840" w:hanging="420"/>
      </w:pPr>
      <w:rPr>
        <w:rFonts w:hint="eastAsia"/>
      </w:rPr>
    </w:lvl>
    <w:lvl w:ilvl="8" w:tentative="0">
      <w:start w:val="1"/>
      <w:numFmt w:val="lowerRoman"/>
      <w:lvlText w:val="%9."/>
      <w:lvlJc w:val="right"/>
      <w:pPr>
        <w:tabs>
          <w:tab w:val="left" w:pos="4260"/>
        </w:tabs>
        <w:ind w:left="4260" w:hanging="420"/>
      </w:pPr>
      <w:rPr>
        <w:rFonts w:hint="eastAsia"/>
      </w:rPr>
    </w:lvl>
  </w:abstractNum>
  <w:abstractNum w:abstractNumId="5">
    <w:nsid w:val="0000002E"/>
    <w:multiLevelType w:val="multilevel"/>
    <w:tmpl w:val="0000002E"/>
    <w:lvl w:ilvl="0" w:tentative="0">
      <w:start w:val="1"/>
      <w:numFmt w:val="decimal"/>
      <w:lvlText w:val="（%1）"/>
      <w:lvlJc w:val="left"/>
      <w:pPr>
        <w:tabs>
          <w:tab w:val="left" w:pos="1140"/>
        </w:tabs>
        <w:ind w:left="1140" w:hanging="42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0000030"/>
    <w:multiLevelType w:val="multilevel"/>
    <w:tmpl w:val="00000030"/>
    <w:lvl w:ilvl="0" w:tentative="0">
      <w:start w:val="1"/>
      <w:numFmt w:val="decimal"/>
      <w:lvlText w:val="（%1）"/>
      <w:lvlJc w:val="left"/>
      <w:pPr>
        <w:tabs>
          <w:tab w:val="left" w:pos="1140"/>
        </w:tabs>
        <w:ind w:left="1140" w:hanging="42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7">
    <w:nsid w:val="00000031"/>
    <w:multiLevelType w:val="multilevel"/>
    <w:tmpl w:val="00000031"/>
    <w:lvl w:ilvl="0" w:tentative="0">
      <w:start w:val="1"/>
      <w:numFmt w:val="decimal"/>
      <w:lvlText w:val="%1."/>
      <w:lvlJc w:val="left"/>
      <w:pPr>
        <w:tabs>
          <w:tab w:val="left" w:pos="1380"/>
        </w:tabs>
        <w:ind w:left="1380" w:hanging="420"/>
      </w:pPr>
      <w:rPr>
        <w:rFonts w:hint="eastAsia"/>
      </w:rPr>
    </w:lvl>
    <w:lvl w:ilvl="1" w:tentative="0">
      <w:start w:val="1"/>
      <w:numFmt w:val="decimal"/>
      <w:lvlText w:val="（%2）"/>
      <w:lvlJc w:val="left"/>
      <w:pPr>
        <w:tabs>
          <w:tab w:val="left" w:pos="1320"/>
        </w:tabs>
        <w:ind w:left="1320" w:hanging="420"/>
      </w:pPr>
      <w:rPr>
        <w:rFonts w:hint="eastAsia"/>
        <w:lang w:val="en-US"/>
      </w:rPr>
    </w:lvl>
    <w:lvl w:ilvl="2" w:tentative="0">
      <w:start w:val="1"/>
      <w:numFmt w:val="lowerRoman"/>
      <w:lvlText w:val="%3."/>
      <w:lvlJc w:val="right"/>
      <w:pPr>
        <w:tabs>
          <w:tab w:val="left" w:pos="1740"/>
        </w:tabs>
        <w:ind w:left="1740" w:hanging="420"/>
      </w:pPr>
      <w:rPr>
        <w:rFonts w:hint="eastAsia"/>
      </w:rPr>
    </w:lvl>
    <w:lvl w:ilvl="3" w:tentative="0">
      <w:start w:val="1"/>
      <w:numFmt w:val="decimal"/>
      <w:lvlText w:val="%4."/>
      <w:lvlJc w:val="left"/>
      <w:pPr>
        <w:tabs>
          <w:tab w:val="left" w:pos="2160"/>
        </w:tabs>
        <w:ind w:left="2160" w:hanging="420"/>
      </w:pPr>
      <w:rPr>
        <w:rFonts w:hint="eastAsia"/>
      </w:rPr>
    </w:lvl>
    <w:lvl w:ilvl="4" w:tentative="0">
      <w:start w:val="1"/>
      <w:numFmt w:val="lowerLetter"/>
      <w:lvlText w:val="%5)"/>
      <w:lvlJc w:val="left"/>
      <w:pPr>
        <w:tabs>
          <w:tab w:val="left" w:pos="2580"/>
        </w:tabs>
        <w:ind w:left="2580" w:hanging="420"/>
      </w:pPr>
      <w:rPr>
        <w:rFonts w:hint="eastAsia"/>
      </w:rPr>
    </w:lvl>
    <w:lvl w:ilvl="5" w:tentative="0">
      <w:start w:val="1"/>
      <w:numFmt w:val="lowerRoman"/>
      <w:lvlText w:val="%6."/>
      <w:lvlJc w:val="right"/>
      <w:pPr>
        <w:tabs>
          <w:tab w:val="left" w:pos="3000"/>
        </w:tabs>
        <w:ind w:left="3000" w:hanging="420"/>
      </w:pPr>
      <w:rPr>
        <w:rFonts w:hint="eastAsia"/>
      </w:rPr>
    </w:lvl>
    <w:lvl w:ilvl="6" w:tentative="0">
      <w:start w:val="1"/>
      <w:numFmt w:val="decimal"/>
      <w:lvlText w:val="%7."/>
      <w:lvlJc w:val="left"/>
      <w:pPr>
        <w:tabs>
          <w:tab w:val="left" w:pos="3420"/>
        </w:tabs>
        <w:ind w:left="3420" w:hanging="420"/>
      </w:pPr>
      <w:rPr>
        <w:rFonts w:hint="eastAsia"/>
      </w:rPr>
    </w:lvl>
    <w:lvl w:ilvl="7" w:tentative="0">
      <w:start w:val="1"/>
      <w:numFmt w:val="lowerLetter"/>
      <w:lvlText w:val="%8)"/>
      <w:lvlJc w:val="left"/>
      <w:pPr>
        <w:tabs>
          <w:tab w:val="left" w:pos="3840"/>
        </w:tabs>
        <w:ind w:left="3840" w:hanging="420"/>
      </w:pPr>
      <w:rPr>
        <w:rFonts w:hint="eastAsia"/>
      </w:rPr>
    </w:lvl>
    <w:lvl w:ilvl="8" w:tentative="0">
      <w:start w:val="1"/>
      <w:numFmt w:val="lowerRoman"/>
      <w:lvlText w:val="%9."/>
      <w:lvlJc w:val="right"/>
      <w:pPr>
        <w:tabs>
          <w:tab w:val="left" w:pos="4260"/>
        </w:tabs>
        <w:ind w:left="4260" w:hanging="420"/>
      </w:pPr>
      <w:rPr>
        <w:rFonts w:hint="eastAsia"/>
      </w:rPr>
    </w:lvl>
  </w:abstractNum>
  <w:abstractNum w:abstractNumId="8">
    <w:nsid w:val="00000035"/>
    <w:multiLevelType w:val="multilevel"/>
    <w:tmpl w:val="00000035"/>
    <w:lvl w:ilvl="0" w:tentative="0">
      <w:start w:val="1"/>
      <w:numFmt w:val="decimal"/>
      <w:lvlText w:val="%1."/>
      <w:lvlJc w:val="left"/>
      <w:pPr>
        <w:tabs>
          <w:tab w:val="left" w:pos="1380"/>
        </w:tabs>
        <w:ind w:left="1380" w:hanging="420"/>
      </w:pPr>
      <w:rPr>
        <w:rFonts w:hint="eastAsia"/>
      </w:rPr>
    </w:lvl>
    <w:lvl w:ilvl="1" w:tentative="0">
      <w:start w:val="1"/>
      <w:numFmt w:val="decimal"/>
      <w:lvlText w:val="（%2）"/>
      <w:lvlJc w:val="left"/>
      <w:pPr>
        <w:tabs>
          <w:tab w:val="left" w:pos="1320"/>
        </w:tabs>
        <w:ind w:left="1320" w:hanging="420"/>
      </w:pPr>
      <w:rPr>
        <w:rFonts w:hint="eastAsia"/>
      </w:rPr>
    </w:lvl>
    <w:lvl w:ilvl="2" w:tentative="0">
      <w:start w:val="1"/>
      <w:numFmt w:val="lowerRoman"/>
      <w:lvlText w:val="%3."/>
      <w:lvlJc w:val="right"/>
      <w:pPr>
        <w:tabs>
          <w:tab w:val="left" w:pos="1740"/>
        </w:tabs>
        <w:ind w:left="1740" w:hanging="420"/>
      </w:pPr>
      <w:rPr>
        <w:rFonts w:hint="eastAsia"/>
      </w:rPr>
    </w:lvl>
    <w:lvl w:ilvl="3" w:tentative="0">
      <w:start w:val="1"/>
      <w:numFmt w:val="decimal"/>
      <w:lvlText w:val="%4."/>
      <w:lvlJc w:val="left"/>
      <w:pPr>
        <w:tabs>
          <w:tab w:val="left" w:pos="2160"/>
        </w:tabs>
        <w:ind w:left="2160" w:hanging="420"/>
      </w:pPr>
      <w:rPr>
        <w:rFonts w:hint="eastAsia"/>
      </w:rPr>
    </w:lvl>
    <w:lvl w:ilvl="4" w:tentative="0">
      <w:start w:val="1"/>
      <w:numFmt w:val="lowerLetter"/>
      <w:lvlText w:val="%5)"/>
      <w:lvlJc w:val="left"/>
      <w:pPr>
        <w:tabs>
          <w:tab w:val="left" w:pos="2580"/>
        </w:tabs>
        <w:ind w:left="2580" w:hanging="420"/>
      </w:pPr>
      <w:rPr>
        <w:rFonts w:hint="eastAsia"/>
      </w:rPr>
    </w:lvl>
    <w:lvl w:ilvl="5" w:tentative="0">
      <w:start w:val="1"/>
      <w:numFmt w:val="lowerRoman"/>
      <w:lvlText w:val="%6."/>
      <w:lvlJc w:val="right"/>
      <w:pPr>
        <w:tabs>
          <w:tab w:val="left" w:pos="3000"/>
        </w:tabs>
        <w:ind w:left="3000" w:hanging="420"/>
      </w:pPr>
      <w:rPr>
        <w:rFonts w:hint="eastAsia"/>
      </w:rPr>
    </w:lvl>
    <w:lvl w:ilvl="6" w:tentative="0">
      <w:start w:val="1"/>
      <w:numFmt w:val="decimal"/>
      <w:lvlText w:val="%7."/>
      <w:lvlJc w:val="left"/>
      <w:pPr>
        <w:tabs>
          <w:tab w:val="left" w:pos="3420"/>
        </w:tabs>
        <w:ind w:left="3420" w:hanging="420"/>
      </w:pPr>
      <w:rPr>
        <w:rFonts w:hint="eastAsia"/>
      </w:rPr>
    </w:lvl>
    <w:lvl w:ilvl="7" w:tentative="0">
      <w:start w:val="1"/>
      <w:numFmt w:val="lowerLetter"/>
      <w:lvlText w:val="%8)"/>
      <w:lvlJc w:val="left"/>
      <w:pPr>
        <w:tabs>
          <w:tab w:val="left" w:pos="3840"/>
        </w:tabs>
        <w:ind w:left="3840" w:hanging="420"/>
      </w:pPr>
      <w:rPr>
        <w:rFonts w:hint="eastAsia"/>
      </w:rPr>
    </w:lvl>
    <w:lvl w:ilvl="8" w:tentative="0">
      <w:start w:val="1"/>
      <w:numFmt w:val="lowerRoman"/>
      <w:lvlText w:val="%9."/>
      <w:lvlJc w:val="right"/>
      <w:pPr>
        <w:tabs>
          <w:tab w:val="left" w:pos="4260"/>
        </w:tabs>
        <w:ind w:left="4260" w:hanging="420"/>
      </w:pPr>
      <w:rPr>
        <w:rFonts w:hint="eastAsia"/>
      </w:rPr>
    </w:lvl>
  </w:abstractNum>
  <w:abstractNum w:abstractNumId="9">
    <w:nsid w:val="00000036"/>
    <w:multiLevelType w:val="multilevel"/>
    <w:tmpl w:val="00000036"/>
    <w:lvl w:ilvl="0" w:tentative="0">
      <w:start w:val="1"/>
      <w:numFmt w:val="decimal"/>
      <w:lvlText w:val="（%1）"/>
      <w:lvlJc w:val="left"/>
      <w:pPr>
        <w:tabs>
          <w:tab w:val="left" w:pos="960"/>
        </w:tabs>
        <w:ind w:left="960" w:hanging="420"/>
      </w:pPr>
      <w:rPr>
        <w:rFonts w:hint="eastAsia"/>
      </w:rPr>
    </w:lvl>
    <w:lvl w:ilvl="1" w:tentative="0">
      <w:start w:val="1"/>
      <w:numFmt w:val="lowerLetter"/>
      <w:lvlText w:val="%2)"/>
      <w:lvlJc w:val="left"/>
      <w:pPr>
        <w:tabs>
          <w:tab w:val="left" w:pos="679"/>
        </w:tabs>
        <w:ind w:left="679" w:hanging="420"/>
      </w:pPr>
    </w:lvl>
    <w:lvl w:ilvl="2" w:tentative="0">
      <w:start w:val="1"/>
      <w:numFmt w:val="lowerRoman"/>
      <w:lvlText w:val="%3."/>
      <w:lvlJc w:val="right"/>
      <w:pPr>
        <w:tabs>
          <w:tab w:val="left" w:pos="1099"/>
        </w:tabs>
        <w:ind w:left="1099" w:hanging="420"/>
      </w:pPr>
    </w:lvl>
    <w:lvl w:ilvl="3" w:tentative="0">
      <w:start w:val="1"/>
      <w:numFmt w:val="decimal"/>
      <w:lvlText w:val="%4."/>
      <w:lvlJc w:val="left"/>
      <w:pPr>
        <w:tabs>
          <w:tab w:val="left" w:pos="1519"/>
        </w:tabs>
        <w:ind w:left="1519" w:hanging="420"/>
      </w:pPr>
    </w:lvl>
    <w:lvl w:ilvl="4" w:tentative="0">
      <w:start w:val="1"/>
      <w:numFmt w:val="lowerLetter"/>
      <w:lvlText w:val="%5)"/>
      <w:lvlJc w:val="left"/>
      <w:pPr>
        <w:tabs>
          <w:tab w:val="left" w:pos="1939"/>
        </w:tabs>
        <w:ind w:left="1939" w:hanging="420"/>
      </w:pPr>
    </w:lvl>
    <w:lvl w:ilvl="5" w:tentative="0">
      <w:start w:val="1"/>
      <w:numFmt w:val="lowerRoman"/>
      <w:lvlText w:val="%6."/>
      <w:lvlJc w:val="right"/>
      <w:pPr>
        <w:tabs>
          <w:tab w:val="left" w:pos="2359"/>
        </w:tabs>
        <w:ind w:left="2359" w:hanging="420"/>
      </w:pPr>
    </w:lvl>
    <w:lvl w:ilvl="6" w:tentative="0">
      <w:start w:val="1"/>
      <w:numFmt w:val="decimal"/>
      <w:lvlText w:val="%7."/>
      <w:lvlJc w:val="left"/>
      <w:pPr>
        <w:tabs>
          <w:tab w:val="left" w:pos="2779"/>
        </w:tabs>
        <w:ind w:left="2779" w:hanging="420"/>
      </w:pPr>
    </w:lvl>
    <w:lvl w:ilvl="7" w:tentative="0">
      <w:start w:val="1"/>
      <w:numFmt w:val="lowerLetter"/>
      <w:lvlText w:val="%8)"/>
      <w:lvlJc w:val="left"/>
      <w:pPr>
        <w:tabs>
          <w:tab w:val="left" w:pos="3199"/>
        </w:tabs>
        <w:ind w:left="3199" w:hanging="420"/>
      </w:pPr>
    </w:lvl>
    <w:lvl w:ilvl="8" w:tentative="0">
      <w:start w:val="1"/>
      <w:numFmt w:val="lowerRoman"/>
      <w:lvlText w:val="%9."/>
      <w:lvlJc w:val="right"/>
      <w:pPr>
        <w:tabs>
          <w:tab w:val="left" w:pos="3619"/>
        </w:tabs>
        <w:ind w:left="3619" w:hanging="420"/>
      </w:pPr>
    </w:lvl>
  </w:abstractNum>
  <w:abstractNum w:abstractNumId="10">
    <w:nsid w:val="00000037"/>
    <w:multiLevelType w:val="multilevel"/>
    <w:tmpl w:val="00000037"/>
    <w:lvl w:ilvl="0" w:tentative="0">
      <w:start w:val="1"/>
      <w:numFmt w:val="decimal"/>
      <w:lvlText w:val="6.%1"/>
      <w:lvlJc w:val="left"/>
      <w:pPr>
        <w:tabs>
          <w:tab w:val="left" w:pos="900"/>
        </w:tabs>
        <w:ind w:left="900" w:hanging="360"/>
      </w:pPr>
      <w:rPr>
        <w:rFonts w:hint="eastAsia" w:ascii="宋体" w:hAnsi="宋体" w:eastAsia="宋体"/>
        <w:b w:val="0"/>
        <w:i w:val="0"/>
      </w:rPr>
    </w:lvl>
    <w:lvl w:ilvl="1" w:tentative="0">
      <w:start w:val="1"/>
      <w:numFmt w:val="lowerLetter"/>
      <w:lvlText w:val="%2)"/>
      <w:lvlJc w:val="left"/>
      <w:pPr>
        <w:tabs>
          <w:tab w:val="left" w:pos="660"/>
        </w:tabs>
        <w:ind w:left="660" w:hanging="420"/>
      </w:pPr>
    </w:lvl>
    <w:lvl w:ilvl="2" w:tentative="0">
      <w:start w:val="1"/>
      <w:numFmt w:val="lowerRoman"/>
      <w:lvlText w:val="%3."/>
      <w:lvlJc w:val="right"/>
      <w:pPr>
        <w:tabs>
          <w:tab w:val="left" w:pos="1080"/>
        </w:tabs>
        <w:ind w:left="1080" w:hanging="420"/>
      </w:pPr>
    </w:lvl>
    <w:lvl w:ilvl="3" w:tentative="0">
      <w:start w:val="1"/>
      <w:numFmt w:val="decimal"/>
      <w:lvlText w:val="%4."/>
      <w:lvlJc w:val="left"/>
      <w:pPr>
        <w:tabs>
          <w:tab w:val="left" w:pos="1500"/>
        </w:tabs>
        <w:ind w:left="1500" w:hanging="420"/>
      </w:pPr>
    </w:lvl>
    <w:lvl w:ilvl="4" w:tentative="0">
      <w:start w:val="1"/>
      <w:numFmt w:val="lowerLetter"/>
      <w:lvlText w:val="%5)"/>
      <w:lvlJc w:val="left"/>
      <w:pPr>
        <w:tabs>
          <w:tab w:val="left" w:pos="1920"/>
        </w:tabs>
        <w:ind w:left="1920" w:hanging="420"/>
      </w:pPr>
    </w:lvl>
    <w:lvl w:ilvl="5" w:tentative="0">
      <w:start w:val="1"/>
      <w:numFmt w:val="lowerRoman"/>
      <w:lvlText w:val="%6."/>
      <w:lvlJc w:val="right"/>
      <w:pPr>
        <w:tabs>
          <w:tab w:val="left" w:pos="2340"/>
        </w:tabs>
        <w:ind w:left="2340" w:hanging="420"/>
      </w:pPr>
    </w:lvl>
    <w:lvl w:ilvl="6" w:tentative="0">
      <w:start w:val="1"/>
      <w:numFmt w:val="decimal"/>
      <w:lvlText w:val="%7."/>
      <w:lvlJc w:val="left"/>
      <w:pPr>
        <w:tabs>
          <w:tab w:val="left" w:pos="2760"/>
        </w:tabs>
        <w:ind w:left="2760" w:hanging="420"/>
      </w:pPr>
    </w:lvl>
    <w:lvl w:ilvl="7" w:tentative="0">
      <w:start w:val="1"/>
      <w:numFmt w:val="lowerLetter"/>
      <w:lvlText w:val="%8)"/>
      <w:lvlJc w:val="left"/>
      <w:pPr>
        <w:tabs>
          <w:tab w:val="left" w:pos="3180"/>
        </w:tabs>
        <w:ind w:left="3180" w:hanging="420"/>
      </w:pPr>
    </w:lvl>
    <w:lvl w:ilvl="8" w:tentative="0">
      <w:start w:val="1"/>
      <w:numFmt w:val="lowerRoman"/>
      <w:lvlText w:val="%9."/>
      <w:lvlJc w:val="right"/>
      <w:pPr>
        <w:tabs>
          <w:tab w:val="left" w:pos="3600"/>
        </w:tabs>
        <w:ind w:left="3600" w:hanging="420"/>
      </w:pPr>
    </w:lvl>
  </w:abstractNum>
  <w:abstractNum w:abstractNumId="11">
    <w:nsid w:val="00000038"/>
    <w:multiLevelType w:val="multilevel"/>
    <w:tmpl w:val="00000038"/>
    <w:lvl w:ilvl="0" w:tentative="0">
      <w:start w:val="1"/>
      <w:numFmt w:val="decimal"/>
      <w:lvlText w:val="（%1）"/>
      <w:lvlJc w:val="left"/>
      <w:pPr>
        <w:tabs>
          <w:tab w:val="left" w:pos="1140"/>
        </w:tabs>
        <w:ind w:left="1140" w:hanging="42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2">
    <w:nsid w:val="07B26DC7"/>
    <w:multiLevelType w:val="singleLevel"/>
    <w:tmpl w:val="07B26DC7"/>
    <w:lvl w:ilvl="0" w:tentative="0">
      <w:start w:val="1"/>
      <w:numFmt w:val="decimal"/>
      <w:lvlText w:val="%1、"/>
      <w:lvlJc w:val="left"/>
      <w:pPr>
        <w:tabs>
          <w:tab w:val="left" w:pos="720"/>
        </w:tabs>
        <w:ind w:left="720" w:hanging="720"/>
      </w:pPr>
    </w:lvl>
  </w:abstractNum>
  <w:abstractNum w:abstractNumId="13">
    <w:nsid w:val="1F9A7D71"/>
    <w:multiLevelType w:val="singleLevel"/>
    <w:tmpl w:val="1F9A7D71"/>
    <w:lvl w:ilvl="0" w:tentative="0">
      <w:start w:val="1"/>
      <w:numFmt w:val="none"/>
      <w:lvlText w:val="一、"/>
      <w:lvlJc w:val="left"/>
      <w:pPr>
        <w:tabs>
          <w:tab w:val="left" w:pos="480"/>
        </w:tabs>
        <w:ind w:left="480" w:hanging="480"/>
      </w:pPr>
    </w:lvl>
  </w:abstractNum>
  <w:abstractNum w:abstractNumId="14">
    <w:nsid w:val="2B5F13CB"/>
    <w:multiLevelType w:val="singleLevel"/>
    <w:tmpl w:val="2B5F13CB"/>
    <w:lvl w:ilvl="0" w:tentative="0">
      <w:start w:val="1"/>
      <w:numFmt w:val="decimal"/>
      <w:lvlText w:val="%1．"/>
      <w:lvlJc w:val="left"/>
      <w:pPr>
        <w:tabs>
          <w:tab w:val="left" w:pos="1080"/>
        </w:tabs>
        <w:ind w:left="1080" w:hanging="360"/>
      </w:pPr>
    </w:lvl>
  </w:abstractNum>
  <w:abstractNum w:abstractNumId="15">
    <w:nsid w:val="59D51A89"/>
    <w:multiLevelType w:val="multilevel"/>
    <w:tmpl w:val="59D51A89"/>
    <w:lvl w:ilvl="0" w:tentative="0">
      <w:start w:val="1"/>
      <w:numFmt w:val="decimal"/>
      <w:lvlText w:val="%1."/>
      <w:lvlJc w:val="left"/>
      <w:pPr>
        <w:tabs>
          <w:tab w:val="left" w:pos="240"/>
        </w:tabs>
        <w:ind w:left="240" w:hanging="240"/>
      </w:pPr>
    </w:lvl>
    <w:lvl w:ilvl="1" w:tentative="0">
      <w:start w:val="1"/>
      <w:numFmt w:val="decimal"/>
      <w:isLgl/>
      <w:lvlText w:val="%1.%2."/>
      <w:lvlJc w:val="left"/>
      <w:pPr>
        <w:tabs>
          <w:tab w:val="left" w:pos="1020"/>
        </w:tabs>
        <w:ind w:left="1020" w:hanging="720"/>
      </w:pPr>
    </w:lvl>
    <w:lvl w:ilvl="2" w:tentative="0">
      <w:start w:val="4"/>
      <w:numFmt w:val="decimal"/>
      <w:isLgl/>
      <w:lvlText w:val="%1.%2.%3."/>
      <w:lvlJc w:val="left"/>
      <w:pPr>
        <w:tabs>
          <w:tab w:val="left" w:pos="1320"/>
        </w:tabs>
        <w:ind w:left="1320" w:hanging="720"/>
      </w:pPr>
    </w:lvl>
    <w:lvl w:ilvl="3" w:tentative="0">
      <w:start w:val="1"/>
      <w:numFmt w:val="decimal"/>
      <w:isLgl/>
      <w:lvlText w:val="%1.%2.%3.%4."/>
      <w:lvlJc w:val="left"/>
      <w:pPr>
        <w:tabs>
          <w:tab w:val="left" w:pos="1980"/>
        </w:tabs>
        <w:ind w:left="1980" w:hanging="1080"/>
      </w:pPr>
    </w:lvl>
    <w:lvl w:ilvl="4" w:tentative="0">
      <w:start w:val="1"/>
      <w:numFmt w:val="decimal"/>
      <w:isLgl/>
      <w:lvlText w:val="%1.%2.%3.%4.%5."/>
      <w:lvlJc w:val="left"/>
      <w:pPr>
        <w:tabs>
          <w:tab w:val="left" w:pos="2640"/>
        </w:tabs>
        <w:ind w:left="2640" w:hanging="1440"/>
      </w:pPr>
    </w:lvl>
    <w:lvl w:ilvl="5" w:tentative="0">
      <w:start w:val="1"/>
      <w:numFmt w:val="decimal"/>
      <w:isLgl/>
      <w:lvlText w:val="%1.%2.%3.%4.%5.%6."/>
      <w:lvlJc w:val="left"/>
      <w:pPr>
        <w:tabs>
          <w:tab w:val="left" w:pos="2940"/>
        </w:tabs>
        <w:ind w:left="2940" w:hanging="1440"/>
      </w:pPr>
    </w:lvl>
    <w:lvl w:ilvl="6" w:tentative="0">
      <w:start w:val="1"/>
      <w:numFmt w:val="decimal"/>
      <w:isLgl/>
      <w:lvlText w:val="%1.%2.%3.%4.%5.%6.%7."/>
      <w:lvlJc w:val="left"/>
      <w:pPr>
        <w:tabs>
          <w:tab w:val="left" w:pos="3600"/>
        </w:tabs>
        <w:ind w:left="3600" w:hanging="1800"/>
      </w:pPr>
    </w:lvl>
    <w:lvl w:ilvl="7" w:tentative="0">
      <w:start w:val="1"/>
      <w:numFmt w:val="decimal"/>
      <w:isLgl/>
      <w:lvlText w:val="%1.%2.%3.%4.%5.%6.%7.%8."/>
      <w:lvlJc w:val="left"/>
      <w:pPr>
        <w:tabs>
          <w:tab w:val="left" w:pos="4260"/>
        </w:tabs>
        <w:ind w:left="4260" w:hanging="2160"/>
      </w:pPr>
    </w:lvl>
    <w:lvl w:ilvl="8" w:tentative="0">
      <w:start w:val="1"/>
      <w:numFmt w:val="decimal"/>
      <w:isLgl/>
      <w:lvlText w:val="%1.%2.%3.%4.%5.%6.%7.%8.%9."/>
      <w:lvlJc w:val="left"/>
      <w:pPr>
        <w:tabs>
          <w:tab w:val="left" w:pos="4560"/>
        </w:tabs>
        <w:ind w:left="4560" w:hanging="2160"/>
      </w:pPr>
    </w:lvl>
  </w:abstractNum>
  <w:abstractNum w:abstractNumId="16">
    <w:nsid w:val="63B44138"/>
    <w:multiLevelType w:val="multilevel"/>
    <w:tmpl w:val="63B44138"/>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6"/>
  </w:num>
  <w:num w:numId="2">
    <w:abstractNumId w:val="9"/>
  </w:num>
  <w:num w:numId="3">
    <w:abstractNumId w:val="5"/>
  </w:num>
  <w:num w:numId="4">
    <w:abstractNumId w:val="3"/>
  </w:num>
  <w:num w:numId="5">
    <w:abstractNumId w:val="10"/>
  </w:num>
  <w:num w:numId="6">
    <w:abstractNumId w:val="11"/>
  </w:num>
  <w:num w:numId="7">
    <w:abstractNumId w:val="6"/>
  </w:num>
  <w:num w:numId="8">
    <w:abstractNumId w:val="0"/>
  </w:num>
  <w:num w:numId="9">
    <w:abstractNumId w:val="4"/>
  </w:num>
  <w:num w:numId="10">
    <w:abstractNumId w:val="7"/>
  </w:num>
  <w:num w:numId="11">
    <w:abstractNumId w:val="8"/>
  </w:num>
  <w:num w:numId="12">
    <w:abstractNumId w:val="1"/>
  </w:num>
  <w:num w:numId="13">
    <w:abstractNumId w:val="2"/>
  </w:num>
  <w:num w:numId="14">
    <w:abstractNumId w:val="14"/>
    <w:lvlOverride w:ilvl="0">
      <w:startOverride w:val="1"/>
    </w:lvlOverride>
  </w:num>
  <w:num w:numId="15">
    <w:abstractNumId w:val="13"/>
    <w:lvlOverride w:ilvl="0">
      <w:startOverride w:val="1"/>
    </w:lvlOverride>
  </w:num>
  <w:num w:numId="16">
    <w:abstractNumId w:val="12"/>
    <w:lvlOverride w:ilvl="0">
      <w:startOverride w:val="1"/>
    </w:lvlOverride>
  </w:num>
  <w:num w:numId="17">
    <w:abstractNumId w:val="15"/>
    <w:lvlOverride w:ilvl="0">
      <w:startOverride w:val="1"/>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2VhMWFjNDE3NTJmZTE3NjE3Y2FmODBhYTk5ZTVjZjgifQ=="/>
  </w:docVars>
  <w:rsids>
    <w:rsidRoot w:val="60F0140E"/>
    <w:rsid w:val="0026725C"/>
    <w:rsid w:val="00760DF9"/>
    <w:rsid w:val="00A329C1"/>
    <w:rsid w:val="00A56DE0"/>
    <w:rsid w:val="044E498E"/>
    <w:rsid w:val="0708176C"/>
    <w:rsid w:val="1F6639C8"/>
    <w:rsid w:val="2413320D"/>
    <w:rsid w:val="30D43DB0"/>
    <w:rsid w:val="40072D87"/>
    <w:rsid w:val="4C0F5E28"/>
    <w:rsid w:val="4D5D0D6B"/>
    <w:rsid w:val="5DFB617C"/>
    <w:rsid w:val="60F0140E"/>
    <w:rsid w:val="65BB276E"/>
    <w:rsid w:val="675C0E6D"/>
    <w:rsid w:val="6AB77B7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ind w:left="678"/>
      <w:outlineLvl w:val="0"/>
    </w:pPr>
    <w:rPr>
      <w:rFonts w:ascii="Microsoft JhengHei" w:hAnsi="Microsoft JhengHei" w:eastAsia="Microsoft JhengHei"/>
      <w:b/>
      <w:bCs/>
      <w:sz w:val="28"/>
      <w:szCs w:val="28"/>
    </w:rPr>
  </w:style>
  <w:style w:type="paragraph" w:styleId="2">
    <w:name w:val="heading 3"/>
    <w:basedOn w:val="1"/>
    <w:next w:val="1"/>
    <w:qFormat/>
    <w:uiPriority w:val="0"/>
    <w:pPr>
      <w:keepNext/>
      <w:keepLines/>
      <w:spacing w:before="260" w:after="260" w:line="413" w:lineRule="auto"/>
      <w:outlineLvl w:val="2"/>
    </w:pPr>
    <w:rPr>
      <w:b/>
      <w:kern w:val="0"/>
      <w:sz w:val="32"/>
      <w:szCs w:val="20"/>
    </w:rPr>
  </w:style>
  <w:style w:type="character" w:default="1" w:styleId="9">
    <w:name w:val="Default Paragraph Font"/>
    <w:semiHidden/>
    <w:unhideWhenUsed/>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4">
    <w:name w:val="Body Text"/>
    <w:basedOn w:val="1"/>
    <w:next w:val="1"/>
    <w:qFormat/>
    <w:uiPriority w:val="0"/>
    <w:rPr>
      <w:rFonts w:eastAsia="仿宋_GB2312"/>
      <w:sz w:val="30"/>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7">
    <w:name w:val="List"/>
    <w:basedOn w:val="1"/>
    <w:unhideWhenUsed/>
    <w:qFormat/>
    <w:uiPriority w:val="0"/>
    <w:pPr>
      <w:ind w:left="200" w:hanging="200" w:hangingChars="200"/>
    </w:pPr>
    <w:rPr>
      <w:szCs w:val="22"/>
    </w:rPr>
  </w:style>
  <w:style w:type="paragraph" w:styleId="10">
    <w:name w:val="List Paragraph"/>
    <w:basedOn w:val="1"/>
    <w:qFormat/>
    <w:uiPriority w:val="0"/>
    <w:pPr>
      <w:widowControl/>
      <w:suppressAutoHyphens/>
      <w:spacing w:line="440" w:lineRule="exact"/>
      <w:ind w:left="720" w:firstLine="200"/>
      <w:jc w:val="left"/>
    </w:pPr>
    <w:rPr>
      <w:rFonts w:ascii="Calibri" w:hAnsi="Calibri" w:cs="宋体"/>
      <w:sz w:val="24"/>
      <w:lang w:eastAsia="ar-SA"/>
    </w:rPr>
  </w:style>
  <w:style w:type="paragraph" w:customStyle="1" w:styleId="11">
    <w:name w:val="正文（缩进）"/>
    <w:basedOn w:val="1"/>
    <w:qFormat/>
    <w:uiPriority w:val="99"/>
    <w:pPr>
      <w:ind w:firstLine="480"/>
    </w:pPr>
  </w:style>
  <w:style w:type="paragraph" w:customStyle="1" w:styleId="12">
    <w:name w:val="首行缩进"/>
    <w:basedOn w:val="1"/>
    <w:qFormat/>
    <w:uiPriority w:val="0"/>
    <w:pPr>
      <w:spacing w:line="360" w:lineRule="auto"/>
      <w:ind w:firstLine="480"/>
      <w:jc w:val="left"/>
    </w:pPr>
    <w:rPr>
      <w:rFonts w:ascii="宋体" w:hAnsi="宋体"/>
      <w:sz w:val="2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47</Pages>
  <Words>23270</Words>
  <Characters>24366</Characters>
  <Lines>190</Lines>
  <Paragraphs>53</Paragraphs>
  <TotalTime>19</TotalTime>
  <ScaleCrop>false</ScaleCrop>
  <LinksUpToDate>false</LinksUpToDate>
  <CharactersWithSpaces>25806</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2023-04-17T07:35:00Z</dcterms:created>
  <dc:creator>一念执着</dc:creator>
  <cp:lastModifiedBy>一念执着</cp:lastModifiedBy>
  <cp:lastPrinted>2023-04-27T09:06:41Z</cp:lastPrinted>
  <dcterms:modified xsi:type="dcterms:W3CDTF">2023-04-27T09:07:24Z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3E64F87CBF2B43DE994ED5780434EE83_13</vt:lpwstr>
  </property>
</Properties>
</file>