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88" w:lineRule="auto"/>
        <w:ind w:firstLine="0" w:firstLineChars="0"/>
        <w:jc w:val="center"/>
        <w:rPr>
          <w:rFonts w:hint="eastAsia" w:ascii="宋体" w:hAnsi="宋体" w:cs="宋体"/>
          <w:bCs/>
          <w:kern w:val="0"/>
          <w:sz w:val="48"/>
          <w:szCs w:val="48"/>
          <w:highlight w:val="none"/>
        </w:rPr>
      </w:pPr>
    </w:p>
    <w:p>
      <w:pPr>
        <w:snapToGrid w:val="0"/>
        <w:spacing w:line="288" w:lineRule="auto"/>
        <w:ind w:firstLine="0" w:firstLineChars="0"/>
        <w:jc w:val="center"/>
        <w:rPr>
          <w:rFonts w:hint="eastAsia" w:ascii="宋体" w:hAnsi="宋体" w:cs="宋体"/>
          <w:bCs/>
          <w:kern w:val="0"/>
          <w:sz w:val="40"/>
          <w:szCs w:val="40"/>
          <w:highlight w:val="none"/>
          <w:lang w:eastAsia="zh-CN"/>
        </w:rPr>
      </w:pPr>
      <w:r>
        <w:rPr>
          <w:rFonts w:hint="eastAsia" w:ascii="宋体" w:hAnsi="宋体" w:cs="宋体"/>
          <w:bCs/>
          <w:kern w:val="0"/>
          <w:sz w:val="40"/>
          <w:szCs w:val="40"/>
          <w:highlight w:val="none"/>
          <w:lang w:eastAsia="zh-CN"/>
        </w:rPr>
        <w:t>江苏长江水务股份有限公司</w:t>
      </w:r>
    </w:p>
    <w:p>
      <w:pPr>
        <w:snapToGrid w:val="0"/>
        <w:spacing w:line="288" w:lineRule="auto"/>
        <w:ind w:firstLine="0" w:firstLineChars="0"/>
        <w:jc w:val="center"/>
        <w:rPr>
          <w:rFonts w:hint="eastAsia" w:ascii="宋体" w:hAnsi="宋体" w:eastAsia="宋体" w:cs="宋体"/>
          <w:kern w:val="0"/>
          <w:sz w:val="36"/>
          <w:szCs w:val="36"/>
          <w:highlight w:val="none"/>
          <w:u w:val="single"/>
          <w:lang w:eastAsia="zh-CN"/>
        </w:rPr>
      </w:pPr>
      <w:r>
        <w:rPr>
          <w:rFonts w:hint="eastAsia" w:ascii="宋体" w:hAnsi="宋体" w:cs="宋体"/>
          <w:bCs/>
          <w:kern w:val="0"/>
          <w:sz w:val="40"/>
          <w:szCs w:val="40"/>
          <w:highlight w:val="none"/>
          <w:lang w:eastAsia="zh-CN"/>
        </w:rPr>
        <w:t>聚乙烯供水管道成套生产设备采购及安装项目</w:t>
      </w:r>
    </w:p>
    <w:p>
      <w:pPr>
        <w:snapToGrid w:val="0"/>
        <w:spacing w:line="312" w:lineRule="auto"/>
        <w:rPr>
          <w:rFonts w:hint="eastAsia" w:ascii="宋体" w:hAnsi="宋体" w:cs="宋体"/>
          <w:kern w:val="0"/>
          <w:highlight w:val="none"/>
        </w:rPr>
      </w:pPr>
    </w:p>
    <w:p>
      <w:pPr>
        <w:snapToGrid w:val="0"/>
        <w:spacing w:line="312" w:lineRule="auto"/>
        <w:ind w:left="0" w:leftChars="0" w:firstLine="0" w:firstLineChars="0"/>
        <w:jc w:val="center"/>
        <w:rPr>
          <w:rFonts w:hint="eastAsia" w:ascii="宋体" w:hAnsi="宋体" w:cs="宋体"/>
          <w:b/>
          <w:kern w:val="0"/>
          <w:sz w:val="56"/>
          <w:szCs w:val="56"/>
          <w:highlight w:val="none"/>
        </w:rPr>
      </w:pPr>
      <w:r>
        <w:rPr>
          <w:rFonts w:hint="eastAsia" w:ascii="宋体" w:hAnsi="宋体" w:cs="宋体"/>
          <w:b/>
          <w:kern w:val="0"/>
          <w:sz w:val="56"/>
          <w:szCs w:val="56"/>
          <w:highlight w:val="none"/>
        </w:rPr>
        <w:t>招标文件</w:t>
      </w:r>
    </w:p>
    <w:p>
      <w:pPr>
        <w:snapToGrid w:val="0"/>
        <w:spacing w:line="312" w:lineRule="auto"/>
        <w:ind w:firstLine="0" w:firstLineChars="0"/>
        <w:jc w:val="center"/>
        <w:rPr>
          <w:rFonts w:hint="eastAsia" w:ascii="宋体" w:hAnsi="宋体" w:eastAsia="宋体" w:cs="宋体"/>
          <w:b/>
          <w:kern w:val="0"/>
          <w:sz w:val="56"/>
          <w:szCs w:val="56"/>
          <w:highlight w:val="none"/>
          <w:lang w:eastAsia="zh-CN"/>
        </w:rPr>
      </w:pPr>
      <w:r>
        <w:rPr>
          <w:rFonts w:hint="eastAsia" w:ascii="宋体" w:hAnsi="宋体" w:cs="宋体"/>
          <w:kern w:val="0"/>
          <w:sz w:val="36"/>
          <w:szCs w:val="36"/>
          <w:highlight w:val="none"/>
        </w:rPr>
        <w:t>招标编号：</w:t>
      </w:r>
      <w:r>
        <w:rPr>
          <w:rFonts w:hint="eastAsia" w:ascii="宋体" w:hAnsi="宋体" w:cs="宋体"/>
          <w:kern w:val="0"/>
          <w:sz w:val="36"/>
          <w:szCs w:val="36"/>
          <w:highlight w:val="none"/>
          <w:lang w:eastAsia="zh-CN"/>
        </w:rPr>
        <w:t>0660</w:t>
      </w:r>
    </w:p>
    <w:p>
      <w:pPr>
        <w:snapToGrid w:val="0"/>
        <w:spacing w:line="312" w:lineRule="auto"/>
        <w:rPr>
          <w:rFonts w:hint="eastAsia" w:ascii="宋体" w:hAnsi="宋体" w:cs="宋体"/>
          <w:kern w:val="0"/>
          <w:highlight w:val="none"/>
        </w:rPr>
      </w:pPr>
    </w:p>
    <w:p>
      <w:pPr>
        <w:snapToGrid w:val="0"/>
        <w:spacing w:line="312" w:lineRule="auto"/>
        <w:rPr>
          <w:rFonts w:hint="eastAsia" w:ascii="宋体" w:hAnsi="宋体" w:cs="宋体"/>
          <w:kern w:val="0"/>
          <w:highlight w:val="none"/>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pStyle w:val="45"/>
        <w:snapToGrid w:val="0"/>
        <w:spacing w:line="312" w:lineRule="auto"/>
        <w:rPr>
          <w:rFonts w:hint="eastAsia" w:hAnsi="宋体" w:cs="宋体"/>
          <w:color w:val="auto"/>
          <w:highlight w:val="none"/>
          <w:lang w:eastAsia="zh-CN"/>
        </w:rPr>
      </w:pPr>
    </w:p>
    <w:p>
      <w:pPr>
        <w:snapToGrid w:val="0"/>
        <w:spacing w:line="312" w:lineRule="auto"/>
        <w:rPr>
          <w:rFonts w:hint="eastAsia" w:ascii="宋体" w:hAnsi="宋体" w:cs="宋体"/>
          <w:kern w:val="0"/>
          <w:highlight w:val="none"/>
        </w:rPr>
      </w:pPr>
    </w:p>
    <w:p>
      <w:pPr>
        <w:snapToGrid w:val="0"/>
        <w:ind w:firstLine="640"/>
        <w:rPr>
          <w:rFonts w:hint="eastAsia" w:ascii="宋体" w:hAnsi="宋体" w:cs="宋体"/>
          <w:kern w:val="0"/>
          <w:sz w:val="32"/>
          <w:szCs w:val="32"/>
          <w:highlight w:val="none"/>
        </w:rPr>
      </w:pPr>
    </w:p>
    <w:p>
      <w:pPr>
        <w:snapToGrid w:val="0"/>
        <w:ind w:firstLine="0" w:firstLineChars="0"/>
        <w:jc w:val="center"/>
        <w:rPr>
          <w:rFonts w:hint="eastAsia" w:ascii="宋体" w:hAnsi="宋体" w:eastAsia="宋体" w:cs="宋体"/>
          <w:kern w:val="0"/>
          <w:sz w:val="32"/>
          <w:szCs w:val="32"/>
          <w:highlight w:val="none"/>
          <w:lang w:eastAsia="zh-CN"/>
        </w:rPr>
      </w:pPr>
      <w:r>
        <w:rPr>
          <w:rFonts w:hint="eastAsia" w:ascii="宋体" w:hAnsi="宋体" w:cs="宋体"/>
          <w:kern w:val="0"/>
          <w:sz w:val="32"/>
          <w:szCs w:val="32"/>
          <w:highlight w:val="none"/>
        </w:rPr>
        <w:t>招标人：</w:t>
      </w:r>
      <w:r>
        <w:rPr>
          <w:rFonts w:hint="eastAsia" w:ascii="宋体" w:hAnsi="宋体" w:cs="宋体"/>
          <w:kern w:val="0"/>
          <w:sz w:val="32"/>
          <w:szCs w:val="32"/>
          <w:highlight w:val="none"/>
          <w:lang w:eastAsia="zh-CN"/>
        </w:rPr>
        <w:t>江苏长江水务股份有限公司</w:t>
      </w:r>
    </w:p>
    <w:p>
      <w:pPr>
        <w:pStyle w:val="45"/>
        <w:snapToGrid w:val="0"/>
        <w:rPr>
          <w:rFonts w:hint="eastAsia" w:hAnsi="宋体" w:cs="宋体"/>
          <w:color w:val="auto"/>
          <w:highlight w:val="none"/>
          <w:lang w:eastAsia="zh-CN"/>
        </w:rPr>
      </w:pPr>
    </w:p>
    <w:p>
      <w:pPr>
        <w:snapToGrid w:val="0"/>
        <w:ind w:firstLine="0" w:firstLineChars="0"/>
        <w:jc w:val="center"/>
        <w:rPr>
          <w:rFonts w:hint="eastAsia" w:ascii="宋体" w:hAnsi="宋体" w:cs="宋体"/>
          <w:kern w:val="0"/>
          <w:sz w:val="32"/>
          <w:szCs w:val="32"/>
          <w:highlight w:val="none"/>
        </w:rPr>
      </w:pPr>
      <w:r>
        <w:rPr>
          <w:rFonts w:hint="eastAsia" w:ascii="宋体" w:hAnsi="宋体" w:cs="宋体"/>
          <w:kern w:val="0"/>
          <w:sz w:val="32"/>
          <w:szCs w:val="32"/>
          <w:highlight w:val="none"/>
        </w:rPr>
        <w:t>招标代理机构：</w:t>
      </w:r>
      <w:r>
        <w:rPr>
          <w:rFonts w:hint="eastAsia" w:ascii="宋体" w:hAnsi="宋体" w:cs="宋体"/>
          <w:kern w:val="0"/>
          <w:sz w:val="32"/>
          <w:szCs w:val="32"/>
          <w:highlight w:val="none"/>
          <w:lang w:eastAsia="zh-CN"/>
        </w:rPr>
        <w:t>江苏省设备成套股份有限公司</w:t>
      </w:r>
      <w:r>
        <w:rPr>
          <w:rFonts w:hint="eastAsia" w:ascii="宋体" w:hAnsi="宋体" w:cs="宋体"/>
          <w:kern w:val="0"/>
          <w:sz w:val="32"/>
          <w:szCs w:val="32"/>
          <w:highlight w:val="none"/>
        </w:rPr>
        <w:t>（盖单位章）</w:t>
      </w:r>
    </w:p>
    <w:p>
      <w:pPr>
        <w:pStyle w:val="45"/>
        <w:snapToGrid w:val="0"/>
        <w:rPr>
          <w:rFonts w:hint="eastAsia" w:hAnsi="宋体" w:cs="宋体"/>
          <w:color w:val="auto"/>
          <w:highlight w:val="none"/>
          <w:lang w:eastAsia="zh-CN"/>
        </w:rPr>
      </w:pPr>
    </w:p>
    <w:p>
      <w:pPr>
        <w:snapToGrid w:val="0"/>
        <w:ind w:firstLine="0" w:firstLineChars="0"/>
        <w:jc w:val="center"/>
        <w:rPr>
          <w:rFonts w:hint="eastAsia" w:ascii="宋体" w:hAnsi="宋体" w:eastAsia="宋体" w:cs="宋体"/>
          <w:kern w:val="0"/>
          <w:sz w:val="32"/>
          <w:szCs w:val="32"/>
          <w:highlight w:val="none"/>
          <w:lang w:eastAsia="zh-CN"/>
        </w:rPr>
      </w:pPr>
      <w:r>
        <w:rPr>
          <w:rFonts w:hint="eastAsia" w:ascii="宋体" w:hAnsi="宋体" w:cs="宋体"/>
          <w:kern w:val="0"/>
          <w:sz w:val="32"/>
          <w:szCs w:val="32"/>
          <w:highlight w:val="none"/>
        </w:rPr>
        <w:t>2021年</w:t>
      </w:r>
      <w:r>
        <w:rPr>
          <w:rFonts w:hint="eastAsia" w:ascii="宋体" w:hAnsi="宋体" w:cs="宋体"/>
          <w:kern w:val="0"/>
          <w:sz w:val="32"/>
          <w:szCs w:val="32"/>
          <w:highlight w:val="none"/>
          <w:lang w:eastAsia="zh-CN"/>
        </w:rPr>
        <w:t>1</w:t>
      </w:r>
      <w:r>
        <w:rPr>
          <w:rFonts w:hint="eastAsia" w:ascii="宋体" w:hAnsi="宋体" w:cs="宋体"/>
          <w:kern w:val="0"/>
          <w:sz w:val="32"/>
          <w:szCs w:val="32"/>
          <w:highlight w:val="none"/>
          <w:lang w:val="en-US" w:eastAsia="zh-CN"/>
        </w:rPr>
        <w:t>2</w:t>
      </w:r>
      <w:r>
        <w:rPr>
          <w:rFonts w:hint="eastAsia" w:ascii="宋体" w:hAnsi="宋体" w:cs="宋体"/>
          <w:kern w:val="0"/>
          <w:sz w:val="32"/>
          <w:szCs w:val="32"/>
          <w:highlight w:val="none"/>
          <w:lang w:eastAsia="zh-CN"/>
        </w:rPr>
        <w:t>月</w:t>
      </w:r>
      <w:r>
        <w:rPr>
          <w:rFonts w:hint="eastAsia" w:ascii="宋体" w:hAnsi="宋体" w:cs="宋体"/>
          <w:kern w:val="0"/>
          <w:sz w:val="32"/>
          <w:szCs w:val="32"/>
          <w:highlight w:val="none"/>
          <w:lang w:val="en-US" w:eastAsia="zh-CN"/>
        </w:rPr>
        <w:t>20</w:t>
      </w:r>
      <w:r>
        <w:rPr>
          <w:rFonts w:hint="eastAsia" w:ascii="宋体" w:hAnsi="宋体" w:cs="宋体"/>
          <w:kern w:val="0"/>
          <w:sz w:val="32"/>
          <w:szCs w:val="32"/>
          <w:highlight w:val="none"/>
          <w:lang w:eastAsia="zh-CN"/>
        </w:rPr>
        <w:t>日</w:t>
      </w:r>
    </w:p>
    <w:p>
      <w:pPr>
        <w:snapToGrid w:val="0"/>
        <w:ind w:firstLine="0" w:firstLineChars="0"/>
        <w:jc w:val="center"/>
        <w:rPr>
          <w:rFonts w:hint="eastAsia" w:ascii="宋体" w:hAnsi="宋体" w:cs="宋体"/>
          <w:kern w:val="0"/>
          <w:sz w:val="44"/>
          <w:szCs w:val="44"/>
          <w:highlight w:val="none"/>
        </w:rPr>
      </w:pPr>
      <w:r>
        <w:rPr>
          <w:rFonts w:hint="eastAsia" w:ascii="宋体" w:hAnsi="宋体" w:cs="宋体"/>
          <w:kern w:val="0"/>
          <w:sz w:val="44"/>
          <w:szCs w:val="44"/>
          <w:highlight w:val="none"/>
        </w:rPr>
        <w:br w:type="column"/>
      </w:r>
      <w:r>
        <w:rPr>
          <w:rFonts w:hint="eastAsia" w:ascii="宋体" w:hAnsi="宋体" w:cs="宋体"/>
          <w:kern w:val="0"/>
          <w:sz w:val="44"/>
          <w:szCs w:val="44"/>
          <w:highlight w:val="none"/>
        </w:rPr>
        <w:t>目录</w:t>
      </w:r>
    </w:p>
    <w:p>
      <w:pPr>
        <w:pStyle w:val="22"/>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TOC \o "1-2" \h \u </w:instrText>
      </w:r>
      <w:r>
        <w:rPr>
          <w:rFonts w:hint="eastAsia" w:ascii="宋体" w:hAnsi="宋体" w:cs="宋体"/>
          <w:kern w:val="0"/>
          <w:highlight w:val="none"/>
        </w:rPr>
        <w:fldChar w:fldCharType="separate"/>
      </w: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_Toc8062 </w:instrText>
      </w:r>
      <w:r>
        <w:rPr>
          <w:rFonts w:hint="eastAsia" w:ascii="宋体" w:hAnsi="宋体" w:cs="宋体"/>
          <w:kern w:val="0"/>
          <w:highlight w:val="none"/>
        </w:rPr>
        <w:fldChar w:fldCharType="separate"/>
      </w:r>
      <w:r>
        <w:rPr>
          <w:rFonts w:hint="eastAsia" w:cs="宋体"/>
          <w:kern w:val="0"/>
          <w:highlight w:val="none"/>
        </w:rPr>
        <w:t>第一章 招标公告</w:t>
      </w:r>
      <w:r>
        <w:tab/>
      </w:r>
      <w:r>
        <w:fldChar w:fldCharType="begin"/>
      </w:r>
      <w:r>
        <w:instrText xml:space="preserve"> PAGEREF _Toc8062 \h </w:instrText>
      </w:r>
      <w:r>
        <w:fldChar w:fldCharType="separate"/>
      </w:r>
      <w:r>
        <w:t>2</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_Toc2838 </w:instrText>
      </w:r>
      <w:r>
        <w:rPr>
          <w:rFonts w:hint="eastAsia" w:ascii="宋体" w:hAnsi="宋体" w:cs="宋体"/>
          <w:kern w:val="0"/>
          <w:highlight w:val="none"/>
        </w:rPr>
        <w:fldChar w:fldCharType="separate"/>
      </w:r>
      <w:r>
        <w:rPr>
          <w:rFonts w:hint="eastAsia" w:ascii="宋体" w:hAnsi="宋体" w:cs="宋体"/>
          <w:bCs/>
          <w:kern w:val="0"/>
          <w:szCs w:val="21"/>
          <w:highlight w:val="none"/>
        </w:rPr>
        <w:t>二、项目概况和招标范围</w:t>
      </w:r>
      <w:r>
        <w:tab/>
      </w:r>
      <w:r>
        <w:fldChar w:fldCharType="begin"/>
      </w:r>
      <w:r>
        <w:instrText xml:space="preserve"> PAGEREF _Toc2838 \h </w:instrText>
      </w:r>
      <w:r>
        <w:fldChar w:fldCharType="separate"/>
      </w:r>
      <w:r>
        <w:t>2</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_Toc6854 </w:instrText>
      </w:r>
      <w:r>
        <w:rPr>
          <w:rFonts w:hint="eastAsia" w:ascii="宋体" w:hAnsi="宋体" w:cs="宋体"/>
          <w:kern w:val="0"/>
          <w:highlight w:val="none"/>
        </w:rPr>
        <w:fldChar w:fldCharType="separate"/>
      </w:r>
      <w:r>
        <w:rPr>
          <w:rFonts w:hint="eastAsia" w:ascii="宋体" w:hAnsi="宋体" w:cs="宋体"/>
          <w:bCs/>
          <w:kern w:val="0"/>
          <w:szCs w:val="21"/>
          <w:highlight w:val="none"/>
        </w:rPr>
        <w:t>三、投标人资格条件</w:t>
      </w:r>
      <w:r>
        <w:tab/>
      </w:r>
      <w:r>
        <w:fldChar w:fldCharType="begin"/>
      </w:r>
      <w:r>
        <w:instrText xml:space="preserve"> PAGEREF _Toc6854 \h </w:instrText>
      </w:r>
      <w:r>
        <w:fldChar w:fldCharType="separate"/>
      </w:r>
      <w:r>
        <w:t>2</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_Toc14264 </w:instrText>
      </w:r>
      <w:r>
        <w:rPr>
          <w:rFonts w:hint="eastAsia" w:ascii="宋体" w:hAnsi="宋体" w:cs="宋体"/>
          <w:kern w:val="0"/>
          <w:highlight w:val="none"/>
        </w:rPr>
        <w:fldChar w:fldCharType="separate"/>
      </w:r>
      <w:r>
        <w:rPr>
          <w:rFonts w:hint="eastAsia" w:ascii="宋体" w:hAnsi="宋体" w:cs="宋体"/>
          <w:bCs/>
          <w:kern w:val="0"/>
          <w:szCs w:val="21"/>
          <w:highlight w:val="none"/>
          <w:lang w:val="en-US" w:eastAsia="zh-CN"/>
        </w:rPr>
        <w:t>四</w:t>
      </w:r>
      <w:r>
        <w:rPr>
          <w:rFonts w:hint="eastAsia" w:ascii="宋体" w:hAnsi="宋体" w:cs="宋体"/>
          <w:bCs/>
          <w:kern w:val="0"/>
          <w:szCs w:val="21"/>
          <w:highlight w:val="none"/>
        </w:rPr>
        <w:t>、招标文件提供信息</w:t>
      </w:r>
      <w:r>
        <w:tab/>
      </w:r>
      <w:r>
        <w:fldChar w:fldCharType="begin"/>
      </w:r>
      <w:r>
        <w:instrText xml:space="preserve"> PAGEREF _Toc14264 \h </w:instrText>
      </w:r>
      <w:r>
        <w:fldChar w:fldCharType="separate"/>
      </w:r>
      <w:r>
        <w:t>2</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_Toc29325 </w:instrText>
      </w:r>
      <w:r>
        <w:rPr>
          <w:rFonts w:hint="eastAsia" w:ascii="宋体" w:hAnsi="宋体" w:cs="宋体"/>
          <w:kern w:val="0"/>
          <w:highlight w:val="none"/>
        </w:rPr>
        <w:fldChar w:fldCharType="separate"/>
      </w:r>
      <w:r>
        <w:rPr>
          <w:rFonts w:hint="eastAsia" w:ascii="宋体" w:hAnsi="宋体" w:cs="宋体"/>
          <w:bCs/>
          <w:kern w:val="0"/>
          <w:szCs w:val="21"/>
          <w:highlight w:val="none"/>
          <w:lang w:val="en-US" w:eastAsia="zh-CN"/>
        </w:rPr>
        <w:t>五</w:t>
      </w:r>
      <w:r>
        <w:rPr>
          <w:rFonts w:hint="eastAsia" w:ascii="宋体" w:hAnsi="宋体" w:cs="宋体"/>
          <w:bCs/>
          <w:kern w:val="0"/>
          <w:szCs w:val="21"/>
          <w:highlight w:val="none"/>
        </w:rPr>
        <w:t>、投标文件接收信息</w:t>
      </w:r>
      <w:r>
        <w:tab/>
      </w:r>
      <w:r>
        <w:fldChar w:fldCharType="begin"/>
      </w:r>
      <w:r>
        <w:instrText xml:space="preserve"> PAGEREF _Toc29325 \h </w:instrText>
      </w:r>
      <w:r>
        <w:fldChar w:fldCharType="separate"/>
      </w:r>
      <w:r>
        <w:t>3</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_Toc27646 </w:instrText>
      </w:r>
      <w:r>
        <w:rPr>
          <w:rFonts w:hint="eastAsia" w:ascii="宋体" w:hAnsi="宋体" w:cs="宋体"/>
          <w:kern w:val="0"/>
          <w:highlight w:val="none"/>
        </w:rPr>
        <w:fldChar w:fldCharType="separate"/>
      </w:r>
      <w:r>
        <w:rPr>
          <w:rFonts w:hint="eastAsia" w:ascii="宋体" w:hAnsi="宋体" w:cs="宋体"/>
          <w:bCs/>
          <w:kern w:val="0"/>
          <w:szCs w:val="21"/>
          <w:highlight w:val="none"/>
          <w:lang w:val="en-US" w:eastAsia="zh-CN"/>
        </w:rPr>
        <w:t>六</w:t>
      </w:r>
      <w:r>
        <w:rPr>
          <w:rFonts w:hint="eastAsia" w:ascii="宋体" w:hAnsi="宋体" w:cs="宋体"/>
          <w:bCs/>
          <w:kern w:val="0"/>
          <w:szCs w:val="21"/>
          <w:highlight w:val="none"/>
        </w:rPr>
        <w:t>、开标时间及地点</w:t>
      </w:r>
      <w:r>
        <w:tab/>
      </w:r>
      <w:r>
        <w:fldChar w:fldCharType="begin"/>
      </w:r>
      <w:r>
        <w:instrText xml:space="preserve"> PAGEREF _Toc27646 \h </w:instrText>
      </w:r>
      <w:r>
        <w:fldChar w:fldCharType="separate"/>
      </w:r>
      <w:r>
        <w:t>3</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_Toc9486 </w:instrText>
      </w:r>
      <w:r>
        <w:rPr>
          <w:rFonts w:hint="eastAsia" w:ascii="宋体" w:hAnsi="宋体" w:cs="宋体"/>
          <w:kern w:val="0"/>
          <w:highlight w:val="none"/>
        </w:rPr>
        <w:fldChar w:fldCharType="separate"/>
      </w:r>
      <w:r>
        <w:rPr>
          <w:rFonts w:hint="eastAsia" w:ascii="宋体" w:hAnsi="宋体" w:cs="宋体"/>
          <w:bCs/>
          <w:kern w:val="0"/>
          <w:szCs w:val="21"/>
          <w:highlight w:val="none"/>
          <w:lang w:val="en-US" w:eastAsia="zh-CN"/>
        </w:rPr>
        <w:t>七</w:t>
      </w:r>
      <w:r>
        <w:rPr>
          <w:rFonts w:hint="eastAsia" w:ascii="宋体" w:hAnsi="宋体" w:cs="宋体"/>
          <w:bCs/>
          <w:kern w:val="0"/>
          <w:szCs w:val="21"/>
          <w:highlight w:val="none"/>
        </w:rPr>
        <w:t>、其他</w:t>
      </w:r>
      <w:r>
        <w:tab/>
      </w:r>
      <w:r>
        <w:fldChar w:fldCharType="begin"/>
      </w:r>
      <w:r>
        <w:instrText xml:space="preserve"> PAGEREF _Toc9486 \h </w:instrText>
      </w:r>
      <w:r>
        <w:fldChar w:fldCharType="separate"/>
      </w:r>
      <w:r>
        <w:t>3</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_Toc24613 </w:instrText>
      </w:r>
      <w:r>
        <w:rPr>
          <w:rFonts w:hint="eastAsia" w:ascii="宋体" w:hAnsi="宋体" w:cs="宋体"/>
          <w:kern w:val="0"/>
          <w:highlight w:val="none"/>
        </w:rPr>
        <w:fldChar w:fldCharType="separate"/>
      </w:r>
      <w:r>
        <w:rPr>
          <w:rFonts w:hint="eastAsia" w:ascii="宋体" w:hAnsi="宋体" w:cs="宋体"/>
          <w:bCs/>
          <w:kern w:val="0"/>
          <w:szCs w:val="21"/>
          <w:highlight w:val="none"/>
          <w:lang w:val="en-US" w:eastAsia="zh-CN"/>
        </w:rPr>
        <w:t>八</w:t>
      </w:r>
      <w:r>
        <w:rPr>
          <w:rFonts w:hint="eastAsia" w:ascii="宋体" w:hAnsi="宋体" w:cs="宋体"/>
          <w:bCs/>
          <w:kern w:val="0"/>
          <w:szCs w:val="21"/>
          <w:highlight w:val="none"/>
        </w:rPr>
        <w:t>、联系方式</w:t>
      </w:r>
      <w:r>
        <w:tab/>
      </w:r>
      <w:r>
        <w:fldChar w:fldCharType="begin"/>
      </w:r>
      <w:r>
        <w:instrText xml:space="preserve"> PAGEREF _Toc24613 \h </w:instrText>
      </w:r>
      <w:r>
        <w:fldChar w:fldCharType="separate"/>
      </w:r>
      <w:r>
        <w:t>4</w:t>
      </w:r>
      <w:r>
        <w:fldChar w:fldCharType="end"/>
      </w:r>
      <w:r>
        <w:rPr>
          <w:rFonts w:hint="eastAsia" w:ascii="宋体" w:hAnsi="宋体" w:cs="宋体"/>
          <w:kern w:val="0"/>
          <w:highlight w:val="none"/>
        </w:rPr>
        <w:fldChar w:fldCharType="end"/>
      </w:r>
    </w:p>
    <w:p>
      <w:pPr>
        <w:pStyle w:val="22"/>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_Toc14522 </w:instrText>
      </w:r>
      <w:r>
        <w:rPr>
          <w:rFonts w:hint="eastAsia" w:ascii="宋体" w:hAnsi="宋体" w:cs="宋体"/>
          <w:kern w:val="0"/>
          <w:highlight w:val="none"/>
        </w:rPr>
        <w:fldChar w:fldCharType="separate"/>
      </w:r>
      <w:r>
        <w:rPr>
          <w:rFonts w:hint="eastAsia" w:cs="宋体"/>
          <w:kern w:val="0"/>
          <w:highlight w:val="none"/>
        </w:rPr>
        <w:t>第二章 投标人须知</w:t>
      </w:r>
      <w:r>
        <w:tab/>
      </w:r>
      <w:r>
        <w:fldChar w:fldCharType="begin"/>
      </w:r>
      <w:r>
        <w:instrText xml:space="preserve"> PAGEREF _Toc14522 \h </w:instrText>
      </w:r>
      <w:r>
        <w:fldChar w:fldCharType="separate"/>
      </w:r>
      <w:r>
        <w:t>4</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_Toc7005 </w:instrText>
      </w:r>
      <w:r>
        <w:rPr>
          <w:rFonts w:hint="eastAsia" w:ascii="宋体" w:hAnsi="宋体" w:cs="宋体"/>
          <w:kern w:val="0"/>
          <w:highlight w:val="none"/>
        </w:rPr>
        <w:fldChar w:fldCharType="separate"/>
      </w:r>
      <w:r>
        <w:rPr>
          <w:rFonts w:hint="eastAsia" w:ascii="宋体" w:hAnsi="宋体" w:cs="宋体"/>
          <w:kern w:val="0"/>
          <w:highlight w:val="none"/>
        </w:rPr>
        <w:t>投标人须知前附表</w:t>
      </w:r>
      <w:r>
        <w:tab/>
      </w:r>
      <w:r>
        <w:fldChar w:fldCharType="begin"/>
      </w:r>
      <w:r>
        <w:instrText xml:space="preserve"> PAGEREF _Toc7005 \h </w:instrText>
      </w:r>
      <w:r>
        <w:fldChar w:fldCharType="separate"/>
      </w:r>
      <w:r>
        <w:t>5</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_Toc20604 </w:instrText>
      </w:r>
      <w:r>
        <w:rPr>
          <w:rFonts w:hint="eastAsia" w:ascii="宋体" w:hAnsi="宋体" w:cs="宋体"/>
          <w:kern w:val="0"/>
          <w:highlight w:val="none"/>
        </w:rPr>
        <w:fldChar w:fldCharType="separate"/>
      </w:r>
      <w:r>
        <w:rPr>
          <w:rFonts w:hint="eastAsia" w:ascii="宋体" w:hAnsi="宋体" w:cs="宋体"/>
          <w:kern w:val="0"/>
          <w:highlight w:val="none"/>
        </w:rPr>
        <w:t>1.总则</w:t>
      </w:r>
      <w:r>
        <w:tab/>
      </w:r>
      <w:r>
        <w:fldChar w:fldCharType="begin"/>
      </w:r>
      <w:r>
        <w:instrText xml:space="preserve"> PAGEREF _Toc20604 \h </w:instrText>
      </w:r>
      <w:r>
        <w:fldChar w:fldCharType="separate"/>
      </w:r>
      <w:r>
        <w:t>9</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_Toc29561 </w:instrText>
      </w:r>
      <w:r>
        <w:rPr>
          <w:rFonts w:hint="eastAsia" w:ascii="宋体" w:hAnsi="宋体" w:cs="宋体"/>
          <w:kern w:val="0"/>
          <w:highlight w:val="none"/>
        </w:rPr>
        <w:fldChar w:fldCharType="separate"/>
      </w:r>
      <w:r>
        <w:rPr>
          <w:rFonts w:hint="eastAsia" w:ascii="宋体" w:hAnsi="宋体" w:cs="宋体"/>
          <w:kern w:val="0"/>
          <w:highlight w:val="none"/>
        </w:rPr>
        <w:t>2.招标文件</w:t>
      </w:r>
      <w:r>
        <w:tab/>
      </w:r>
      <w:r>
        <w:fldChar w:fldCharType="begin"/>
      </w:r>
      <w:r>
        <w:instrText xml:space="preserve"> PAGEREF _Toc29561 \h </w:instrText>
      </w:r>
      <w:r>
        <w:fldChar w:fldCharType="separate"/>
      </w:r>
      <w:r>
        <w:t>11</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_Toc30501 </w:instrText>
      </w:r>
      <w:r>
        <w:rPr>
          <w:rFonts w:hint="eastAsia" w:ascii="宋体" w:hAnsi="宋体" w:cs="宋体"/>
          <w:kern w:val="0"/>
          <w:highlight w:val="none"/>
        </w:rPr>
        <w:fldChar w:fldCharType="separate"/>
      </w:r>
      <w:r>
        <w:rPr>
          <w:rFonts w:hint="eastAsia" w:ascii="宋体" w:hAnsi="宋体" w:cs="宋体"/>
          <w:kern w:val="0"/>
          <w:highlight w:val="none"/>
        </w:rPr>
        <w:t>3.投标文件</w:t>
      </w:r>
      <w:r>
        <w:tab/>
      </w:r>
      <w:r>
        <w:fldChar w:fldCharType="begin"/>
      </w:r>
      <w:r>
        <w:instrText xml:space="preserve"> PAGEREF _Toc30501 \h </w:instrText>
      </w:r>
      <w:r>
        <w:fldChar w:fldCharType="separate"/>
      </w:r>
      <w:r>
        <w:t>12</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_Toc19236 </w:instrText>
      </w:r>
      <w:r>
        <w:rPr>
          <w:rFonts w:hint="eastAsia" w:ascii="宋体" w:hAnsi="宋体" w:cs="宋体"/>
          <w:kern w:val="0"/>
          <w:highlight w:val="none"/>
        </w:rPr>
        <w:fldChar w:fldCharType="separate"/>
      </w:r>
      <w:r>
        <w:rPr>
          <w:rFonts w:hint="eastAsia" w:ascii="宋体" w:hAnsi="宋体" w:cs="宋体"/>
          <w:kern w:val="0"/>
          <w:highlight w:val="none"/>
        </w:rPr>
        <w:t>4.投标</w:t>
      </w:r>
      <w:r>
        <w:tab/>
      </w:r>
      <w:r>
        <w:fldChar w:fldCharType="begin"/>
      </w:r>
      <w:r>
        <w:instrText xml:space="preserve"> PAGEREF _Toc19236 \h </w:instrText>
      </w:r>
      <w:r>
        <w:fldChar w:fldCharType="separate"/>
      </w:r>
      <w:r>
        <w:t>14</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_Toc848 </w:instrText>
      </w:r>
      <w:r>
        <w:rPr>
          <w:rFonts w:hint="eastAsia" w:ascii="宋体" w:hAnsi="宋体" w:cs="宋体"/>
          <w:kern w:val="0"/>
          <w:highlight w:val="none"/>
        </w:rPr>
        <w:fldChar w:fldCharType="separate"/>
      </w:r>
      <w:r>
        <w:rPr>
          <w:rFonts w:hint="eastAsia" w:ascii="宋体" w:hAnsi="宋体" w:cs="宋体"/>
          <w:kern w:val="0"/>
          <w:highlight w:val="none"/>
        </w:rPr>
        <w:t>5.开标</w:t>
      </w:r>
      <w:r>
        <w:tab/>
      </w:r>
      <w:r>
        <w:fldChar w:fldCharType="begin"/>
      </w:r>
      <w:r>
        <w:instrText xml:space="preserve"> PAGEREF _Toc848 \h </w:instrText>
      </w:r>
      <w:r>
        <w:fldChar w:fldCharType="separate"/>
      </w:r>
      <w:r>
        <w:t>14</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_Toc2755 </w:instrText>
      </w:r>
      <w:r>
        <w:rPr>
          <w:rFonts w:hint="eastAsia" w:ascii="宋体" w:hAnsi="宋体" w:cs="宋体"/>
          <w:kern w:val="0"/>
          <w:highlight w:val="none"/>
        </w:rPr>
        <w:fldChar w:fldCharType="separate"/>
      </w:r>
      <w:r>
        <w:rPr>
          <w:rFonts w:hint="eastAsia" w:ascii="宋体" w:hAnsi="宋体" w:cs="宋体"/>
          <w:kern w:val="0"/>
          <w:highlight w:val="none"/>
        </w:rPr>
        <w:t>6.评标</w:t>
      </w:r>
      <w:r>
        <w:tab/>
      </w:r>
      <w:r>
        <w:fldChar w:fldCharType="begin"/>
      </w:r>
      <w:r>
        <w:instrText xml:space="preserve"> PAGEREF _Toc2755 \h </w:instrText>
      </w:r>
      <w:r>
        <w:fldChar w:fldCharType="separate"/>
      </w:r>
      <w:r>
        <w:t>15</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_Toc16180 </w:instrText>
      </w:r>
      <w:r>
        <w:rPr>
          <w:rFonts w:hint="eastAsia" w:ascii="宋体" w:hAnsi="宋体" w:cs="宋体"/>
          <w:kern w:val="0"/>
          <w:highlight w:val="none"/>
        </w:rPr>
        <w:fldChar w:fldCharType="separate"/>
      </w:r>
      <w:r>
        <w:rPr>
          <w:rFonts w:hint="eastAsia" w:ascii="宋体" w:hAnsi="宋体" w:cs="宋体"/>
          <w:kern w:val="0"/>
          <w:highlight w:val="none"/>
        </w:rPr>
        <w:t>7.合同授予</w:t>
      </w:r>
      <w:r>
        <w:tab/>
      </w:r>
      <w:r>
        <w:fldChar w:fldCharType="begin"/>
      </w:r>
      <w:r>
        <w:instrText xml:space="preserve"> PAGEREF _Toc16180 \h </w:instrText>
      </w:r>
      <w:r>
        <w:fldChar w:fldCharType="separate"/>
      </w:r>
      <w:r>
        <w:t>16</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_Toc29039 </w:instrText>
      </w:r>
      <w:r>
        <w:rPr>
          <w:rFonts w:hint="eastAsia" w:ascii="宋体" w:hAnsi="宋体" w:cs="宋体"/>
          <w:kern w:val="0"/>
          <w:highlight w:val="none"/>
        </w:rPr>
        <w:fldChar w:fldCharType="separate"/>
      </w:r>
      <w:r>
        <w:rPr>
          <w:rFonts w:hint="eastAsia" w:ascii="宋体" w:hAnsi="宋体" w:cs="宋体"/>
          <w:kern w:val="0"/>
          <w:highlight w:val="none"/>
        </w:rPr>
        <w:t>8.纪律和监督</w:t>
      </w:r>
      <w:r>
        <w:tab/>
      </w:r>
      <w:r>
        <w:fldChar w:fldCharType="begin"/>
      </w:r>
      <w:r>
        <w:instrText xml:space="preserve"> PAGEREF _Toc29039 \h </w:instrText>
      </w:r>
      <w:r>
        <w:fldChar w:fldCharType="separate"/>
      </w:r>
      <w:r>
        <w:t>16</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_Toc7235 </w:instrText>
      </w:r>
      <w:r>
        <w:rPr>
          <w:rFonts w:hint="eastAsia" w:ascii="宋体" w:hAnsi="宋体" w:cs="宋体"/>
          <w:kern w:val="0"/>
          <w:highlight w:val="none"/>
        </w:rPr>
        <w:fldChar w:fldCharType="separate"/>
      </w:r>
      <w:r>
        <w:rPr>
          <w:rFonts w:hint="eastAsia" w:ascii="宋体" w:hAnsi="宋体" w:cs="宋体"/>
          <w:kern w:val="0"/>
          <w:highlight w:val="none"/>
        </w:rPr>
        <w:t>9.是否采用电子招标投标</w:t>
      </w:r>
      <w:r>
        <w:tab/>
      </w:r>
      <w:r>
        <w:fldChar w:fldCharType="begin"/>
      </w:r>
      <w:r>
        <w:instrText xml:space="preserve"> PAGEREF _Toc7235 \h </w:instrText>
      </w:r>
      <w:r>
        <w:fldChar w:fldCharType="separate"/>
      </w:r>
      <w:r>
        <w:t>17</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_Toc1704 </w:instrText>
      </w:r>
      <w:r>
        <w:rPr>
          <w:rFonts w:hint="eastAsia" w:ascii="宋体" w:hAnsi="宋体" w:cs="宋体"/>
          <w:kern w:val="0"/>
          <w:highlight w:val="none"/>
        </w:rPr>
        <w:fldChar w:fldCharType="separate"/>
      </w:r>
      <w:r>
        <w:rPr>
          <w:rFonts w:hint="eastAsia" w:ascii="宋体" w:hAnsi="宋体" w:cs="宋体"/>
          <w:kern w:val="0"/>
          <w:highlight w:val="none"/>
        </w:rPr>
        <w:t>10.需要补充的其他内容</w:t>
      </w:r>
      <w:r>
        <w:tab/>
      </w:r>
      <w:r>
        <w:fldChar w:fldCharType="begin"/>
      </w:r>
      <w:r>
        <w:instrText xml:space="preserve"> PAGEREF _Toc1704 \h </w:instrText>
      </w:r>
      <w:r>
        <w:fldChar w:fldCharType="separate"/>
      </w:r>
      <w:r>
        <w:t>17</w:t>
      </w:r>
      <w:r>
        <w:fldChar w:fldCharType="end"/>
      </w:r>
      <w:r>
        <w:rPr>
          <w:rFonts w:hint="eastAsia" w:ascii="宋体" w:hAnsi="宋体" w:cs="宋体"/>
          <w:kern w:val="0"/>
          <w:highlight w:val="none"/>
        </w:rPr>
        <w:fldChar w:fldCharType="end"/>
      </w:r>
    </w:p>
    <w:p>
      <w:pPr>
        <w:pStyle w:val="22"/>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_Toc14472 </w:instrText>
      </w:r>
      <w:r>
        <w:rPr>
          <w:rFonts w:hint="eastAsia" w:ascii="宋体" w:hAnsi="宋体" w:cs="宋体"/>
          <w:kern w:val="0"/>
          <w:highlight w:val="none"/>
        </w:rPr>
        <w:fldChar w:fldCharType="separate"/>
      </w:r>
      <w:r>
        <w:rPr>
          <w:rFonts w:hint="eastAsia" w:cs="宋体"/>
          <w:kern w:val="0"/>
          <w:highlight w:val="none"/>
        </w:rPr>
        <w:t>第三章 评标办法（综合评估法）</w:t>
      </w:r>
      <w:r>
        <w:tab/>
      </w:r>
      <w:r>
        <w:fldChar w:fldCharType="begin"/>
      </w:r>
      <w:r>
        <w:instrText xml:space="preserve"> PAGEREF _Toc14472 \h </w:instrText>
      </w:r>
      <w:r>
        <w:fldChar w:fldCharType="separate"/>
      </w:r>
      <w:r>
        <w:t>17</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_Toc31406 </w:instrText>
      </w:r>
      <w:r>
        <w:rPr>
          <w:rFonts w:hint="eastAsia" w:ascii="宋体" w:hAnsi="宋体" w:cs="宋体"/>
          <w:kern w:val="0"/>
          <w:highlight w:val="none"/>
        </w:rPr>
        <w:fldChar w:fldCharType="separate"/>
      </w:r>
      <w:r>
        <w:rPr>
          <w:rFonts w:hint="eastAsia" w:ascii="宋体" w:hAnsi="宋体" w:cs="宋体"/>
          <w:kern w:val="0"/>
          <w:highlight w:val="none"/>
        </w:rPr>
        <w:t>评标办法前附表</w:t>
      </w:r>
      <w:r>
        <w:tab/>
      </w:r>
      <w:r>
        <w:fldChar w:fldCharType="begin"/>
      </w:r>
      <w:r>
        <w:instrText xml:space="preserve"> PAGEREF _Toc31406 \h </w:instrText>
      </w:r>
      <w:r>
        <w:fldChar w:fldCharType="separate"/>
      </w:r>
      <w:r>
        <w:t>18</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_Toc27676 </w:instrText>
      </w:r>
      <w:r>
        <w:rPr>
          <w:rFonts w:hint="eastAsia" w:ascii="宋体" w:hAnsi="宋体" w:cs="宋体"/>
          <w:kern w:val="0"/>
          <w:highlight w:val="none"/>
        </w:rPr>
        <w:fldChar w:fldCharType="separate"/>
      </w:r>
      <w:r>
        <w:rPr>
          <w:rFonts w:hint="eastAsia" w:ascii="宋体" w:hAnsi="宋体" w:cs="宋体"/>
          <w:kern w:val="0"/>
          <w:highlight w:val="none"/>
        </w:rPr>
        <w:t>1.评标方法</w:t>
      </w:r>
      <w:r>
        <w:tab/>
      </w:r>
      <w:r>
        <w:fldChar w:fldCharType="begin"/>
      </w:r>
      <w:r>
        <w:instrText xml:space="preserve"> PAGEREF _Toc27676 \h </w:instrText>
      </w:r>
      <w:r>
        <w:fldChar w:fldCharType="separate"/>
      </w:r>
      <w:r>
        <w:t>20</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_Toc29352 </w:instrText>
      </w:r>
      <w:r>
        <w:rPr>
          <w:rFonts w:hint="eastAsia" w:ascii="宋体" w:hAnsi="宋体" w:cs="宋体"/>
          <w:kern w:val="0"/>
          <w:highlight w:val="none"/>
        </w:rPr>
        <w:fldChar w:fldCharType="separate"/>
      </w:r>
      <w:r>
        <w:rPr>
          <w:rFonts w:hint="eastAsia" w:ascii="宋体" w:hAnsi="宋体" w:cs="宋体"/>
          <w:kern w:val="0"/>
          <w:highlight w:val="none"/>
          <w:lang w:val="en-US" w:eastAsia="zh-CN"/>
        </w:rPr>
        <w:t>2</w:t>
      </w:r>
      <w:r>
        <w:rPr>
          <w:rFonts w:hint="eastAsia" w:ascii="宋体" w:hAnsi="宋体" w:cs="宋体"/>
          <w:kern w:val="0"/>
          <w:highlight w:val="none"/>
        </w:rPr>
        <w:t>.评</w:t>
      </w:r>
      <w:r>
        <w:rPr>
          <w:rFonts w:hint="eastAsia" w:ascii="宋体" w:hAnsi="宋体" w:cs="宋体"/>
          <w:kern w:val="0"/>
          <w:highlight w:val="none"/>
          <w:lang w:val="en-US" w:eastAsia="zh-CN"/>
        </w:rPr>
        <w:t>标</w:t>
      </w:r>
      <w:r>
        <w:rPr>
          <w:rFonts w:hint="eastAsia" w:ascii="宋体" w:hAnsi="宋体" w:cs="宋体"/>
          <w:kern w:val="0"/>
          <w:highlight w:val="none"/>
        </w:rPr>
        <w:t>程序</w:t>
      </w:r>
      <w:r>
        <w:tab/>
      </w:r>
      <w:r>
        <w:fldChar w:fldCharType="begin"/>
      </w:r>
      <w:r>
        <w:instrText xml:space="preserve"> PAGEREF _Toc29352 \h </w:instrText>
      </w:r>
      <w:r>
        <w:fldChar w:fldCharType="separate"/>
      </w:r>
      <w:r>
        <w:t>20</w:t>
      </w:r>
      <w:r>
        <w:fldChar w:fldCharType="end"/>
      </w:r>
      <w:r>
        <w:rPr>
          <w:rFonts w:hint="eastAsia" w:ascii="宋体" w:hAnsi="宋体" w:cs="宋体"/>
          <w:kern w:val="0"/>
          <w:highlight w:val="none"/>
        </w:rPr>
        <w:fldChar w:fldCharType="end"/>
      </w:r>
    </w:p>
    <w:p>
      <w:pPr>
        <w:pStyle w:val="22"/>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_Toc1840 </w:instrText>
      </w:r>
      <w:r>
        <w:rPr>
          <w:rFonts w:hint="eastAsia" w:ascii="宋体" w:hAnsi="宋体" w:cs="宋体"/>
          <w:kern w:val="0"/>
          <w:highlight w:val="none"/>
        </w:rPr>
        <w:fldChar w:fldCharType="separate"/>
      </w:r>
      <w:r>
        <w:rPr>
          <w:rFonts w:hint="eastAsia" w:cs="宋体"/>
          <w:kern w:val="0"/>
          <w:highlight w:val="none"/>
        </w:rPr>
        <w:t xml:space="preserve">第四章 </w:t>
      </w:r>
      <w:r>
        <w:rPr>
          <w:rFonts w:hint="eastAsia" w:cs="宋体"/>
          <w:kern w:val="0"/>
          <w:highlight w:val="none"/>
          <w:lang w:eastAsia="zh-CN"/>
        </w:rPr>
        <w:t>主要</w:t>
      </w:r>
      <w:r>
        <w:rPr>
          <w:rFonts w:hint="eastAsia" w:cs="宋体"/>
          <w:kern w:val="0"/>
          <w:highlight w:val="none"/>
        </w:rPr>
        <w:t>合同条款及格式</w:t>
      </w:r>
      <w:r>
        <w:tab/>
      </w:r>
      <w:r>
        <w:fldChar w:fldCharType="begin"/>
      </w:r>
      <w:r>
        <w:instrText xml:space="preserve"> PAGEREF _Toc1840 \h </w:instrText>
      </w:r>
      <w:r>
        <w:fldChar w:fldCharType="separate"/>
      </w:r>
      <w:r>
        <w:t>21</w:t>
      </w:r>
      <w:r>
        <w:fldChar w:fldCharType="end"/>
      </w:r>
      <w:r>
        <w:rPr>
          <w:rFonts w:hint="eastAsia" w:ascii="宋体" w:hAnsi="宋体" w:cs="宋体"/>
          <w:kern w:val="0"/>
          <w:highlight w:val="none"/>
        </w:rPr>
        <w:fldChar w:fldCharType="end"/>
      </w:r>
    </w:p>
    <w:p>
      <w:pPr>
        <w:pStyle w:val="22"/>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_Toc26370 </w:instrText>
      </w:r>
      <w:r>
        <w:rPr>
          <w:rFonts w:hint="eastAsia" w:ascii="宋体" w:hAnsi="宋体" w:cs="宋体"/>
          <w:kern w:val="0"/>
          <w:highlight w:val="none"/>
        </w:rPr>
        <w:fldChar w:fldCharType="separate"/>
      </w:r>
      <w:r>
        <w:rPr>
          <w:rFonts w:hint="eastAsia" w:ascii="宋体" w:hAnsi="宋体" w:cs="宋体"/>
          <w:bCs/>
          <w:kern w:val="0"/>
          <w:szCs w:val="36"/>
          <w:highlight w:val="none"/>
        </w:rPr>
        <w:t>第五章 项目需求</w:t>
      </w:r>
      <w:r>
        <w:tab/>
      </w:r>
      <w:r>
        <w:fldChar w:fldCharType="begin"/>
      </w:r>
      <w:r>
        <w:instrText xml:space="preserve"> PAGEREF _Toc26370 \h </w:instrText>
      </w:r>
      <w:r>
        <w:fldChar w:fldCharType="separate"/>
      </w:r>
      <w:r>
        <w:t>40</w:t>
      </w:r>
      <w:r>
        <w:fldChar w:fldCharType="end"/>
      </w:r>
      <w:r>
        <w:rPr>
          <w:rFonts w:hint="eastAsia" w:ascii="宋体" w:hAnsi="宋体" w:cs="宋体"/>
          <w:kern w:val="0"/>
          <w:highlight w:val="none"/>
        </w:rPr>
        <w:fldChar w:fldCharType="end"/>
      </w:r>
    </w:p>
    <w:p>
      <w:pPr>
        <w:pStyle w:val="25"/>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_Toc28030 </w:instrText>
      </w:r>
      <w:r>
        <w:rPr>
          <w:rFonts w:hint="eastAsia" w:ascii="宋体" w:hAnsi="宋体" w:cs="宋体"/>
          <w:kern w:val="0"/>
          <w:highlight w:val="none"/>
        </w:rPr>
        <w:fldChar w:fldCharType="separate"/>
      </w:r>
      <w:r>
        <w:rPr>
          <w:rFonts w:hint="eastAsia"/>
          <w:szCs w:val="21"/>
          <w:highlight w:val="none"/>
          <w:lang w:val="en-US" w:eastAsia="zh-CN"/>
        </w:rPr>
        <w:t>1.</w:t>
      </w:r>
      <w:r>
        <w:rPr>
          <w:rFonts w:hint="eastAsia"/>
          <w:szCs w:val="21"/>
          <w:highlight w:val="none"/>
        </w:rPr>
        <w:t>总述</w:t>
      </w:r>
      <w:r>
        <w:tab/>
      </w:r>
      <w:r>
        <w:fldChar w:fldCharType="begin"/>
      </w:r>
      <w:r>
        <w:instrText xml:space="preserve"> PAGEREF _Toc28030 \h </w:instrText>
      </w:r>
      <w:r>
        <w:fldChar w:fldCharType="separate"/>
      </w:r>
      <w:r>
        <w:t>40</w:t>
      </w:r>
      <w:r>
        <w:fldChar w:fldCharType="end"/>
      </w:r>
      <w:r>
        <w:rPr>
          <w:rFonts w:hint="eastAsia" w:ascii="宋体" w:hAnsi="宋体" w:cs="宋体"/>
          <w:kern w:val="0"/>
          <w:highlight w:val="none"/>
        </w:rPr>
        <w:fldChar w:fldCharType="end"/>
      </w:r>
    </w:p>
    <w:p>
      <w:pPr>
        <w:pStyle w:val="22"/>
        <w:tabs>
          <w:tab w:val="right" w:leader="dot" w:pos="8924"/>
        </w:tabs>
      </w:pPr>
      <w:r>
        <w:rPr>
          <w:rFonts w:hint="eastAsia" w:ascii="宋体" w:hAnsi="宋体" w:cs="宋体"/>
          <w:kern w:val="0"/>
          <w:highlight w:val="none"/>
        </w:rPr>
        <w:fldChar w:fldCharType="begin"/>
      </w:r>
      <w:r>
        <w:rPr>
          <w:rFonts w:hint="eastAsia" w:ascii="宋体" w:hAnsi="宋体" w:cs="宋体"/>
          <w:kern w:val="0"/>
          <w:highlight w:val="none"/>
        </w:rPr>
        <w:instrText xml:space="preserve"> HYPERLINK \l _Toc11683 </w:instrText>
      </w:r>
      <w:r>
        <w:rPr>
          <w:rFonts w:hint="eastAsia" w:ascii="宋体" w:hAnsi="宋体" w:cs="宋体"/>
          <w:kern w:val="0"/>
          <w:highlight w:val="none"/>
        </w:rPr>
        <w:fldChar w:fldCharType="separate"/>
      </w:r>
      <w:r>
        <w:rPr>
          <w:rFonts w:hint="eastAsia" w:cs="宋体"/>
          <w:kern w:val="0"/>
          <w:highlight w:val="none"/>
        </w:rPr>
        <w:t>第六章 投标文件格式</w:t>
      </w:r>
      <w:r>
        <w:tab/>
      </w:r>
      <w:r>
        <w:fldChar w:fldCharType="begin"/>
      </w:r>
      <w:r>
        <w:instrText xml:space="preserve"> PAGEREF _Toc11683 \h </w:instrText>
      </w:r>
      <w:r>
        <w:fldChar w:fldCharType="separate"/>
      </w:r>
      <w:r>
        <w:t>45</w:t>
      </w:r>
      <w:r>
        <w:fldChar w:fldCharType="end"/>
      </w:r>
      <w:r>
        <w:rPr>
          <w:rFonts w:hint="eastAsia" w:ascii="宋体" w:hAnsi="宋体" w:cs="宋体"/>
          <w:kern w:val="0"/>
          <w:highlight w:val="none"/>
        </w:rPr>
        <w:fldChar w:fldCharType="end"/>
      </w:r>
    </w:p>
    <w:p>
      <w:pPr>
        <w:snapToGrid w:val="0"/>
        <w:spacing w:line="312" w:lineRule="auto"/>
        <w:rPr>
          <w:rFonts w:hint="eastAsia" w:ascii="宋体" w:hAnsi="宋体" w:cs="宋体"/>
          <w:kern w:val="0"/>
          <w:highlight w:val="none"/>
        </w:rPr>
      </w:pPr>
      <w:r>
        <w:rPr>
          <w:rFonts w:hint="eastAsia" w:ascii="宋体" w:hAnsi="宋体" w:cs="宋体"/>
          <w:kern w:val="0"/>
          <w:highlight w:val="none"/>
        </w:rPr>
        <w:fldChar w:fldCharType="end"/>
      </w:r>
    </w:p>
    <w:p>
      <w:pPr>
        <w:pStyle w:val="3"/>
        <w:snapToGrid w:val="0"/>
        <w:spacing w:before="0" w:after="0" w:line="360" w:lineRule="auto"/>
        <w:rPr>
          <w:rFonts w:hint="eastAsia" w:cs="宋体"/>
          <w:kern w:val="0"/>
          <w:highlight w:val="none"/>
        </w:rPr>
      </w:pPr>
      <w:bookmarkStart w:id="0" w:name="_Toc31861"/>
      <w:bookmarkStart w:id="1" w:name="_Toc29281"/>
      <w:bookmarkStart w:id="2" w:name="_Toc12835"/>
      <w:r>
        <w:rPr>
          <w:rFonts w:hint="eastAsia" w:cs="宋体"/>
          <w:kern w:val="0"/>
          <w:highlight w:val="none"/>
        </w:rPr>
        <w:br w:type="page"/>
      </w:r>
      <w:bookmarkStart w:id="3" w:name="_Toc8062"/>
      <w:r>
        <w:rPr>
          <w:rFonts w:hint="eastAsia" w:cs="宋体"/>
          <w:kern w:val="0"/>
          <w:highlight w:val="none"/>
        </w:rPr>
        <w:t>第一章 招标公告</w:t>
      </w:r>
      <w:bookmarkEnd w:id="0"/>
      <w:bookmarkEnd w:id="1"/>
      <w:bookmarkEnd w:id="2"/>
      <w:bookmarkEnd w:id="3"/>
    </w:p>
    <w:p>
      <w:pPr>
        <w:snapToGrid w:val="0"/>
        <w:spacing w:line="360" w:lineRule="auto"/>
        <w:ind w:firstLine="0" w:firstLineChars="0"/>
        <w:jc w:val="center"/>
        <w:rPr>
          <w:rFonts w:hint="eastAsia" w:ascii="宋体" w:hAnsi="宋体" w:cs="宋体"/>
          <w:kern w:val="0"/>
          <w:sz w:val="32"/>
          <w:szCs w:val="32"/>
          <w:highlight w:val="none"/>
        </w:rPr>
      </w:pPr>
      <w:r>
        <w:rPr>
          <w:rFonts w:hint="eastAsia" w:ascii="宋体" w:hAnsi="宋体" w:cs="宋体"/>
          <w:bCs/>
          <w:kern w:val="0"/>
          <w:sz w:val="32"/>
          <w:szCs w:val="32"/>
          <w:highlight w:val="none"/>
          <w:lang w:eastAsia="zh-CN"/>
        </w:rPr>
        <w:t>江苏长江水务股份有限公司聚乙烯供水管道成套生产设备采购及安装项目</w:t>
      </w:r>
    </w:p>
    <w:p>
      <w:pPr>
        <w:pStyle w:val="7"/>
        <w:snapToGrid w:val="0"/>
        <w:spacing w:before="0" w:after="0" w:line="360" w:lineRule="auto"/>
        <w:rPr>
          <w:rFonts w:hint="eastAsia" w:cs="宋体"/>
          <w:sz w:val="21"/>
          <w:szCs w:val="21"/>
          <w:highlight w:val="none"/>
        </w:rPr>
      </w:pPr>
      <w:bookmarkStart w:id="4" w:name="_Toc6452"/>
      <w:bookmarkStart w:id="5" w:name="_Toc30307"/>
      <w:bookmarkStart w:id="6" w:name="_Toc8943"/>
      <w:bookmarkStart w:id="7" w:name="_Toc6256"/>
      <w:bookmarkStart w:id="8" w:name="_Toc17528"/>
      <w:r>
        <w:rPr>
          <w:rFonts w:hint="eastAsia" w:cs="宋体"/>
          <w:sz w:val="21"/>
          <w:szCs w:val="21"/>
          <w:highlight w:val="none"/>
        </w:rPr>
        <w:t>一、招标条件</w:t>
      </w:r>
      <w:bookmarkEnd w:id="4"/>
    </w:p>
    <w:p>
      <w:pPr>
        <w:pStyle w:val="29"/>
        <w:shd w:val="clear" w:color="auto" w:fill="FFFFFF"/>
        <w:snapToGrid w:val="0"/>
        <w:spacing w:before="0" w:beforeAutospacing="0" w:after="0" w:afterAutospacing="0" w:line="360" w:lineRule="auto"/>
        <w:jc w:val="both"/>
        <w:rPr>
          <w:rFonts w:hint="eastAsia" w:cs="宋体"/>
          <w:sz w:val="21"/>
          <w:szCs w:val="21"/>
          <w:highlight w:val="none"/>
        </w:rPr>
      </w:pPr>
      <w:r>
        <w:rPr>
          <w:rFonts w:hint="eastAsia" w:cs="宋体"/>
          <w:sz w:val="21"/>
          <w:szCs w:val="21"/>
          <w:highlight w:val="none"/>
        </w:rPr>
        <w:t>本</w:t>
      </w:r>
      <w:r>
        <w:rPr>
          <w:rFonts w:hint="eastAsia" w:cs="宋体"/>
          <w:bCs/>
          <w:sz w:val="21"/>
          <w:szCs w:val="21"/>
          <w:highlight w:val="none"/>
          <w:lang w:eastAsia="zh-CN"/>
        </w:rPr>
        <w:t>江苏长江水务股份有限公司聚乙烯供水管道成套生产设备采购及安装项目</w:t>
      </w:r>
      <w:r>
        <w:rPr>
          <w:rFonts w:hint="eastAsia" w:cs="宋体"/>
          <w:sz w:val="21"/>
          <w:szCs w:val="21"/>
          <w:highlight w:val="none"/>
        </w:rPr>
        <w:t>已由项目审批/核准/备案机关批准，项目资金来源为自筹，招标人为</w:t>
      </w:r>
      <w:r>
        <w:rPr>
          <w:rFonts w:hint="eastAsia" w:cs="宋体"/>
          <w:sz w:val="21"/>
          <w:szCs w:val="21"/>
          <w:highlight w:val="none"/>
          <w:lang w:eastAsia="zh-CN"/>
        </w:rPr>
        <w:t>江苏长江水务股份有限公司</w:t>
      </w:r>
      <w:r>
        <w:rPr>
          <w:rFonts w:hint="eastAsia" w:cs="宋体"/>
          <w:sz w:val="21"/>
          <w:szCs w:val="21"/>
          <w:highlight w:val="none"/>
        </w:rPr>
        <w:t>。本项目已具备招标条件，现招标方式为公开招标。</w:t>
      </w:r>
    </w:p>
    <w:bookmarkEnd w:id="5"/>
    <w:bookmarkEnd w:id="6"/>
    <w:bookmarkEnd w:id="7"/>
    <w:bookmarkEnd w:id="8"/>
    <w:p>
      <w:pPr>
        <w:wordWrap w:val="0"/>
        <w:snapToGrid w:val="0"/>
        <w:spacing w:line="360" w:lineRule="auto"/>
        <w:ind w:firstLine="0" w:firstLineChars="0"/>
        <w:outlineLvl w:val="1"/>
        <w:rPr>
          <w:rFonts w:hint="eastAsia" w:ascii="宋体" w:hAnsi="宋体" w:cs="宋体"/>
          <w:b/>
          <w:bCs/>
          <w:kern w:val="0"/>
          <w:szCs w:val="21"/>
          <w:highlight w:val="none"/>
        </w:rPr>
      </w:pPr>
      <w:bookmarkStart w:id="9" w:name="_Toc2838"/>
      <w:bookmarkStart w:id="10" w:name="_Toc3401"/>
      <w:bookmarkStart w:id="11" w:name="_Toc19285"/>
      <w:bookmarkStart w:id="12" w:name="_Toc32526"/>
      <w:bookmarkStart w:id="13" w:name="_Toc5504"/>
      <w:bookmarkStart w:id="14" w:name="_Toc26095"/>
      <w:r>
        <w:rPr>
          <w:rFonts w:hint="eastAsia" w:ascii="宋体" w:hAnsi="宋体" w:cs="宋体"/>
          <w:b/>
          <w:bCs/>
          <w:kern w:val="0"/>
          <w:szCs w:val="21"/>
          <w:highlight w:val="none"/>
        </w:rPr>
        <w:t>二、项目概况和招标范围</w:t>
      </w:r>
      <w:bookmarkEnd w:id="9"/>
      <w:bookmarkEnd w:id="10"/>
      <w:bookmarkEnd w:id="11"/>
      <w:bookmarkEnd w:id="12"/>
      <w:bookmarkEnd w:id="13"/>
      <w:bookmarkEnd w:id="14"/>
    </w:p>
    <w:p>
      <w:pPr>
        <w:wordWrap w:val="0"/>
        <w:overflowPunct w:val="0"/>
        <w:topLinePunct/>
        <w:snapToGrid w:val="0"/>
        <w:spacing w:line="360" w:lineRule="auto"/>
        <w:jc w:val="left"/>
        <w:textAlignment w:val="top"/>
        <w:rPr>
          <w:rFonts w:hint="eastAsia" w:ascii="宋体" w:hAnsi="宋体" w:cs="宋体"/>
          <w:kern w:val="0"/>
          <w:szCs w:val="21"/>
          <w:highlight w:val="none"/>
        </w:rPr>
      </w:pPr>
      <w:bookmarkStart w:id="15" w:name="_Toc19700"/>
      <w:bookmarkStart w:id="16" w:name="_Toc20834"/>
      <w:bookmarkStart w:id="17" w:name="_Toc4602"/>
      <w:bookmarkStart w:id="18" w:name="_Toc19212"/>
      <w:bookmarkStart w:id="19" w:name="_Toc4437"/>
      <w:r>
        <w:rPr>
          <w:rFonts w:hint="eastAsia" w:ascii="宋体" w:hAnsi="宋体" w:cs="宋体"/>
          <w:kern w:val="0"/>
          <w:szCs w:val="21"/>
          <w:highlight w:val="none"/>
        </w:rPr>
        <w:t>项目名称：</w:t>
      </w:r>
      <w:r>
        <w:rPr>
          <w:rFonts w:hint="eastAsia" w:ascii="宋体" w:hAnsi="宋体" w:cs="宋体"/>
          <w:kern w:val="0"/>
          <w:szCs w:val="21"/>
          <w:highlight w:val="none"/>
          <w:lang w:eastAsia="zh-CN"/>
        </w:rPr>
        <w:t>江苏长江水务股份有限公司聚乙烯供水管道成套生产设备采购及安装项目</w:t>
      </w:r>
      <w:r>
        <w:rPr>
          <w:rFonts w:hint="eastAsia" w:ascii="宋体" w:hAnsi="宋体" w:cs="宋体"/>
          <w:kern w:val="0"/>
          <w:szCs w:val="21"/>
          <w:highlight w:val="none"/>
        </w:rPr>
        <w:t>。</w:t>
      </w:r>
    </w:p>
    <w:p>
      <w:pPr>
        <w:wordWrap w:val="0"/>
        <w:overflowPunct w:val="0"/>
        <w:topLinePunct/>
        <w:snapToGrid w:val="0"/>
        <w:spacing w:line="360" w:lineRule="auto"/>
        <w:jc w:val="left"/>
        <w:textAlignment w:val="top"/>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项目编号：0660</w:t>
      </w:r>
    </w:p>
    <w:p>
      <w:pPr>
        <w:snapToGrid w:val="0"/>
        <w:spacing w:line="360" w:lineRule="auto"/>
        <w:rPr>
          <w:rFonts w:hint="eastAsia" w:ascii="宋体" w:hAnsi="宋体" w:cs="宋体"/>
          <w:bCs/>
          <w:szCs w:val="21"/>
          <w:highlight w:val="none"/>
        </w:rPr>
      </w:pPr>
      <w:r>
        <w:rPr>
          <w:rFonts w:hint="eastAsia" w:ascii="宋体" w:hAnsi="宋体" w:cs="宋体"/>
          <w:szCs w:val="21"/>
          <w:highlight w:val="none"/>
        </w:rPr>
        <w:t>招标内容</w:t>
      </w:r>
      <w:r>
        <w:rPr>
          <w:rFonts w:hint="eastAsia" w:ascii="宋体" w:hAnsi="宋体" w:cs="宋体"/>
          <w:bCs/>
          <w:szCs w:val="21"/>
          <w:highlight w:val="none"/>
        </w:rPr>
        <w:t>：本次招标的设备及服务是江苏长江水务股份有限公司聚乙烯供水管道成套生产设备，包括主机及配套设备（供应及其安装、试验、验收、联调投运及售后服务等内容，供货方产品型号、尺寸、颜色等方面需要满足要求）。</w:t>
      </w:r>
    </w:p>
    <w:p>
      <w:pPr>
        <w:autoSpaceDE w:val="0"/>
        <w:autoSpaceDN w:val="0"/>
        <w:adjustRightInd w:val="0"/>
        <w:snapToGrid w:val="0"/>
        <w:spacing w:line="360" w:lineRule="auto"/>
        <w:rPr>
          <w:rFonts w:hint="eastAsia" w:ascii="宋体" w:hAnsi="宋体" w:cs="宋体"/>
          <w:b/>
          <w:bCs/>
          <w:kern w:val="0"/>
          <w:szCs w:val="21"/>
          <w:highlight w:val="none"/>
        </w:rPr>
      </w:pPr>
      <w:r>
        <w:rPr>
          <w:rFonts w:hint="eastAsia" w:ascii="宋体" w:hAnsi="宋体" w:cs="宋体"/>
          <w:kern w:val="0"/>
          <w:szCs w:val="21"/>
          <w:highlight w:val="none"/>
        </w:rPr>
        <w:t>招标控制价：</w:t>
      </w:r>
      <w:r>
        <w:rPr>
          <w:rFonts w:hint="eastAsia" w:ascii="宋体" w:hAnsi="宋体" w:cs="宋体"/>
          <w:kern w:val="0"/>
          <w:szCs w:val="21"/>
          <w:highlight w:val="none"/>
          <w:lang w:val="en-US" w:eastAsia="zh-CN"/>
        </w:rPr>
        <w:t>210</w:t>
      </w:r>
      <w:r>
        <w:rPr>
          <w:rFonts w:hint="eastAsia" w:ascii="宋体" w:hAnsi="宋体" w:cs="宋体"/>
          <w:kern w:val="0"/>
          <w:szCs w:val="21"/>
          <w:highlight w:val="none"/>
        </w:rPr>
        <w:t>万元</w:t>
      </w:r>
      <w:r>
        <w:rPr>
          <w:rFonts w:hint="eastAsia" w:ascii="宋体" w:hAnsi="宋体" w:cs="宋体"/>
          <w:szCs w:val="21"/>
          <w:highlight w:val="none"/>
        </w:rPr>
        <w:t>人民币；</w:t>
      </w:r>
      <w:r>
        <w:rPr>
          <w:rFonts w:hint="eastAsia" w:ascii="宋体" w:hAnsi="宋体" w:cs="宋体"/>
          <w:b/>
          <w:bCs/>
          <w:kern w:val="0"/>
          <w:szCs w:val="21"/>
          <w:highlight w:val="none"/>
        </w:rPr>
        <w:t>投标报价超过者按否决投标处理。</w:t>
      </w:r>
    </w:p>
    <w:p>
      <w:pPr>
        <w:wordWrap w:val="0"/>
        <w:overflowPunct w:val="0"/>
        <w:topLinePunct/>
        <w:snapToGrid w:val="0"/>
        <w:spacing w:line="360" w:lineRule="auto"/>
        <w:jc w:val="left"/>
        <w:textAlignment w:val="top"/>
        <w:rPr>
          <w:rFonts w:hint="eastAsia" w:ascii="宋体" w:hAnsi="宋体" w:cs="宋体"/>
          <w:kern w:val="0"/>
          <w:szCs w:val="21"/>
          <w:highlight w:val="none"/>
        </w:rPr>
      </w:pPr>
      <w:r>
        <w:rPr>
          <w:rFonts w:hint="eastAsia" w:ascii="宋体" w:hAnsi="宋体" w:cs="宋体"/>
          <w:kern w:val="0"/>
          <w:szCs w:val="21"/>
          <w:highlight w:val="none"/>
        </w:rPr>
        <w:t>标包划分：1个标包。</w:t>
      </w:r>
    </w:p>
    <w:p>
      <w:pPr>
        <w:wordWrap w:val="0"/>
        <w:overflowPunct w:val="0"/>
        <w:topLinePunct/>
        <w:snapToGrid w:val="0"/>
        <w:spacing w:line="360" w:lineRule="auto"/>
        <w:jc w:val="left"/>
        <w:textAlignment w:val="top"/>
        <w:rPr>
          <w:rFonts w:hint="eastAsia" w:ascii="宋体" w:hAnsi="宋体" w:cs="宋体"/>
          <w:kern w:val="0"/>
          <w:szCs w:val="21"/>
          <w:highlight w:val="none"/>
        </w:rPr>
      </w:pPr>
      <w:r>
        <w:rPr>
          <w:rFonts w:hint="eastAsia" w:ascii="宋体" w:hAnsi="宋体" w:cs="宋体"/>
          <w:kern w:val="0"/>
          <w:szCs w:val="21"/>
          <w:highlight w:val="none"/>
        </w:rPr>
        <w:t>工期</w:t>
      </w:r>
      <w:r>
        <w:rPr>
          <w:rFonts w:hint="eastAsia" w:ascii="宋体" w:hAnsi="宋体" w:cs="宋体"/>
          <w:kern w:val="0"/>
          <w:szCs w:val="21"/>
          <w:highlight w:val="none"/>
          <w:lang w:val="en-US" w:eastAsia="zh-CN"/>
        </w:rPr>
        <w:t>/交货期</w:t>
      </w:r>
      <w:r>
        <w:rPr>
          <w:rFonts w:hint="eastAsia" w:ascii="宋体" w:hAnsi="宋体" w:cs="宋体"/>
          <w:kern w:val="0"/>
          <w:szCs w:val="21"/>
          <w:highlight w:val="none"/>
        </w:rPr>
        <w:t>：合同签订后</w:t>
      </w:r>
      <w:r>
        <w:rPr>
          <w:rFonts w:hint="eastAsia" w:ascii="宋体" w:hAnsi="宋体" w:cs="宋体"/>
          <w:kern w:val="0"/>
          <w:szCs w:val="21"/>
          <w:highlight w:val="none"/>
          <w:lang w:val="en-US" w:eastAsia="zh-CN"/>
        </w:rPr>
        <w:t>60日</w:t>
      </w:r>
      <w:r>
        <w:rPr>
          <w:rFonts w:hint="eastAsia" w:ascii="宋体" w:hAnsi="宋体" w:cs="宋体"/>
          <w:kern w:val="0"/>
          <w:szCs w:val="21"/>
          <w:highlight w:val="none"/>
        </w:rPr>
        <w:t>。</w:t>
      </w:r>
    </w:p>
    <w:p>
      <w:pPr>
        <w:wordWrap w:val="0"/>
        <w:overflowPunct w:val="0"/>
        <w:topLinePunct/>
        <w:snapToGrid w:val="0"/>
        <w:spacing w:line="360" w:lineRule="auto"/>
        <w:jc w:val="left"/>
        <w:textAlignment w:val="top"/>
        <w:rPr>
          <w:rFonts w:hint="eastAsia" w:ascii="宋体" w:hAnsi="宋体" w:cs="宋体"/>
          <w:kern w:val="0"/>
          <w:szCs w:val="21"/>
          <w:highlight w:val="none"/>
        </w:rPr>
      </w:pPr>
      <w:r>
        <w:rPr>
          <w:rFonts w:hint="eastAsia" w:ascii="宋体" w:hAnsi="宋体" w:cs="宋体"/>
          <w:kern w:val="0"/>
          <w:szCs w:val="21"/>
          <w:highlight w:val="none"/>
        </w:rPr>
        <w:t>交付地点：扬州。</w:t>
      </w:r>
    </w:p>
    <w:p>
      <w:pPr>
        <w:snapToGrid w:val="0"/>
        <w:spacing w:line="360" w:lineRule="auto"/>
        <w:ind w:firstLine="0" w:firstLineChars="0"/>
        <w:outlineLvl w:val="1"/>
        <w:rPr>
          <w:rFonts w:hint="eastAsia" w:ascii="宋体" w:hAnsi="宋体" w:cs="宋体"/>
          <w:b/>
          <w:bCs/>
          <w:kern w:val="0"/>
          <w:szCs w:val="21"/>
          <w:highlight w:val="none"/>
        </w:rPr>
      </w:pPr>
      <w:bookmarkStart w:id="20" w:name="_Toc6854"/>
      <w:r>
        <w:rPr>
          <w:rFonts w:hint="eastAsia" w:ascii="宋体" w:hAnsi="宋体" w:cs="宋体"/>
          <w:b/>
          <w:bCs/>
          <w:kern w:val="0"/>
          <w:szCs w:val="21"/>
          <w:highlight w:val="none"/>
        </w:rPr>
        <w:t>三、投标人资格</w:t>
      </w:r>
      <w:bookmarkEnd w:id="15"/>
      <w:bookmarkEnd w:id="16"/>
      <w:bookmarkEnd w:id="17"/>
      <w:bookmarkEnd w:id="18"/>
      <w:bookmarkEnd w:id="19"/>
      <w:r>
        <w:rPr>
          <w:rFonts w:hint="eastAsia" w:ascii="宋体" w:hAnsi="宋体" w:cs="宋体"/>
          <w:b/>
          <w:bCs/>
          <w:kern w:val="0"/>
          <w:szCs w:val="21"/>
          <w:highlight w:val="none"/>
        </w:rPr>
        <w:t>条件</w:t>
      </w:r>
      <w:bookmarkEnd w:id="20"/>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bCs/>
          <w:sz w:val="21"/>
          <w:szCs w:val="21"/>
          <w:highlight w:val="none"/>
          <w:lang w:eastAsia="zh-CN"/>
        </w:rPr>
        <w:t>（</w:t>
      </w:r>
      <w:r>
        <w:rPr>
          <w:rFonts w:hint="eastAsia" w:ascii="宋体" w:hAnsi="宋体" w:cs="宋体"/>
          <w:bCs/>
          <w:sz w:val="21"/>
          <w:szCs w:val="21"/>
          <w:highlight w:val="none"/>
          <w:lang w:val="en-US" w:eastAsia="zh-CN"/>
        </w:rPr>
        <w:t>一</w:t>
      </w:r>
      <w:r>
        <w:rPr>
          <w:rFonts w:hint="eastAsia" w:ascii="宋体" w:hAnsi="宋体" w:cs="宋体"/>
          <w:bCs/>
          <w:sz w:val="21"/>
          <w:szCs w:val="21"/>
          <w:highlight w:val="none"/>
          <w:lang w:eastAsia="zh-CN"/>
        </w:rPr>
        <w:t>）投标人须具有独立订立合同的能力。（营业执照复印件加盖投标人公章装订于投标文件中）</w:t>
      </w:r>
      <w:r>
        <w:rPr>
          <w:rFonts w:hint="eastAsia" w:ascii="宋体" w:hAnsi="宋体" w:cs="宋体"/>
          <w:bCs/>
          <w:sz w:val="21"/>
          <w:szCs w:val="21"/>
          <w:highlight w:val="none"/>
        </w:rPr>
        <w:t>。</w:t>
      </w:r>
    </w:p>
    <w:p>
      <w:pPr>
        <w:pStyle w:val="55"/>
        <w:widowControl/>
        <w:adjustRightInd w:val="0"/>
        <w:snapToGrid w:val="0"/>
        <w:spacing w:before="0" w:beforeAutospacing="0" w:after="0" w:afterAutospacing="0" w:line="360" w:lineRule="auto"/>
        <w:ind w:firstLine="420" w:firstLineChars="200"/>
        <w:jc w:val="both"/>
        <w:rPr>
          <w:rFonts w:cs="宋体"/>
          <w:bCs/>
          <w:sz w:val="21"/>
          <w:szCs w:val="21"/>
          <w:highlight w:val="none"/>
        </w:rPr>
      </w:pPr>
      <w:r>
        <w:rPr>
          <w:rFonts w:hint="eastAsia" w:cs="宋体"/>
          <w:bCs/>
          <w:sz w:val="21"/>
          <w:szCs w:val="21"/>
          <w:highlight w:val="none"/>
          <w:lang w:eastAsia="zh-CN"/>
        </w:rPr>
        <w:t>（</w:t>
      </w:r>
      <w:r>
        <w:rPr>
          <w:rFonts w:hint="eastAsia" w:cs="宋体"/>
          <w:bCs/>
          <w:sz w:val="21"/>
          <w:szCs w:val="21"/>
          <w:highlight w:val="none"/>
          <w:lang w:val="en-US" w:eastAsia="zh-CN"/>
        </w:rPr>
        <w:t>二</w:t>
      </w:r>
      <w:r>
        <w:rPr>
          <w:rFonts w:hint="eastAsia" w:cs="宋体"/>
          <w:bCs/>
          <w:sz w:val="21"/>
          <w:szCs w:val="21"/>
          <w:highlight w:val="none"/>
          <w:lang w:eastAsia="zh-CN"/>
        </w:rPr>
        <w:t>）</w:t>
      </w:r>
      <w:r>
        <w:rPr>
          <w:rFonts w:hint="eastAsia" w:cs="宋体"/>
          <w:bCs/>
          <w:sz w:val="21"/>
          <w:szCs w:val="21"/>
          <w:highlight w:val="none"/>
        </w:rPr>
        <w:t>具有履行合同的财务能力，提供2020年度经第三方审计的财务报告。（复印件加盖投标人公章装订于投标文件中）</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sz w:val="21"/>
          <w:szCs w:val="21"/>
          <w:highlight w:val="none"/>
          <w:lang w:val="en-US" w:eastAsia="zh-CN"/>
        </w:rPr>
        <w:t>（三）</w:t>
      </w:r>
      <w:r>
        <w:rPr>
          <w:rFonts w:hint="eastAsia" w:ascii="宋体" w:hAnsi="宋体" w:cs="宋体"/>
          <w:bCs/>
          <w:sz w:val="21"/>
          <w:szCs w:val="21"/>
          <w:highlight w:val="none"/>
          <w:lang w:eastAsia="zh-CN"/>
        </w:rPr>
        <w:t>投标人自201</w:t>
      </w:r>
      <w:r>
        <w:rPr>
          <w:rFonts w:hint="eastAsia" w:ascii="宋体" w:hAnsi="宋体" w:cs="宋体"/>
          <w:bCs/>
          <w:sz w:val="21"/>
          <w:szCs w:val="21"/>
          <w:highlight w:val="none"/>
          <w:lang w:val="en-US" w:eastAsia="zh-CN"/>
        </w:rPr>
        <w:t>8</w:t>
      </w:r>
      <w:r>
        <w:rPr>
          <w:rFonts w:hint="eastAsia" w:ascii="宋体" w:hAnsi="宋体" w:cs="宋体"/>
          <w:bCs/>
          <w:sz w:val="21"/>
          <w:szCs w:val="21"/>
          <w:highlight w:val="none"/>
          <w:lang w:eastAsia="zh-CN"/>
        </w:rPr>
        <w:t>年1月1日（以合同签订时间为准）以来在国内的</w:t>
      </w:r>
      <w:r>
        <w:rPr>
          <w:rFonts w:hint="eastAsia" w:ascii="宋体" w:hAnsi="宋体" w:cs="宋体"/>
          <w:bCs/>
          <w:sz w:val="21"/>
          <w:szCs w:val="21"/>
          <w:highlight w:val="none"/>
          <w:lang w:val="en-US" w:eastAsia="zh-CN"/>
        </w:rPr>
        <w:t>类似</w:t>
      </w:r>
      <w:r>
        <w:rPr>
          <w:rFonts w:hint="eastAsia" w:ascii="宋体" w:hAnsi="宋体" w:cs="宋体"/>
          <w:bCs/>
          <w:sz w:val="21"/>
          <w:szCs w:val="21"/>
          <w:highlight w:val="none"/>
          <w:lang w:eastAsia="zh-CN"/>
        </w:rPr>
        <w:t>业绩。（合同复</w:t>
      </w:r>
      <w:r>
        <w:rPr>
          <w:rFonts w:hint="eastAsia" w:ascii="宋体" w:hAnsi="宋体" w:cs="宋体"/>
          <w:bCs/>
          <w:color w:val="auto"/>
          <w:sz w:val="21"/>
          <w:szCs w:val="21"/>
          <w:highlight w:val="none"/>
          <w:lang w:eastAsia="zh-CN"/>
        </w:rPr>
        <w:t>印件加盖投标人公章装订于投标文件中，原件备查）。</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（四）投标货物中聚乙烯供水管道成套生产设备须具有制造商针对本项目的专项授权书或经销商证书。</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1.如为生产商，须提供其为生产商的证明材料（复印件加盖生产商公章装订于投标文件中）；</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2.如为代理商，须提供生产商针对本项目的专项授权书或经销商证书和售后服务承诺书（复印件装订于投标文件中，正本中应为原件）</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bCs/>
          <w:sz w:val="21"/>
          <w:szCs w:val="21"/>
          <w:highlight w:val="none"/>
          <w:lang w:eastAsia="zh-CN"/>
        </w:rPr>
        <w:t>（</w:t>
      </w:r>
      <w:r>
        <w:rPr>
          <w:rFonts w:hint="eastAsia" w:ascii="宋体" w:hAnsi="宋体" w:cs="宋体"/>
          <w:bCs/>
          <w:sz w:val="21"/>
          <w:szCs w:val="21"/>
          <w:highlight w:val="none"/>
          <w:lang w:val="en-US" w:eastAsia="zh-CN"/>
        </w:rPr>
        <w:t>五</w:t>
      </w:r>
      <w:r>
        <w:rPr>
          <w:rFonts w:hint="eastAsia" w:ascii="宋体" w:hAnsi="宋体" w:cs="宋体"/>
          <w:bCs/>
          <w:sz w:val="21"/>
          <w:szCs w:val="21"/>
          <w:highlight w:val="none"/>
          <w:lang w:eastAsia="zh-CN"/>
        </w:rPr>
        <w:t>）</w:t>
      </w:r>
      <w:r>
        <w:rPr>
          <w:rFonts w:hint="eastAsia" w:ascii="宋体" w:hAnsi="宋体" w:cs="宋体"/>
          <w:bCs/>
          <w:sz w:val="21"/>
          <w:szCs w:val="21"/>
          <w:highlight w:val="none"/>
        </w:rPr>
        <w:t>投标人企业财务和经营状况良好，具备履行合同能力，近三年内（201</w:t>
      </w:r>
      <w:r>
        <w:rPr>
          <w:rFonts w:hint="eastAsia" w:ascii="宋体" w:hAnsi="宋体" w:cs="宋体"/>
          <w:bCs/>
          <w:sz w:val="21"/>
          <w:szCs w:val="21"/>
          <w:highlight w:val="none"/>
          <w:lang w:val="en-US" w:eastAsia="zh-CN"/>
        </w:rPr>
        <w:t>8</w:t>
      </w:r>
      <w:r>
        <w:rPr>
          <w:rFonts w:hint="eastAsia" w:ascii="宋体" w:hAnsi="宋体" w:cs="宋体"/>
          <w:bCs/>
          <w:sz w:val="21"/>
          <w:szCs w:val="21"/>
          <w:highlight w:val="none"/>
        </w:rPr>
        <w:t>年1月1日至今）无不良经营行为。</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highlight w:val="none"/>
        </w:rPr>
      </w:pPr>
      <w:r>
        <w:rPr>
          <w:rFonts w:hint="eastAsia" w:ascii="宋体" w:hAnsi="宋体" w:cs="宋体"/>
          <w:bCs/>
          <w:sz w:val="21"/>
          <w:szCs w:val="21"/>
          <w:highlight w:val="none"/>
          <w:lang w:eastAsia="zh-CN"/>
        </w:rPr>
        <w:t>（</w:t>
      </w:r>
      <w:r>
        <w:rPr>
          <w:rFonts w:hint="eastAsia" w:ascii="宋体" w:hAnsi="宋体" w:cs="宋体"/>
          <w:bCs/>
          <w:sz w:val="21"/>
          <w:szCs w:val="21"/>
          <w:highlight w:val="none"/>
          <w:lang w:val="en-US" w:eastAsia="zh-CN"/>
        </w:rPr>
        <w:t>六</w:t>
      </w:r>
      <w:r>
        <w:rPr>
          <w:rFonts w:hint="eastAsia" w:ascii="宋体" w:hAnsi="宋体" w:cs="宋体"/>
          <w:bCs/>
          <w:sz w:val="21"/>
          <w:szCs w:val="21"/>
          <w:highlight w:val="none"/>
          <w:lang w:eastAsia="zh-CN"/>
        </w:rPr>
        <w:t>）</w:t>
      </w:r>
      <w:r>
        <w:rPr>
          <w:rFonts w:hint="eastAsia" w:ascii="宋体" w:hAnsi="宋体" w:cs="宋体"/>
          <w:bCs/>
          <w:sz w:val="21"/>
          <w:szCs w:val="21"/>
          <w:highlight w:val="none"/>
        </w:rPr>
        <w:t>本次招标不接受联合体投标；</w:t>
      </w:r>
    </w:p>
    <w:p>
      <w:pPr>
        <w:snapToGrid w:val="0"/>
        <w:spacing w:line="360" w:lineRule="auto"/>
        <w:ind w:firstLine="0" w:firstLineChars="0"/>
        <w:outlineLvl w:val="1"/>
        <w:rPr>
          <w:rFonts w:hint="eastAsia" w:ascii="宋体" w:hAnsi="宋体" w:cs="宋体"/>
          <w:b/>
          <w:bCs/>
          <w:kern w:val="0"/>
          <w:szCs w:val="21"/>
          <w:highlight w:val="none"/>
        </w:rPr>
      </w:pPr>
      <w:bookmarkStart w:id="21" w:name="_Toc24742"/>
      <w:bookmarkStart w:id="22" w:name="_Toc4109"/>
      <w:bookmarkStart w:id="23" w:name="_Toc32549"/>
      <w:bookmarkStart w:id="24" w:name="_Toc6754"/>
      <w:bookmarkStart w:id="25" w:name="_Toc17838"/>
      <w:bookmarkStart w:id="26" w:name="_Toc24942"/>
      <w:bookmarkStart w:id="27" w:name="_Toc14264"/>
      <w:bookmarkStart w:id="28" w:name="_Toc25418"/>
      <w:bookmarkStart w:id="29" w:name="_Toc7022"/>
      <w:bookmarkStart w:id="30" w:name="_Toc12495"/>
      <w:bookmarkStart w:id="31" w:name="_Toc1129"/>
      <w:bookmarkStart w:id="32" w:name="_Toc28011"/>
      <w:r>
        <w:rPr>
          <w:rFonts w:hint="eastAsia" w:ascii="宋体" w:hAnsi="宋体" w:cs="宋体"/>
          <w:b/>
          <w:bCs/>
          <w:kern w:val="0"/>
          <w:szCs w:val="21"/>
          <w:highlight w:val="none"/>
          <w:lang w:val="en-US" w:eastAsia="zh-CN"/>
        </w:rPr>
        <w:t>四</w:t>
      </w:r>
      <w:r>
        <w:rPr>
          <w:rFonts w:hint="eastAsia" w:ascii="宋体" w:hAnsi="宋体" w:cs="宋体"/>
          <w:b/>
          <w:bCs/>
          <w:kern w:val="0"/>
          <w:szCs w:val="21"/>
          <w:highlight w:val="none"/>
        </w:rPr>
        <w:t>、招标文件</w:t>
      </w:r>
      <w:bookmarkEnd w:id="21"/>
      <w:bookmarkEnd w:id="22"/>
      <w:bookmarkEnd w:id="23"/>
      <w:bookmarkEnd w:id="24"/>
      <w:bookmarkEnd w:id="25"/>
      <w:bookmarkEnd w:id="26"/>
      <w:r>
        <w:rPr>
          <w:rFonts w:hint="eastAsia" w:ascii="宋体" w:hAnsi="宋体" w:cs="宋体"/>
          <w:b/>
          <w:bCs/>
          <w:kern w:val="0"/>
          <w:szCs w:val="21"/>
          <w:highlight w:val="none"/>
        </w:rPr>
        <w:t>提供信息</w:t>
      </w:r>
      <w:bookmarkEnd w:id="27"/>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获取时间：从2021年</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rPr>
        <w:t>月</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rPr>
        <w:t>日09：00到2021年</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rPr>
        <w:t>月</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rPr>
        <w:t>日17：00</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 xml:space="preserve">获取方式： </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（一）凡有意参加投标者，请于获取时间内（北京时间，下同），登陆中招联合招标采购平台下载电子招标文件。</w:t>
      </w:r>
      <w:r>
        <w:rPr>
          <w:rFonts w:hint="eastAsia" w:ascii="宋体" w:hAnsi="宋体" w:cs="宋体"/>
          <w:szCs w:val="21"/>
          <w:highlight w:val="none"/>
        </w:rPr>
        <w:t>招标文件服务费0元，下载后不退</w:t>
      </w:r>
      <w:r>
        <w:rPr>
          <w:rFonts w:hint="eastAsia" w:ascii="宋体" w:hAnsi="宋体" w:cs="宋体"/>
          <w:kern w:val="0"/>
          <w:szCs w:val="21"/>
          <w:highlight w:val="none"/>
        </w:rPr>
        <w:t>。</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二）平台网址为：http：//www.365trade.com.cn/。下载者首次登陆平台前，须前往平台免费注册，平台将对下载者注册信息与其提供扫描件信息进行一致性检查。注册为一次性工作，以后若有需要可变更及完善相关信息；注册成功后，可以及时参与平台上所有发布的采购项目；同一单位不同的经办人可各自建立不同账户。下载者须通过平台填写“购标申请”，并上传单位介绍信和营业执照副本复印件、本人身份证。平台服务费</w:t>
      </w:r>
      <w:r>
        <w:rPr>
          <w:rFonts w:hint="eastAsia" w:ascii="宋体" w:hAnsi="宋体" w:cs="宋体"/>
          <w:kern w:val="0"/>
          <w:szCs w:val="21"/>
          <w:highlight w:val="none"/>
          <w:lang w:val="en-US" w:eastAsia="zh-CN"/>
        </w:rPr>
        <w:t>2</w:t>
      </w:r>
      <w:r>
        <w:rPr>
          <w:rFonts w:hint="eastAsia" w:ascii="宋体" w:hAnsi="宋体" w:cs="宋体"/>
          <w:kern w:val="0"/>
          <w:szCs w:val="21"/>
          <w:highlight w:val="none"/>
        </w:rPr>
        <w:t>00元。</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（三） 下载者应充分考虑平台注册、信息检查、资料上传、购标确认、费用支付所需时间，下载者必须在获取时间内完成支付，否则将无法保证获取电子招标文件。</w:t>
      </w:r>
      <w:r>
        <w:rPr>
          <w:rFonts w:hint="eastAsia" w:ascii="宋体" w:hAnsi="宋体" w:cs="宋体"/>
          <w:b/>
          <w:bCs/>
          <w:kern w:val="0"/>
          <w:szCs w:val="21"/>
          <w:highlight w:val="none"/>
        </w:rPr>
        <w:t>未按照本公告要求获得本项目招标文件的，招标代理机构不予接收其投标文件。</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（四）下载者选择“需要邮购纸质标书”的，需另加手续费（含邮费）50元，招标代理机构在收到邮购款（含手续费）后3日内寄送。</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（五）下载者需要发票的，须通过平台“发票管理”模块进行操作。</w:t>
      </w:r>
      <w:r>
        <w:rPr>
          <w:rFonts w:hint="eastAsia" w:ascii="宋体" w:hAnsi="宋体" w:cs="宋体"/>
          <w:szCs w:val="21"/>
          <w:highlight w:val="none"/>
        </w:rPr>
        <w:t>招标文件服务费发票由招标代理机构开具</w:t>
      </w:r>
      <w:r>
        <w:rPr>
          <w:rFonts w:hint="eastAsia" w:ascii="宋体" w:hAnsi="宋体" w:cs="宋体"/>
          <w:kern w:val="0"/>
          <w:szCs w:val="21"/>
          <w:highlight w:val="none"/>
        </w:rPr>
        <w:t>；下载者选择开具增值税普通发票的，可在支付后3日内登陆前述模块下载增值税电子普通发票；选择开具增值税专用发票的，可在开标时在开标现场领取；</w:t>
      </w:r>
      <w:r>
        <w:rPr>
          <w:rFonts w:hint="eastAsia" w:ascii="宋体" w:hAnsi="宋体" w:cs="宋体"/>
          <w:szCs w:val="21"/>
          <w:highlight w:val="none"/>
        </w:rPr>
        <w:t>平台服务费</w:t>
      </w:r>
      <w:r>
        <w:rPr>
          <w:rFonts w:hint="eastAsia" w:ascii="宋体" w:hAnsi="宋体" w:cs="宋体"/>
          <w:kern w:val="0"/>
          <w:szCs w:val="21"/>
          <w:highlight w:val="none"/>
        </w:rPr>
        <w:t>发票由中招联合信息股份有限公司自动开具增值税电子普通发票，下载者可在支付后3日内登陆前述模块下载。非因招标代理机构或平台原因，发票一经开具不予退换。</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（六）平台网站首页“帮助中心”提供操作手册，下载者可以下载并根据操作手册提示进行注册、登录、文件下载、发票开具领取等操作。平台咨询电话为：</w:t>
      </w:r>
      <w:r>
        <w:rPr>
          <w:rFonts w:hint="eastAsia" w:ascii="宋体" w:hAnsi="宋体" w:cs="宋体"/>
          <w:b/>
          <w:bCs/>
          <w:kern w:val="0"/>
          <w:szCs w:val="21"/>
          <w:highlight w:val="none"/>
        </w:rPr>
        <w:t>010-86397110</w:t>
      </w:r>
      <w:r>
        <w:rPr>
          <w:rFonts w:hint="eastAsia" w:ascii="宋体" w:hAnsi="宋体" w:cs="宋体"/>
          <w:kern w:val="0"/>
          <w:szCs w:val="21"/>
          <w:highlight w:val="none"/>
        </w:rPr>
        <w:t>，服务时间为工作日上午9时至12时，下午1时至6时。平台会通过短信提醒下载者进行注册、支付、下载等操作。</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（七）联合体投标（如允许）的，联合体各方应当指定牵头人，并授权其以自身名义在平台办理注册、</w:t>
      </w:r>
      <w:r>
        <w:rPr>
          <w:rFonts w:hint="eastAsia" w:ascii="宋体" w:hAnsi="宋体" w:cs="宋体"/>
          <w:szCs w:val="21"/>
          <w:highlight w:val="none"/>
        </w:rPr>
        <w:t>下载文件</w:t>
      </w:r>
      <w:r>
        <w:rPr>
          <w:rFonts w:hint="eastAsia" w:ascii="宋体" w:hAnsi="宋体" w:cs="宋体"/>
          <w:kern w:val="0"/>
          <w:szCs w:val="21"/>
          <w:highlight w:val="none"/>
        </w:rPr>
        <w:t>、缴纳保证金等手续，其在平台的办理行为，对联合体各方均具有约束力。</w:t>
      </w:r>
    </w:p>
    <w:bookmarkEnd w:id="28"/>
    <w:bookmarkEnd w:id="29"/>
    <w:bookmarkEnd w:id="30"/>
    <w:bookmarkEnd w:id="31"/>
    <w:bookmarkEnd w:id="32"/>
    <w:p>
      <w:pPr>
        <w:snapToGrid w:val="0"/>
        <w:spacing w:line="360" w:lineRule="auto"/>
        <w:ind w:firstLine="0" w:firstLineChars="0"/>
        <w:outlineLvl w:val="1"/>
        <w:rPr>
          <w:rFonts w:hint="eastAsia" w:ascii="宋体" w:hAnsi="宋体" w:cs="宋体"/>
          <w:b/>
          <w:bCs/>
          <w:kern w:val="0"/>
          <w:szCs w:val="21"/>
          <w:highlight w:val="none"/>
        </w:rPr>
      </w:pPr>
      <w:bookmarkStart w:id="33" w:name="_Toc26269"/>
      <w:bookmarkStart w:id="34" w:name="_Toc29325"/>
      <w:r>
        <w:rPr>
          <w:rFonts w:hint="eastAsia" w:ascii="宋体" w:hAnsi="宋体" w:cs="宋体"/>
          <w:b/>
          <w:bCs/>
          <w:kern w:val="0"/>
          <w:szCs w:val="21"/>
          <w:highlight w:val="none"/>
          <w:lang w:val="en-US" w:eastAsia="zh-CN"/>
        </w:rPr>
        <w:t>五</w:t>
      </w:r>
      <w:r>
        <w:rPr>
          <w:rFonts w:hint="eastAsia" w:ascii="宋体" w:hAnsi="宋体" w:cs="宋体"/>
          <w:b/>
          <w:bCs/>
          <w:kern w:val="0"/>
          <w:szCs w:val="21"/>
          <w:highlight w:val="none"/>
        </w:rPr>
        <w:t>、投标文件</w:t>
      </w:r>
      <w:bookmarkEnd w:id="33"/>
      <w:r>
        <w:rPr>
          <w:rFonts w:hint="eastAsia" w:ascii="宋体" w:hAnsi="宋体" w:cs="宋体"/>
          <w:b/>
          <w:bCs/>
          <w:kern w:val="0"/>
          <w:szCs w:val="21"/>
          <w:highlight w:val="none"/>
        </w:rPr>
        <w:t>接收信息</w:t>
      </w:r>
      <w:bookmarkEnd w:id="34"/>
    </w:p>
    <w:p>
      <w:pPr>
        <w:snapToGrid w:val="0"/>
        <w:spacing w:line="360" w:lineRule="auto"/>
        <w:rPr>
          <w:rFonts w:hint="eastAsia" w:ascii="宋体" w:hAnsi="宋体" w:eastAsia="宋体" w:cs="宋体"/>
          <w:kern w:val="0"/>
          <w:szCs w:val="21"/>
          <w:highlight w:val="none"/>
          <w:lang w:eastAsia="zh-CN"/>
        </w:rPr>
      </w:pPr>
      <w:r>
        <w:rPr>
          <w:rFonts w:hint="eastAsia" w:ascii="宋体" w:hAnsi="宋体" w:cs="宋体"/>
          <w:kern w:val="0"/>
          <w:szCs w:val="21"/>
          <w:highlight w:val="none"/>
        </w:rPr>
        <w:t>递交开始时间：2021年</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lang w:eastAsia="zh-CN"/>
        </w:rPr>
        <w:t>月</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lang w:eastAsia="zh-CN"/>
        </w:rPr>
        <w:t>日</w:t>
      </w:r>
      <w:r>
        <w:rPr>
          <w:rFonts w:hint="eastAsia" w:ascii="宋体" w:hAnsi="宋体" w:cs="宋体"/>
          <w:kern w:val="0"/>
          <w:szCs w:val="21"/>
          <w:highlight w:val="none"/>
          <w:lang w:val="en-US" w:eastAsia="zh-CN"/>
        </w:rPr>
        <w:t xml:space="preserve"> </w:t>
      </w:r>
    </w:p>
    <w:p>
      <w:pPr>
        <w:snapToGrid w:val="0"/>
        <w:spacing w:line="360" w:lineRule="auto"/>
        <w:rPr>
          <w:rFonts w:hint="eastAsia" w:ascii="宋体" w:hAnsi="宋体" w:eastAsia="宋体" w:cs="宋体"/>
          <w:kern w:val="0"/>
          <w:szCs w:val="21"/>
          <w:highlight w:val="none"/>
          <w:lang w:eastAsia="zh-CN"/>
        </w:rPr>
      </w:pPr>
      <w:r>
        <w:rPr>
          <w:rFonts w:hint="eastAsia" w:ascii="宋体" w:hAnsi="宋体" w:cs="宋体"/>
          <w:kern w:val="0"/>
          <w:szCs w:val="21"/>
          <w:highlight w:val="none"/>
        </w:rPr>
        <w:t>递交截止时间：2021年</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lang w:eastAsia="zh-CN"/>
        </w:rPr>
        <w:t>月</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lang w:eastAsia="zh-CN"/>
        </w:rPr>
        <w:t>日</w:t>
      </w:r>
      <w:r>
        <w:rPr>
          <w:rFonts w:hint="eastAsia" w:ascii="宋体" w:hAnsi="宋体" w:cs="宋体"/>
          <w:kern w:val="0"/>
          <w:szCs w:val="21"/>
          <w:highlight w:val="none"/>
          <w:lang w:val="en-US" w:eastAsia="zh-CN"/>
        </w:rPr>
        <w:t xml:space="preserve"> </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递交方式：江苏省南京市山西路</w:t>
      </w:r>
      <w:r>
        <w:rPr>
          <w:rFonts w:ascii="宋体" w:hAnsi="宋体" w:cs="宋体"/>
          <w:kern w:val="0"/>
          <w:szCs w:val="21"/>
          <w:highlight w:val="none"/>
        </w:rPr>
        <w:t>98</w:t>
      </w:r>
      <w:r>
        <w:rPr>
          <w:rFonts w:hint="eastAsia" w:ascii="宋体" w:hAnsi="宋体" w:cs="宋体"/>
          <w:kern w:val="0"/>
          <w:szCs w:val="21"/>
          <w:highlight w:val="none"/>
        </w:rPr>
        <w:t>号江苏成套大厦</w:t>
      </w:r>
      <w:r>
        <w:rPr>
          <w:rFonts w:ascii="宋体" w:hAnsi="宋体" w:cs="宋体"/>
          <w:kern w:val="0"/>
          <w:szCs w:val="21"/>
          <w:highlight w:val="none"/>
        </w:rPr>
        <w:t>1</w:t>
      </w:r>
      <w:r>
        <w:rPr>
          <w:rFonts w:hint="eastAsia" w:ascii="宋体" w:hAnsi="宋体" w:cs="宋体"/>
          <w:kern w:val="0"/>
          <w:szCs w:val="21"/>
          <w:highlight w:val="none"/>
        </w:rPr>
        <w:t>楼招标大厅纸质文件递交</w:t>
      </w:r>
    </w:p>
    <w:p>
      <w:pPr>
        <w:snapToGrid w:val="0"/>
        <w:spacing w:line="360" w:lineRule="auto"/>
        <w:ind w:firstLine="0" w:firstLineChars="0"/>
        <w:outlineLvl w:val="1"/>
        <w:rPr>
          <w:rFonts w:hint="eastAsia" w:ascii="宋体" w:hAnsi="宋体" w:cs="宋体"/>
          <w:b/>
          <w:bCs/>
          <w:kern w:val="0"/>
          <w:szCs w:val="21"/>
          <w:highlight w:val="none"/>
        </w:rPr>
      </w:pPr>
      <w:bookmarkStart w:id="35" w:name="_Toc10779"/>
      <w:bookmarkStart w:id="36" w:name="_Toc24520"/>
      <w:bookmarkStart w:id="37" w:name="_Toc31495"/>
      <w:bookmarkStart w:id="38" w:name="_Toc2832"/>
      <w:bookmarkStart w:id="39" w:name="_Toc24988"/>
      <w:bookmarkStart w:id="40" w:name="_Toc4268"/>
      <w:bookmarkStart w:id="41" w:name="_Toc27646"/>
      <w:r>
        <w:rPr>
          <w:rFonts w:hint="eastAsia" w:ascii="宋体" w:hAnsi="宋体" w:cs="宋体"/>
          <w:b/>
          <w:bCs/>
          <w:kern w:val="0"/>
          <w:szCs w:val="21"/>
          <w:highlight w:val="none"/>
          <w:lang w:val="en-US" w:eastAsia="zh-CN"/>
        </w:rPr>
        <w:t>六</w:t>
      </w:r>
      <w:r>
        <w:rPr>
          <w:rFonts w:hint="eastAsia" w:ascii="宋体" w:hAnsi="宋体" w:cs="宋体"/>
          <w:b/>
          <w:bCs/>
          <w:kern w:val="0"/>
          <w:szCs w:val="21"/>
          <w:highlight w:val="none"/>
        </w:rPr>
        <w:t>、开标时间及地点</w:t>
      </w:r>
      <w:bookmarkEnd w:id="35"/>
      <w:bookmarkEnd w:id="36"/>
      <w:bookmarkEnd w:id="37"/>
      <w:bookmarkEnd w:id="38"/>
      <w:bookmarkEnd w:id="39"/>
      <w:bookmarkEnd w:id="40"/>
      <w:bookmarkEnd w:id="41"/>
    </w:p>
    <w:p>
      <w:pPr>
        <w:snapToGrid w:val="0"/>
        <w:spacing w:line="360" w:lineRule="auto"/>
        <w:rPr>
          <w:rFonts w:hint="eastAsia" w:ascii="宋体" w:hAnsi="宋体" w:eastAsia="宋体" w:cs="宋体"/>
          <w:kern w:val="0"/>
          <w:szCs w:val="21"/>
          <w:highlight w:val="none"/>
          <w:lang w:eastAsia="zh-CN"/>
        </w:rPr>
      </w:pPr>
      <w:r>
        <w:rPr>
          <w:rFonts w:hint="eastAsia" w:ascii="宋体" w:hAnsi="宋体" w:cs="宋体"/>
          <w:kern w:val="0"/>
          <w:szCs w:val="21"/>
          <w:highlight w:val="none"/>
        </w:rPr>
        <w:t>开标时间：2021年</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lang w:eastAsia="zh-CN"/>
        </w:rPr>
        <w:t>月</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lang w:eastAsia="zh-CN"/>
        </w:rPr>
        <w:t>日</w:t>
      </w:r>
      <w:r>
        <w:rPr>
          <w:rFonts w:hint="eastAsia" w:ascii="宋体" w:hAnsi="宋体" w:cs="宋体"/>
          <w:kern w:val="0"/>
          <w:szCs w:val="21"/>
          <w:highlight w:val="none"/>
          <w:lang w:val="en-US" w:eastAsia="zh-CN"/>
        </w:rPr>
        <w:t xml:space="preserve"> </w:t>
      </w:r>
      <w:bookmarkStart w:id="231" w:name="_GoBack"/>
      <w:bookmarkEnd w:id="231"/>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开标地点：江苏省南京市山西路120号江苏成套大厦22楼2205室</w:t>
      </w:r>
    </w:p>
    <w:p>
      <w:pPr>
        <w:snapToGrid w:val="0"/>
        <w:spacing w:line="360" w:lineRule="auto"/>
        <w:ind w:firstLine="0" w:firstLineChars="0"/>
        <w:outlineLvl w:val="1"/>
        <w:rPr>
          <w:rFonts w:hint="eastAsia" w:ascii="宋体" w:hAnsi="宋体" w:cs="宋体"/>
          <w:b/>
          <w:bCs/>
          <w:kern w:val="0"/>
          <w:szCs w:val="21"/>
          <w:highlight w:val="none"/>
        </w:rPr>
      </w:pPr>
      <w:bookmarkStart w:id="42" w:name="_Toc21849"/>
      <w:bookmarkStart w:id="43" w:name="_Toc9486"/>
      <w:bookmarkStart w:id="44" w:name="_Toc28913"/>
      <w:bookmarkStart w:id="45" w:name="_Toc432"/>
      <w:bookmarkStart w:id="46" w:name="_Toc686"/>
      <w:bookmarkStart w:id="47" w:name="_Toc5327"/>
      <w:bookmarkStart w:id="48" w:name="_Toc26368"/>
      <w:r>
        <w:rPr>
          <w:rFonts w:hint="eastAsia" w:ascii="宋体" w:hAnsi="宋体" w:cs="宋体"/>
          <w:b/>
          <w:bCs/>
          <w:kern w:val="0"/>
          <w:szCs w:val="21"/>
          <w:highlight w:val="none"/>
          <w:lang w:val="en-US" w:eastAsia="zh-CN"/>
        </w:rPr>
        <w:t>七</w:t>
      </w:r>
      <w:r>
        <w:rPr>
          <w:rFonts w:hint="eastAsia" w:ascii="宋体" w:hAnsi="宋体" w:cs="宋体"/>
          <w:b/>
          <w:bCs/>
          <w:kern w:val="0"/>
          <w:szCs w:val="21"/>
          <w:highlight w:val="none"/>
        </w:rPr>
        <w:t>、其他</w:t>
      </w:r>
      <w:bookmarkEnd w:id="42"/>
      <w:bookmarkEnd w:id="43"/>
      <w:bookmarkEnd w:id="44"/>
      <w:bookmarkEnd w:id="45"/>
      <w:bookmarkEnd w:id="46"/>
      <w:bookmarkEnd w:id="47"/>
      <w:bookmarkEnd w:id="48"/>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（一）本项目允许投标人同时中标的最多标包数为1个。</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（二）本项目的潜在投标人/投标人须按包获取招标文件，按包编制、密封、提交投标文件（含投标保证金），本项目按包开标、评标。</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（三）逾期送达的、未送达指定地点的或者不按照招标文件要求密封的投标文件，招标人将予以拒收。</w:t>
      </w:r>
    </w:p>
    <w:p>
      <w:pPr>
        <w:snapToGrid w:val="0"/>
        <w:spacing w:line="360" w:lineRule="auto"/>
        <w:rPr>
          <w:rFonts w:hint="eastAsia" w:ascii="宋体" w:hAnsi="宋体" w:cs="宋体"/>
          <w:color w:val="auto"/>
          <w:kern w:val="0"/>
          <w:szCs w:val="21"/>
          <w:highlight w:val="none"/>
        </w:rPr>
      </w:pPr>
      <w:bookmarkStart w:id="49" w:name="_Toc12289"/>
      <w:bookmarkStart w:id="50" w:name="_Toc503982942"/>
      <w:bookmarkStart w:id="51" w:name="_Toc506205204"/>
      <w:r>
        <w:rPr>
          <w:rFonts w:hint="eastAsia" w:ascii="宋体" w:hAnsi="宋体" w:cs="宋体"/>
          <w:color w:val="auto"/>
          <w:kern w:val="0"/>
          <w:szCs w:val="21"/>
          <w:highlight w:val="none"/>
        </w:rPr>
        <w:t>（四）发布公告的媒介</w:t>
      </w:r>
      <w:bookmarkEnd w:id="49"/>
      <w:bookmarkEnd w:id="50"/>
      <w:bookmarkEnd w:id="51"/>
      <w:r>
        <w:rPr>
          <w:rFonts w:hint="eastAsia" w:ascii="宋体" w:hAnsi="宋体" w:cs="宋体"/>
          <w:color w:val="auto"/>
          <w:kern w:val="0"/>
          <w:szCs w:val="21"/>
          <w:highlight w:val="none"/>
        </w:rPr>
        <w:t>：本次招标公告同时在</w:t>
      </w:r>
      <w:r>
        <w:rPr>
          <w:rFonts w:hint="eastAsia" w:ascii="宋体" w:hAnsi="宋体" w:cs="宋体"/>
          <w:color w:val="auto"/>
          <w:kern w:val="0"/>
          <w:highlight w:val="none"/>
        </w:rPr>
        <w:t>中国招标投标公共服务平台、</w:t>
      </w:r>
      <w:r>
        <w:rPr>
          <w:rFonts w:hint="eastAsia" w:ascii="宋体" w:hAnsi="宋体" w:cs="宋体"/>
          <w:color w:val="auto"/>
          <w:kern w:val="0"/>
          <w:szCs w:val="21"/>
          <w:highlight w:val="none"/>
        </w:rPr>
        <w:t>江苏省招标投标公共服务平台、中招联合招标采购平台上</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rPr>
        <w:t>扬州市公共资源交易服务平台、扬州市城建国有资产控股（集团）有限责任公司网站、江苏长江水务股份有限公司网站</w:t>
      </w:r>
      <w:r>
        <w:rPr>
          <w:rFonts w:hint="eastAsia" w:ascii="宋体" w:hAnsi="宋体" w:cs="宋体"/>
          <w:color w:val="auto"/>
          <w:kern w:val="0"/>
          <w:szCs w:val="21"/>
          <w:highlight w:val="none"/>
        </w:rPr>
        <w:t>发布。</w:t>
      </w:r>
    </w:p>
    <w:p>
      <w:pPr>
        <w:snapToGrid w:val="0"/>
        <w:spacing w:line="360" w:lineRule="auto"/>
        <w:ind w:firstLine="0" w:firstLineChars="0"/>
        <w:outlineLvl w:val="1"/>
        <w:rPr>
          <w:rFonts w:hint="eastAsia" w:ascii="宋体" w:hAnsi="宋体" w:cs="宋体"/>
          <w:b/>
          <w:bCs/>
          <w:kern w:val="0"/>
          <w:szCs w:val="21"/>
          <w:highlight w:val="none"/>
        </w:rPr>
      </w:pPr>
      <w:bookmarkStart w:id="52" w:name="_Toc22115"/>
      <w:bookmarkStart w:id="53" w:name="_Toc29082"/>
      <w:bookmarkStart w:id="54" w:name="_Toc13220"/>
      <w:bookmarkStart w:id="55" w:name="_Toc11757"/>
      <w:bookmarkStart w:id="56" w:name="_Toc20675"/>
      <w:bookmarkStart w:id="57" w:name="_Toc23914"/>
      <w:bookmarkStart w:id="58" w:name="_Toc24613"/>
      <w:r>
        <w:rPr>
          <w:rFonts w:hint="eastAsia" w:ascii="宋体" w:hAnsi="宋体" w:cs="宋体"/>
          <w:b/>
          <w:bCs/>
          <w:kern w:val="0"/>
          <w:szCs w:val="21"/>
          <w:highlight w:val="none"/>
          <w:lang w:val="en-US" w:eastAsia="zh-CN"/>
        </w:rPr>
        <w:t>八</w:t>
      </w:r>
      <w:r>
        <w:rPr>
          <w:rFonts w:hint="eastAsia" w:ascii="宋体" w:hAnsi="宋体" w:cs="宋体"/>
          <w:b/>
          <w:bCs/>
          <w:kern w:val="0"/>
          <w:szCs w:val="21"/>
          <w:highlight w:val="none"/>
        </w:rPr>
        <w:t>、</w:t>
      </w:r>
      <w:bookmarkEnd w:id="52"/>
      <w:bookmarkEnd w:id="53"/>
      <w:bookmarkEnd w:id="54"/>
      <w:bookmarkEnd w:id="55"/>
      <w:bookmarkEnd w:id="56"/>
      <w:bookmarkEnd w:id="57"/>
      <w:bookmarkStart w:id="59" w:name="_Toc32615"/>
      <w:bookmarkStart w:id="60" w:name="_Toc7054"/>
      <w:bookmarkStart w:id="61" w:name="_Toc1410"/>
      <w:bookmarkStart w:id="62" w:name="_Toc32063"/>
      <w:bookmarkStart w:id="63" w:name="_Toc7753"/>
      <w:r>
        <w:rPr>
          <w:rFonts w:hint="eastAsia" w:ascii="宋体" w:hAnsi="宋体" w:cs="宋体"/>
          <w:b/>
          <w:bCs/>
          <w:kern w:val="0"/>
          <w:szCs w:val="21"/>
          <w:highlight w:val="none"/>
        </w:rPr>
        <w:t>联系方式</w:t>
      </w:r>
      <w:bookmarkEnd w:id="58"/>
      <w:bookmarkEnd w:id="59"/>
      <w:bookmarkEnd w:id="60"/>
      <w:bookmarkEnd w:id="61"/>
      <w:bookmarkEnd w:id="62"/>
      <w:bookmarkEnd w:id="63"/>
    </w:p>
    <w:p>
      <w:pPr>
        <w:snapToGrid w:val="0"/>
        <w:spacing w:line="360" w:lineRule="auto"/>
        <w:ind w:firstLine="422"/>
        <w:rPr>
          <w:rFonts w:hint="eastAsia" w:ascii="宋体" w:hAnsi="宋体" w:eastAsia="宋体" w:cs="宋体"/>
          <w:b/>
          <w:bCs/>
          <w:kern w:val="0"/>
          <w:szCs w:val="21"/>
          <w:highlight w:val="none"/>
          <w:lang w:eastAsia="zh-CN"/>
        </w:rPr>
      </w:pPr>
      <w:r>
        <w:rPr>
          <w:rFonts w:hint="eastAsia" w:ascii="宋体" w:hAnsi="宋体" w:cs="宋体"/>
          <w:b/>
          <w:bCs/>
          <w:kern w:val="0"/>
          <w:szCs w:val="21"/>
          <w:highlight w:val="none"/>
        </w:rPr>
        <w:t>招标人：</w:t>
      </w:r>
      <w:r>
        <w:rPr>
          <w:rFonts w:hint="eastAsia" w:ascii="宋体" w:hAnsi="宋体" w:cs="宋体"/>
          <w:b/>
          <w:bCs/>
          <w:kern w:val="0"/>
          <w:szCs w:val="21"/>
          <w:highlight w:val="none"/>
          <w:shd w:val="clear" w:color="auto" w:fill="FFFFFF"/>
          <w:lang w:eastAsia="zh-CN"/>
        </w:rPr>
        <w:t>江苏长江水务股份有限公司</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地址：扬州文汇东路249号</w:t>
      </w:r>
    </w:p>
    <w:p>
      <w:pPr>
        <w:snapToGrid w:val="0"/>
        <w:spacing w:line="360" w:lineRule="auto"/>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联系人：</w:t>
      </w:r>
      <w:r>
        <w:rPr>
          <w:rFonts w:hint="eastAsia" w:ascii="宋体" w:hAnsi="宋体" w:cs="宋体"/>
          <w:kern w:val="0"/>
          <w:szCs w:val="21"/>
          <w:highlight w:val="none"/>
          <w:lang w:val="en-US" w:eastAsia="zh-CN"/>
        </w:rPr>
        <w:t>汪礼发</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电  话：</w:t>
      </w:r>
      <w:r>
        <w:rPr>
          <w:rFonts w:hint="eastAsia" w:ascii="宋体" w:hAnsi="宋体" w:cs="宋体"/>
          <w:szCs w:val="21"/>
          <w:highlight w:val="none"/>
        </w:rPr>
        <w:t>0514-8298</w:t>
      </w:r>
      <w:r>
        <w:rPr>
          <w:rFonts w:hint="eastAsia" w:ascii="宋体" w:hAnsi="宋体" w:eastAsia="宋体" w:cs="宋体"/>
          <w:color w:val="auto"/>
          <w:kern w:val="0"/>
          <w:sz w:val="21"/>
          <w:szCs w:val="21"/>
          <w:highlight w:val="none"/>
          <w:lang w:val="en-US" w:eastAsia="zh-CN"/>
        </w:rPr>
        <w:t>0069</w:t>
      </w:r>
    </w:p>
    <w:p>
      <w:pPr>
        <w:snapToGrid w:val="0"/>
        <w:spacing w:line="360" w:lineRule="auto"/>
        <w:ind w:firstLine="422"/>
        <w:rPr>
          <w:rFonts w:hint="eastAsia" w:ascii="宋体" w:hAnsi="宋体" w:eastAsia="宋体" w:cs="宋体"/>
          <w:b/>
          <w:bCs/>
          <w:kern w:val="0"/>
          <w:szCs w:val="21"/>
          <w:highlight w:val="none"/>
          <w:lang w:eastAsia="zh-CN"/>
        </w:rPr>
      </w:pPr>
      <w:r>
        <w:rPr>
          <w:rFonts w:hint="eastAsia" w:ascii="宋体" w:hAnsi="宋体" w:cs="宋体"/>
          <w:b/>
          <w:bCs/>
          <w:kern w:val="0"/>
          <w:szCs w:val="21"/>
          <w:highlight w:val="none"/>
        </w:rPr>
        <w:t>招标代理机构：</w:t>
      </w:r>
      <w:r>
        <w:rPr>
          <w:rFonts w:hint="eastAsia" w:ascii="宋体" w:hAnsi="宋体" w:cs="宋体"/>
          <w:b/>
          <w:bCs/>
          <w:kern w:val="0"/>
          <w:szCs w:val="21"/>
          <w:highlight w:val="none"/>
          <w:lang w:eastAsia="zh-CN"/>
        </w:rPr>
        <w:t>江苏省设备成套股份有限公司</w:t>
      </w:r>
    </w:p>
    <w:p>
      <w:pPr>
        <w:snapToGrid w:val="0"/>
        <w:spacing w:line="360" w:lineRule="auto"/>
        <w:rPr>
          <w:rFonts w:hint="eastAsia" w:ascii="宋体" w:hAnsi="宋体" w:cs="宋体"/>
          <w:kern w:val="0"/>
          <w:szCs w:val="21"/>
          <w:highlight w:val="none"/>
        </w:rPr>
      </w:pPr>
      <w:r>
        <w:rPr>
          <w:rFonts w:hint="eastAsia" w:ascii="宋体" w:hAnsi="宋体" w:cs="宋体"/>
          <w:kern w:val="0"/>
          <w:szCs w:val="21"/>
          <w:highlight w:val="none"/>
        </w:rPr>
        <w:t>地址：江苏省南京市山西路120号江苏成套大厦18楼1806室</w:t>
      </w:r>
    </w:p>
    <w:p>
      <w:pPr>
        <w:snapToGrid w:val="0"/>
        <w:spacing w:line="360" w:lineRule="auto"/>
        <w:rPr>
          <w:rFonts w:hint="eastAsia" w:ascii="宋体" w:hAnsi="宋体" w:cs="宋体"/>
          <w:kern w:val="0"/>
          <w:szCs w:val="21"/>
          <w:highlight w:val="none"/>
          <w:lang w:val="en-US" w:eastAsia="zh-CN"/>
        </w:rPr>
      </w:pPr>
      <w:r>
        <w:rPr>
          <w:rFonts w:hint="eastAsia" w:ascii="宋体" w:hAnsi="宋体" w:cs="宋体"/>
          <w:kern w:val="0"/>
          <w:szCs w:val="21"/>
          <w:highlight w:val="none"/>
          <w:lang w:val="zh-CN"/>
        </w:rPr>
        <w:t>电话：</w:t>
      </w:r>
      <w:r>
        <w:rPr>
          <w:rFonts w:hint="eastAsia" w:ascii="宋体" w:hAnsi="宋体" w:cs="宋体"/>
          <w:kern w:val="0"/>
          <w:szCs w:val="21"/>
          <w:highlight w:val="none"/>
        </w:rPr>
        <w:t>025-86632670，</w:t>
      </w:r>
      <w:r>
        <w:rPr>
          <w:rFonts w:hint="eastAsia" w:ascii="宋体" w:hAnsi="宋体" w:cs="宋体"/>
          <w:kern w:val="0"/>
          <w:szCs w:val="21"/>
          <w:highlight w:val="none"/>
          <w:lang w:val="en-US" w:eastAsia="zh-CN"/>
        </w:rPr>
        <w:t>13655170559</w:t>
      </w:r>
    </w:p>
    <w:p>
      <w:pPr>
        <w:snapToGrid w:val="0"/>
        <w:spacing w:line="360" w:lineRule="auto"/>
        <w:rPr>
          <w:rFonts w:hint="eastAsia" w:ascii="宋体" w:hAnsi="宋体" w:cs="宋体"/>
          <w:kern w:val="0"/>
          <w:szCs w:val="21"/>
          <w:highlight w:val="none"/>
          <w:lang w:val="en-US" w:eastAsia="zh-CN"/>
        </w:rPr>
      </w:pPr>
      <w:r>
        <w:rPr>
          <w:rFonts w:hint="eastAsia" w:ascii="宋体" w:hAnsi="宋体" w:cs="宋体"/>
          <w:kern w:val="0"/>
          <w:szCs w:val="21"/>
          <w:highlight w:val="none"/>
        </w:rPr>
        <w:t>联系人：</w:t>
      </w:r>
      <w:r>
        <w:rPr>
          <w:rFonts w:hint="eastAsia" w:ascii="宋体" w:hAnsi="宋体" w:cs="宋体"/>
          <w:kern w:val="0"/>
          <w:szCs w:val="21"/>
          <w:highlight w:val="none"/>
          <w:lang w:val="en-US" w:eastAsia="zh-CN"/>
        </w:rPr>
        <w:t>李晓燕、李思念</w:t>
      </w:r>
    </w:p>
    <w:p>
      <w:pPr>
        <w:snapToGrid w:val="0"/>
        <w:spacing w:line="360" w:lineRule="auto"/>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电子邮件：</w:t>
      </w:r>
      <w:r>
        <w:rPr>
          <w:rFonts w:hint="eastAsia" w:ascii="宋体" w:hAnsi="宋体" w:cs="宋体"/>
          <w:kern w:val="0"/>
          <w:szCs w:val="21"/>
          <w:highlight w:val="none"/>
          <w:lang w:val="en-US" w:eastAsia="zh-CN"/>
        </w:rPr>
        <w:t>383456100@qq.com</w:t>
      </w:r>
    </w:p>
    <w:p>
      <w:pPr>
        <w:pStyle w:val="3"/>
        <w:snapToGrid w:val="0"/>
        <w:spacing w:before="0" w:after="0" w:line="360" w:lineRule="auto"/>
        <w:rPr>
          <w:rFonts w:hint="eastAsia" w:cs="宋体"/>
          <w:kern w:val="0"/>
          <w:highlight w:val="none"/>
        </w:rPr>
      </w:pPr>
      <w:bookmarkStart w:id="64" w:name="_bookmark17"/>
      <w:bookmarkEnd w:id="64"/>
      <w:bookmarkStart w:id="65" w:name="_Toc4316"/>
      <w:bookmarkStart w:id="66" w:name="_Toc4957"/>
      <w:bookmarkStart w:id="67" w:name="_Toc24380"/>
      <w:bookmarkStart w:id="68" w:name="_Toc14522"/>
      <w:r>
        <w:rPr>
          <w:rFonts w:hint="eastAsia" w:cs="宋体"/>
          <w:kern w:val="0"/>
          <w:sz w:val="21"/>
          <w:szCs w:val="21"/>
          <w:highlight w:val="none"/>
        </w:rPr>
        <w:br w:type="column"/>
      </w:r>
      <w:r>
        <w:rPr>
          <w:rFonts w:hint="eastAsia" w:cs="宋体"/>
          <w:kern w:val="0"/>
          <w:highlight w:val="none"/>
        </w:rPr>
        <w:t>第二章 投标人须知</w:t>
      </w:r>
      <w:bookmarkEnd w:id="65"/>
      <w:bookmarkEnd w:id="66"/>
      <w:bookmarkEnd w:id="67"/>
      <w:bookmarkEnd w:id="68"/>
    </w:p>
    <w:p>
      <w:pPr>
        <w:pStyle w:val="4"/>
        <w:snapToGrid w:val="0"/>
        <w:spacing w:before="0" w:after="0" w:line="360" w:lineRule="auto"/>
        <w:rPr>
          <w:rFonts w:hint="eastAsia" w:ascii="宋体" w:hAnsi="宋体" w:cs="宋体"/>
          <w:kern w:val="0"/>
          <w:highlight w:val="none"/>
        </w:rPr>
      </w:pPr>
      <w:bookmarkStart w:id="69" w:name="_Toc9542"/>
      <w:bookmarkStart w:id="70" w:name="_Toc3287"/>
      <w:bookmarkStart w:id="71" w:name="_Toc7005"/>
      <w:bookmarkStart w:id="72" w:name="_Toc6245"/>
      <w:r>
        <w:rPr>
          <w:rFonts w:hint="eastAsia" w:ascii="宋体" w:hAnsi="宋体" w:cs="宋体"/>
          <w:kern w:val="0"/>
          <w:highlight w:val="none"/>
        </w:rPr>
        <w:t>投标人须知前附表</w:t>
      </w:r>
      <w:bookmarkEnd w:id="69"/>
      <w:bookmarkEnd w:id="70"/>
      <w:bookmarkEnd w:id="71"/>
      <w:bookmarkEnd w:id="72"/>
    </w:p>
    <w:tbl>
      <w:tblPr>
        <w:tblStyle w:val="31"/>
        <w:tblpPr w:leftFromText="180" w:rightFromText="180" w:vertAnchor="text" w:horzAnchor="page" w:tblpX="1768" w:tblpY="5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3"/>
        <w:gridCol w:w="5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noWrap w:val="0"/>
            <w:vAlign w:val="center"/>
          </w:tcPr>
          <w:p>
            <w:pPr>
              <w:snapToGrid w:val="0"/>
              <w:ind w:firstLine="0" w:firstLineChars="0"/>
              <w:jc w:val="center"/>
              <w:rPr>
                <w:rFonts w:hint="eastAsia" w:ascii="宋体" w:hAnsi="宋体" w:cs="宋体"/>
                <w:b/>
                <w:kern w:val="0"/>
                <w:highlight w:val="none"/>
              </w:rPr>
            </w:pPr>
            <w:r>
              <w:rPr>
                <w:rFonts w:hint="eastAsia" w:ascii="宋体" w:hAnsi="宋体" w:cs="宋体"/>
                <w:b/>
                <w:kern w:val="0"/>
                <w:highlight w:val="none"/>
              </w:rPr>
              <w:t>条款号</w:t>
            </w:r>
          </w:p>
        </w:tc>
        <w:tc>
          <w:tcPr>
            <w:tcW w:w="1843" w:type="dxa"/>
            <w:noWrap w:val="0"/>
            <w:vAlign w:val="center"/>
          </w:tcPr>
          <w:p>
            <w:pPr>
              <w:snapToGrid w:val="0"/>
              <w:ind w:firstLine="0" w:firstLineChars="0"/>
              <w:jc w:val="center"/>
              <w:rPr>
                <w:rFonts w:hint="eastAsia" w:ascii="宋体" w:hAnsi="宋体" w:cs="宋体"/>
                <w:b/>
                <w:kern w:val="0"/>
                <w:highlight w:val="none"/>
              </w:rPr>
            </w:pPr>
            <w:r>
              <w:rPr>
                <w:rFonts w:hint="eastAsia" w:ascii="宋体" w:hAnsi="宋体" w:cs="宋体"/>
                <w:b/>
                <w:kern w:val="0"/>
                <w:highlight w:val="none"/>
              </w:rPr>
              <w:t>条款名称</w:t>
            </w:r>
          </w:p>
        </w:tc>
        <w:tc>
          <w:tcPr>
            <w:tcW w:w="5726" w:type="dxa"/>
            <w:noWrap w:val="0"/>
            <w:vAlign w:val="center"/>
          </w:tcPr>
          <w:p>
            <w:pPr>
              <w:snapToGrid w:val="0"/>
              <w:ind w:firstLine="0" w:firstLineChars="0"/>
              <w:jc w:val="center"/>
              <w:rPr>
                <w:rFonts w:hint="eastAsia" w:ascii="宋体" w:hAnsi="宋体" w:cs="宋体"/>
                <w:b/>
                <w:kern w:val="0"/>
                <w:highlight w:val="none"/>
              </w:rPr>
            </w:pPr>
            <w:r>
              <w:rPr>
                <w:rFonts w:hint="eastAsia" w:ascii="宋体" w:hAnsi="宋体" w:cs="宋体"/>
                <w:b/>
                <w:kern w:val="0"/>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1.1.2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招标人</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名称：详见第一章第</w:t>
            </w:r>
            <w:r>
              <w:rPr>
                <w:rFonts w:hint="eastAsia" w:ascii="宋体" w:hAnsi="宋体" w:cs="宋体"/>
                <w:kern w:val="0"/>
                <w:highlight w:val="none"/>
                <w:lang w:val="en-US" w:eastAsia="zh-CN"/>
              </w:rPr>
              <w:t>八</w:t>
            </w:r>
            <w:r>
              <w:rPr>
                <w:rFonts w:hint="eastAsia" w:ascii="宋体" w:hAnsi="宋体" w:cs="宋体"/>
                <w:kern w:val="0"/>
                <w:highlight w:val="none"/>
              </w:rPr>
              <w:t xml:space="preserve">条  </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地址：详见第一章第</w:t>
            </w:r>
            <w:r>
              <w:rPr>
                <w:rFonts w:hint="eastAsia" w:ascii="宋体" w:hAnsi="宋体" w:cs="宋体"/>
                <w:kern w:val="0"/>
                <w:highlight w:val="none"/>
                <w:lang w:val="en-US" w:eastAsia="zh-CN"/>
              </w:rPr>
              <w:t>八</w:t>
            </w:r>
            <w:r>
              <w:rPr>
                <w:rFonts w:hint="eastAsia" w:ascii="宋体" w:hAnsi="宋体" w:cs="宋体"/>
                <w:kern w:val="0"/>
                <w:highlight w:val="none"/>
              </w:rPr>
              <w:t xml:space="preserve">条  </w:t>
            </w:r>
          </w:p>
          <w:p>
            <w:pPr>
              <w:snapToGrid w:val="0"/>
              <w:ind w:firstLine="0" w:firstLineChars="0"/>
              <w:rPr>
                <w:rFonts w:hint="eastAsia" w:ascii="宋体" w:hAnsi="宋体" w:cs="宋体"/>
                <w:kern w:val="0"/>
                <w:highlight w:val="none"/>
              </w:rPr>
            </w:pPr>
            <w:r>
              <w:rPr>
                <w:rFonts w:hint="eastAsia" w:ascii="宋体" w:hAnsi="宋体" w:cs="宋体"/>
                <w:kern w:val="0"/>
                <w:highlight w:val="none"/>
              </w:rPr>
              <w:t>联系人：详见第一章第</w:t>
            </w:r>
            <w:r>
              <w:rPr>
                <w:rFonts w:hint="eastAsia" w:ascii="宋体" w:hAnsi="宋体" w:cs="宋体"/>
                <w:kern w:val="0"/>
                <w:highlight w:val="none"/>
                <w:lang w:val="en-US" w:eastAsia="zh-CN"/>
              </w:rPr>
              <w:t>八</w:t>
            </w:r>
            <w:r>
              <w:rPr>
                <w:rFonts w:hint="eastAsia" w:ascii="宋体" w:hAnsi="宋体" w:cs="宋体"/>
                <w:kern w:val="0"/>
                <w:highlight w:val="none"/>
              </w:rPr>
              <w:t xml:space="preserve">条 </w:t>
            </w:r>
          </w:p>
          <w:p>
            <w:pPr>
              <w:snapToGrid w:val="0"/>
              <w:ind w:firstLine="0" w:firstLineChars="0"/>
              <w:rPr>
                <w:rFonts w:hint="eastAsia" w:ascii="宋体" w:hAnsi="宋体" w:cs="宋体"/>
                <w:kern w:val="0"/>
                <w:highlight w:val="none"/>
              </w:rPr>
            </w:pPr>
            <w:r>
              <w:rPr>
                <w:rFonts w:hint="eastAsia" w:ascii="宋体" w:hAnsi="宋体" w:cs="宋体"/>
                <w:kern w:val="0"/>
                <w:highlight w:val="none"/>
              </w:rPr>
              <w:t>电话：详见第一章第</w:t>
            </w:r>
            <w:r>
              <w:rPr>
                <w:rFonts w:hint="eastAsia" w:ascii="宋体" w:hAnsi="宋体" w:cs="宋体"/>
                <w:kern w:val="0"/>
                <w:highlight w:val="none"/>
                <w:lang w:val="en-US" w:eastAsia="zh-CN"/>
              </w:rPr>
              <w:t>八</w:t>
            </w:r>
            <w:r>
              <w:rPr>
                <w:rFonts w:hint="eastAsia" w:ascii="宋体" w:hAnsi="宋体" w:cs="宋体"/>
                <w:kern w:val="0"/>
                <w:highlight w:val="none"/>
              </w:rPr>
              <w:t xml:space="preserve">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1.1.3</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招标代理机构</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名称：详见第一章第</w:t>
            </w:r>
            <w:r>
              <w:rPr>
                <w:rFonts w:hint="eastAsia" w:ascii="宋体" w:hAnsi="宋体" w:cs="宋体"/>
                <w:kern w:val="0"/>
                <w:highlight w:val="none"/>
                <w:lang w:val="en-US" w:eastAsia="zh-CN"/>
              </w:rPr>
              <w:t>八</w:t>
            </w:r>
            <w:r>
              <w:rPr>
                <w:rFonts w:hint="eastAsia" w:ascii="宋体" w:hAnsi="宋体" w:cs="宋体"/>
                <w:kern w:val="0"/>
                <w:highlight w:val="none"/>
              </w:rPr>
              <w:t xml:space="preserve">条  </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地址：详见第一章第</w:t>
            </w:r>
            <w:r>
              <w:rPr>
                <w:rFonts w:hint="eastAsia" w:ascii="宋体" w:hAnsi="宋体" w:cs="宋体"/>
                <w:kern w:val="0"/>
                <w:highlight w:val="none"/>
                <w:lang w:val="en-US" w:eastAsia="zh-CN"/>
              </w:rPr>
              <w:t>八</w:t>
            </w:r>
            <w:r>
              <w:rPr>
                <w:rFonts w:hint="eastAsia" w:ascii="宋体" w:hAnsi="宋体" w:cs="宋体"/>
                <w:kern w:val="0"/>
                <w:highlight w:val="none"/>
              </w:rPr>
              <w:t xml:space="preserve">条  </w:t>
            </w:r>
          </w:p>
          <w:p>
            <w:pPr>
              <w:snapToGrid w:val="0"/>
              <w:ind w:firstLine="0" w:firstLineChars="0"/>
              <w:rPr>
                <w:rFonts w:hint="eastAsia" w:ascii="宋体" w:hAnsi="宋体" w:cs="宋体"/>
                <w:kern w:val="0"/>
                <w:highlight w:val="none"/>
              </w:rPr>
            </w:pPr>
            <w:r>
              <w:rPr>
                <w:rFonts w:hint="eastAsia" w:ascii="宋体" w:hAnsi="宋体" w:cs="宋体"/>
                <w:kern w:val="0"/>
                <w:highlight w:val="none"/>
              </w:rPr>
              <w:t>联系人：详见第一章第</w:t>
            </w:r>
            <w:r>
              <w:rPr>
                <w:rFonts w:hint="eastAsia" w:ascii="宋体" w:hAnsi="宋体" w:cs="宋体"/>
                <w:kern w:val="0"/>
                <w:highlight w:val="none"/>
                <w:lang w:val="en-US" w:eastAsia="zh-CN"/>
              </w:rPr>
              <w:t>八</w:t>
            </w:r>
            <w:r>
              <w:rPr>
                <w:rFonts w:hint="eastAsia" w:ascii="宋体" w:hAnsi="宋体" w:cs="宋体"/>
                <w:kern w:val="0"/>
                <w:highlight w:val="none"/>
              </w:rPr>
              <w:t xml:space="preserve">条  </w:t>
            </w:r>
          </w:p>
          <w:p>
            <w:pPr>
              <w:snapToGrid w:val="0"/>
              <w:ind w:firstLine="0" w:firstLineChars="0"/>
              <w:rPr>
                <w:rFonts w:hint="eastAsia" w:ascii="宋体" w:hAnsi="宋体" w:cs="宋体"/>
                <w:kern w:val="0"/>
                <w:highlight w:val="none"/>
              </w:rPr>
            </w:pPr>
            <w:r>
              <w:rPr>
                <w:rFonts w:hint="eastAsia" w:ascii="宋体" w:hAnsi="宋体" w:cs="宋体"/>
                <w:kern w:val="0"/>
                <w:highlight w:val="none"/>
              </w:rPr>
              <w:t>电话：详见第一章第</w:t>
            </w:r>
            <w:r>
              <w:rPr>
                <w:rFonts w:hint="eastAsia" w:ascii="宋体" w:hAnsi="宋体" w:cs="宋体"/>
                <w:kern w:val="0"/>
                <w:highlight w:val="none"/>
                <w:lang w:val="en-US" w:eastAsia="zh-CN"/>
              </w:rPr>
              <w:t>八</w:t>
            </w:r>
            <w:r>
              <w:rPr>
                <w:rFonts w:hint="eastAsia" w:ascii="宋体" w:hAnsi="宋体" w:cs="宋体"/>
                <w:kern w:val="0"/>
                <w:highlight w:val="none"/>
              </w:rPr>
              <w:t xml:space="preserve">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1.1.4</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招标项目名称</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详见第一章第一条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1.1.5</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工程项目名称</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1.2.1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资金来源及比例</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详见第一章第一条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1.2.2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资金落实情况</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1.3.1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招标范围</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详见第一章第二条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1.3.2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交货期</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详见第一章第二条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1.3.3</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交付地点</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详见第一章第二条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1.3.4</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技术性能指标</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详见第五章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1.4.1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投标人资质条件、能力、信誉</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详见第一章第三条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1.4.2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是否接受联合体投标</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详见第一章第三条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1.4.3</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投标人不得存在的其他情形</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1.9.1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投标预备会</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不召开</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□召开，召开时间：</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召开地点：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1.9.2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投标人在投标预备会前提出问题</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时间：/</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1.9.3</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招标文件澄清发出的形式</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bCs/>
                <w:kern w:val="0"/>
                <w:szCs w:val="21"/>
                <w:highlight w:val="none"/>
              </w:rPr>
              <w:t>通过</w:t>
            </w:r>
            <w:r>
              <w:rPr>
                <w:rFonts w:hint="eastAsia" w:ascii="宋体" w:hAnsi="宋体" w:cs="宋体"/>
                <w:color w:val="auto"/>
                <w:kern w:val="0"/>
                <w:highlight w:val="none"/>
              </w:rPr>
              <w:t>中国招标投标公共服务平台、</w:t>
            </w:r>
            <w:r>
              <w:rPr>
                <w:rFonts w:hint="eastAsia" w:ascii="宋体" w:hAnsi="宋体" w:cs="宋体"/>
                <w:color w:val="auto"/>
                <w:kern w:val="0"/>
                <w:szCs w:val="21"/>
                <w:highlight w:val="none"/>
              </w:rPr>
              <w:t>江苏省招标投标公共服务平台、中招联合招标采购平台上</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rPr>
              <w:t>扬州市公共资源交易服务平台、扬州市城建国有资产控股（集团）有限责任公司网站、江苏长江水务股份有限公司网站</w:t>
            </w:r>
            <w:r>
              <w:rPr>
                <w:rFonts w:hint="eastAsia" w:ascii="宋体" w:hAnsi="宋体" w:cs="宋体"/>
                <w:bCs/>
                <w:kern w:val="0"/>
                <w:szCs w:val="21"/>
                <w:highlight w:val="none"/>
              </w:rPr>
              <w:t>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1.10.1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分包</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不允许</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□允许，分包要求：部分工作内容，在征得招标人同意后可以进行合法分包。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1.11.1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实质性要求和条件</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招标文件中标识“★”的条款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1.11.3</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其他可以被接受的技术支持资料</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1.11.4</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偏差</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不允许</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□允许，偏差范围：无限制</w:t>
            </w:r>
          </w:p>
          <w:p>
            <w:pPr>
              <w:snapToGrid w:val="0"/>
              <w:ind w:firstLine="0" w:firstLineChars="0"/>
              <w:rPr>
                <w:rFonts w:hint="eastAsia" w:ascii="宋体" w:hAnsi="宋体" w:cs="宋体"/>
                <w:kern w:val="0"/>
                <w:highlight w:val="none"/>
              </w:rPr>
            </w:pPr>
            <w:r>
              <w:rPr>
                <w:rFonts w:hint="eastAsia" w:ascii="宋体" w:hAnsi="宋体" w:cs="宋体"/>
                <w:kern w:val="0"/>
                <w:highlight w:val="none"/>
              </w:rPr>
              <w:t>最高项数：无限制</w:t>
            </w:r>
          </w:p>
          <w:p>
            <w:pPr>
              <w:snapToGrid w:val="0"/>
              <w:ind w:firstLine="0" w:firstLineChars="0"/>
              <w:rPr>
                <w:rFonts w:hint="eastAsia" w:ascii="宋体" w:hAnsi="宋体" w:cs="宋体"/>
                <w:kern w:val="0"/>
                <w:highlight w:val="none"/>
              </w:rPr>
            </w:pPr>
            <w:r>
              <w:rPr>
                <w:rFonts w:hint="eastAsia" w:ascii="宋体" w:hAnsi="宋体" w:cs="宋体"/>
                <w:b/>
                <w:bCs/>
                <w:kern w:val="0"/>
                <w:highlight w:val="none"/>
              </w:rPr>
              <w:t>实质性要求和条件不允许偏差，非实质性要求和条件允许偏差，对非实质性要求和条件的偏差范围、最高项数无规定。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2.1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构成招标文件的其他资料</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2.2.1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投标人要求澄清招标文件</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时间：投标截止时间前15日</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形式：电子邮件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2.2.2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招标文件澄清发出的形式</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通过</w:t>
            </w:r>
            <w:r>
              <w:rPr>
                <w:rFonts w:hint="eastAsia" w:ascii="宋体" w:hAnsi="宋体" w:cs="宋体"/>
                <w:color w:val="auto"/>
                <w:kern w:val="0"/>
                <w:highlight w:val="none"/>
              </w:rPr>
              <w:t>中国招标投标公共服务平台、</w:t>
            </w:r>
            <w:r>
              <w:rPr>
                <w:rFonts w:hint="eastAsia" w:ascii="宋体" w:hAnsi="宋体" w:cs="宋体"/>
                <w:color w:val="auto"/>
                <w:kern w:val="0"/>
                <w:szCs w:val="21"/>
                <w:highlight w:val="none"/>
              </w:rPr>
              <w:t>江苏省招标投标公共服务平台、中招联合招标采购平台上</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rPr>
              <w:t>扬州市公共资源交易服务平台、扬州市城建国有资产控股（集团）有限责任公司网站、江苏长江水务股份有限公司网站</w:t>
            </w:r>
            <w:r>
              <w:rPr>
                <w:rFonts w:hint="eastAsia" w:ascii="宋体" w:hAnsi="宋体" w:cs="宋体"/>
                <w:kern w:val="0"/>
                <w:highlight w:val="none"/>
              </w:rPr>
              <w:t>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2.2.3</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投标人确认收到招标文件澄清</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时间：收到后1日</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形式：电子邮件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2.3.1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招标文件修改发出的形式</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通过</w:t>
            </w:r>
            <w:r>
              <w:rPr>
                <w:rFonts w:hint="eastAsia" w:ascii="宋体" w:hAnsi="宋体" w:cs="宋体"/>
                <w:color w:val="auto"/>
                <w:kern w:val="0"/>
                <w:highlight w:val="none"/>
              </w:rPr>
              <w:t>中国招标投标公共服务平台、</w:t>
            </w:r>
            <w:r>
              <w:rPr>
                <w:rFonts w:hint="eastAsia" w:ascii="宋体" w:hAnsi="宋体" w:cs="宋体"/>
                <w:color w:val="auto"/>
                <w:kern w:val="0"/>
                <w:szCs w:val="21"/>
                <w:highlight w:val="none"/>
              </w:rPr>
              <w:t>江苏省招标投标公共服务平台、中招联合招标采购平台上</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rPr>
              <w:t>扬州市公共资源交易服务平台、扬州市城建国有资产控股（集团）有限责任公司网站、江苏长江水务股份有限公司网站</w:t>
            </w:r>
            <w:r>
              <w:rPr>
                <w:rFonts w:hint="eastAsia" w:ascii="宋体" w:hAnsi="宋体" w:cs="宋体"/>
                <w:kern w:val="0"/>
                <w:highlight w:val="none"/>
              </w:rPr>
              <w:t>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2.3.2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投标人确认收到招标文件修改</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时间：收到后1日</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形式：电子邮件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3.1.1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构成投标文件的其他资料</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3.2.1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增值税税金的计算方法</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按国家法律及相关规定计算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3.2.4</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最高投标限价</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□无</w:t>
            </w:r>
          </w:p>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有，最高投标限价：</w:t>
            </w:r>
            <w:r>
              <w:rPr>
                <w:rFonts w:hint="eastAsia" w:ascii="宋体" w:hAnsi="宋体" w:cs="宋体"/>
                <w:kern w:val="0"/>
                <w:szCs w:val="21"/>
                <w:highlight w:val="none"/>
                <w:lang w:val="en-US" w:eastAsia="zh-CN"/>
              </w:rPr>
              <w:t>210</w:t>
            </w:r>
            <w:r>
              <w:rPr>
                <w:rFonts w:hint="eastAsia" w:ascii="宋体" w:hAnsi="宋体" w:cs="宋体"/>
                <w:kern w:val="0"/>
                <w:szCs w:val="21"/>
                <w:highlight w:val="none"/>
              </w:rPr>
              <w:t>万元</w:t>
            </w:r>
            <w:r>
              <w:rPr>
                <w:rFonts w:hint="eastAsia" w:ascii="宋体" w:hAnsi="宋体" w:cs="宋体"/>
                <w:kern w:val="0"/>
                <w:highlight w:val="none"/>
              </w:rPr>
              <w:t>；投标报价超过者按否决投标处理。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3.2.5</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投标报价的其他要求</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3.3.1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投标有效期</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3.4.1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投标保证金</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是否要求投标人递交投标保证金：</w:t>
            </w:r>
          </w:p>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要求，投标保证金的形式：电汇</w:t>
            </w:r>
          </w:p>
          <w:p>
            <w:pPr>
              <w:snapToGrid w:val="0"/>
              <w:ind w:firstLine="0" w:firstLineChars="0"/>
              <w:rPr>
                <w:rFonts w:hint="eastAsia" w:ascii="宋体" w:hAnsi="宋体" w:cs="宋体"/>
                <w:kern w:val="0"/>
                <w:highlight w:val="none"/>
              </w:rPr>
            </w:pPr>
            <w:r>
              <w:rPr>
                <w:rFonts w:hint="eastAsia" w:ascii="宋体" w:hAnsi="宋体" w:cs="宋体"/>
                <w:kern w:val="0"/>
                <w:highlight w:val="none"/>
              </w:rPr>
              <w:t>投标保证金的金额：</w:t>
            </w:r>
            <w:r>
              <w:rPr>
                <w:rFonts w:hint="eastAsia" w:ascii="宋体" w:hAnsi="宋体" w:cs="宋体"/>
                <w:kern w:val="0"/>
                <w:highlight w:val="none"/>
                <w:lang w:val="en-US" w:eastAsia="zh-CN"/>
              </w:rPr>
              <w:t>3</w:t>
            </w:r>
            <w:r>
              <w:rPr>
                <w:rFonts w:hint="eastAsia" w:ascii="宋体" w:hAnsi="宋体" w:cs="宋体"/>
                <w:kern w:val="0"/>
                <w:highlight w:val="none"/>
              </w:rPr>
              <w:t>万元</w:t>
            </w:r>
          </w:p>
          <w:p>
            <w:pPr>
              <w:snapToGrid w:val="0"/>
              <w:ind w:firstLine="0" w:firstLineChars="0"/>
              <w:rPr>
                <w:rFonts w:hint="eastAsia" w:ascii="宋体" w:hAnsi="宋体" w:cs="宋体"/>
                <w:kern w:val="0"/>
                <w:highlight w:val="none"/>
              </w:rPr>
            </w:pPr>
            <w:r>
              <w:rPr>
                <w:rFonts w:hint="eastAsia" w:ascii="宋体" w:hAnsi="宋体" w:cs="宋体"/>
                <w:kern w:val="0"/>
                <w:highlight w:val="none"/>
              </w:rPr>
              <w:t>投标保证金收款账户名称、收款开户行、收款账号：下载招标文件后，进入中招联合招标采购平台“缴纳保证金”模块，填写相关信息后自动生成“投标保证金”账户信息（该账号为虚拟账号，只针对本投标人本项目有效，对于其他投标人、其他项目均无效），招标代理机构委托中招联合信息股份有限公司和平安银行股份有限公司北京分行办理投标保证金收、退、转及对账、结算等相关业务。</w:t>
            </w:r>
          </w:p>
          <w:p>
            <w:pPr>
              <w:snapToGrid w:val="0"/>
              <w:ind w:firstLine="0" w:firstLineChars="0"/>
              <w:rPr>
                <w:rFonts w:hint="eastAsia" w:ascii="宋体" w:hAnsi="宋体" w:cs="宋体"/>
                <w:kern w:val="0"/>
                <w:highlight w:val="none"/>
              </w:rPr>
            </w:pPr>
            <w:r>
              <w:rPr>
                <w:rFonts w:hint="eastAsia" w:ascii="宋体" w:hAnsi="宋体" w:cs="宋体"/>
                <w:kern w:val="0"/>
                <w:highlight w:val="none"/>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3.4.4</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其他可以不予退还投标保证金的情形</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无其他情形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3.5</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资格审查资料的特殊要求</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□无</w:t>
            </w:r>
          </w:p>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有，具体要求：详见第一章第三条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3.5.2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近年财务状况的年份要求</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详见第一章第三条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3.5.3</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近年完成的类似项目情况的时间要求</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3.5.5</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近年发生的诉讼及仲裁情况的时间要求</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3.6.1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是否允许递交备选投标方案</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不允许</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3.7.3A（2）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投标文件副本份数及其他要求</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投标文件副本份数：四份</w:t>
            </w:r>
          </w:p>
          <w:p>
            <w:pPr>
              <w:snapToGrid w:val="0"/>
              <w:ind w:firstLine="0" w:firstLineChars="0"/>
              <w:rPr>
                <w:rFonts w:hint="eastAsia"/>
                <w:highlight w:val="none"/>
              </w:rPr>
            </w:pPr>
            <w:r>
              <w:rPr>
                <w:rFonts w:hint="eastAsia" w:ascii="宋体" w:hAnsi="宋体" w:cs="宋体"/>
                <w:kern w:val="0"/>
                <w:highlight w:val="none"/>
              </w:rPr>
              <w:t>投标文件</w:t>
            </w:r>
            <w:r>
              <w:rPr>
                <w:rFonts w:hint="eastAsia" w:ascii="宋体" w:hAnsi="宋体" w:cs="宋体"/>
                <w:kern w:val="0"/>
                <w:highlight w:val="none"/>
                <w:lang w:val="en-US" w:eastAsia="zh-CN"/>
              </w:rPr>
              <w:t>正</w:t>
            </w:r>
            <w:r>
              <w:rPr>
                <w:rFonts w:hint="eastAsia" w:ascii="宋体" w:hAnsi="宋体" w:cs="宋体"/>
                <w:kern w:val="0"/>
                <w:highlight w:val="none"/>
              </w:rPr>
              <w:t>本份数：</w:t>
            </w:r>
            <w:r>
              <w:rPr>
                <w:rFonts w:hint="eastAsia" w:ascii="宋体" w:hAnsi="宋体" w:cs="宋体"/>
                <w:kern w:val="0"/>
                <w:highlight w:val="none"/>
                <w:lang w:val="en-US" w:eastAsia="zh-CN"/>
              </w:rPr>
              <w:t>一</w:t>
            </w:r>
            <w:r>
              <w:rPr>
                <w:rFonts w:hint="eastAsia" w:ascii="宋体" w:hAnsi="宋体" w:cs="宋体"/>
                <w:kern w:val="0"/>
                <w:highlight w:val="none"/>
              </w:rPr>
              <w:t>份</w:t>
            </w:r>
          </w:p>
          <w:p>
            <w:pPr>
              <w:snapToGrid w:val="0"/>
              <w:ind w:firstLine="0" w:firstLineChars="0"/>
              <w:rPr>
                <w:rFonts w:hint="eastAsia" w:ascii="宋体" w:hAnsi="宋体" w:cs="宋体"/>
                <w:kern w:val="0"/>
                <w:highlight w:val="none"/>
              </w:rPr>
            </w:pPr>
            <w:r>
              <w:rPr>
                <w:rFonts w:hint="eastAsia" w:ascii="宋体" w:hAnsi="宋体" w:cs="宋体"/>
                <w:kern w:val="0"/>
                <w:highlight w:val="none"/>
              </w:rPr>
              <w:t>是否要求提交电子版文件：是</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其他要求：电子版文件应为</w:t>
            </w:r>
            <w:r>
              <w:rPr>
                <w:rFonts w:hint="eastAsia" w:ascii="宋体" w:hAnsi="宋体" w:cs="宋体"/>
                <w:kern w:val="0"/>
                <w:szCs w:val="21"/>
                <w:highlight w:val="none"/>
              </w:rPr>
              <w:t>U盘形式、正本的盖章扫描件，与纸质版一致，在U盘上标注投标人名称及招标编号，单独密封，</w:t>
            </w:r>
            <w:r>
              <w:rPr>
                <w:rFonts w:hint="eastAsia" w:ascii="宋体" w:hAnsi="宋体" w:cs="宋体"/>
                <w:b/>
                <w:kern w:val="0"/>
                <w:szCs w:val="21"/>
                <w:highlight w:val="none"/>
              </w:rPr>
              <w:t>与纸质文件同时递交，</w:t>
            </w:r>
            <w:r>
              <w:rPr>
                <w:rFonts w:hint="eastAsia" w:ascii="宋体" w:hAnsi="宋体" w:cs="宋体"/>
                <w:b/>
                <w:bCs/>
                <w:kern w:val="0"/>
                <w:szCs w:val="21"/>
                <w:highlight w:val="none"/>
              </w:rPr>
              <w:t>U盘递交后不予退还。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3.7.3A（3）</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投标文件是否需分册装订</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不需要</w:t>
            </w:r>
          </w:p>
          <w:p>
            <w:pPr>
              <w:snapToGrid w:val="0"/>
              <w:ind w:firstLine="0" w:firstLineChars="0"/>
              <w:rPr>
                <w:rFonts w:hint="eastAsia" w:ascii="宋体" w:hAnsi="宋体" w:cs="宋体"/>
                <w:kern w:val="0"/>
                <w:highlight w:val="none"/>
              </w:rPr>
            </w:pPr>
            <w:r>
              <w:rPr>
                <w:rFonts w:hint="eastAsia" w:ascii="宋体" w:hAnsi="宋体" w:cs="宋体"/>
                <w:kern w:val="0"/>
                <w:highlight w:val="none"/>
              </w:rPr>
              <w:t>□需要，分册装订要求：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4.1.2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封套上应载明的信息</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招标代理机构名称：</w:t>
            </w:r>
          </w:p>
          <w:p>
            <w:pPr>
              <w:snapToGrid w:val="0"/>
              <w:ind w:firstLine="0" w:firstLineChars="0"/>
              <w:rPr>
                <w:rFonts w:hint="eastAsia" w:ascii="宋体" w:hAnsi="宋体" w:cs="宋体"/>
                <w:kern w:val="0"/>
                <w:highlight w:val="none"/>
              </w:rPr>
            </w:pPr>
            <w:r>
              <w:rPr>
                <w:rFonts w:hint="eastAsia" w:ascii="宋体" w:hAnsi="宋体" w:cs="宋体"/>
                <w:kern w:val="0"/>
                <w:highlight w:val="none"/>
              </w:rPr>
              <w:t>招标代理机构地址：</w:t>
            </w:r>
          </w:p>
          <w:p>
            <w:pPr>
              <w:snapToGrid w:val="0"/>
              <w:ind w:firstLine="0" w:firstLineChars="0"/>
              <w:rPr>
                <w:rFonts w:hint="eastAsia" w:ascii="宋体" w:hAnsi="宋体" w:cs="宋体"/>
                <w:kern w:val="0"/>
                <w:highlight w:val="none"/>
              </w:rPr>
            </w:pPr>
            <w:r>
              <w:rPr>
                <w:rFonts w:hint="eastAsia" w:ascii="宋体" w:hAnsi="宋体" w:cs="宋体"/>
                <w:kern w:val="0"/>
                <w:highlight w:val="none"/>
              </w:rPr>
              <w:t>（项目名称）（设备名称）采购招标项目投标文件</w:t>
            </w:r>
          </w:p>
          <w:p>
            <w:pPr>
              <w:snapToGrid w:val="0"/>
              <w:ind w:firstLine="0" w:firstLineChars="0"/>
              <w:rPr>
                <w:rFonts w:hint="eastAsia" w:ascii="宋体" w:hAnsi="宋体" w:cs="宋体"/>
                <w:kern w:val="0"/>
                <w:highlight w:val="none"/>
              </w:rPr>
            </w:pPr>
            <w:r>
              <w:rPr>
                <w:rFonts w:hint="eastAsia" w:ascii="宋体" w:hAnsi="宋体" w:cs="宋体"/>
                <w:kern w:val="0"/>
                <w:highlight w:val="none"/>
              </w:rPr>
              <w:t>招标编号：</w:t>
            </w:r>
          </w:p>
          <w:p>
            <w:pPr>
              <w:snapToGrid w:val="0"/>
              <w:ind w:firstLine="0" w:firstLineChars="0"/>
              <w:rPr>
                <w:rFonts w:hint="eastAsia" w:ascii="宋体" w:hAnsi="宋体" w:cs="宋体"/>
                <w:kern w:val="0"/>
                <w:highlight w:val="none"/>
              </w:rPr>
            </w:pPr>
            <w:r>
              <w:rPr>
                <w:rFonts w:hint="eastAsia" w:ascii="宋体" w:hAnsi="宋体" w:cs="宋体"/>
                <w:kern w:val="0"/>
                <w:highlight w:val="none"/>
              </w:rPr>
              <w:t>标段名称：</w:t>
            </w:r>
          </w:p>
          <w:p>
            <w:pPr>
              <w:snapToGrid w:val="0"/>
              <w:ind w:firstLine="0" w:firstLineChars="0"/>
              <w:rPr>
                <w:rFonts w:hint="eastAsia" w:ascii="宋体" w:hAnsi="宋体" w:cs="宋体"/>
                <w:kern w:val="0"/>
                <w:highlight w:val="none"/>
              </w:rPr>
            </w:pPr>
            <w:r>
              <w:rPr>
                <w:rFonts w:hint="eastAsia" w:ascii="宋体" w:hAnsi="宋体" w:cs="宋体"/>
                <w:kern w:val="0"/>
                <w:highlight w:val="none"/>
              </w:rPr>
              <w:t>标段编号：</w:t>
            </w:r>
          </w:p>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在 </w:t>
            </w:r>
            <w:r>
              <w:rPr>
                <w:rFonts w:hint="eastAsia" w:ascii="宋体" w:hAnsi="宋体" w:cs="宋体"/>
                <w:kern w:val="0"/>
                <w:highlight w:val="none"/>
              </w:rPr>
              <w:tab/>
            </w:r>
            <w:r>
              <w:rPr>
                <w:rFonts w:hint="eastAsia" w:ascii="宋体" w:hAnsi="宋体" w:cs="宋体"/>
                <w:kern w:val="0"/>
                <w:highlight w:val="none"/>
              </w:rPr>
              <w:t xml:space="preserve">年 </w:t>
            </w:r>
            <w:r>
              <w:rPr>
                <w:rFonts w:hint="eastAsia" w:ascii="宋体" w:hAnsi="宋体" w:cs="宋体"/>
                <w:kern w:val="0"/>
                <w:highlight w:val="none"/>
              </w:rPr>
              <w:tab/>
            </w:r>
            <w:r>
              <w:rPr>
                <w:rFonts w:hint="eastAsia" w:ascii="宋体" w:hAnsi="宋体" w:cs="宋体"/>
                <w:kern w:val="0"/>
                <w:highlight w:val="none"/>
              </w:rPr>
              <w:t xml:space="preserve">月 </w:t>
            </w:r>
            <w:r>
              <w:rPr>
                <w:rFonts w:hint="eastAsia" w:ascii="宋体" w:hAnsi="宋体" w:cs="宋体"/>
                <w:kern w:val="0"/>
                <w:highlight w:val="none"/>
              </w:rPr>
              <w:tab/>
            </w:r>
            <w:r>
              <w:rPr>
                <w:rFonts w:hint="eastAsia" w:ascii="宋体" w:hAnsi="宋体" w:cs="宋体"/>
                <w:kern w:val="0"/>
                <w:highlight w:val="none"/>
              </w:rPr>
              <w:t xml:space="preserve">日 </w:t>
            </w:r>
            <w:r>
              <w:rPr>
                <w:rFonts w:hint="eastAsia" w:ascii="宋体" w:hAnsi="宋体" w:cs="宋体"/>
                <w:kern w:val="0"/>
                <w:highlight w:val="none"/>
              </w:rPr>
              <w:tab/>
            </w:r>
            <w:r>
              <w:rPr>
                <w:rFonts w:hint="eastAsia" w:ascii="宋体" w:hAnsi="宋体" w:cs="宋体"/>
                <w:kern w:val="0"/>
                <w:highlight w:val="none"/>
              </w:rPr>
              <w:t>时前不得开启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4.2.1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投标截止时间</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详见第一章第五条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4.2.2（A）</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递交投标文件地点</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详见第一章第五条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4.2.3</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投标文件是否退还</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否</w:t>
            </w:r>
          </w:p>
          <w:p>
            <w:pPr>
              <w:snapToGrid w:val="0"/>
              <w:ind w:firstLine="0" w:firstLineChars="0"/>
              <w:rPr>
                <w:rFonts w:hint="eastAsia" w:ascii="宋体" w:hAnsi="宋体" w:cs="宋体"/>
                <w:kern w:val="0"/>
                <w:highlight w:val="none"/>
              </w:rPr>
            </w:pPr>
            <w:r>
              <w:rPr>
                <w:rFonts w:hint="eastAsia" w:ascii="宋体" w:hAnsi="宋体" w:cs="宋体"/>
                <w:kern w:val="0"/>
                <w:highlight w:val="none"/>
              </w:rPr>
              <w:t>□是，退还时间：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5.1（A）</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开标时间和地点</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开标时间：详见第一章第六条  </w:t>
            </w:r>
          </w:p>
          <w:p>
            <w:pPr>
              <w:snapToGrid w:val="0"/>
              <w:ind w:firstLine="0" w:firstLineChars="0"/>
              <w:rPr>
                <w:rFonts w:hint="eastAsia" w:ascii="宋体" w:hAnsi="宋体" w:cs="宋体"/>
                <w:kern w:val="0"/>
                <w:highlight w:val="none"/>
              </w:rPr>
            </w:pPr>
            <w:r>
              <w:rPr>
                <w:rFonts w:hint="eastAsia" w:ascii="宋体" w:hAnsi="宋体" w:cs="宋体"/>
                <w:kern w:val="0"/>
                <w:highlight w:val="none"/>
              </w:rPr>
              <w:t xml:space="preserve">开标地点：详见第一章第六条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5.2（4）（A）</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开标程序</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开标顺序：递交投标文件的正序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6.1.1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评标委员会的组建</w:t>
            </w:r>
          </w:p>
        </w:tc>
        <w:tc>
          <w:tcPr>
            <w:tcW w:w="5726" w:type="dxa"/>
            <w:noWrap w:val="0"/>
            <w:vAlign w:val="center"/>
          </w:tcPr>
          <w:p>
            <w:pPr>
              <w:snapToGrid w:val="0"/>
              <w:ind w:firstLine="0" w:firstLineChars="0"/>
              <w:rPr>
                <w:rFonts w:hint="eastAsia" w:ascii="宋体" w:hAnsi="宋体" w:cs="宋体"/>
                <w:bCs/>
                <w:szCs w:val="21"/>
                <w:highlight w:val="none"/>
              </w:rPr>
            </w:pPr>
            <w:r>
              <w:rPr>
                <w:rFonts w:hint="eastAsia" w:ascii="宋体" w:hAnsi="宋体" w:cs="宋体"/>
                <w:bCs/>
                <w:szCs w:val="21"/>
                <w:highlight w:val="none"/>
              </w:rPr>
              <w:t>评标委员会构成：5人</w:t>
            </w:r>
          </w:p>
          <w:p>
            <w:pPr>
              <w:snapToGrid w:val="0"/>
              <w:ind w:firstLine="0" w:firstLineChars="0"/>
              <w:rPr>
                <w:rFonts w:hint="eastAsia" w:ascii="宋体" w:hAnsi="宋体" w:cs="宋体"/>
                <w:bCs/>
                <w:szCs w:val="21"/>
                <w:highlight w:val="none"/>
              </w:rPr>
            </w:pPr>
            <w:r>
              <w:rPr>
                <w:rFonts w:hint="eastAsia" w:ascii="宋体" w:hAnsi="宋体" w:cs="宋体"/>
                <w:bCs/>
                <w:szCs w:val="21"/>
                <w:highlight w:val="none"/>
              </w:rPr>
              <w:t>其中招标人代表1人，专家4人；</w:t>
            </w:r>
          </w:p>
          <w:p>
            <w:pPr>
              <w:snapToGrid w:val="0"/>
              <w:ind w:firstLine="0" w:firstLineChars="0"/>
              <w:rPr>
                <w:rFonts w:hint="eastAsia" w:ascii="宋体" w:hAnsi="宋体" w:cs="宋体"/>
                <w:kern w:val="0"/>
                <w:highlight w:val="none"/>
              </w:rPr>
            </w:pPr>
            <w:r>
              <w:rPr>
                <w:rFonts w:hint="eastAsia" w:ascii="宋体" w:hAnsi="宋体" w:cs="宋体"/>
                <w:bCs/>
                <w:szCs w:val="21"/>
                <w:highlight w:val="none"/>
              </w:rPr>
              <w:t>评标专家确定方式：随机抽取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6.3.2</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评标委员会推荐中标候选人的人数</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7.1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中标候选人公示媒介及期限</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公示媒介：</w:t>
            </w:r>
            <w:r>
              <w:rPr>
                <w:rFonts w:hint="eastAsia" w:ascii="宋体" w:hAnsi="宋体" w:cs="宋体"/>
                <w:color w:val="auto"/>
                <w:kern w:val="0"/>
                <w:highlight w:val="none"/>
              </w:rPr>
              <w:t>中国招标投标公共服务平台、江苏省招标投标公共服务平台、中招联合招标采购平台</w:t>
            </w:r>
            <w:r>
              <w:rPr>
                <w:rFonts w:hint="eastAsia" w:ascii="宋体" w:hAnsi="宋体" w:cs="宋体"/>
                <w:color w:val="auto"/>
                <w:kern w:val="0"/>
                <w:highlight w:val="none"/>
                <w:lang w:eastAsia="zh-CN"/>
              </w:rPr>
              <w:t>、</w:t>
            </w:r>
            <w:r>
              <w:rPr>
                <w:rFonts w:hint="eastAsia" w:ascii="宋体" w:hAnsi="宋体" w:eastAsia="宋体" w:cs="宋体"/>
                <w:color w:val="auto"/>
                <w:kern w:val="0"/>
                <w:szCs w:val="21"/>
                <w:highlight w:val="none"/>
              </w:rPr>
              <w:t>扬州市公共资源交易服务平台、扬州市城建国有资产控股（集团）有限责任公司网站、江苏长江水务股份有限公司网站</w:t>
            </w:r>
          </w:p>
          <w:p>
            <w:pPr>
              <w:snapToGrid w:val="0"/>
              <w:ind w:firstLine="0" w:firstLineChars="0"/>
              <w:rPr>
                <w:rFonts w:hint="eastAsia" w:ascii="宋体" w:hAnsi="宋体" w:cs="宋体"/>
                <w:kern w:val="0"/>
                <w:highlight w:val="none"/>
              </w:rPr>
            </w:pPr>
            <w:r>
              <w:rPr>
                <w:rFonts w:hint="eastAsia" w:ascii="宋体" w:hAnsi="宋体" w:cs="宋体"/>
                <w:kern w:val="0"/>
                <w:highlight w:val="none"/>
              </w:rPr>
              <w:t>公示期限：不少于3日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7.4</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是否授权评标委员会确定中标人</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sym w:font="Wingdings 2" w:char="00A3"/>
            </w:r>
            <w:r>
              <w:rPr>
                <w:rFonts w:hint="eastAsia" w:ascii="宋体" w:hAnsi="宋体" w:cs="宋体"/>
                <w:kern w:val="0"/>
                <w:highlight w:val="none"/>
              </w:rPr>
              <w:t>是</w:t>
            </w:r>
          </w:p>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否，招标人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7.6.1</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履约保证金</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是否要求中标人提交履约保证金：</w:t>
            </w:r>
          </w:p>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要求，</w:t>
            </w:r>
            <w:r>
              <w:rPr>
                <w:rFonts w:hint="eastAsia" w:ascii="宋体" w:hAnsi="宋体" w:cs="宋体"/>
                <w:kern w:val="0"/>
                <w:highlight w:val="none"/>
                <w:lang w:val="en-US" w:eastAsia="zh-CN"/>
              </w:rPr>
              <w:t>中标金额的10%，</w:t>
            </w:r>
            <w:r>
              <w:rPr>
                <w:rFonts w:hint="eastAsia" w:ascii="宋体" w:hAnsi="宋体" w:cs="宋体"/>
                <w:kern w:val="0"/>
                <w:highlight w:val="none"/>
              </w:rPr>
              <w:t>履约保证金的形式：</w:t>
            </w:r>
            <w:r>
              <w:rPr>
                <w:rFonts w:hint="eastAsia" w:ascii="宋体" w:hAnsi="宋体"/>
                <w:color w:val="000000"/>
                <w:sz w:val="21"/>
                <w:szCs w:val="21"/>
                <w:highlight w:val="none"/>
              </w:rPr>
              <w:t>银行汇票</w:t>
            </w: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银行保函</w:t>
            </w:r>
            <w:r>
              <w:rPr>
                <w:rFonts w:hint="eastAsia" w:ascii="宋体" w:hAnsi="宋体"/>
                <w:color w:val="000000"/>
                <w:sz w:val="21"/>
                <w:szCs w:val="21"/>
                <w:highlight w:val="none"/>
              </w:rPr>
              <w:t>或现金支票。</w:t>
            </w:r>
          </w:p>
          <w:p>
            <w:pPr>
              <w:snapToGrid w:val="0"/>
              <w:ind w:firstLine="0" w:firstLineChars="0"/>
              <w:rPr>
                <w:rFonts w:hint="eastAsia" w:ascii="宋体" w:hAnsi="宋体" w:cs="宋体"/>
                <w:kern w:val="0"/>
                <w:highlight w:val="none"/>
              </w:rPr>
            </w:pPr>
            <w:r>
              <w:rPr>
                <w:rFonts w:hint="eastAsia" w:ascii="宋体" w:hAnsi="宋体" w:cs="宋体"/>
                <w:kern w:val="0"/>
                <w:highlight w:val="none"/>
              </w:rPr>
              <w:sym w:font="Wingdings 2" w:char="00A3"/>
            </w:r>
            <w:r>
              <w:rPr>
                <w:rFonts w:hint="eastAsia" w:ascii="宋体" w:hAnsi="宋体" w:cs="宋体"/>
                <w:kern w:val="0"/>
                <w:highlight w:val="none"/>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9</w:t>
            </w:r>
          </w:p>
        </w:tc>
        <w:tc>
          <w:tcPr>
            <w:tcW w:w="1843" w:type="dxa"/>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是否采用电子招标投标</w:t>
            </w: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否</w:t>
            </w:r>
          </w:p>
          <w:p>
            <w:pPr>
              <w:snapToGrid w:val="0"/>
              <w:ind w:firstLine="0" w:firstLineChars="0"/>
              <w:rPr>
                <w:rFonts w:hint="eastAsia" w:ascii="宋体" w:hAnsi="宋体" w:cs="宋体"/>
                <w:kern w:val="0"/>
                <w:highlight w:val="none"/>
              </w:rPr>
            </w:pPr>
            <w:r>
              <w:rPr>
                <w:rFonts w:hint="eastAsia" w:ascii="宋体" w:hAnsi="宋体" w:cs="宋体"/>
                <w:kern w:val="0"/>
                <w:highlight w:val="none"/>
              </w:rPr>
              <w:sym w:font="Wingdings 2" w:char="00A3"/>
            </w:r>
            <w:r>
              <w:rPr>
                <w:rFonts w:hint="eastAsia" w:ascii="宋体" w:hAnsi="宋体" w:cs="宋体"/>
                <w:kern w:val="0"/>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59" w:type="dxa"/>
            <w:vMerge w:val="restart"/>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10</w:t>
            </w:r>
          </w:p>
        </w:tc>
        <w:tc>
          <w:tcPr>
            <w:tcW w:w="1843" w:type="dxa"/>
            <w:vMerge w:val="restart"/>
            <w:noWrap w:val="0"/>
            <w:vAlign w:val="center"/>
          </w:tcPr>
          <w:p>
            <w:pPr>
              <w:snapToGrid w:val="0"/>
              <w:ind w:firstLine="0" w:firstLineChars="0"/>
              <w:jc w:val="center"/>
              <w:rPr>
                <w:rFonts w:hint="eastAsia" w:ascii="宋体" w:hAnsi="宋体" w:cs="宋体"/>
                <w:kern w:val="0"/>
                <w:highlight w:val="none"/>
              </w:rPr>
            </w:pPr>
            <w:r>
              <w:rPr>
                <w:rFonts w:hint="eastAsia" w:ascii="宋体" w:hAnsi="宋体" w:cs="宋体"/>
                <w:kern w:val="0"/>
                <w:highlight w:val="none"/>
              </w:rPr>
              <w:t>需要补充的其他内容</w:t>
            </w:r>
          </w:p>
        </w:tc>
        <w:tc>
          <w:tcPr>
            <w:tcW w:w="5726" w:type="dxa"/>
            <w:noWrap w:val="0"/>
            <w:vAlign w:val="center"/>
          </w:tcPr>
          <w:p>
            <w:pPr>
              <w:snapToGrid w:val="0"/>
              <w:ind w:firstLine="0" w:firstLineChars="0"/>
              <w:rPr>
                <w:rFonts w:hint="eastAsia" w:ascii="宋体" w:hAnsi="宋体" w:cs="宋体"/>
                <w:color w:val="auto"/>
                <w:kern w:val="0"/>
                <w:szCs w:val="21"/>
                <w:highlight w:val="none"/>
              </w:rPr>
            </w:pPr>
            <w:r>
              <w:rPr>
                <w:rFonts w:hint="eastAsia" w:ascii="宋体" w:hAnsi="宋体" w:cs="宋体"/>
                <w:color w:val="auto"/>
                <w:kern w:val="0"/>
                <w:szCs w:val="21"/>
                <w:highlight w:val="none"/>
              </w:rPr>
              <w:t>10.1费用</w:t>
            </w:r>
          </w:p>
          <w:p>
            <w:pPr>
              <w:snapToGrid w:val="0"/>
              <w:ind w:firstLine="0" w:firstLineChars="0"/>
              <w:rPr>
                <w:rFonts w:hint="eastAsia" w:ascii="宋体" w:hAnsi="宋体" w:cs="宋体"/>
                <w:color w:val="auto"/>
                <w:kern w:val="0"/>
                <w:szCs w:val="21"/>
                <w:highlight w:val="none"/>
              </w:rPr>
            </w:pPr>
            <w:r>
              <w:rPr>
                <w:rFonts w:hint="eastAsia" w:ascii="宋体" w:hAnsi="宋体" w:cs="宋体"/>
                <w:color w:val="auto"/>
                <w:kern w:val="0"/>
                <w:szCs w:val="21"/>
                <w:highlight w:val="none"/>
              </w:rPr>
              <w:t>10.1.1招标代理服务费用由招标代理机构在退还中标人投标保证金时向中标人收取，发票由招标代理机构开具。具体标准为：</w:t>
            </w:r>
            <w:r>
              <w:rPr>
                <w:rFonts w:hint="eastAsia" w:ascii="宋体" w:hAnsi="宋体" w:eastAsia="宋体" w:cs="宋体"/>
                <w:color w:val="auto"/>
                <w:kern w:val="0"/>
                <w:szCs w:val="21"/>
                <w:highlight w:val="none"/>
              </w:rPr>
              <w:t>按照国家计价格[2011]534号文的招标代理服务费收费标准*3</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%执行。</w:t>
            </w:r>
          </w:p>
          <w:p>
            <w:pPr>
              <w:snapToGrid w:val="0"/>
              <w:ind w:firstLine="0" w:firstLineChars="0"/>
              <w:rPr>
                <w:rFonts w:hint="eastAsia" w:ascii="宋体" w:hAnsi="宋体" w:cs="宋体"/>
                <w:kern w:val="0"/>
                <w:highlight w:val="none"/>
              </w:rPr>
            </w:pPr>
            <w:r>
              <w:rPr>
                <w:rFonts w:hint="eastAsia" w:ascii="宋体" w:hAnsi="宋体" w:cs="宋体"/>
                <w:color w:val="auto"/>
                <w:kern w:val="0"/>
                <w:szCs w:val="21"/>
                <w:highlight w:val="none"/>
              </w:rPr>
              <w:t>10.1.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除中标人在投标文件另有声明外，中标人允许招标代理机构在其投标保证金中直接扣除公证服务费用，余款仍将退还中标人。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59" w:type="dxa"/>
            <w:vMerge w:val="continue"/>
            <w:noWrap w:val="0"/>
            <w:vAlign w:val="center"/>
          </w:tcPr>
          <w:p>
            <w:pPr>
              <w:snapToGrid w:val="0"/>
              <w:ind w:firstLine="0" w:firstLineChars="0"/>
              <w:jc w:val="center"/>
              <w:rPr>
                <w:rFonts w:hint="eastAsia" w:ascii="宋体" w:hAnsi="宋体" w:cs="宋体"/>
                <w:kern w:val="0"/>
                <w:highlight w:val="none"/>
              </w:rPr>
            </w:pPr>
          </w:p>
        </w:tc>
        <w:tc>
          <w:tcPr>
            <w:tcW w:w="1843" w:type="dxa"/>
            <w:vMerge w:val="continue"/>
            <w:noWrap w:val="0"/>
            <w:vAlign w:val="center"/>
          </w:tcPr>
          <w:p>
            <w:pPr>
              <w:snapToGrid w:val="0"/>
              <w:ind w:firstLine="0" w:firstLineChars="0"/>
              <w:jc w:val="center"/>
              <w:rPr>
                <w:rFonts w:hint="eastAsia" w:ascii="宋体" w:hAnsi="宋体" w:cs="宋体"/>
                <w:kern w:val="0"/>
                <w:highlight w:val="none"/>
              </w:rPr>
            </w:pPr>
          </w:p>
        </w:tc>
        <w:tc>
          <w:tcPr>
            <w:tcW w:w="5726" w:type="dxa"/>
            <w:noWrap w:val="0"/>
            <w:vAlign w:val="center"/>
          </w:tcPr>
          <w:p>
            <w:pPr>
              <w:snapToGrid w:val="0"/>
              <w:ind w:firstLine="0" w:firstLineChars="0"/>
              <w:rPr>
                <w:rFonts w:hint="eastAsia" w:ascii="宋体" w:hAnsi="宋体" w:cs="宋体"/>
                <w:kern w:val="0"/>
                <w:highlight w:val="none"/>
              </w:rPr>
            </w:pPr>
            <w:r>
              <w:rPr>
                <w:rFonts w:hint="eastAsia" w:ascii="宋体" w:hAnsi="宋体" w:cs="宋体"/>
                <w:kern w:val="0"/>
                <w:highlight w:val="none"/>
              </w:rPr>
              <w:t>10.2重新招标</w:t>
            </w:r>
          </w:p>
          <w:p>
            <w:pPr>
              <w:snapToGrid w:val="0"/>
              <w:ind w:firstLine="0" w:firstLineChars="0"/>
              <w:rPr>
                <w:rFonts w:hint="eastAsia" w:ascii="宋体" w:hAnsi="宋体" w:cs="宋体"/>
                <w:kern w:val="0"/>
                <w:highlight w:val="none"/>
              </w:rPr>
            </w:pPr>
            <w:r>
              <w:rPr>
                <w:rFonts w:hint="eastAsia" w:ascii="宋体" w:hAnsi="宋体" w:cs="宋体"/>
                <w:kern w:val="0"/>
                <w:highlight w:val="none"/>
              </w:rPr>
              <w:t>10.2.1有下列情形之一的，招标人将重新招标：</w:t>
            </w:r>
          </w:p>
          <w:p>
            <w:pPr>
              <w:snapToGrid w:val="0"/>
              <w:ind w:firstLine="0" w:firstLineChars="0"/>
              <w:rPr>
                <w:rFonts w:hint="eastAsia" w:ascii="宋体" w:hAnsi="宋体" w:cs="宋体"/>
                <w:kern w:val="0"/>
                <w:highlight w:val="none"/>
              </w:rPr>
            </w:pPr>
            <w:r>
              <w:rPr>
                <w:rFonts w:hint="eastAsia" w:ascii="宋体" w:hAnsi="宋体" w:cs="宋体"/>
                <w:kern w:val="0"/>
                <w:highlight w:val="none"/>
              </w:rPr>
              <w:t>（1）招标文件获取截止时间止，获取招标文件的潜在投标人少于3个的；</w:t>
            </w:r>
          </w:p>
          <w:p>
            <w:pPr>
              <w:snapToGrid w:val="0"/>
              <w:ind w:firstLine="0" w:firstLineChars="0"/>
              <w:rPr>
                <w:rFonts w:hint="eastAsia" w:ascii="宋体" w:hAnsi="宋体" w:cs="宋体"/>
                <w:kern w:val="0"/>
                <w:highlight w:val="none"/>
              </w:rPr>
            </w:pPr>
            <w:r>
              <w:rPr>
                <w:rFonts w:hint="eastAsia" w:ascii="宋体" w:hAnsi="宋体" w:cs="宋体"/>
                <w:kern w:val="0"/>
                <w:highlight w:val="none"/>
              </w:rPr>
              <w:t>（2）投标截止时间止，提交投标文件的投标人少于3个的；</w:t>
            </w:r>
          </w:p>
          <w:p>
            <w:pPr>
              <w:snapToGrid w:val="0"/>
              <w:ind w:firstLine="0" w:firstLineChars="0"/>
              <w:rPr>
                <w:rFonts w:hint="eastAsia" w:ascii="宋体" w:hAnsi="宋体" w:cs="宋体"/>
                <w:kern w:val="0"/>
                <w:highlight w:val="none"/>
              </w:rPr>
            </w:pPr>
            <w:r>
              <w:rPr>
                <w:rFonts w:hint="eastAsia" w:ascii="宋体" w:hAnsi="宋体" w:cs="宋体"/>
                <w:kern w:val="0"/>
                <w:highlight w:val="none"/>
              </w:rPr>
              <w:t>（3）经评标委员会评审后否决所有投标的；</w:t>
            </w:r>
          </w:p>
          <w:p>
            <w:pPr>
              <w:snapToGrid w:val="0"/>
              <w:ind w:firstLine="0" w:firstLineChars="0"/>
              <w:rPr>
                <w:rFonts w:hint="eastAsia" w:ascii="宋体" w:hAnsi="宋体" w:cs="宋体"/>
                <w:kern w:val="0"/>
                <w:highlight w:val="none"/>
              </w:rPr>
            </w:pPr>
            <w:r>
              <w:rPr>
                <w:rFonts w:hint="eastAsia" w:ascii="宋体" w:hAnsi="宋体" w:cs="宋体"/>
                <w:kern w:val="0"/>
                <w:highlight w:val="none"/>
              </w:rPr>
              <w:t>（4）评标委员会否决一部分投标后其他有效投标不足3个使得投标明显缺乏竞争，决定否决全部投标的；</w:t>
            </w:r>
          </w:p>
          <w:p>
            <w:pPr>
              <w:snapToGrid w:val="0"/>
              <w:ind w:firstLine="0" w:firstLineChars="0"/>
              <w:rPr>
                <w:rFonts w:hint="eastAsia" w:ascii="宋体" w:hAnsi="宋体" w:cs="宋体"/>
                <w:kern w:val="0"/>
                <w:highlight w:val="none"/>
              </w:rPr>
            </w:pPr>
            <w:r>
              <w:rPr>
                <w:rFonts w:hint="eastAsia" w:ascii="宋体" w:hAnsi="宋体" w:cs="宋体"/>
                <w:kern w:val="0"/>
                <w:highlight w:val="none"/>
              </w:rPr>
              <w:t>（5）根据第二章第3.3.3项规定，同意延长投标有效期的投标人少于3个的；</w:t>
            </w:r>
          </w:p>
          <w:p>
            <w:pPr>
              <w:snapToGrid w:val="0"/>
              <w:ind w:firstLine="0" w:firstLineChars="0"/>
              <w:rPr>
                <w:rFonts w:hint="eastAsia" w:ascii="宋体" w:hAnsi="宋体" w:cs="宋体"/>
                <w:kern w:val="0"/>
                <w:highlight w:val="none"/>
              </w:rPr>
            </w:pPr>
            <w:r>
              <w:rPr>
                <w:rFonts w:hint="eastAsia" w:ascii="宋体" w:hAnsi="宋体" w:cs="宋体"/>
                <w:kern w:val="0"/>
                <w:highlight w:val="none"/>
              </w:rPr>
              <w:t>（6）根据第二章第7.4款规定，依次确定其他中标候选人与招标人预期差距较大，或者对招标人明显不利的。</w:t>
            </w:r>
          </w:p>
          <w:p>
            <w:pPr>
              <w:snapToGrid w:val="0"/>
              <w:ind w:firstLine="0" w:firstLineChars="0"/>
              <w:rPr>
                <w:rFonts w:hint="eastAsia" w:ascii="宋体" w:hAnsi="宋体" w:cs="宋体"/>
                <w:kern w:val="0"/>
                <w:highlight w:val="none"/>
              </w:rPr>
            </w:pPr>
            <w:r>
              <w:rPr>
                <w:rFonts w:hint="eastAsia" w:ascii="宋体" w:hAnsi="宋体" w:cs="宋体"/>
                <w:kern w:val="0"/>
                <w:highlight w:val="none"/>
              </w:rPr>
              <w:t>10.2.2有第二章第7.4款、第三章第3.1.2（2）目所列情形的投标人不得参与该项目的重新招标。</w:t>
            </w:r>
          </w:p>
          <w:p>
            <w:pPr>
              <w:snapToGrid w:val="0"/>
              <w:ind w:firstLine="0" w:firstLineChars="0"/>
              <w:rPr>
                <w:rFonts w:hint="eastAsia" w:ascii="宋体" w:hAnsi="宋体" w:cs="宋体"/>
                <w:kern w:val="0"/>
                <w:highlight w:val="none"/>
              </w:rPr>
            </w:pPr>
            <w:r>
              <w:rPr>
                <w:rFonts w:hint="eastAsia" w:ascii="宋体" w:hAnsi="宋体" w:cs="宋体"/>
                <w:kern w:val="0"/>
                <w:highlight w:val="none"/>
              </w:rPr>
              <w:t>10.2.3重新招标后仍存在第二章第10.2.1项情形的，按国家有关规定需要履行审批、核准手续的依法必须进行招标的项目，报项目审批、核准部门审批、核准后可以不再进行招标；其他工程建设项目，招标人可自行决定不再进行招标。</w:t>
            </w:r>
          </w:p>
          <w:p>
            <w:pPr>
              <w:snapToGrid w:val="0"/>
              <w:ind w:firstLine="0" w:firstLineChars="0"/>
              <w:rPr>
                <w:rFonts w:hint="eastAsia" w:ascii="宋体" w:hAnsi="宋体" w:cs="宋体"/>
                <w:kern w:val="0"/>
                <w:highlight w:val="none"/>
              </w:rPr>
            </w:pPr>
            <w:r>
              <w:rPr>
                <w:rFonts w:hint="eastAsia" w:ascii="宋体" w:hAnsi="宋体" w:cs="宋体"/>
                <w:kern w:val="0"/>
                <w:highlight w:val="none"/>
              </w:rPr>
              <w:t>不再进行招标的项目，如有两家投标，招标人可进行两家开标；如只有一家投标，经评标委员会评审认可后，招标人可进行谈判采购。</w:t>
            </w:r>
          </w:p>
        </w:tc>
      </w:tr>
    </w:tbl>
    <w:p>
      <w:pPr>
        <w:pStyle w:val="4"/>
        <w:snapToGrid w:val="0"/>
        <w:spacing w:before="0" w:after="0" w:line="360" w:lineRule="auto"/>
        <w:rPr>
          <w:rFonts w:hint="eastAsia" w:ascii="宋体" w:hAnsi="宋体" w:cs="宋体"/>
          <w:kern w:val="0"/>
          <w:highlight w:val="none"/>
        </w:rPr>
      </w:pPr>
      <w:bookmarkStart w:id="73" w:name="_Toc30730"/>
      <w:bookmarkStart w:id="74" w:name="_Toc5019"/>
      <w:bookmarkStart w:id="75" w:name="_Toc21971"/>
      <w:bookmarkStart w:id="76" w:name="_Toc20977"/>
    </w:p>
    <w:p>
      <w:pPr>
        <w:pStyle w:val="4"/>
        <w:snapToGrid w:val="0"/>
        <w:spacing w:before="0" w:after="0" w:line="360" w:lineRule="auto"/>
        <w:rPr>
          <w:rFonts w:hint="eastAsia" w:ascii="宋体" w:hAnsi="宋体" w:cs="宋体"/>
          <w:kern w:val="0"/>
          <w:highlight w:val="none"/>
        </w:rPr>
      </w:pPr>
      <w:r>
        <w:rPr>
          <w:rFonts w:hint="eastAsia" w:ascii="宋体" w:hAnsi="宋体" w:cs="宋体"/>
          <w:kern w:val="0"/>
          <w:highlight w:val="none"/>
        </w:rPr>
        <w:br w:type="page"/>
      </w:r>
      <w:bookmarkStart w:id="77" w:name="_Toc20604"/>
      <w:r>
        <w:rPr>
          <w:rFonts w:hint="eastAsia" w:ascii="宋体" w:hAnsi="宋体" w:cs="宋体"/>
          <w:kern w:val="0"/>
          <w:highlight w:val="none"/>
        </w:rPr>
        <w:t>1.总则</w:t>
      </w:r>
      <w:bookmarkEnd w:id="73"/>
      <w:bookmarkEnd w:id="74"/>
      <w:bookmarkEnd w:id="75"/>
      <w:bookmarkEnd w:id="76"/>
      <w:bookmarkEnd w:id="77"/>
    </w:p>
    <w:p>
      <w:pPr>
        <w:snapToGrid w:val="0"/>
        <w:spacing w:line="360" w:lineRule="auto"/>
        <w:rPr>
          <w:rFonts w:hint="eastAsia" w:ascii="宋体" w:hAnsi="宋体" w:cs="宋体"/>
          <w:kern w:val="0"/>
          <w:highlight w:val="none"/>
        </w:rPr>
      </w:pPr>
      <w:bookmarkStart w:id="78" w:name="_Toc2172"/>
      <w:bookmarkStart w:id="79" w:name="_Toc3122"/>
      <w:r>
        <w:rPr>
          <w:rFonts w:hint="eastAsia" w:ascii="宋体" w:hAnsi="宋体" w:cs="宋体"/>
          <w:kern w:val="0"/>
          <w:highlight w:val="none"/>
        </w:rPr>
        <w:t>1.1招标项目概况</w:t>
      </w:r>
      <w:bookmarkEnd w:id="78"/>
      <w:bookmarkEnd w:id="79"/>
    </w:p>
    <w:p>
      <w:pPr>
        <w:snapToGrid w:val="0"/>
        <w:spacing w:line="360" w:lineRule="auto"/>
        <w:rPr>
          <w:rFonts w:hint="eastAsia" w:ascii="宋体" w:hAnsi="宋体" w:cs="宋体"/>
          <w:kern w:val="0"/>
          <w:highlight w:val="none"/>
        </w:rPr>
      </w:pPr>
      <w:r>
        <w:rPr>
          <w:rFonts w:hint="eastAsia" w:ascii="宋体" w:hAnsi="宋体" w:cs="宋体"/>
          <w:kern w:val="0"/>
          <w:highlight w:val="none"/>
        </w:rPr>
        <w:t>1.1.1根据《中华人民共和国招标投标法》、《中华人民共和国招标投标法实施条例》等有关法律、法规和规章的规定，本招标项目已具备招标条件，现对设备采购进行招标。</w:t>
      </w:r>
    </w:p>
    <w:p>
      <w:pPr>
        <w:snapToGrid w:val="0"/>
        <w:spacing w:line="360" w:lineRule="auto"/>
        <w:rPr>
          <w:rFonts w:hint="eastAsia" w:ascii="宋体" w:hAnsi="宋体" w:cs="宋体"/>
          <w:kern w:val="0"/>
          <w:highlight w:val="none"/>
        </w:rPr>
      </w:pPr>
      <w:r>
        <w:rPr>
          <w:rFonts w:hint="eastAsia" w:ascii="宋体" w:hAnsi="宋体" w:cs="宋体"/>
          <w:kern w:val="0"/>
          <w:highlight w:val="none"/>
        </w:rPr>
        <w:t>1.1.2招标人：见投标人须知前附表。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1.1.3招标代理机构：见投标人须知前附表。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1.1.4招标项目名称：见投标人须知前附表。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1.1.5工程项目名称：即招标项目所属的工程建设项目，见投标人须知前附表。</w:t>
      </w:r>
    </w:p>
    <w:p>
      <w:pPr>
        <w:snapToGrid w:val="0"/>
        <w:spacing w:line="360" w:lineRule="auto"/>
        <w:rPr>
          <w:rFonts w:hint="eastAsia" w:ascii="宋体" w:hAnsi="宋体" w:cs="宋体"/>
          <w:kern w:val="0"/>
          <w:highlight w:val="none"/>
        </w:rPr>
      </w:pPr>
      <w:bookmarkStart w:id="80" w:name="_Toc5683"/>
      <w:bookmarkStart w:id="81" w:name="_Toc27621"/>
      <w:r>
        <w:rPr>
          <w:rFonts w:hint="eastAsia" w:ascii="宋体" w:hAnsi="宋体" w:cs="宋体"/>
          <w:kern w:val="0"/>
          <w:highlight w:val="none"/>
        </w:rPr>
        <w:t>1.2招标项目的资金来源和落实情况</w:t>
      </w:r>
      <w:bookmarkEnd w:id="80"/>
      <w:bookmarkEnd w:id="81"/>
    </w:p>
    <w:p>
      <w:pPr>
        <w:snapToGrid w:val="0"/>
        <w:spacing w:line="360" w:lineRule="auto"/>
        <w:rPr>
          <w:rFonts w:hint="eastAsia" w:ascii="宋体" w:hAnsi="宋体" w:cs="宋体"/>
          <w:kern w:val="0"/>
          <w:highlight w:val="none"/>
        </w:rPr>
      </w:pPr>
      <w:r>
        <w:rPr>
          <w:rFonts w:hint="eastAsia" w:ascii="宋体" w:hAnsi="宋体" w:cs="宋体"/>
          <w:kern w:val="0"/>
          <w:highlight w:val="none"/>
        </w:rPr>
        <w:t>1.2.1资金来源及比例：见投标人须知前附表。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1.2.2资金落实情况：见投标人须知前附表。</w:t>
      </w:r>
    </w:p>
    <w:p>
      <w:pPr>
        <w:snapToGrid w:val="0"/>
        <w:spacing w:line="360" w:lineRule="auto"/>
        <w:rPr>
          <w:rFonts w:hint="eastAsia" w:ascii="宋体" w:hAnsi="宋体" w:cs="宋体"/>
          <w:kern w:val="0"/>
          <w:highlight w:val="none"/>
        </w:rPr>
      </w:pPr>
      <w:bookmarkStart w:id="82" w:name="_Toc16537"/>
      <w:bookmarkStart w:id="83" w:name="_Toc20567"/>
      <w:r>
        <w:rPr>
          <w:rFonts w:hint="eastAsia" w:ascii="宋体" w:hAnsi="宋体" w:cs="宋体"/>
          <w:kern w:val="0"/>
          <w:highlight w:val="none"/>
        </w:rPr>
        <w:t>1.3招标范围、交货期、交付地点和技术性能指标</w:t>
      </w:r>
      <w:bookmarkEnd w:id="82"/>
      <w:bookmarkEnd w:id="83"/>
    </w:p>
    <w:p>
      <w:pPr>
        <w:snapToGrid w:val="0"/>
        <w:spacing w:line="360" w:lineRule="auto"/>
        <w:rPr>
          <w:rFonts w:hint="eastAsia" w:ascii="宋体" w:hAnsi="宋体" w:cs="宋体"/>
          <w:kern w:val="0"/>
          <w:highlight w:val="none"/>
        </w:rPr>
      </w:pPr>
      <w:r>
        <w:rPr>
          <w:rFonts w:hint="eastAsia" w:ascii="宋体" w:hAnsi="宋体" w:cs="宋体"/>
          <w:kern w:val="0"/>
          <w:highlight w:val="none"/>
        </w:rPr>
        <w:t>1.3.1招标范围：见投标人须知前附表。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1.3.2交货期：见投标人须知前附表。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1.3.3交付地点：见投标人须知前附表。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1.3.4技术性能指标：见投标人须知前附表。</w:t>
      </w:r>
    </w:p>
    <w:p>
      <w:pPr>
        <w:snapToGrid w:val="0"/>
        <w:spacing w:line="360" w:lineRule="auto"/>
        <w:rPr>
          <w:rFonts w:hint="eastAsia" w:ascii="宋体" w:hAnsi="宋体" w:cs="宋体"/>
          <w:kern w:val="0"/>
          <w:highlight w:val="none"/>
        </w:rPr>
      </w:pPr>
      <w:bookmarkStart w:id="84" w:name="_Toc13957"/>
      <w:bookmarkStart w:id="85" w:name="_Toc22210"/>
      <w:r>
        <w:rPr>
          <w:rFonts w:hint="eastAsia" w:ascii="宋体" w:hAnsi="宋体" w:cs="宋体"/>
          <w:kern w:val="0"/>
          <w:highlight w:val="none"/>
        </w:rPr>
        <w:t>1.4投标人资格要求</w:t>
      </w:r>
      <w:bookmarkEnd w:id="84"/>
      <w:bookmarkEnd w:id="85"/>
    </w:p>
    <w:p>
      <w:pPr>
        <w:snapToGrid w:val="0"/>
        <w:spacing w:line="360" w:lineRule="auto"/>
        <w:rPr>
          <w:rFonts w:hint="eastAsia" w:ascii="宋体" w:hAnsi="宋体" w:cs="宋体"/>
          <w:kern w:val="0"/>
          <w:highlight w:val="none"/>
        </w:rPr>
      </w:pPr>
      <w:r>
        <w:rPr>
          <w:rFonts w:hint="eastAsia" w:ascii="宋体" w:hAnsi="宋体" w:cs="宋体"/>
          <w:kern w:val="0"/>
          <w:highlight w:val="none"/>
        </w:rPr>
        <w:t>1.4.1投标人应具备承担本招标项目资质条件、能力和信誉：</w:t>
      </w:r>
    </w:p>
    <w:p>
      <w:pPr>
        <w:snapToGrid w:val="0"/>
        <w:spacing w:line="360" w:lineRule="auto"/>
        <w:rPr>
          <w:rFonts w:hint="eastAsia" w:ascii="宋体" w:hAnsi="宋体" w:cs="宋体"/>
          <w:kern w:val="0"/>
          <w:highlight w:val="none"/>
        </w:rPr>
      </w:pPr>
      <w:r>
        <w:rPr>
          <w:rFonts w:hint="eastAsia" w:ascii="宋体" w:hAnsi="宋体" w:cs="宋体"/>
          <w:kern w:val="0"/>
          <w:highlight w:val="none"/>
        </w:rPr>
        <w:t>（1）资质要求：见投标人须知前附表；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（2）财务要求：见投标人须知前附表；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（3）业绩要求：见投标人须知前附表；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（4）信誉要求：见投标人须知前附表；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（5）其他要求：见投标人须知前附表。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投标人为代理经销商的，对投标人的资质要求包含对制造商的资质要求，对投标人的业绩要求包含对投标设备的业绩要求。</w:t>
      </w:r>
    </w:p>
    <w:p>
      <w:pPr>
        <w:snapToGrid w:val="0"/>
        <w:spacing w:line="360" w:lineRule="auto"/>
        <w:rPr>
          <w:rFonts w:hint="eastAsia" w:ascii="宋体" w:hAnsi="宋体" w:cs="宋体"/>
          <w:kern w:val="0"/>
          <w:highlight w:val="none"/>
        </w:rPr>
      </w:pPr>
      <w:r>
        <w:rPr>
          <w:rFonts w:hint="eastAsia" w:ascii="宋体" w:hAnsi="宋体" w:cs="宋体"/>
          <w:kern w:val="0"/>
          <w:highlight w:val="none"/>
        </w:rPr>
        <w:t>需要提交的相关证明材料见本章第3.5款的规定。</w:t>
      </w:r>
    </w:p>
    <w:p>
      <w:pPr>
        <w:snapToGrid w:val="0"/>
        <w:spacing w:line="360" w:lineRule="auto"/>
        <w:rPr>
          <w:rFonts w:hint="eastAsia" w:ascii="宋体" w:hAnsi="宋体" w:cs="宋体"/>
          <w:kern w:val="0"/>
          <w:highlight w:val="none"/>
        </w:rPr>
      </w:pPr>
      <w:r>
        <w:rPr>
          <w:rFonts w:hint="eastAsia" w:ascii="宋体" w:hAnsi="宋体" w:cs="宋体"/>
          <w:kern w:val="0"/>
          <w:highlight w:val="none"/>
        </w:rPr>
        <w:t>1.4.2投标人须知前附表规定接受联合体投标的，联合体除应符合本章第1.4.1项和投标人须知前附表的要求外，还应遵守以下规定：</w:t>
      </w:r>
    </w:p>
    <w:p>
      <w:pPr>
        <w:snapToGrid w:val="0"/>
        <w:spacing w:line="360" w:lineRule="auto"/>
        <w:rPr>
          <w:rFonts w:hint="eastAsia" w:ascii="宋体" w:hAnsi="宋体" w:cs="宋体"/>
          <w:kern w:val="0"/>
          <w:highlight w:val="none"/>
        </w:rPr>
      </w:pPr>
      <w:r>
        <w:rPr>
          <w:rFonts w:hint="eastAsia" w:ascii="宋体" w:hAnsi="宋体" w:cs="宋体"/>
          <w:kern w:val="0"/>
          <w:highlight w:val="none"/>
        </w:rPr>
        <w:t>（1）联合体各方应按招标文件提供的格式签订联合体协议书，明确联合体牵头人和各方权利义务，并承诺就中标项目向招标人承担连带责任；</w:t>
      </w:r>
    </w:p>
    <w:p>
      <w:pPr>
        <w:snapToGrid w:val="0"/>
        <w:spacing w:line="360" w:lineRule="auto"/>
        <w:rPr>
          <w:rFonts w:hint="eastAsia" w:ascii="宋体" w:hAnsi="宋体" w:cs="宋体"/>
          <w:kern w:val="0"/>
          <w:highlight w:val="none"/>
        </w:rPr>
      </w:pPr>
      <w:r>
        <w:rPr>
          <w:rFonts w:hint="eastAsia" w:ascii="宋体" w:hAnsi="宋体" w:cs="宋体"/>
          <w:kern w:val="0"/>
          <w:highlight w:val="none"/>
        </w:rPr>
        <w:t>（2）由同一专业的单位组成的联合体，按照资质等级较低的单位确定资质等级；</w:t>
      </w:r>
    </w:p>
    <w:p>
      <w:pPr>
        <w:snapToGrid w:val="0"/>
        <w:spacing w:line="360" w:lineRule="auto"/>
        <w:rPr>
          <w:rFonts w:hint="eastAsia" w:ascii="宋体" w:hAnsi="宋体" w:cs="宋体"/>
          <w:kern w:val="0"/>
          <w:highlight w:val="none"/>
        </w:rPr>
      </w:pPr>
      <w:r>
        <w:rPr>
          <w:rFonts w:hint="eastAsia" w:ascii="宋体" w:hAnsi="宋体" w:cs="宋体"/>
          <w:kern w:val="0"/>
          <w:highlight w:val="none"/>
        </w:rPr>
        <w:t>（3）联合体各方不得再以自己名义单独或参加其他联合体在本招标项目中投标，否则各相关投标均无效。</w:t>
      </w:r>
    </w:p>
    <w:p>
      <w:pPr>
        <w:snapToGrid w:val="0"/>
        <w:spacing w:line="360" w:lineRule="auto"/>
        <w:rPr>
          <w:rFonts w:hint="eastAsia" w:ascii="宋体" w:hAnsi="宋体" w:cs="宋体"/>
          <w:kern w:val="0"/>
          <w:highlight w:val="none"/>
        </w:rPr>
      </w:pPr>
      <w:r>
        <w:rPr>
          <w:rFonts w:hint="eastAsia" w:ascii="宋体" w:hAnsi="宋体" w:cs="宋体"/>
          <w:kern w:val="0"/>
          <w:highlight w:val="none"/>
        </w:rPr>
        <w:t>1.4.3投标人不得存在下列情形之一：</w:t>
      </w:r>
    </w:p>
    <w:p>
      <w:pPr>
        <w:snapToGrid w:val="0"/>
        <w:spacing w:line="360" w:lineRule="auto"/>
        <w:rPr>
          <w:rFonts w:hint="eastAsia" w:ascii="宋体" w:hAnsi="宋体" w:cs="宋体"/>
          <w:kern w:val="0"/>
          <w:highlight w:val="none"/>
        </w:rPr>
      </w:pPr>
      <w:r>
        <w:rPr>
          <w:rFonts w:hint="eastAsia" w:ascii="宋体" w:hAnsi="宋体" w:cs="宋体"/>
          <w:kern w:val="0"/>
          <w:highlight w:val="none"/>
        </w:rPr>
        <w:t>（1）与招标人存在利害关系且可能影响招标公正性；</w:t>
      </w:r>
    </w:p>
    <w:p>
      <w:pPr>
        <w:snapToGrid w:val="0"/>
        <w:spacing w:line="360" w:lineRule="auto"/>
        <w:rPr>
          <w:rFonts w:hint="eastAsia" w:ascii="宋体" w:hAnsi="宋体" w:cs="宋体"/>
          <w:kern w:val="0"/>
          <w:highlight w:val="none"/>
        </w:rPr>
      </w:pPr>
      <w:r>
        <w:rPr>
          <w:rFonts w:hint="eastAsia" w:ascii="宋体" w:hAnsi="宋体" w:cs="宋体"/>
          <w:kern w:val="0"/>
          <w:highlight w:val="none"/>
        </w:rPr>
        <w:t>（2）与本招标项目的其他投标人为同一个单位负责人；</w:t>
      </w:r>
    </w:p>
    <w:p>
      <w:pPr>
        <w:snapToGrid w:val="0"/>
        <w:spacing w:line="360" w:lineRule="auto"/>
        <w:rPr>
          <w:rFonts w:hint="eastAsia" w:ascii="宋体" w:hAnsi="宋体" w:cs="宋体"/>
          <w:kern w:val="0"/>
          <w:highlight w:val="none"/>
        </w:rPr>
      </w:pPr>
      <w:r>
        <w:rPr>
          <w:rFonts w:hint="eastAsia" w:ascii="宋体" w:hAnsi="宋体" w:cs="宋体"/>
          <w:kern w:val="0"/>
          <w:highlight w:val="none"/>
        </w:rPr>
        <w:t>（3）与本招标项目的其他投标人存在控股、管理关系；</w:t>
      </w:r>
    </w:p>
    <w:p>
      <w:pPr>
        <w:snapToGrid w:val="0"/>
        <w:spacing w:line="360" w:lineRule="auto"/>
        <w:rPr>
          <w:rFonts w:hint="eastAsia" w:ascii="宋体" w:hAnsi="宋体" w:cs="宋体"/>
          <w:kern w:val="0"/>
          <w:highlight w:val="none"/>
        </w:rPr>
      </w:pPr>
      <w:r>
        <w:rPr>
          <w:rFonts w:hint="eastAsia" w:ascii="宋体" w:hAnsi="宋体" w:cs="宋体"/>
          <w:kern w:val="0"/>
          <w:highlight w:val="none"/>
        </w:rPr>
        <w:t>（4）与本招标项目其他投标人代理同一个制造商同一品牌同一型号的设备投标；</w:t>
      </w:r>
    </w:p>
    <w:p>
      <w:pPr>
        <w:snapToGrid w:val="0"/>
        <w:spacing w:line="360" w:lineRule="auto"/>
        <w:rPr>
          <w:rFonts w:hint="eastAsia" w:ascii="宋体" w:hAnsi="宋体" w:cs="宋体"/>
          <w:kern w:val="0"/>
          <w:highlight w:val="none"/>
        </w:rPr>
      </w:pPr>
      <w:r>
        <w:rPr>
          <w:rFonts w:hint="eastAsia" w:ascii="宋体" w:hAnsi="宋体" w:cs="宋体"/>
          <w:kern w:val="0"/>
          <w:highlight w:val="none"/>
        </w:rPr>
        <w:t>（5）为本招标项目提供过设计、编制技术规范和其他文件的咨询服务；</w:t>
      </w:r>
    </w:p>
    <w:p>
      <w:pPr>
        <w:snapToGrid w:val="0"/>
        <w:spacing w:line="360" w:lineRule="auto"/>
        <w:rPr>
          <w:rFonts w:hint="eastAsia" w:ascii="宋体" w:hAnsi="宋体" w:cs="宋体"/>
          <w:kern w:val="0"/>
          <w:highlight w:val="none"/>
        </w:rPr>
      </w:pPr>
      <w:r>
        <w:rPr>
          <w:rFonts w:hint="eastAsia" w:ascii="宋体" w:hAnsi="宋体" w:cs="宋体"/>
          <w:kern w:val="0"/>
          <w:highlight w:val="none"/>
        </w:rPr>
        <w:t>（6）为本工程项目的相关监理人，或者与本工程项目的相关监理人存在隶属关系或者其他利害关系；</w:t>
      </w:r>
    </w:p>
    <w:p>
      <w:pPr>
        <w:snapToGrid w:val="0"/>
        <w:spacing w:line="360" w:lineRule="auto"/>
        <w:rPr>
          <w:rFonts w:hint="eastAsia" w:ascii="宋体" w:hAnsi="宋体" w:cs="宋体"/>
          <w:kern w:val="0"/>
          <w:highlight w:val="none"/>
        </w:rPr>
      </w:pPr>
      <w:r>
        <w:rPr>
          <w:rFonts w:hint="eastAsia" w:ascii="宋体" w:hAnsi="宋体" w:cs="宋体"/>
          <w:kern w:val="0"/>
          <w:highlight w:val="none"/>
        </w:rPr>
        <w:t>（7）为本招标项目的代建人；</w:t>
      </w:r>
    </w:p>
    <w:p>
      <w:pPr>
        <w:snapToGrid w:val="0"/>
        <w:spacing w:line="360" w:lineRule="auto"/>
        <w:rPr>
          <w:rFonts w:hint="eastAsia" w:ascii="宋体" w:hAnsi="宋体" w:cs="宋体"/>
          <w:kern w:val="0"/>
          <w:highlight w:val="none"/>
        </w:rPr>
      </w:pPr>
      <w:r>
        <w:rPr>
          <w:rFonts w:hint="eastAsia" w:ascii="宋体" w:hAnsi="宋体" w:cs="宋体"/>
          <w:kern w:val="0"/>
          <w:highlight w:val="none"/>
        </w:rPr>
        <w:t>（8）为本招标项目的招标代理机构；</w:t>
      </w:r>
    </w:p>
    <w:p>
      <w:pPr>
        <w:snapToGrid w:val="0"/>
        <w:spacing w:line="360" w:lineRule="auto"/>
        <w:rPr>
          <w:rFonts w:hint="eastAsia" w:ascii="宋体" w:hAnsi="宋体" w:cs="宋体"/>
          <w:kern w:val="0"/>
          <w:highlight w:val="none"/>
        </w:rPr>
      </w:pPr>
      <w:r>
        <w:rPr>
          <w:rFonts w:hint="eastAsia" w:ascii="宋体" w:hAnsi="宋体" w:cs="宋体"/>
          <w:kern w:val="0"/>
          <w:highlight w:val="none"/>
        </w:rPr>
        <w:t>（9）与本招标项目的监理人或代建人或招标代理机构同为一个法定代表人；</w:t>
      </w:r>
    </w:p>
    <w:p>
      <w:pPr>
        <w:snapToGrid w:val="0"/>
        <w:spacing w:line="360" w:lineRule="auto"/>
        <w:rPr>
          <w:rFonts w:hint="eastAsia" w:ascii="宋体" w:hAnsi="宋体" w:cs="宋体"/>
          <w:kern w:val="0"/>
          <w:highlight w:val="none"/>
        </w:rPr>
      </w:pPr>
      <w:r>
        <w:rPr>
          <w:rFonts w:hint="eastAsia" w:ascii="宋体" w:hAnsi="宋体" w:cs="宋体"/>
          <w:kern w:val="0"/>
          <w:highlight w:val="none"/>
        </w:rPr>
        <w:t>（10）与本招标项目的监理人或代建人或招标代理机构存在控股或参股关系；</w:t>
      </w:r>
    </w:p>
    <w:p>
      <w:pPr>
        <w:snapToGrid w:val="0"/>
        <w:spacing w:line="360" w:lineRule="auto"/>
        <w:rPr>
          <w:rFonts w:hint="eastAsia" w:ascii="宋体" w:hAnsi="宋体" w:cs="宋体"/>
          <w:kern w:val="0"/>
          <w:highlight w:val="none"/>
        </w:rPr>
      </w:pPr>
      <w:r>
        <w:rPr>
          <w:rFonts w:hint="eastAsia" w:ascii="宋体" w:hAnsi="宋体" w:cs="宋体"/>
          <w:kern w:val="0"/>
          <w:highlight w:val="none"/>
        </w:rPr>
        <w:t>（11）被依法暂停或者取消投标资格；</w:t>
      </w:r>
    </w:p>
    <w:p>
      <w:pPr>
        <w:snapToGrid w:val="0"/>
        <w:spacing w:line="360" w:lineRule="auto"/>
        <w:rPr>
          <w:rFonts w:hint="eastAsia" w:ascii="宋体" w:hAnsi="宋体" w:cs="宋体"/>
          <w:kern w:val="0"/>
          <w:highlight w:val="none"/>
        </w:rPr>
      </w:pPr>
      <w:r>
        <w:rPr>
          <w:rFonts w:hint="eastAsia" w:ascii="宋体" w:hAnsi="宋体" w:cs="宋体"/>
          <w:kern w:val="0"/>
          <w:highlight w:val="none"/>
        </w:rPr>
        <w:t>（12）被责令停产停业、暂扣或者吊销许可证、暂扣或者吊销执照；</w:t>
      </w:r>
    </w:p>
    <w:p>
      <w:pPr>
        <w:snapToGrid w:val="0"/>
        <w:spacing w:line="360" w:lineRule="auto"/>
        <w:rPr>
          <w:rFonts w:hint="eastAsia" w:ascii="宋体" w:hAnsi="宋体" w:cs="宋体"/>
          <w:kern w:val="0"/>
          <w:highlight w:val="none"/>
        </w:rPr>
      </w:pPr>
      <w:r>
        <w:rPr>
          <w:rFonts w:hint="eastAsia" w:ascii="宋体" w:hAnsi="宋体" w:cs="宋体"/>
          <w:kern w:val="0"/>
          <w:highlight w:val="none"/>
        </w:rPr>
        <w:t>（13）进入清算程序，或被宣告破产，或其他丧失履约能力的情形；</w:t>
      </w:r>
    </w:p>
    <w:p>
      <w:pPr>
        <w:snapToGrid w:val="0"/>
        <w:spacing w:line="360" w:lineRule="auto"/>
        <w:rPr>
          <w:rFonts w:hint="eastAsia" w:ascii="宋体" w:hAnsi="宋体" w:cs="宋体"/>
          <w:kern w:val="0"/>
          <w:highlight w:val="none"/>
        </w:rPr>
      </w:pPr>
      <w:r>
        <w:rPr>
          <w:rFonts w:hint="eastAsia" w:ascii="宋体" w:hAnsi="宋体" w:cs="宋体"/>
          <w:kern w:val="0"/>
          <w:highlight w:val="none"/>
        </w:rPr>
        <w:t>（14）在最近三年内发生重大产品质量问题（以相关行业主管部门的行政处罚决定或司法机关出具的有关法律文书为准）；</w:t>
      </w:r>
    </w:p>
    <w:p>
      <w:pPr>
        <w:snapToGrid w:val="0"/>
        <w:spacing w:line="360" w:lineRule="auto"/>
        <w:rPr>
          <w:rFonts w:hint="eastAsia" w:ascii="宋体" w:hAnsi="宋体" w:cs="宋体"/>
          <w:kern w:val="0"/>
          <w:highlight w:val="none"/>
        </w:rPr>
      </w:pPr>
      <w:r>
        <w:rPr>
          <w:rFonts w:hint="eastAsia" w:ascii="宋体" w:hAnsi="宋体" w:cs="宋体"/>
          <w:kern w:val="0"/>
          <w:highlight w:val="none"/>
        </w:rPr>
        <w:t>（15）被工商行政管理机关在全国企业信用信息公示系统中列入严重违法失信企业名单；</w:t>
      </w:r>
    </w:p>
    <w:p>
      <w:pPr>
        <w:snapToGrid w:val="0"/>
        <w:spacing w:line="360" w:lineRule="auto"/>
        <w:rPr>
          <w:rFonts w:hint="eastAsia" w:ascii="宋体" w:hAnsi="宋体" w:cs="宋体"/>
          <w:kern w:val="0"/>
          <w:highlight w:val="none"/>
        </w:rPr>
      </w:pPr>
      <w:r>
        <w:rPr>
          <w:rFonts w:hint="eastAsia" w:ascii="宋体" w:hAnsi="宋体" w:cs="宋体"/>
          <w:kern w:val="0"/>
          <w:highlight w:val="none"/>
        </w:rPr>
        <w:t>（16）被最高人民法院在“信用中国”网站（www.creditchina.gov.cn）或各级信用信息共享平台中列入失信被执行人名单；</w:t>
      </w:r>
    </w:p>
    <w:p>
      <w:pPr>
        <w:snapToGrid w:val="0"/>
        <w:spacing w:line="360" w:lineRule="auto"/>
        <w:rPr>
          <w:rFonts w:hint="eastAsia" w:ascii="宋体" w:hAnsi="宋体" w:cs="宋体"/>
          <w:kern w:val="0"/>
          <w:highlight w:val="none"/>
        </w:rPr>
      </w:pPr>
      <w:r>
        <w:rPr>
          <w:rFonts w:hint="eastAsia" w:ascii="宋体" w:hAnsi="宋体" w:cs="宋体"/>
          <w:kern w:val="0"/>
          <w:highlight w:val="none"/>
        </w:rPr>
        <w:t>（17）在近三年内投标人或其法定代表人、拟委任的项目负责人有行贿犯罪行为的；</w:t>
      </w:r>
    </w:p>
    <w:p>
      <w:pPr>
        <w:snapToGrid w:val="0"/>
        <w:spacing w:line="360" w:lineRule="auto"/>
        <w:rPr>
          <w:rFonts w:hint="eastAsia" w:ascii="宋体" w:hAnsi="宋体" w:cs="宋体"/>
          <w:kern w:val="0"/>
          <w:highlight w:val="none"/>
        </w:rPr>
      </w:pPr>
      <w:r>
        <w:rPr>
          <w:rFonts w:hint="eastAsia" w:ascii="宋体" w:hAnsi="宋体" w:cs="宋体"/>
          <w:kern w:val="0"/>
          <w:highlight w:val="none"/>
        </w:rPr>
        <w:t>（18）法律法规或投标人须知前附表规定的其他情形。</w:t>
      </w:r>
    </w:p>
    <w:p>
      <w:pPr>
        <w:snapToGrid w:val="0"/>
        <w:spacing w:line="360" w:lineRule="auto"/>
        <w:rPr>
          <w:rFonts w:hint="eastAsia" w:ascii="宋体" w:hAnsi="宋体" w:cs="宋体"/>
          <w:kern w:val="0"/>
          <w:highlight w:val="none"/>
        </w:rPr>
      </w:pPr>
      <w:bookmarkStart w:id="86" w:name="_Toc19031"/>
      <w:bookmarkStart w:id="87" w:name="_Toc18665"/>
      <w:r>
        <w:rPr>
          <w:rFonts w:hint="eastAsia" w:ascii="宋体" w:hAnsi="宋体" w:cs="宋体"/>
          <w:kern w:val="0"/>
          <w:highlight w:val="none"/>
        </w:rPr>
        <w:t>1.5费用承担</w:t>
      </w:r>
      <w:bookmarkEnd w:id="86"/>
      <w:bookmarkEnd w:id="87"/>
    </w:p>
    <w:p>
      <w:pPr>
        <w:snapToGrid w:val="0"/>
        <w:spacing w:line="360" w:lineRule="auto"/>
        <w:rPr>
          <w:rFonts w:hint="eastAsia" w:ascii="宋体" w:hAnsi="宋体" w:cs="宋体"/>
          <w:kern w:val="0"/>
          <w:highlight w:val="none"/>
        </w:rPr>
      </w:pPr>
      <w:r>
        <w:rPr>
          <w:rFonts w:hint="eastAsia" w:ascii="宋体" w:hAnsi="宋体" w:cs="宋体"/>
          <w:kern w:val="0"/>
          <w:highlight w:val="none"/>
        </w:rPr>
        <w:t>投标人准备和参加投标活动发生的费用自理。</w:t>
      </w:r>
    </w:p>
    <w:p>
      <w:pPr>
        <w:snapToGrid w:val="0"/>
        <w:spacing w:line="360" w:lineRule="auto"/>
        <w:rPr>
          <w:rFonts w:hint="eastAsia" w:ascii="宋体" w:hAnsi="宋体" w:cs="宋体"/>
          <w:kern w:val="0"/>
          <w:highlight w:val="none"/>
        </w:rPr>
      </w:pPr>
      <w:bookmarkStart w:id="88" w:name="_Toc13934"/>
      <w:bookmarkStart w:id="89" w:name="_Toc30992"/>
      <w:r>
        <w:rPr>
          <w:rFonts w:hint="eastAsia" w:ascii="宋体" w:hAnsi="宋体" w:cs="宋体"/>
          <w:kern w:val="0"/>
          <w:highlight w:val="none"/>
        </w:rPr>
        <w:t>1.6保密</w:t>
      </w:r>
      <w:bookmarkEnd w:id="88"/>
      <w:bookmarkEnd w:id="89"/>
    </w:p>
    <w:p>
      <w:pPr>
        <w:snapToGrid w:val="0"/>
        <w:spacing w:line="360" w:lineRule="auto"/>
        <w:rPr>
          <w:rFonts w:hint="eastAsia" w:ascii="宋体" w:hAnsi="宋体" w:cs="宋体"/>
          <w:kern w:val="0"/>
          <w:highlight w:val="none"/>
        </w:rPr>
      </w:pPr>
      <w:r>
        <w:rPr>
          <w:rFonts w:hint="eastAsia" w:ascii="宋体" w:hAnsi="宋体" w:cs="宋体"/>
          <w:kern w:val="0"/>
          <w:highlight w:val="none"/>
        </w:rPr>
        <w:t>参与招标投标活动的各方应对招标文件和投标文件中的商业和技术等秘密保密，否则应承担相应的法律责任。</w:t>
      </w:r>
    </w:p>
    <w:p>
      <w:pPr>
        <w:snapToGrid w:val="0"/>
        <w:spacing w:line="360" w:lineRule="auto"/>
        <w:rPr>
          <w:rFonts w:hint="eastAsia" w:ascii="宋体" w:hAnsi="宋体" w:cs="宋体"/>
          <w:kern w:val="0"/>
          <w:highlight w:val="none"/>
        </w:rPr>
      </w:pPr>
      <w:bookmarkStart w:id="90" w:name="_Toc3467"/>
      <w:bookmarkStart w:id="91" w:name="_Toc25953"/>
      <w:r>
        <w:rPr>
          <w:rFonts w:hint="eastAsia" w:ascii="宋体" w:hAnsi="宋体" w:cs="宋体"/>
          <w:kern w:val="0"/>
          <w:highlight w:val="none"/>
        </w:rPr>
        <w:t>1.7语言文字</w:t>
      </w:r>
      <w:bookmarkEnd w:id="90"/>
      <w:bookmarkEnd w:id="91"/>
    </w:p>
    <w:p>
      <w:pPr>
        <w:snapToGrid w:val="0"/>
        <w:spacing w:line="360" w:lineRule="auto"/>
        <w:rPr>
          <w:rFonts w:hint="eastAsia" w:ascii="宋体" w:hAnsi="宋体" w:cs="宋体"/>
          <w:kern w:val="0"/>
          <w:highlight w:val="none"/>
        </w:rPr>
      </w:pPr>
      <w:r>
        <w:rPr>
          <w:rFonts w:hint="eastAsia" w:ascii="宋体" w:hAnsi="宋体" w:cs="宋体"/>
          <w:kern w:val="0"/>
          <w:highlight w:val="none"/>
        </w:rPr>
        <w:t>招标投标文件使用的语言文字为中文。专用术语使用外文的，应附有中文注释。</w:t>
      </w:r>
    </w:p>
    <w:p>
      <w:pPr>
        <w:snapToGrid w:val="0"/>
        <w:spacing w:line="360" w:lineRule="auto"/>
        <w:rPr>
          <w:rFonts w:hint="eastAsia" w:ascii="宋体" w:hAnsi="宋体" w:cs="宋体"/>
          <w:kern w:val="0"/>
          <w:highlight w:val="none"/>
        </w:rPr>
      </w:pPr>
      <w:bookmarkStart w:id="92" w:name="_Toc4247"/>
      <w:bookmarkStart w:id="93" w:name="_Toc26546"/>
      <w:r>
        <w:rPr>
          <w:rFonts w:hint="eastAsia" w:ascii="宋体" w:hAnsi="宋体" w:cs="宋体"/>
          <w:kern w:val="0"/>
          <w:highlight w:val="none"/>
        </w:rPr>
        <w:t>1.8计量单位</w:t>
      </w:r>
      <w:bookmarkEnd w:id="92"/>
      <w:bookmarkEnd w:id="93"/>
    </w:p>
    <w:p>
      <w:pPr>
        <w:snapToGrid w:val="0"/>
        <w:spacing w:line="360" w:lineRule="auto"/>
        <w:rPr>
          <w:rFonts w:hint="eastAsia" w:ascii="宋体" w:hAnsi="宋体" w:cs="宋体"/>
          <w:kern w:val="0"/>
          <w:highlight w:val="none"/>
        </w:rPr>
      </w:pPr>
      <w:r>
        <w:rPr>
          <w:rFonts w:hint="eastAsia" w:ascii="宋体" w:hAnsi="宋体" w:cs="宋体"/>
          <w:kern w:val="0"/>
          <w:highlight w:val="none"/>
        </w:rPr>
        <w:t>所有计量均采用中华人民共和国法定计量单位。</w:t>
      </w:r>
    </w:p>
    <w:p>
      <w:pPr>
        <w:snapToGrid w:val="0"/>
        <w:spacing w:line="360" w:lineRule="auto"/>
        <w:rPr>
          <w:rFonts w:hint="eastAsia" w:ascii="宋体" w:hAnsi="宋体" w:cs="宋体"/>
          <w:kern w:val="0"/>
          <w:highlight w:val="none"/>
        </w:rPr>
      </w:pPr>
      <w:bookmarkStart w:id="94" w:name="_Toc7847"/>
      <w:bookmarkStart w:id="95" w:name="_Toc4655"/>
      <w:r>
        <w:rPr>
          <w:rFonts w:hint="eastAsia" w:ascii="宋体" w:hAnsi="宋体" w:cs="宋体"/>
          <w:kern w:val="0"/>
          <w:highlight w:val="none"/>
        </w:rPr>
        <w:t>1.9投标预备会</w:t>
      </w:r>
      <w:bookmarkEnd w:id="94"/>
      <w:bookmarkEnd w:id="95"/>
    </w:p>
    <w:p>
      <w:pPr>
        <w:snapToGrid w:val="0"/>
        <w:spacing w:line="360" w:lineRule="auto"/>
        <w:rPr>
          <w:rFonts w:hint="eastAsia" w:ascii="宋体" w:hAnsi="宋体" w:cs="宋体"/>
          <w:kern w:val="0"/>
          <w:highlight w:val="none"/>
        </w:rPr>
      </w:pPr>
      <w:r>
        <w:rPr>
          <w:rFonts w:hint="eastAsia" w:ascii="宋体" w:hAnsi="宋体" w:cs="宋体"/>
          <w:kern w:val="0"/>
          <w:highlight w:val="none"/>
        </w:rPr>
        <w:t>1.9.1投标人须知前附表规定召开投标预备会的，招标人按投标人须知前附表规定的时间和地点召开投标预备会，澄清投标人提出的问题。</w:t>
      </w:r>
    </w:p>
    <w:p>
      <w:pPr>
        <w:snapToGrid w:val="0"/>
        <w:spacing w:line="360" w:lineRule="auto"/>
        <w:rPr>
          <w:rFonts w:hint="eastAsia" w:ascii="宋体" w:hAnsi="宋体" w:cs="宋体"/>
          <w:kern w:val="0"/>
          <w:highlight w:val="none"/>
        </w:rPr>
      </w:pPr>
      <w:r>
        <w:rPr>
          <w:rFonts w:hint="eastAsia" w:ascii="宋体" w:hAnsi="宋体" w:cs="宋体"/>
          <w:kern w:val="0"/>
          <w:highlight w:val="none"/>
        </w:rPr>
        <w:t>1.9.2投标人应按投标人须知前附表规定的时间和形式将提出的问题送达招标人，以便招标人在会议期间澄清。</w:t>
      </w:r>
    </w:p>
    <w:p>
      <w:pPr>
        <w:snapToGrid w:val="0"/>
        <w:spacing w:line="360" w:lineRule="auto"/>
        <w:rPr>
          <w:rFonts w:hint="eastAsia" w:ascii="宋体" w:hAnsi="宋体" w:cs="宋体"/>
          <w:kern w:val="0"/>
          <w:highlight w:val="none"/>
        </w:rPr>
      </w:pPr>
      <w:r>
        <w:rPr>
          <w:rFonts w:hint="eastAsia" w:ascii="宋体" w:hAnsi="宋体" w:cs="宋体"/>
          <w:kern w:val="0"/>
          <w:highlight w:val="none"/>
        </w:rPr>
        <w:t>1.9.3投标预备会后，招标人将对投标人所提问题的澄清，以投标人须知前附表规定的形式通知所有购买招标文件的投标人。该澄清内容为招标文件的组成部分。</w:t>
      </w:r>
    </w:p>
    <w:p>
      <w:pPr>
        <w:snapToGrid w:val="0"/>
        <w:spacing w:line="360" w:lineRule="auto"/>
        <w:rPr>
          <w:rFonts w:hint="eastAsia" w:ascii="宋体" w:hAnsi="宋体" w:cs="宋体"/>
          <w:kern w:val="0"/>
          <w:highlight w:val="none"/>
        </w:rPr>
      </w:pPr>
      <w:bookmarkStart w:id="96" w:name="_Toc25802"/>
      <w:bookmarkStart w:id="97" w:name="_Toc8602"/>
      <w:r>
        <w:rPr>
          <w:rFonts w:hint="eastAsia" w:ascii="宋体" w:hAnsi="宋体" w:cs="宋体"/>
          <w:kern w:val="0"/>
          <w:highlight w:val="none"/>
        </w:rPr>
        <w:t>1.10分包</w:t>
      </w:r>
      <w:bookmarkEnd w:id="96"/>
      <w:bookmarkEnd w:id="97"/>
    </w:p>
    <w:p>
      <w:pPr>
        <w:snapToGrid w:val="0"/>
        <w:spacing w:line="360" w:lineRule="auto"/>
        <w:rPr>
          <w:rFonts w:hint="eastAsia" w:ascii="宋体" w:hAnsi="宋体" w:cs="宋体"/>
          <w:kern w:val="0"/>
          <w:highlight w:val="none"/>
        </w:rPr>
      </w:pPr>
      <w:r>
        <w:rPr>
          <w:rFonts w:hint="eastAsia" w:ascii="宋体" w:hAnsi="宋体" w:cs="宋体"/>
          <w:kern w:val="0"/>
          <w:highlight w:val="none"/>
        </w:rPr>
        <w:t>1.10.1投标人拟在中标后将中标项目的非主体设备进行分包的，应符合投标人须知前附表规定的分包内容、分包金额和资质要求等限制性条件，除投标人须知前附表规定的非主体设备外，其他工作不得分包。</w:t>
      </w:r>
    </w:p>
    <w:p>
      <w:pPr>
        <w:snapToGrid w:val="0"/>
        <w:spacing w:line="360" w:lineRule="auto"/>
        <w:rPr>
          <w:rFonts w:hint="eastAsia" w:ascii="宋体" w:hAnsi="宋体" w:cs="宋体"/>
          <w:kern w:val="0"/>
          <w:highlight w:val="none"/>
        </w:rPr>
      </w:pPr>
      <w:r>
        <w:rPr>
          <w:rFonts w:hint="eastAsia" w:ascii="宋体" w:hAnsi="宋体" w:cs="宋体"/>
          <w:kern w:val="0"/>
          <w:highlight w:val="none"/>
        </w:rPr>
        <w:t>1.10.2中标人不得向他人转让中标项目，接受分包的人不得再次分包。中标人应当就分包项目向招标人负责，接受分包的人就分包项目承担连带责任。</w:t>
      </w:r>
    </w:p>
    <w:p>
      <w:pPr>
        <w:snapToGrid w:val="0"/>
        <w:spacing w:line="360" w:lineRule="auto"/>
        <w:rPr>
          <w:rFonts w:hint="eastAsia" w:ascii="宋体" w:hAnsi="宋体" w:cs="宋体"/>
          <w:kern w:val="0"/>
          <w:highlight w:val="none"/>
        </w:rPr>
      </w:pPr>
      <w:bookmarkStart w:id="98" w:name="_Toc7456"/>
      <w:bookmarkStart w:id="99" w:name="_Toc24475"/>
      <w:r>
        <w:rPr>
          <w:rFonts w:hint="eastAsia" w:ascii="宋体" w:hAnsi="宋体" w:cs="宋体"/>
          <w:kern w:val="0"/>
          <w:highlight w:val="none"/>
        </w:rPr>
        <w:t>1.11响应和偏差</w:t>
      </w:r>
      <w:bookmarkEnd w:id="98"/>
      <w:bookmarkEnd w:id="99"/>
    </w:p>
    <w:p>
      <w:pPr>
        <w:snapToGrid w:val="0"/>
        <w:spacing w:line="360" w:lineRule="auto"/>
        <w:rPr>
          <w:rFonts w:hint="eastAsia" w:ascii="宋体" w:hAnsi="宋体" w:cs="宋体"/>
          <w:kern w:val="0"/>
          <w:highlight w:val="none"/>
        </w:rPr>
      </w:pPr>
      <w:r>
        <w:rPr>
          <w:rFonts w:hint="eastAsia" w:ascii="宋体" w:hAnsi="宋体" w:cs="宋体"/>
          <w:kern w:val="0"/>
          <w:highlight w:val="none"/>
        </w:rPr>
        <w:t>1.11.1投标文件应当对招标文件的实质性要求和条件作出满足性或更有利于招标人的响应，否则，投标人的投标将被否决。实质性要求和条件见投标人须知前附表。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1.11.2投标人应根据招标文件的要求提供投标设备技术性能指标的详细描述、技术支持资料及技术服务和质保期服务计划等内容以对招标文件作出响应。</w:t>
      </w:r>
    </w:p>
    <w:p>
      <w:pPr>
        <w:snapToGrid w:val="0"/>
        <w:spacing w:line="360" w:lineRule="auto"/>
        <w:rPr>
          <w:rFonts w:hint="eastAsia" w:ascii="宋体" w:hAnsi="宋体" w:cs="宋体"/>
          <w:kern w:val="0"/>
          <w:highlight w:val="none"/>
        </w:rPr>
      </w:pPr>
      <w:r>
        <w:rPr>
          <w:rFonts w:hint="eastAsia" w:ascii="宋体" w:hAnsi="宋体" w:cs="宋体"/>
          <w:kern w:val="0"/>
          <w:highlight w:val="none"/>
        </w:rPr>
        <w:t>1.11.3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其投标将被否决。</w:t>
      </w:r>
    </w:p>
    <w:p>
      <w:pPr>
        <w:snapToGrid w:val="0"/>
        <w:spacing w:line="360" w:lineRule="auto"/>
        <w:rPr>
          <w:rFonts w:hint="eastAsia" w:ascii="宋体" w:hAnsi="宋体" w:cs="宋体"/>
          <w:kern w:val="0"/>
          <w:highlight w:val="none"/>
        </w:rPr>
      </w:pPr>
      <w:r>
        <w:rPr>
          <w:rFonts w:hint="eastAsia" w:ascii="宋体" w:hAnsi="宋体" w:cs="宋体"/>
          <w:kern w:val="0"/>
          <w:highlight w:val="none"/>
        </w:rPr>
        <w:t>1.11.4投标人须知前附表规定了可以偏差的范围和最高偏差项数的，偏差应当符合投标人须知前附表规定的偏差范围和最高项数，超出偏差范围和最高偏差项数的投标将被否决。</w:t>
      </w:r>
    </w:p>
    <w:p>
      <w:pPr>
        <w:snapToGrid w:val="0"/>
        <w:spacing w:line="360" w:lineRule="auto"/>
        <w:rPr>
          <w:rFonts w:hint="eastAsia" w:ascii="宋体" w:hAnsi="宋体" w:cs="宋体"/>
          <w:kern w:val="0"/>
          <w:highlight w:val="none"/>
        </w:rPr>
      </w:pPr>
      <w:r>
        <w:rPr>
          <w:rFonts w:hint="eastAsia" w:ascii="宋体" w:hAnsi="宋体" w:cs="宋体"/>
          <w:kern w:val="0"/>
          <w:highlight w:val="none"/>
        </w:rPr>
        <w:t>1.11.5投标文件对招标文件的全部偏差，均应在投标文件的商务和技术偏差表中列明，除列明的内容外，视为投标人响应招标文件的全部要求。</w:t>
      </w:r>
    </w:p>
    <w:p>
      <w:pPr>
        <w:pStyle w:val="4"/>
        <w:snapToGrid w:val="0"/>
        <w:spacing w:before="0" w:after="0" w:line="360" w:lineRule="auto"/>
        <w:rPr>
          <w:rFonts w:hint="eastAsia" w:ascii="宋体" w:hAnsi="宋体" w:cs="宋体"/>
          <w:kern w:val="0"/>
          <w:highlight w:val="none"/>
        </w:rPr>
      </w:pPr>
      <w:bookmarkStart w:id="100" w:name="_Toc29561"/>
      <w:bookmarkStart w:id="101" w:name="_Toc27882"/>
      <w:bookmarkStart w:id="102" w:name="_Toc27112"/>
      <w:bookmarkStart w:id="103" w:name="_Toc11015"/>
      <w:bookmarkStart w:id="104" w:name="_Toc10270"/>
      <w:r>
        <w:rPr>
          <w:rFonts w:hint="eastAsia" w:ascii="宋体" w:hAnsi="宋体" w:cs="宋体"/>
          <w:kern w:val="0"/>
          <w:highlight w:val="none"/>
        </w:rPr>
        <w:t>2.招标文件</w:t>
      </w:r>
      <w:bookmarkEnd w:id="100"/>
      <w:bookmarkEnd w:id="101"/>
      <w:bookmarkEnd w:id="102"/>
      <w:bookmarkEnd w:id="103"/>
      <w:bookmarkEnd w:id="104"/>
    </w:p>
    <w:p>
      <w:pPr>
        <w:snapToGrid w:val="0"/>
        <w:spacing w:line="360" w:lineRule="auto"/>
        <w:rPr>
          <w:rFonts w:hint="eastAsia" w:ascii="宋体" w:hAnsi="宋体" w:cs="宋体"/>
          <w:kern w:val="0"/>
          <w:highlight w:val="none"/>
        </w:rPr>
      </w:pPr>
      <w:bookmarkStart w:id="105" w:name="_Toc20341"/>
      <w:bookmarkStart w:id="106" w:name="_Toc23403"/>
      <w:r>
        <w:rPr>
          <w:rFonts w:hint="eastAsia" w:ascii="宋体" w:hAnsi="宋体" w:cs="宋体"/>
          <w:kern w:val="0"/>
          <w:highlight w:val="none"/>
        </w:rPr>
        <w:t>2.1招标文件的组成</w:t>
      </w:r>
      <w:bookmarkEnd w:id="105"/>
      <w:bookmarkEnd w:id="106"/>
    </w:p>
    <w:p>
      <w:pPr>
        <w:snapToGrid w:val="0"/>
        <w:spacing w:line="360" w:lineRule="auto"/>
        <w:rPr>
          <w:rFonts w:hint="eastAsia" w:ascii="宋体" w:hAnsi="宋体" w:cs="宋体"/>
          <w:kern w:val="0"/>
          <w:highlight w:val="none"/>
        </w:rPr>
      </w:pPr>
      <w:r>
        <w:rPr>
          <w:rFonts w:hint="eastAsia" w:ascii="宋体" w:hAnsi="宋体" w:cs="宋体"/>
          <w:kern w:val="0"/>
          <w:highlight w:val="none"/>
        </w:rPr>
        <w:t>招标文件由两个分册组成，包括：</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第一章    投标人须知</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第二章    合同条款</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第三章    投标文件格式</w:t>
      </w:r>
    </w:p>
    <w:p>
      <w:pPr>
        <w:snapToGrid w:val="0"/>
        <w:spacing w:line="360" w:lineRule="auto"/>
        <w:rPr>
          <w:rFonts w:ascii="宋体" w:hAnsi="宋体" w:cs="宋体"/>
          <w:kern w:val="0"/>
          <w:highlight w:val="none"/>
        </w:rPr>
      </w:pPr>
      <w:r>
        <w:rPr>
          <w:rFonts w:hint="eastAsia" w:ascii="宋体" w:hAnsi="宋体" w:cs="宋体"/>
          <w:kern w:val="0"/>
          <w:highlight w:val="none"/>
        </w:rPr>
        <w:t xml:space="preserve">         第四章    招标货物技术规格</w:t>
      </w:r>
    </w:p>
    <w:p>
      <w:pPr>
        <w:snapToGrid w:val="0"/>
        <w:spacing w:line="360" w:lineRule="auto"/>
        <w:ind w:firstLine="1365" w:firstLineChars="650"/>
        <w:rPr>
          <w:rFonts w:ascii="宋体" w:hAnsi="宋体" w:cs="宋体"/>
          <w:kern w:val="0"/>
          <w:highlight w:val="none"/>
        </w:rPr>
      </w:pPr>
      <w:r>
        <w:rPr>
          <w:rFonts w:hint="eastAsia" w:ascii="宋体" w:hAnsi="宋体" w:cs="宋体"/>
          <w:kern w:val="0"/>
          <w:highlight w:val="none"/>
        </w:rPr>
        <w:t>第五章    图纸</w:t>
      </w:r>
    </w:p>
    <w:p>
      <w:pPr>
        <w:snapToGrid w:val="0"/>
        <w:spacing w:line="360" w:lineRule="auto"/>
        <w:rPr>
          <w:rFonts w:hint="eastAsia" w:ascii="宋体" w:hAnsi="宋体" w:cs="宋体"/>
          <w:kern w:val="0"/>
          <w:highlight w:val="none"/>
        </w:rPr>
      </w:pPr>
      <w:r>
        <w:rPr>
          <w:rFonts w:hint="eastAsia" w:ascii="宋体" w:hAnsi="宋体" w:cs="宋体"/>
          <w:kern w:val="0"/>
          <w:highlight w:val="none"/>
        </w:rPr>
        <w:t>根据本章第1.9款、第2.2款和第2.3款对招标文件所作的澄清、修改，构成招标文件的组成部分。</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请仔细检查招标文件是否齐全，如有缺漏，请立即与招标代理联系解决。</w:t>
      </w:r>
    </w:p>
    <w:p>
      <w:pPr>
        <w:snapToGrid w:val="0"/>
        <w:spacing w:line="360" w:lineRule="auto"/>
        <w:rPr>
          <w:rFonts w:hint="eastAsia" w:ascii="宋体" w:hAnsi="宋体" w:cs="宋体"/>
          <w:kern w:val="0"/>
          <w:highlight w:val="none"/>
        </w:rPr>
      </w:pPr>
      <w:r>
        <w:rPr>
          <w:rFonts w:ascii="宋体" w:hAnsi="宋体" w:cs="宋体"/>
          <w:kern w:val="0"/>
          <w:highlight w:val="none"/>
        </w:rPr>
        <w:t>2.1.1</w:t>
      </w:r>
      <w:r>
        <w:rPr>
          <w:rFonts w:hint="eastAsia" w:ascii="宋体" w:hAnsi="宋体" w:cs="宋体"/>
          <w:kern w:val="0"/>
          <w:highlight w:val="none"/>
        </w:rPr>
        <w:t>投标人被视为充分熟悉本招标项目所在地的与履行合同有关的各种情况，包括自然环境、气候条件、劳动力、公用设施及相关法律等，本招标文件不再对上述情况进行描述。</w:t>
      </w:r>
    </w:p>
    <w:p>
      <w:pPr>
        <w:snapToGrid w:val="0"/>
        <w:spacing w:line="360" w:lineRule="auto"/>
        <w:rPr>
          <w:rFonts w:hint="eastAsia" w:ascii="宋体" w:hAnsi="宋体" w:cs="宋体"/>
          <w:kern w:val="0"/>
          <w:highlight w:val="none"/>
        </w:rPr>
      </w:pPr>
      <w:r>
        <w:rPr>
          <w:rFonts w:ascii="宋体" w:hAnsi="宋体" w:cs="宋体"/>
          <w:kern w:val="0"/>
          <w:highlight w:val="none"/>
        </w:rPr>
        <w:t>2.1.2</w:t>
      </w:r>
      <w:r>
        <w:rPr>
          <w:rFonts w:hint="eastAsia" w:ascii="宋体" w:hAnsi="宋体" w:cs="宋体"/>
          <w:kern w:val="0"/>
          <w:highlight w:val="none"/>
        </w:rPr>
        <w:t>投标人必须详阅招标文件的所有条款、文件及表格格式。投标人若未按招标文件的要求和规范编制、提交投标文件，将有可能导致投标文件被拒绝接受。</w:t>
      </w:r>
    </w:p>
    <w:p>
      <w:pPr>
        <w:snapToGrid w:val="0"/>
        <w:spacing w:line="360" w:lineRule="auto"/>
        <w:rPr>
          <w:rFonts w:hint="eastAsia" w:ascii="宋体" w:hAnsi="宋体" w:cs="宋体"/>
          <w:kern w:val="0"/>
          <w:highlight w:val="none"/>
        </w:rPr>
      </w:pPr>
      <w:r>
        <w:rPr>
          <w:rFonts w:ascii="宋体" w:hAnsi="宋体" w:cs="宋体"/>
          <w:kern w:val="0"/>
          <w:highlight w:val="none"/>
        </w:rPr>
        <w:t>2.2</w:t>
      </w:r>
      <w:r>
        <w:rPr>
          <w:rFonts w:hint="eastAsia" w:ascii="宋体" w:hAnsi="宋体" w:cs="宋体"/>
          <w:kern w:val="0"/>
          <w:highlight w:val="none"/>
        </w:rPr>
        <w:t>招标文件的澄清</w:t>
      </w:r>
    </w:p>
    <w:p>
      <w:pPr>
        <w:snapToGrid w:val="0"/>
        <w:spacing w:line="360" w:lineRule="auto"/>
        <w:rPr>
          <w:rFonts w:hint="eastAsia" w:ascii="宋体" w:hAnsi="宋体" w:cs="宋体"/>
          <w:kern w:val="0"/>
          <w:highlight w:val="none"/>
        </w:rPr>
      </w:pPr>
      <w:r>
        <w:rPr>
          <w:rFonts w:ascii="宋体" w:hAnsi="宋体" w:cs="宋体"/>
          <w:kern w:val="0"/>
          <w:highlight w:val="none"/>
        </w:rPr>
        <w:t>2.2</w:t>
      </w:r>
      <w:r>
        <w:rPr>
          <w:rFonts w:hint="eastAsia" w:ascii="宋体" w:hAnsi="宋体" w:cs="宋体"/>
          <w:kern w:val="0"/>
          <w:highlight w:val="none"/>
        </w:rPr>
        <w:t>.1若投标人对招标文件有疑点，可用书面形式（包括信函、传真、电传、电报，下同）通知招标代理机构。招标人将以书面形式予以答复，如有必要时可将答复内容（包括所提问题，但不包括问题的来源）分发给所有购买了同一招标文件的投标人。</w:t>
      </w:r>
    </w:p>
    <w:p>
      <w:pPr>
        <w:snapToGrid w:val="0"/>
        <w:spacing w:line="360" w:lineRule="auto"/>
        <w:rPr>
          <w:rFonts w:hint="eastAsia" w:ascii="宋体" w:hAnsi="宋体" w:cs="宋体"/>
          <w:kern w:val="0"/>
          <w:highlight w:val="none"/>
        </w:rPr>
      </w:pPr>
      <w:r>
        <w:rPr>
          <w:rFonts w:ascii="宋体" w:hAnsi="宋体" w:cs="宋体"/>
          <w:kern w:val="0"/>
          <w:highlight w:val="none"/>
        </w:rPr>
        <w:t>2.3</w:t>
      </w:r>
      <w:r>
        <w:rPr>
          <w:rFonts w:hint="eastAsia" w:ascii="宋体" w:hAnsi="宋体" w:cs="宋体"/>
          <w:kern w:val="0"/>
          <w:highlight w:val="none"/>
        </w:rPr>
        <w:t>招标文件的补充</w:t>
      </w:r>
    </w:p>
    <w:p>
      <w:pPr>
        <w:snapToGrid w:val="0"/>
        <w:spacing w:line="360" w:lineRule="auto"/>
        <w:rPr>
          <w:rFonts w:hint="eastAsia" w:ascii="宋体" w:hAnsi="宋体" w:cs="宋体"/>
          <w:kern w:val="0"/>
          <w:highlight w:val="none"/>
        </w:rPr>
      </w:pPr>
      <w:r>
        <w:rPr>
          <w:rFonts w:ascii="宋体" w:hAnsi="宋体" w:cs="宋体"/>
          <w:kern w:val="0"/>
          <w:highlight w:val="none"/>
        </w:rPr>
        <w:t>2.3</w:t>
      </w:r>
      <w:r>
        <w:rPr>
          <w:rFonts w:hint="eastAsia" w:ascii="宋体" w:hAnsi="宋体" w:cs="宋体"/>
          <w:kern w:val="0"/>
          <w:highlight w:val="none"/>
        </w:rPr>
        <w:t>.1在投标截止时间前，由于需对投标人的提问进行澄清或其他任何原因，招标人及招标代理机构均可对招标文件用补充文件的方式进行修正。</w:t>
      </w:r>
    </w:p>
    <w:p>
      <w:pPr>
        <w:snapToGrid w:val="0"/>
        <w:spacing w:line="360" w:lineRule="auto"/>
        <w:rPr>
          <w:rFonts w:hint="eastAsia" w:ascii="宋体" w:hAnsi="宋体" w:cs="宋体"/>
          <w:kern w:val="0"/>
          <w:highlight w:val="none"/>
        </w:rPr>
      </w:pPr>
      <w:r>
        <w:rPr>
          <w:rFonts w:ascii="宋体" w:hAnsi="宋体" w:cs="宋体"/>
          <w:kern w:val="0"/>
          <w:highlight w:val="none"/>
        </w:rPr>
        <w:t>2.3</w:t>
      </w:r>
      <w:r>
        <w:rPr>
          <w:rFonts w:hint="eastAsia" w:ascii="宋体" w:hAnsi="宋体" w:cs="宋体"/>
          <w:kern w:val="0"/>
          <w:highlight w:val="none"/>
        </w:rPr>
        <w:t>.2对招标文件的补充，应以书面形式通知所有投标人。补充文件将作为招标文件的组成部分，对所有投标人有约束力。</w:t>
      </w:r>
    </w:p>
    <w:p>
      <w:pPr>
        <w:snapToGrid w:val="0"/>
        <w:spacing w:line="360" w:lineRule="auto"/>
        <w:rPr>
          <w:rFonts w:hint="eastAsia" w:ascii="宋体" w:hAnsi="宋体" w:cs="宋体"/>
          <w:kern w:val="0"/>
          <w:highlight w:val="none"/>
        </w:rPr>
      </w:pPr>
      <w:r>
        <w:rPr>
          <w:rFonts w:ascii="宋体" w:hAnsi="宋体" w:cs="宋体"/>
          <w:kern w:val="0"/>
          <w:highlight w:val="none"/>
        </w:rPr>
        <w:t>2.3</w:t>
      </w:r>
      <w:r>
        <w:rPr>
          <w:rFonts w:hint="eastAsia" w:ascii="宋体" w:hAnsi="宋体" w:cs="宋体"/>
          <w:kern w:val="0"/>
          <w:highlight w:val="none"/>
        </w:rPr>
        <w:t>.3为使投标人有足够的时间按招标文件的补充要求修正投标文件，招标人及招标代理机构有权决定推迟投标截止日期和开标日期，并将此变更书面通知所有购买了同一招标文件的投标人。</w:t>
      </w:r>
    </w:p>
    <w:p>
      <w:pPr>
        <w:pStyle w:val="4"/>
        <w:snapToGrid w:val="0"/>
        <w:spacing w:before="0" w:after="0" w:line="360" w:lineRule="auto"/>
        <w:rPr>
          <w:rFonts w:hint="eastAsia" w:ascii="宋体" w:hAnsi="宋体" w:cs="宋体"/>
          <w:kern w:val="0"/>
          <w:highlight w:val="none"/>
        </w:rPr>
      </w:pPr>
      <w:bookmarkStart w:id="107" w:name="_Toc409"/>
      <w:bookmarkStart w:id="108" w:name="_Toc30501"/>
      <w:bookmarkStart w:id="109" w:name="_Toc19459"/>
      <w:bookmarkStart w:id="110" w:name="_Toc27658"/>
      <w:bookmarkStart w:id="111" w:name="_Toc27946"/>
      <w:r>
        <w:rPr>
          <w:rFonts w:hint="eastAsia" w:ascii="宋体" w:hAnsi="宋体" w:cs="宋体"/>
          <w:kern w:val="0"/>
          <w:highlight w:val="none"/>
        </w:rPr>
        <w:t>3.投标文件</w:t>
      </w:r>
      <w:bookmarkEnd w:id="107"/>
      <w:bookmarkEnd w:id="108"/>
      <w:bookmarkEnd w:id="109"/>
      <w:bookmarkEnd w:id="110"/>
      <w:bookmarkEnd w:id="111"/>
    </w:p>
    <w:p>
      <w:pPr>
        <w:snapToGrid w:val="0"/>
        <w:spacing w:line="360" w:lineRule="auto"/>
        <w:rPr>
          <w:rFonts w:hint="eastAsia" w:ascii="宋体" w:hAnsi="宋体" w:cs="宋体"/>
          <w:kern w:val="0"/>
          <w:highlight w:val="none"/>
        </w:rPr>
      </w:pPr>
      <w:r>
        <w:rPr>
          <w:rFonts w:ascii="宋体" w:hAnsi="宋体" w:cs="宋体"/>
          <w:kern w:val="0"/>
          <w:highlight w:val="none"/>
        </w:rPr>
        <w:t>3.1</w:t>
      </w:r>
      <w:r>
        <w:rPr>
          <w:rFonts w:hint="eastAsia" w:ascii="宋体" w:hAnsi="宋体" w:cs="宋体"/>
          <w:kern w:val="0"/>
          <w:highlight w:val="none"/>
        </w:rPr>
        <w:t>投标文件的语言及度量衡</w:t>
      </w:r>
    </w:p>
    <w:p>
      <w:pPr>
        <w:snapToGrid w:val="0"/>
        <w:spacing w:line="360" w:lineRule="auto"/>
        <w:rPr>
          <w:rFonts w:hint="eastAsia" w:ascii="宋体" w:hAnsi="宋体" w:cs="宋体"/>
          <w:kern w:val="0"/>
          <w:highlight w:val="none"/>
        </w:rPr>
      </w:pPr>
      <w:r>
        <w:rPr>
          <w:rFonts w:ascii="宋体" w:hAnsi="宋体" w:cs="宋体"/>
          <w:kern w:val="0"/>
          <w:highlight w:val="none"/>
        </w:rPr>
        <w:t>3.1</w:t>
      </w:r>
      <w:r>
        <w:rPr>
          <w:rFonts w:hint="eastAsia" w:ascii="宋体" w:hAnsi="宋体" w:cs="宋体"/>
          <w:kern w:val="0"/>
          <w:highlight w:val="none"/>
        </w:rPr>
        <w:t>.1投标文件以及投标人与招标代理机构之间的所有书面往来都应用中文书写。</w:t>
      </w:r>
    </w:p>
    <w:p>
      <w:pPr>
        <w:snapToGrid w:val="0"/>
        <w:spacing w:line="360" w:lineRule="auto"/>
        <w:rPr>
          <w:rFonts w:hint="eastAsia" w:ascii="宋体" w:hAnsi="宋体" w:cs="宋体"/>
          <w:kern w:val="0"/>
          <w:highlight w:val="none"/>
        </w:rPr>
      </w:pPr>
      <w:r>
        <w:rPr>
          <w:rFonts w:ascii="宋体" w:hAnsi="宋体" w:cs="宋体"/>
          <w:kern w:val="0"/>
          <w:highlight w:val="none"/>
        </w:rPr>
        <w:t>3.1</w:t>
      </w:r>
      <w:r>
        <w:rPr>
          <w:rFonts w:hint="eastAsia" w:ascii="宋体" w:hAnsi="宋体" w:cs="宋体"/>
          <w:kern w:val="0"/>
          <w:highlight w:val="none"/>
        </w:rPr>
        <w:t>.2本次招标文件为中文版本，投标人填写投标文件时以中文招标文件为准。</w:t>
      </w:r>
    </w:p>
    <w:p>
      <w:pPr>
        <w:snapToGrid w:val="0"/>
        <w:spacing w:line="360" w:lineRule="auto"/>
        <w:rPr>
          <w:rFonts w:hint="eastAsia" w:ascii="宋体" w:hAnsi="宋体" w:cs="宋体"/>
          <w:kern w:val="0"/>
          <w:highlight w:val="none"/>
        </w:rPr>
      </w:pPr>
      <w:r>
        <w:rPr>
          <w:rFonts w:ascii="宋体" w:hAnsi="宋体" w:cs="宋体"/>
          <w:kern w:val="0"/>
          <w:highlight w:val="none"/>
        </w:rPr>
        <w:t>3.1</w:t>
      </w:r>
      <w:r>
        <w:rPr>
          <w:rFonts w:hint="eastAsia" w:ascii="宋体" w:hAnsi="宋体" w:cs="宋体"/>
          <w:kern w:val="0"/>
          <w:highlight w:val="none"/>
        </w:rPr>
        <w:t>.3除在技术条款中另有规定外，度量衡单位应使用国际单位制。</w:t>
      </w:r>
    </w:p>
    <w:p>
      <w:pPr>
        <w:snapToGrid w:val="0"/>
        <w:spacing w:line="360" w:lineRule="auto"/>
        <w:rPr>
          <w:rFonts w:hint="eastAsia" w:ascii="宋体" w:hAnsi="宋体" w:cs="宋体"/>
          <w:kern w:val="0"/>
          <w:highlight w:val="none"/>
        </w:rPr>
      </w:pPr>
      <w:r>
        <w:rPr>
          <w:rFonts w:ascii="宋体" w:hAnsi="宋体" w:cs="宋体"/>
          <w:kern w:val="0"/>
          <w:highlight w:val="none"/>
        </w:rPr>
        <w:t>3.2</w:t>
      </w:r>
      <w:r>
        <w:rPr>
          <w:rFonts w:hint="eastAsia" w:ascii="宋体" w:hAnsi="宋体" w:cs="宋体"/>
          <w:kern w:val="0"/>
          <w:highlight w:val="none"/>
        </w:rPr>
        <w:t>投标文件的组成</w:t>
      </w:r>
    </w:p>
    <w:p>
      <w:pPr>
        <w:snapToGrid w:val="0"/>
        <w:spacing w:line="360" w:lineRule="auto"/>
        <w:rPr>
          <w:rFonts w:hint="eastAsia" w:ascii="宋体" w:hAnsi="宋体" w:cs="宋体"/>
          <w:kern w:val="0"/>
          <w:highlight w:val="none"/>
        </w:rPr>
      </w:pPr>
      <w:r>
        <w:rPr>
          <w:rFonts w:ascii="宋体" w:hAnsi="宋体" w:cs="宋体"/>
          <w:kern w:val="0"/>
          <w:highlight w:val="none"/>
        </w:rPr>
        <w:t>3.2</w:t>
      </w:r>
      <w:r>
        <w:rPr>
          <w:rFonts w:hint="eastAsia" w:ascii="宋体" w:hAnsi="宋体" w:cs="宋体"/>
          <w:kern w:val="0"/>
          <w:highlight w:val="none"/>
        </w:rPr>
        <w:t>投标文件应包括下列部分：</w:t>
      </w:r>
    </w:p>
    <w:p>
      <w:pPr>
        <w:snapToGrid w:val="0"/>
        <w:spacing w:line="360" w:lineRule="auto"/>
        <w:rPr>
          <w:rFonts w:hint="eastAsia" w:ascii="宋体" w:hAnsi="宋体" w:cs="宋体"/>
          <w:kern w:val="0"/>
          <w:highlight w:val="none"/>
        </w:rPr>
      </w:pPr>
      <w:r>
        <w:rPr>
          <w:rFonts w:ascii="宋体" w:hAnsi="宋体" w:cs="宋体"/>
          <w:kern w:val="0"/>
          <w:highlight w:val="none"/>
        </w:rPr>
        <w:t>3.2</w:t>
      </w:r>
      <w:r>
        <w:rPr>
          <w:rFonts w:hint="eastAsia" w:ascii="宋体" w:hAnsi="宋体" w:cs="宋体"/>
          <w:kern w:val="0"/>
          <w:highlight w:val="none"/>
        </w:rPr>
        <w:t>.1投标书及其附件</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（l）投标书</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（2）投标保证金</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（3）投标分项报价表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（4）开标一览表</w:t>
      </w:r>
    </w:p>
    <w:p>
      <w:pPr>
        <w:snapToGrid w:val="0"/>
        <w:spacing w:line="360" w:lineRule="auto"/>
        <w:rPr>
          <w:rFonts w:hint="eastAsia" w:ascii="宋体" w:hAnsi="宋体" w:cs="宋体"/>
          <w:kern w:val="0"/>
          <w:highlight w:val="none"/>
        </w:rPr>
      </w:pPr>
      <w:r>
        <w:rPr>
          <w:rFonts w:ascii="宋体" w:hAnsi="宋体" w:cs="宋体"/>
          <w:kern w:val="0"/>
          <w:highlight w:val="none"/>
        </w:rPr>
        <w:t>3.2</w:t>
      </w:r>
      <w:r>
        <w:rPr>
          <w:rFonts w:hint="eastAsia" w:ascii="宋体" w:hAnsi="宋体" w:cs="宋体"/>
          <w:kern w:val="0"/>
          <w:highlight w:val="none"/>
        </w:rPr>
        <w:t>.2投标人资格证明文件</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（1）投标人概况：包括简要历史、生产的主要产品或经营业务范围、组织机构、所属集（财）团和资质条件、类似工程的业绩等。</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（2）投标人技术能力：生产水平、技术力量、装备水平及生产能力等的简要介绍。</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（3）投标人财务状况：包括开户行名称及由其开具的资信证明；固定资产原值、净值、流动资金、最近三年年产值、销售额或贸易额和利润额。</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（4）营业执照副本</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（5）授权委托书</w:t>
      </w:r>
    </w:p>
    <w:p>
      <w:pPr>
        <w:snapToGrid w:val="0"/>
        <w:spacing w:line="360" w:lineRule="auto"/>
        <w:rPr>
          <w:rFonts w:hint="eastAsia" w:ascii="宋体" w:hAnsi="宋体" w:cs="宋体"/>
          <w:kern w:val="0"/>
          <w:highlight w:val="none"/>
        </w:rPr>
      </w:pPr>
      <w:r>
        <w:rPr>
          <w:rFonts w:ascii="宋体" w:hAnsi="宋体" w:cs="宋体"/>
          <w:kern w:val="0"/>
          <w:highlight w:val="none"/>
        </w:rPr>
        <w:t>3.2</w:t>
      </w:r>
      <w:r>
        <w:rPr>
          <w:rFonts w:hint="eastAsia" w:ascii="宋体" w:hAnsi="宋体" w:cs="宋体"/>
          <w:kern w:val="0"/>
          <w:highlight w:val="none"/>
        </w:rPr>
        <w:t>.3证明货物的合格性和符合招标文件规定的文件</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（l）质量保证书</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（2）有关部门的检测报告（如有）</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（3）货物组成：对货物组成进行描述，如主机配置、备品备件、专用工具等清单，以及供货来源和分项价格表。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（4）货物技术资料</w:t>
      </w:r>
    </w:p>
    <w:p>
      <w:pPr>
        <w:snapToGrid w:val="0"/>
        <w:spacing w:line="360" w:lineRule="auto"/>
        <w:rPr>
          <w:rFonts w:hint="eastAsia" w:ascii="宋体" w:hAnsi="宋体" w:cs="宋体"/>
          <w:kern w:val="0"/>
          <w:highlight w:val="none"/>
        </w:rPr>
      </w:pPr>
      <w:r>
        <w:rPr>
          <w:rFonts w:hint="eastAsia" w:ascii="宋体" w:hAnsi="宋体" w:cs="宋体"/>
          <w:kern w:val="0"/>
          <w:highlight w:val="none"/>
        </w:rPr>
        <w:t>（5）投标货物规格偏离表：对照技术条款的要求，说明投标货物对技术规格的响应、偏差情况。</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（6）商务偏离表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（7）服务：投标人可提供的安装、调试、培训、维修等技术服务情况。</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（8）经营业绩：投标货物的制造及销售业绩，提供近三年制造同类货物的销售情况，以及在中国境内的用户名单。</w:t>
      </w:r>
    </w:p>
    <w:p>
      <w:pPr>
        <w:snapToGrid w:val="0"/>
        <w:spacing w:line="360" w:lineRule="auto"/>
        <w:rPr>
          <w:rFonts w:hint="eastAsia" w:ascii="宋体" w:hAnsi="宋体" w:cs="宋体"/>
          <w:kern w:val="0"/>
          <w:highlight w:val="none"/>
        </w:rPr>
      </w:pPr>
      <w:r>
        <w:rPr>
          <w:rFonts w:ascii="宋体" w:hAnsi="宋体" w:cs="宋体"/>
          <w:kern w:val="0"/>
          <w:highlight w:val="none"/>
        </w:rPr>
        <w:t>3.2</w:t>
      </w:r>
      <w:r>
        <w:rPr>
          <w:rFonts w:hint="eastAsia" w:ascii="宋体" w:hAnsi="宋体" w:cs="宋体"/>
          <w:kern w:val="0"/>
          <w:highlight w:val="none"/>
        </w:rPr>
        <w:t>.4其他资料（如产品样本、图纸（样）、说明书及投标人认为必要的其他资料）</w:t>
      </w:r>
    </w:p>
    <w:p>
      <w:pPr>
        <w:snapToGrid w:val="0"/>
        <w:spacing w:line="360" w:lineRule="auto"/>
        <w:rPr>
          <w:rFonts w:hint="eastAsia" w:ascii="宋体" w:hAnsi="宋体" w:cs="宋体"/>
          <w:kern w:val="0"/>
          <w:highlight w:val="none"/>
        </w:rPr>
      </w:pPr>
      <w:r>
        <w:rPr>
          <w:rFonts w:ascii="宋体" w:hAnsi="宋体" w:cs="宋体"/>
          <w:kern w:val="0"/>
          <w:highlight w:val="none"/>
        </w:rPr>
        <w:t>3.3</w:t>
      </w:r>
      <w:r>
        <w:rPr>
          <w:rFonts w:hint="eastAsia" w:ascii="宋体" w:hAnsi="宋体" w:cs="宋体"/>
          <w:kern w:val="0"/>
          <w:highlight w:val="none"/>
        </w:rPr>
        <w:t>若投标人提交的投标文件资料不全，或未对招标文件作出实质性响应，将导致投标文件被拒绝接受。</w:t>
      </w:r>
    </w:p>
    <w:p>
      <w:pPr>
        <w:snapToGrid w:val="0"/>
        <w:spacing w:line="360" w:lineRule="auto"/>
        <w:rPr>
          <w:rFonts w:hint="eastAsia" w:ascii="宋体" w:hAnsi="宋体" w:cs="宋体"/>
          <w:kern w:val="0"/>
          <w:highlight w:val="none"/>
        </w:rPr>
      </w:pPr>
      <w:r>
        <w:rPr>
          <w:rFonts w:ascii="宋体" w:hAnsi="宋体" w:cs="宋体"/>
          <w:kern w:val="0"/>
          <w:highlight w:val="none"/>
        </w:rPr>
        <w:t>3.4</w:t>
      </w:r>
      <w:r>
        <w:rPr>
          <w:rFonts w:hint="eastAsia" w:ascii="宋体" w:hAnsi="宋体" w:cs="宋体"/>
          <w:kern w:val="0"/>
          <w:highlight w:val="none"/>
        </w:rPr>
        <w:t>投标价格</w:t>
      </w:r>
    </w:p>
    <w:p>
      <w:pPr>
        <w:snapToGrid w:val="0"/>
        <w:spacing w:line="360" w:lineRule="auto"/>
        <w:rPr>
          <w:rFonts w:hint="eastAsia" w:ascii="宋体" w:hAnsi="宋体" w:cs="宋体"/>
          <w:kern w:val="0"/>
          <w:highlight w:val="none"/>
        </w:rPr>
      </w:pPr>
      <w:r>
        <w:rPr>
          <w:rFonts w:ascii="宋体" w:hAnsi="宋体" w:cs="宋体"/>
          <w:kern w:val="0"/>
          <w:highlight w:val="none"/>
        </w:rPr>
        <w:t>3.4</w:t>
      </w:r>
      <w:r>
        <w:rPr>
          <w:rFonts w:hint="eastAsia" w:ascii="宋体" w:hAnsi="宋体" w:cs="宋体"/>
          <w:kern w:val="0"/>
          <w:highlight w:val="none"/>
        </w:rPr>
        <w:t>.1每项货物只允许有一个报价，招标人不接受有任何选择的报价。</w:t>
      </w:r>
    </w:p>
    <w:p>
      <w:pPr>
        <w:snapToGrid w:val="0"/>
        <w:spacing w:line="360" w:lineRule="auto"/>
        <w:rPr>
          <w:rFonts w:hint="eastAsia" w:ascii="宋体" w:hAnsi="宋体" w:cs="宋体"/>
          <w:kern w:val="0"/>
          <w:highlight w:val="none"/>
        </w:rPr>
      </w:pPr>
      <w:r>
        <w:rPr>
          <w:rFonts w:ascii="宋体" w:hAnsi="宋体" w:cs="宋体"/>
          <w:kern w:val="0"/>
          <w:highlight w:val="none"/>
        </w:rPr>
        <w:t>3.5</w:t>
      </w:r>
      <w:r>
        <w:rPr>
          <w:rFonts w:hint="eastAsia" w:ascii="宋体" w:hAnsi="宋体" w:cs="宋体"/>
          <w:kern w:val="0"/>
          <w:highlight w:val="none"/>
        </w:rPr>
        <w:t>投标保证金</w:t>
      </w:r>
    </w:p>
    <w:p>
      <w:pPr>
        <w:snapToGrid w:val="0"/>
        <w:spacing w:line="360" w:lineRule="auto"/>
        <w:rPr>
          <w:rFonts w:hint="eastAsia" w:ascii="宋体" w:hAnsi="宋体" w:cs="宋体"/>
          <w:kern w:val="0"/>
          <w:highlight w:val="none"/>
        </w:rPr>
      </w:pPr>
      <w:r>
        <w:rPr>
          <w:rFonts w:ascii="宋体" w:hAnsi="宋体" w:cs="宋体"/>
          <w:kern w:val="0"/>
          <w:highlight w:val="none"/>
        </w:rPr>
        <w:t>3.5</w:t>
      </w:r>
      <w:r>
        <w:rPr>
          <w:rFonts w:hint="eastAsia" w:ascii="宋体" w:hAnsi="宋体" w:cs="宋体"/>
          <w:kern w:val="0"/>
          <w:highlight w:val="none"/>
        </w:rPr>
        <w:t>.1投标保证金是投标文件的组成部分。</w:t>
      </w:r>
    </w:p>
    <w:p>
      <w:pPr>
        <w:snapToGrid w:val="0"/>
        <w:spacing w:line="360" w:lineRule="auto"/>
        <w:rPr>
          <w:rFonts w:hint="eastAsia" w:ascii="宋体" w:hAnsi="宋体" w:cs="宋体"/>
          <w:kern w:val="0"/>
          <w:highlight w:val="none"/>
        </w:rPr>
      </w:pPr>
      <w:r>
        <w:rPr>
          <w:rFonts w:ascii="宋体" w:hAnsi="宋体" w:cs="宋体"/>
          <w:kern w:val="0"/>
          <w:highlight w:val="none"/>
        </w:rPr>
        <w:t>3.5</w:t>
      </w:r>
      <w:r>
        <w:rPr>
          <w:rFonts w:hint="eastAsia" w:ascii="宋体" w:hAnsi="宋体" w:cs="宋体"/>
          <w:kern w:val="0"/>
          <w:highlight w:val="none"/>
        </w:rPr>
        <w:t>.2投标保证金可采用下列形式之一。并符合下列规定：</w:t>
      </w:r>
    </w:p>
    <w:p>
      <w:pPr>
        <w:snapToGrid w:val="0"/>
        <w:spacing w:line="360" w:lineRule="auto"/>
        <w:rPr>
          <w:rFonts w:hint="eastAsia" w:ascii="宋体" w:hAnsi="宋体" w:cs="宋体"/>
          <w:kern w:val="0"/>
          <w:highlight w:val="none"/>
        </w:rPr>
      </w:pPr>
      <w:r>
        <w:rPr>
          <w:rFonts w:ascii="宋体" w:hAnsi="宋体" w:cs="宋体"/>
          <w:kern w:val="0"/>
          <w:highlight w:val="none"/>
        </w:rPr>
        <w:t>3.5</w:t>
      </w:r>
      <w:r>
        <w:rPr>
          <w:rFonts w:hint="eastAsia" w:ascii="宋体" w:hAnsi="宋体" w:cs="宋体"/>
          <w:kern w:val="0"/>
          <w:highlight w:val="none"/>
        </w:rPr>
        <w:t>.2.1银行汇票、电汇、现金，必须符合银行和财务的规定。</w:t>
      </w:r>
    </w:p>
    <w:p>
      <w:pPr>
        <w:snapToGrid w:val="0"/>
        <w:spacing w:line="360" w:lineRule="auto"/>
        <w:rPr>
          <w:rFonts w:hint="eastAsia" w:ascii="宋体" w:hAnsi="宋体" w:cs="宋体"/>
          <w:kern w:val="0"/>
          <w:highlight w:val="none"/>
        </w:rPr>
      </w:pPr>
      <w:r>
        <w:rPr>
          <w:rFonts w:ascii="宋体" w:hAnsi="宋体" w:cs="宋体"/>
          <w:kern w:val="0"/>
          <w:highlight w:val="none"/>
        </w:rPr>
        <w:t>3.5</w:t>
      </w:r>
      <w:r>
        <w:rPr>
          <w:rFonts w:hint="eastAsia" w:ascii="宋体" w:hAnsi="宋体" w:cs="宋体"/>
          <w:kern w:val="0"/>
          <w:highlight w:val="none"/>
        </w:rPr>
        <w:t>.3若投标人不按第 12.l和 12.2条规定提交投标保证金，其投标文件将被拒绝接受。</w:t>
      </w:r>
    </w:p>
    <w:p>
      <w:pPr>
        <w:snapToGrid w:val="0"/>
        <w:spacing w:line="360" w:lineRule="auto"/>
        <w:rPr>
          <w:rFonts w:hint="eastAsia" w:ascii="宋体" w:hAnsi="宋体" w:cs="宋体"/>
          <w:kern w:val="0"/>
          <w:highlight w:val="none"/>
        </w:rPr>
      </w:pPr>
      <w:r>
        <w:rPr>
          <w:rFonts w:ascii="宋体" w:hAnsi="宋体" w:cs="宋体"/>
          <w:kern w:val="0"/>
          <w:highlight w:val="none"/>
        </w:rPr>
        <w:t>3.5</w:t>
      </w:r>
      <w:r>
        <w:rPr>
          <w:rFonts w:hint="eastAsia" w:ascii="宋体" w:hAnsi="宋体" w:cs="宋体"/>
          <w:kern w:val="0"/>
          <w:highlight w:val="none"/>
        </w:rPr>
        <w:t>.4投标保证金的退还</w:t>
      </w:r>
    </w:p>
    <w:p>
      <w:pPr>
        <w:snapToGrid w:val="0"/>
        <w:spacing w:line="360" w:lineRule="auto"/>
        <w:rPr>
          <w:rFonts w:hint="eastAsia" w:ascii="宋体" w:hAnsi="宋体" w:cs="宋体"/>
          <w:kern w:val="0"/>
          <w:highlight w:val="none"/>
        </w:rPr>
      </w:pPr>
      <w:r>
        <w:rPr>
          <w:rFonts w:ascii="宋体" w:hAnsi="宋体" w:cs="宋体"/>
          <w:kern w:val="0"/>
          <w:highlight w:val="none"/>
        </w:rPr>
        <w:t>3.5</w:t>
      </w:r>
      <w:r>
        <w:rPr>
          <w:rFonts w:hint="eastAsia" w:ascii="宋体" w:hAnsi="宋体" w:cs="宋体"/>
          <w:kern w:val="0"/>
          <w:highlight w:val="none"/>
        </w:rPr>
        <w:t>.4.l未中标投标人的投标保证金在中标通知书发出后无息退还。</w:t>
      </w:r>
    </w:p>
    <w:p>
      <w:pPr>
        <w:snapToGrid w:val="0"/>
        <w:spacing w:line="360" w:lineRule="auto"/>
        <w:rPr>
          <w:rFonts w:hint="eastAsia" w:ascii="宋体" w:hAnsi="宋体" w:cs="宋体"/>
          <w:kern w:val="0"/>
          <w:highlight w:val="none"/>
        </w:rPr>
      </w:pPr>
      <w:r>
        <w:rPr>
          <w:rFonts w:ascii="宋体" w:hAnsi="宋体" w:cs="宋体"/>
          <w:kern w:val="0"/>
          <w:highlight w:val="none"/>
        </w:rPr>
        <w:t>3.5</w:t>
      </w:r>
      <w:r>
        <w:rPr>
          <w:rFonts w:hint="eastAsia" w:ascii="宋体" w:hAnsi="宋体" w:cs="宋体"/>
          <w:kern w:val="0"/>
          <w:highlight w:val="none"/>
        </w:rPr>
        <w:t>.5发生下列情况之一，投标保证金将被没收：</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（l）投标人在投标有效期内撤回投标；</w:t>
      </w:r>
    </w:p>
    <w:p>
      <w:pPr>
        <w:snapToGrid w:val="0"/>
        <w:spacing w:line="360" w:lineRule="auto"/>
        <w:rPr>
          <w:rFonts w:hint="eastAsia" w:ascii="宋体" w:hAnsi="宋体" w:cs="宋体"/>
          <w:kern w:val="0"/>
          <w:highlight w:val="none"/>
        </w:rPr>
      </w:pPr>
      <w:r>
        <w:rPr>
          <w:rFonts w:hint="eastAsia" w:ascii="宋体" w:hAnsi="宋体" w:cs="宋体"/>
          <w:kern w:val="0"/>
          <w:highlight w:val="none"/>
        </w:rPr>
        <w:t xml:space="preserve">   （2）中标人不按第29条规定签订合同。   </w:t>
      </w:r>
    </w:p>
    <w:p>
      <w:pPr>
        <w:snapToGrid w:val="0"/>
        <w:spacing w:line="360" w:lineRule="auto"/>
        <w:rPr>
          <w:rFonts w:hint="eastAsia" w:ascii="宋体" w:hAnsi="宋体" w:cs="宋体"/>
          <w:kern w:val="0"/>
          <w:highlight w:val="none"/>
        </w:rPr>
      </w:pPr>
      <w:r>
        <w:rPr>
          <w:rFonts w:ascii="宋体" w:hAnsi="宋体" w:cs="宋体"/>
          <w:kern w:val="0"/>
          <w:highlight w:val="none"/>
        </w:rPr>
        <w:t>3.6</w:t>
      </w:r>
      <w:r>
        <w:rPr>
          <w:rFonts w:hint="eastAsia" w:ascii="宋体" w:hAnsi="宋体" w:cs="宋体"/>
          <w:kern w:val="0"/>
          <w:highlight w:val="none"/>
        </w:rPr>
        <w:t>投标有效期</w:t>
      </w:r>
    </w:p>
    <w:p>
      <w:pPr>
        <w:snapToGrid w:val="0"/>
        <w:spacing w:line="360" w:lineRule="auto"/>
        <w:rPr>
          <w:rFonts w:hint="eastAsia" w:ascii="宋体" w:hAnsi="宋体" w:cs="宋体"/>
          <w:kern w:val="0"/>
          <w:highlight w:val="none"/>
        </w:rPr>
      </w:pPr>
      <w:r>
        <w:rPr>
          <w:rFonts w:ascii="宋体" w:hAnsi="宋体" w:cs="宋体"/>
          <w:kern w:val="0"/>
          <w:highlight w:val="none"/>
        </w:rPr>
        <w:t>3.6</w:t>
      </w:r>
      <w:r>
        <w:rPr>
          <w:rFonts w:hint="eastAsia" w:ascii="宋体" w:hAnsi="宋体" w:cs="宋体"/>
          <w:kern w:val="0"/>
          <w:highlight w:val="none"/>
        </w:rPr>
        <w:t>.1投标有效期为从开标之日起计算的九十天内，有效期短于此规定的投标文件将被视为无效。</w:t>
      </w:r>
    </w:p>
    <w:p>
      <w:pPr>
        <w:snapToGrid w:val="0"/>
        <w:spacing w:line="360" w:lineRule="auto"/>
        <w:rPr>
          <w:rFonts w:hint="eastAsia" w:ascii="宋体" w:hAnsi="宋体" w:cs="宋体"/>
          <w:kern w:val="0"/>
          <w:highlight w:val="none"/>
        </w:rPr>
      </w:pPr>
      <w:r>
        <w:rPr>
          <w:rFonts w:ascii="宋体" w:hAnsi="宋体" w:cs="宋体"/>
          <w:kern w:val="0"/>
          <w:highlight w:val="none"/>
        </w:rPr>
        <w:t>3.6</w:t>
      </w:r>
      <w:r>
        <w:rPr>
          <w:rFonts w:hint="eastAsia" w:ascii="宋体" w:hAnsi="宋体" w:cs="宋体"/>
          <w:kern w:val="0"/>
          <w:highlight w:val="none"/>
        </w:rPr>
        <w:t>.2在特殊情况下，招标人及招标代理机构可于投标有效期满之前，征得投标人同意延长投标有效期，要求与答复均应以书面形式进行。投标人可以拒绝接受这一要求而放弃投标，投标保证金将尽快无息退还。同意这一要求的投标人，无需也不允许修改其投标文件，但须相应延长投标保证金的有效期。受投标有效期制约的所有权利和义务均应延长至新的有效期。</w:t>
      </w:r>
    </w:p>
    <w:p>
      <w:pPr>
        <w:snapToGrid w:val="0"/>
        <w:spacing w:line="360" w:lineRule="auto"/>
        <w:rPr>
          <w:rFonts w:hint="eastAsia" w:ascii="宋体" w:hAnsi="宋体" w:cs="宋体"/>
          <w:kern w:val="0"/>
          <w:highlight w:val="none"/>
        </w:rPr>
      </w:pPr>
      <w:r>
        <w:rPr>
          <w:rFonts w:ascii="宋体" w:hAnsi="宋体" w:cs="宋体"/>
          <w:kern w:val="0"/>
          <w:highlight w:val="none"/>
        </w:rPr>
        <w:t>3.6</w:t>
      </w:r>
      <w:r>
        <w:rPr>
          <w:rFonts w:hint="eastAsia" w:ascii="宋体" w:hAnsi="宋体" w:cs="宋体"/>
          <w:kern w:val="0"/>
          <w:highlight w:val="none"/>
        </w:rPr>
        <w:t>投标文件的签署及形式</w:t>
      </w:r>
    </w:p>
    <w:p>
      <w:pPr>
        <w:snapToGrid w:val="0"/>
        <w:spacing w:line="360" w:lineRule="auto"/>
        <w:rPr>
          <w:rFonts w:hint="eastAsia" w:ascii="宋体" w:hAnsi="宋体" w:cs="宋体"/>
          <w:kern w:val="0"/>
          <w:highlight w:val="none"/>
        </w:rPr>
      </w:pPr>
      <w:r>
        <w:rPr>
          <w:rFonts w:ascii="宋体" w:hAnsi="宋体" w:cs="宋体"/>
          <w:kern w:val="0"/>
          <w:highlight w:val="none"/>
        </w:rPr>
        <w:t>3.6</w:t>
      </w:r>
      <w:r>
        <w:rPr>
          <w:rFonts w:hint="eastAsia" w:ascii="宋体" w:hAnsi="宋体" w:cs="宋体"/>
          <w:kern w:val="0"/>
          <w:highlight w:val="none"/>
        </w:rPr>
        <w:t>.l投标文件一式五份，包括一份“正本”和四份“副本”，如果它们之间有任何差异，以正本为准。</w:t>
      </w:r>
    </w:p>
    <w:p>
      <w:pPr>
        <w:snapToGrid w:val="0"/>
        <w:spacing w:line="360" w:lineRule="auto"/>
        <w:rPr>
          <w:rFonts w:hint="eastAsia" w:ascii="宋体" w:hAnsi="宋体" w:cs="宋体"/>
          <w:kern w:val="0"/>
          <w:highlight w:val="none"/>
        </w:rPr>
      </w:pPr>
      <w:r>
        <w:rPr>
          <w:rFonts w:ascii="宋体" w:hAnsi="宋体" w:cs="宋体"/>
          <w:kern w:val="0"/>
          <w:highlight w:val="none"/>
        </w:rPr>
        <w:t>3.6</w:t>
      </w:r>
      <w:r>
        <w:rPr>
          <w:rFonts w:hint="eastAsia" w:ascii="宋体" w:hAnsi="宋体" w:cs="宋体"/>
          <w:kern w:val="0"/>
          <w:highlight w:val="none"/>
        </w:rPr>
        <w:t>.2投标文件正本中，除营业执照副本、质量保证书等可提交复印件外，其他文件应尽量提交原件，文字材料需印刷、打印或用不褪色墨水书写。投标文件的正、副本须经授权代表签署。正本须签字</w:t>
      </w:r>
    </w:p>
    <w:p>
      <w:pPr>
        <w:snapToGrid w:val="0"/>
        <w:spacing w:line="360" w:lineRule="auto"/>
        <w:rPr>
          <w:rFonts w:hint="eastAsia" w:ascii="宋体" w:hAnsi="宋体" w:cs="宋体"/>
          <w:kern w:val="0"/>
          <w:highlight w:val="none"/>
        </w:rPr>
      </w:pPr>
      <w:r>
        <w:rPr>
          <w:rFonts w:ascii="宋体" w:hAnsi="宋体" w:cs="宋体"/>
          <w:kern w:val="0"/>
          <w:highlight w:val="none"/>
        </w:rPr>
        <w:t>3.6</w:t>
      </w:r>
      <w:r>
        <w:rPr>
          <w:rFonts w:hint="eastAsia" w:ascii="宋体" w:hAnsi="宋体" w:cs="宋体"/>
          <w:kern w:val="0"/>
          <w:highlight w:val="none"/>
        </w:rPr>
        <w:t>.3投标文件不应有涂改、增删之处，但如有错误必须修改时，修改处须由签署人简签。</w:t>
      </w:r>
    </w:p>
    <w:p>
      <w:pPr>
        <w:pStyle w:val="4"/>
        <w:snapToGrid w:val="0"/>
        <w:spacing w:before="0" w:after="0" w:line="360" w:lineRule="auto"/>
        <w:rPr>
          <w:rFonts w:hint="eastAsia" w:ascii="宋体" w:hAnsi="宋体" w:cs="宋体"/>
          <w:kern w:val="0"/>
          <w:highlight w:val="none"/>
        </w:rPr>
      </w:pPr>
      <w:bookmarkStart w:id="112" w:name="_Toc20354"/>
      <w:bookmarkStart w:id="113" w:name="_Toc27305"/>
      <w:bookmarkStart w:id="114" w:name="_Toc16785"/>
      <w:bookmarkStart w:id="115" w:name="_Toc27613"/>
      <w:bookmarkStart w:id="116" w:name="_Toc19236"/>
      <w:r>
        <w:rPr>
          <w:rFonts w:hint="eastAsia" w:ascii="宋体" w:hAnsi="宋体" w:cs="宋体"/>
          <w:kern w:val="0"/>
          <w:highlight w:val="none"/>
        </w:rPr>
        <w:t>4.投标</w:t>
      </w:r>
      <w:bookmarkEnd w:id="112"/>
      <w:bookmarkEnd w:id="113"/>
      <w:bookmarkEnd w:id="114"/>
      <w:bookmarkEnd w:id="115"/>
      <w:bookmarkEnd w:id="116"/>
    </w:p>
    <w:p>
      <w:pPr>
        <w:snapToGrid w:val="0"/>
        <w:spacing w:line="360" w:lineRule="auto"/>
        <w:rPr>
          <w:rFonts w:hint="eastAsia" w:ascii="宋体" w:hAnsi="宋体" w:cs="宋体"/>
          <w:kern w:val="0"/>
          <w:highlight w:val="none"/>
        </w:rPr>
      </w:pPr>
      <w:bookmarkStart w:id="117" w:name="_Toc6817"/>
      <w:bookmarkStart w:id="118" w:name="_Toc13130"/>
      <w:r>
        <w:rPr>
          <w:rFonts w:hint="eastAsia" w:ascii="宋体" w:hAnsi="宋体" w:cs="宋体"/>
          <w:kern w:val="0"/>
          <w:highlight w:val="none"/>
        </w:rPr>
        <w:t>4.1投标文件的密封和标记</w:t>
      </w:r>
      <w:bookmarkEnd w:id="117"/>
      <w:bookmarkEnd w:id="118"/>
    </w:p>
    <w:p>
      <w:pPr>
        <w:snapToGrid w:val="0"/>
        <w:spacing w:line="360" w:lineRule="auto"/>
        <w:rPr>
          <w:rFonts w:ascii="宋体" w:hAnsi="宋体" w:cs="宋体"/>
          <w:kern w:val="0"/>
          <w:highlight w:val="none"/>
        </w:rPr>
      </w:pPr>
      <w:r>
        <w:rPr>
          <w:rFonts w:hint="eastAsia" w:ascii="宋体" w:hAnsi="宋体" w:cs="宋体"/>
          <w:kern w:val="0"/>
          <w:highlight w:val="none"/>
        </w:rPr>
        <w:t>4.1.1投标文件正本和副本应密封包装，开标一览表单独密封（一式两份）放入正本密封袋中或单独密封递交，并在封套的封口处加盖投标人单位章或由投标人的法定代表人（单位负责人）或其授权的代理人签字。</w:t>
      </w:r>
    </w:p>
    <w:p>
      <w:pPr>
        <w:snapToGrid w:val="0"/>
        <w:spacing w:line="360" w:lineRule="auto"/>
        <w:rPr>
          <w:rFonts w:hint="eastAsia" w:ascii="宋体" w:hAnsi="宋体" w:cs="宋体"/>
          <w:kern w:val="0"/>
          <w:highlight w:val="none"/>
        </w:rPr>
      </w:pPr>
      <w:r>
        <w:rPr>
          <w:rFonts w:ascii="宋体" w:hAnsi="宋体" w:cs="宋体"/>
          <w:kern w:val="0"/>
          <w:highlight w:val="none"/>
        </w:rPr>
        <w:t>4.1.2</w:t>
      </w:r>
      <w:r>
        <w:rPr>
          <w:rFonts w:hint="eastAsia" w:ascii="宋体" w:hAnsi="宋体" w:cs="宋体"/>
          <w:kern w:val="0"/>
          <w:highlight w:val="none"/>
        </w:rPr>
        <w:t>投标密封袋上须注明：</w:t>
      </w:r>
    </w:p>
    <w:p>
      <w:pPr>
        <w:snapToGrid w:val="0"/>
        <w:spacing w:line="360" w:lineRule="auto"/>
        <w:rPr>
          <w:rFonts w:hint="eastAsia" w:ascii="宋体" w:hAnsi="宋体" w:cs="宋体"/>
          <w:kern w:val="0"/>
          <w:highlight w:val="none"/>
        </w:rPr>
      </w:pPr>
      <w:r>
        <w:rPr>
          <w:rFonts w:hint="eastAsia" w:ascii="宋体" w:hAnsi="宋体" w:cs="宋体"/>
          <w:kern w:val="0"/>
          <w:highlight w:val="none"/>
        </w:rPr>
        <w:t>（1）招标文件编号：</w:t>
      </w:r>
    </w:p>
    <w:p>
      <w:pPr>
        <w:snapToGrid w:val="0"/>
        <w:spacing w:line="360" w:lineRule="auto"/>
        <w:rPr>
          <w:rFonts w:hint="eastAsia" w:ascii="宋体" w:hAnsi="宋体" w:cs="宋体"/>
          <w:kern w:val="0"/>
          <w:highlight w:val="none"/>
        </w:rPr>
      </w:pPr>
      <w:r>
        <w:rPr>
          <w:rFonts w:hint="eastAsia" w:ascii="宋体" w:hAnsi="宋体" w:cs="宋体"/>
          <w:kern w:val="0"/>
          <w:highlight w:val="none"/>
        </w:rPr>
        <w:t>（2）投标人的名称等</w:t>
      </w:r>
    </w:p>
    <w:p>
      <w:pPr>
        <w:snapToGrid w:val="0"/>
        <w:spacing w:line="360" w:lineRule="auto"/>
        <w:rPr>
          <w:rFonts w:hint="eastAsia" w:ascii="宋体" w:hAnsi="宋体" w:cs="宋体"/>
          <w:kern w:val="0"/>
          <w:highlight w:val="none"/>
        </w:rPr>
      </w:pPr>
      <w:r>
        <w:rPr>
          <w:rFonts w:hint="eastAsia" w:ascii="宋体" w:hAnsi="宋体" w:cs="宋体"/>
          <w:kern w:val="0"/>
          <w:highlight w:val="none"/>
        </w:rPr>
        <w:t>（3）注明在投标截止日期前不得启封的字样。</w:t>
      </w:r>
    </w:p>
    <w:p>
      <w:pPr>
        <w:snapToGrid w:val="0"/>
        <w:spacing w:line="360" w:lineRule="auto"/>
        <w:rPr>
          <w:rFonts w:hint="eastAsia" w:ascii="宋体" w:hAnsi="宋体" w:cs="宋体"/>
          <w:kern w:val="0"/>
          <w:highlight w:val="none"/>
        </w:rPr>
      </w:pPr>
      <w:r>
        <w:rPr>
          <w:rFonts w:hint="eastAsia" w:ascii="宋体" w:hAnsi="宋体" w:cs="宋体"/>
          <w:kern w:val="0"/>
          <w:highlight w:val="none"/>
        </w:rPr>
        <w:t>4.1.</w:t>
      </w:r>
      <w:r>
        <w:rPr>
          <w:rFonts w:ascii="宋体" w:hAnsi="宋体" w:cs="宋体"/>
          <w:kern w:val="0"/>
          <w:highlight w:val="none"/>
        </w:rPr>
        <w:t>3</w:t>
      </w:r>
      <w:r>
        <w:rPr>
          <w:rFonts w:hint="eastAsia" w:ascii="宋体" w:hAnsi="宋体" w:cs="宋体"/>
          <w:kern w:val="0"/>
          <w:highlight w:val="none"/>
        </w:rPr>
        <w:t>投标文件封套上应写明的内容见投标人须知前附表。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4.1.</w:t>
      </w:r>
      <w:r>
        <w:rPr>
          <w:rFonts w:ascii="宋体" w:hAnsi="宋体" w:cs="宋体"/>
          <w:kern w:val="0"/>
          <w:highlight w:val="none"/>
        </w:rPr>
        <w:t>4</w:t>
      </w:r>
      <w:r>
        <w:rPr>
          <w:rFonts w:hint="eastAsia" w:ascii="宋体" w:hAnsi="宋体" w:cs="宋体"/>
          <w:kern w:val="0"/>
          <w:highlight w:val="none"/>
        </w:rPr>
        <w:t>未按本章第4.1.1项要求密封的投标文件，招标人将予以拒收。</w:t>
      </w:r>
    </w:p>
    <w:p>
      <w:pPr>
        <w:snapToGrid w:val="0"/>
        <w:spacing w:line="360" w:lineRule="auto"/>
        <w:rPr>
          <w:rFonts w:hint="eastAsia" w:ascii="宋体" w:hAnsi="宋体" w:cs="宋体"/>
          <w:kern w:val="0"/>
          <w:highlight w:val="none"/>
        </w:rPr>
      </w:pPr>
      <w:bookmarkStart w:id="119" w:name="_Toc22461"/>
      <w:bookmarkStart w:id="120" w:name="_Toc18262"/>
      <w:r>
        <w:rPr>
          <w:rFonts w:hint="eastAsia" w:ascii="宋体" w:hAnsi="宋体" w:cs="宋体"/>
          <w:kern w:val="0"/>
          <w:highlight w:val="none"/>
        </w:rPr>
        <w:t>4.2投标文件的递交</w:t>
      </w:r>
      <w:bookmarkEnd w:id="119"/>
      <w:bookmarkEnd w:id="120"/>
    </w:p>
    <w:p>
      <w:pPr>
        <w:snapToGrid w:val="0"/>
        <w:spacing w:line="360" w:lineRule="auto"/>
        <w:rPr>
          <w:rFonts w:hint="eastAsia" w:ascii="宋体" w:hAnsi="宋体" w:cs="宋体"/>
          <w:kern w:val="0"/>
          <w:highlight w:val="none"/>
        </w:rPr>
      </w:pPr>
      <w:r>
        <w:rPr>
          <w:rFonts w:hint="eastAsia" w:ascii="宋体" w:hAnsi="宋体" w:cs="宋体"/>
          <w:kern w:val="0"/>
          <w:highlight w:val="none"/>
        </w:rPr>
        <w:t>4.2.1投标人应在投标人须知前附表规定的投标截止时间前递交投标文件。</w:t>
      </w:r>
    </w:p>
    <w:p>
      <w:pPr>
        <w:snapToGrid w:val="0"/>
        <w:spacing w:line="360" w:lineRule="auto"/>
        <w:rPr>
          <w:rFonts w:hint="eastAsia" w:ascii="宋体" w:hAnsi="宋体" w:cs="宋体"/>
          <w:kern w:val="0"/>
          <w:highlight w:val="none"/>
        </w:rPr>
      </w:pPr>
      <w:r>
        <w:rPr>
          <w:rFonts w:hint="eastAsia" w:ascii="宋体" w:hAnsi="宋体" w:cs="宋体"/>
          <w:kern w:val="0"/>
          <w:highlight w:val="none"/>
        </w:rPr>
        <w:t>4.2.2投标人递交投标文件的地点：见投标人须知前附表。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4.2.3除投标人须知前附表另有规定外，投标人所递交的投标文件不予退还。</w:t>
      </w:r>
    </w:p>
    <w:p>
      <w:pPr>
        <w:snapToGrid w:val="0"/>
        <w:spacing w:line="360" w:lineRule="auto"/>
        <w:rPr>
          <w:rFonts w:hint="eastAsia" w:ascii="宋体" w:hAnsi="宋体" w:cs="宋体"/>
          <w:kern w:val="0"/>
          <w:highlight w:val="none"/>
        </w:rPr>
      </w:pPr>
      <w:r>
        <w:rPr>
          <w:rFonts w:hint="eastAsia" w:ascii="宋体" w:hAnsi="宋体" w:cs="宋体"/>
          <w:kern w:val="0"/>
          <w:highlight w:val="none"/>
        </w:rPr>
        <w:t>4.2.4招标人收到投标文件后，向投标人出具签收凭证。</w:t>
      </w:r>
    </w:p>
    <w:p>
      <w:pPr>
        <w:snapToGrid w:val="0"/>
        <w:spacing w:line="360" w:lineRule="auto"/>
        <w:rPr>
          <w:rFonts w:hint="eastAsia" w:ascii="宋体" w:hAnsi="宋体" w:cs="宋体"/>
          <w:kern w:val="0"/>
          <w:highlight w:val="none"/>
        </w:rPr>
      </w:pPr>
      <w:r>
        <w:rPr>
          <w:rFonts w:hint="eastAsia" w:ascii="宋体" w:hAnsi="宋体" w:cs="宋体"/>
          <w:kern w:val="0"/>
          <w:highlight w:val="none"/>
        </w:rPr>
        <w:t>4.2.5逾期送达的投标文件，招标人将予以拒收。</w:t>
      </w:r>
    </w:p>
    <w:p>
      <w:pPr>
        <w:snapToGrid w:val="0"/>
        <w:spacing w:line="360" w:lineRule="auto"/>
        <w:rPr>
          <w:rFonts w:hint="eastAsia" w:ascii="宋体" w:hAnsi="宋体" w:cs="宋体"/>
          <w:kern w:val="0"/>
          <w:highlight w:val="none"/>
        </w:rPr>
      </w:pPr>
      <w:bookmarkStart w:id="121" w:name="_Toc27382"/>
      <w:bookmarkStart w:id="122" w:name="_Toc10255"/>
      <w:r>
        <w:rPr>
          <w:rFonts w:hint="eastAsia" w:ascii="宋体" w:hAnsi="宋体" w:cs="宋体"/>
          <w:kern w:val="0"/>
          <w:highlight w:val="none"/>
        </w:rPr>
        <w:t>4.3投标文件的修改与撤回</w:t>
      </w:r>
      <w:bookmarkEnd w:id="121"/>
      <w:bookmarkEnd w:id="122"/>
    </w:p>
    <w:p>
      <w:pPr>
        <w:snapToGrid w:val="0"/>
        <w:spacing w:line="360" w:lineRule="auto"/>
        <w:rPr>
          <w:rFonts w:hint="eastAsia" w:ascii="宋体" w:hAnsi="宋体" w:cs="宋体"/>
          <w:kern w:val="0"/>
          <w:highlight w:val="none"/>
        </w:rPr>
      </w:pPr>
      <w:r>
        <w:rPr>
          <w:rFonts w:hint="eastAsia" w:ascii="宋体" w:hAnsi="宋体" w:cs="宋体"/>
          <w:kern w:val="0"/>
          <w:highlight w:val="none"/>
        </w:rPr>
        <w:t>4.3.1在本章第4.2.1项规定的投标截止时间前，投标人可以修改或撤回已递交的投标文件，但应以书面形式通知招标人。</w:t>
      </w:r>
    </w:p>
    <w:p>
      <w:pPr>
        <w:snapToGrid w:val="0"/>
        <w:spacing w:line="360" w:lineRule="auto"/>
        <w:rPr>
          <w:rFonts w:hint="eastAsia" w:ascii="宋体" w:hAnsi="宋体" w:cs="宋体"/>
          <w:kern w:val="0"/>
          <w:highlight w:val="none"/>
        </w:rPr>
      </w:pPr>
      <w:r>
        <w:rPr>
          <w:rFonts w:hint="eastAsia" w:ascii="宋体" w:hAnsi="宋体" w:cs="宋体"/>
          <w:kern w:val="0"/>
          <w:highlight w:val="none"/>
        </w:rPr>
        <w:t>4.3.2投标人修改或撤回已递交投标文件的书面通知应按照本章第 3.7.3项的要求签字或盖章。招标人收到书面通知后，向投标人出具签收凭证。</w:t>
      </w:r>
    </w:p>
    <w:p>
      <w:pPr>
        <w:snapToGrid w:val="0"/>
        <w:spacing w:line="360" w:lineRule="auto"/>
        <w:rPr>
          <w:rFonts w:hint="eastAsia" w:ascii="宋体" w:hAnsi="宋体" w:cs="宋体"/>
          <w:kern w:val="0"/>
          <w:highlight w:val="none"/>
        </w:rPr>
      </w:pPr>
      <w:r>
        <w:rPr>
          <w:rFonts w:hint="eastAsia" w:ascii="宋体" w:hAnsi="宋体" w:cs="宋体"/>
          <w:kern w:val="0"/>
          <w:highlight w:val="none"/>
        </w:rPr>
        <w:t>4.3.3投标人撤回投标文件的，招标人自收到投标人书面撤回通知之日起5日内退还已收取的投标保证金。</w:t>
      </w:r>
    </w:p>
    <w:p>
      <w:pPr>
        <w:snapToGrid w:val="0"/>
        <w:spacing w:line="360" w:lineRule="auto"/>
        <w:rPr>
          <w:rFonts w:hint="eastAsia" w:ascii="宋体" w:hAnsi="宋体" w:cs="宋体"/>
          <w:kern w:val="0"/>
          <w:highlight w:val="none"/>
        </w:rPr>
      </w:pPr>
      <w:r>
        <w:rPr>
          <w:rFonts w:hint="eastAsia" w:ascii="宋体" w:hAnsi="宋体" w:cs="宋体"/>
          <w:kern w:val="0"/>
          <w:highlight w:val="none"/>
        </w:rPr>
        <w:t>4.3.4修改的内容为投标文件的组成部分。修改的投标文件应按照本章第3条、第4条的规定进行编制、密封、标记和递交，并标明“修改”字样。</w:t>
      </w:r>
    </w:p>
    <w:p>
      <w:pPr>
        <w:pStyle w:val="4"/>
        <w:snapToGrid w:val="0"/>
        <w:spacing w:before="0" w:after="0" w:line="360" w:lineRule="auto"/>
        <w:rPr>
          <w:rFonts w:hint="eastAsia" w:ascii="宋体" w:hAnsi="宋体" w:cs="宋体"/>
          <w:kern w:val="0"/>
          <w:highlight w:val="none"/>
        </w:rPr>
      </w:pPr>
      <w:bookmarkStart w:id="123" w:name="_Toc13413"/>
      <w:bookmarkStart w:id="124" w:name="_Toc20106"/>
      <w:bookmarkStart w:id="125" w:name="_Toc5124"/>
      <w:bookmarkStart w:id="126" w:name="_Toc848"/>
      <w:bookmarkStart w:id="127" w:name="_Toc27838"/>
      <w:r>
        <w:rPr>
          <w:rFonts w:hint="eastAsia" w:ascii="宋体" w:hAnsi="宋体" w:cs="宋体"/>
          <w:kern w:val="0"/>
          <w:highlight w:val="none"/>
        </w:rPr>
        <w:t>5.开标</w:t>
      </w:r>
      <w:bookmarkEnd w:id="123"/>
      <w:bookmarkEnd w:id="124"/>
      <w:bookmarkEnd w:id="125"/>
      <w:bookmarkEnd w:id="126"/>
      <w:bookmarkEnd w:id="127"/>
    </w:p>
    <w:p>
      <w:pPr>
        <w:snapToGrid w:val="0"/>
        <w:spacing w:line="360" w:lineRule="auto"/>
        <w:rPr>
          <w:rFonts w:hint="eastAsia" w:ascii="宋体" w:hAnsi="宋体" w:cs="宋体"/>
          <w:kern w:val="0"/>
          <w:highlight w:val="none"/>
        </w:rPr>
      </w:pPr>
      <w:bookmarkStart w:id="128" w:name="_Toc5479"/>
      <w:bookmarkStart w:id="129" w:name="_Toc14232"/>
      <w:r>
        <w:rPr>
          <w:rFonts w:hint="eastAsia" w:ascii="宋体" w:hAnsi="宋体" w:cs="宋体"/>
          <w:kern w:val="0"/>
          <w:highlight w:val="none"/>
        </w:rPr>
        <w:t>5.1开标时间和地点</w:t>
      </w:r>
      <w:bookmarkEnd w:id="128"/>
      <w:bookmarkEnd w:id="129"/>
    </w:p>
    <w:p>
      <w:pPr>
        <w:snapToGrid w:val="0"/>
        <w:spacing w:line="360" w:lineRule="auto"/>
        <w:rPr>
          <w:rFonts w:hint="eastAsia" w:ascii="宋体" w:hAnsi="宋体" w:cs="宋体"/>
          <w:kern w:val="0"/>
          <w:highlight w:val="none"/>
        </w:rPr>
      </w:pPr>
      <w:r>
        <w:rPr>
          <w:rFonts w:hint="eastAsia" w:ascii="宋体" w:hAnsi="宋体" w:cs="宋体"/>
          <w:kern w:val="0"/>
          <w:highlight w:val="none"/>
        </w:rPr>
        <w:t>招标人在本章第4.2.1项规定的投标截止时间（开标时间）和投标人须知前附表规定的地点公开开标，并邀请所有投标人的法定代表人（单位负责人）或其委托代理人准时参加。</w:t>
      </w:r>
    </w:p>
    <w:p>
      <w:pPr>
        <w:snapToGrid w:val="0"/>
        <w:spacing w:line="360" w:lineRule="auto"/>
        <w:rPr>
          <w:rFonts w:hint="eastAsia" w:ascii="宋体" w:hAnsi="宋体" w:cs="宋体"/>
          <w:kern w:val="0"/>
          <w:highlight w:val="none"/>
        </w:rPr>
      </w:pPr>
      <w:bookmarkStart w:id="130" w:name="_Toc5428"/>
      <w:bookmarkStart w:id="131" w:name="_Toc23539"/>
      <w:r>
        <w:rPr>
          <w:rFonts w:hint="eastAsia" w:ascii="宋体" w:hAnsi="宋体" w:cs="宋体"/>
          <w:kern w:val="0"/>
          <w:highlight w:val="none"/>
        </w:rPr>
        <w:t>5.2开标程序</w:t>
      </w:r>
      <w:bookmarkEnd w:id="130"/>
      <w:bookmarkEnd w:id="131"/>
    </w:p>
    <w:p>
      <w:pPr>
        <w:snapToGrid w:val="0"/>
        <w:spacing w:line="360" w:lineRule="auto"/>
        <w:rPr>
          <w:rFonts w:hint="eastAsia" w:ascii="宋体" w:hAnsi="宋体" w:cs="宋体"/>
          <w:kern w:val="0"/>
          <w:highlight w:val="none"/>
        </w:rPr>
      </w:pPr>
      <w:r>
        <w:rPr>
          <w:rFonts w:hint="eastAsia" w:ascii="宋体" w:hAnsi="宋体" w:cs="宋体"/>
          <w:kern w:val="0"/>
          <w:highlight w:val="none"/>
        </w:rPr>
        <w:t>主持人按下列程序进行开标：</w:t>
      </w:r>
    </w:p>
    <w:p>
      <w:pPr>
        <w:snapToGrid w:val="0"/>
        <w:spacing w:line="360" w:lineRule="auto"/>
        <w:rPr>
          <w:rFonts w:hint="eastAsia" w:ascii="宋体" w:hAnsi="宋体" w:cs="宋体"/>
          <w:kern w:val="0"/>
          <w:highlight w:val="none"/>
        </w:rPr>
      </w:pPr>
      <w:r>
        <w:rPr>
          <w:rFonts w:hint="eastAsia" w:ascii="宋体" w:hAnsi="宋体" w:cs="宋体"/>
          <w:kern w:val="0"/>
          <w:highlight w:val="none"/>
        </w:rPr>
        <w:t>（1）宣布开标纪律；</w:t>
      </w:r>
    </w:p>
    <w:p>
      <w:pPr>
        <w:snapToGrid w:val="0"/>
        <w:spacing w:line="360" w:lineRule="auto"/>
        <w:rPr>
          <w:rFonts w:hint="eastAsia" w:ascii="宋体" w:hAnsi="宋体" w:cs="宋体"/>
          <w:kern w:val="0"/>
          <w:highlight w:val="none"/>
        </w:rPr>
      </w:pPr>
      <w:r>
        <w:rPr>
          <w:rFonts w:hint="eastAsia" w:ascii="宋体" w:hAnsi="宋体" w:cs="宋体"/>
          <w:kern w:val="0"/>
          <w:highlight w:val="none"/>
        </w:rPr>
        <w:t>（2）公布在投标截止时间前递交投标文件的投标人名称；</w:t>
      </w:r>
    </w:p>
    <w:p>
      <w:pPr>
        <w:snapToGrid w:val="0"/>
        <w:spacing w:line="360" w:lineRule="auto"/>
        <w:rPr>
          <w:rFonts w:hint="eastAsia" w:ascii="宋体" w:hAnsi="宋体" w:cs="宋体"/>
          <w:kern w:val="0"/>
          <w:highlight w:val="none"/>
        </w:rPr>
      </w:pPr>
      <w:r>
        <w:rPr>
          <w:rFonts w:hint="eastAsia" w:ascii="宋体" w:hAnsi="宋体" w:cs="宋体"/>
          <w:kern w:val="0"/>
          <w:highlight w:val="none"/>
        </w:rPr>
        <w:t>（3）宣布开标人、唱标人、记录人、监标人等有关人员姓名；</w:t>
      </w:r>
    </w:p>
    <w:p>
      <w:pPr>
        <w:snapToGrid w:val="0"/>
        <w:spacing w:line="360" w:lineRule="auto"/>
        <w:rPr>
          <w:rFonts w:hint="eastAsia" w:ascii="宋体" w:hAnsi="宋体" w:cs="宋体"/>
          <w:kern w:val="0"/>
          <w:highlight w:val="none"/>
        </w:rPr>
      </w:pPr>
      <w:r>
        <w:rPr>
          <w:rFonts w:hint="eastAsia" w:ascii="宋体" w:hAnsi="宋体" w:cs="宋体"/>
          <w:kern w:val="0"/>
          <w:highlight w:val="none"/>
        </w:rPr>
        <w:t>（4）检查投标文件的密封情况，按照投标人须知前附表规定的开标顺序当众开标，公布招标项目名称、投标人名称、投标保证金的递交情况、投标报价、交货期、交付地点及其他内容，并记录在案；</w:t>
      </w:r>
    </w:p>
    <w:p>
      <w:pPr>
        <w:snapToGrid w:val="0"/>
        <w:spacing w:line="360" w:lineRule="auto"/>
        <w:rPr>
          <w:rFonts w:hint="eastAsia" w:ascii="宋体" w:hAnsi="宋体" w:cs="宋体"/>
          <w:kern w:val="0"/>
          <w:highlight w:val="none"/>
        </w:rPr>
      </w:pPr>
      <w:r>
        <w:rPr>
          <w:rFonts w:hint="eastAsia" w:ascii="宋体" w:hAnsi="宋体" w:cs="宋体"/>
          <w:kern w:val="0"/>
          <w:highlight w:val="none"/>
        </w:rPr>
        <w:t>（5）投标人代表、招标人代表、监标人、记录人等有关人员在开标记录上签字确认；</w:t>
      </w:r>
    </w:p>
    <w:p>
      <w:pPr>
        <w:snapToGrid w:val="0"/>
        <w:spacing w:line="360" w:lineRule="auto"/>
        <w:rPr>
          <w:rFonts w:hint="eastAsia" w:ascii="宋体" w:hAnsi="宋体" w:cs="宋体"/>
          <w:kern w:val="0"/>
          <w:highlight w:val="none"/>
        </w:rPr>
      </w:pPr>
      <w:r>
        <w:rPr>
          <w:rFonts w:hint="eastAsia" w:ascii="宋体" w:hAnsi="宋体" w:cs="宋体"/>
          <w:kern w:val="0"/>
          <w:highlight w:val="none"/>
        </w:rPr>
        <w:t>（6）开标结束。</w:t>
      </w:r>
    </w:p>
    <w:p>
      <w:pPr>
        <w:snapToGrid w:val="0"/>
        <w:spacing w:line="360" w:lineRule="auto"/>
        <w:rPr>
          <w:rFonts w:hint="eastAsia" w:ascii="宋体" w:hAnsi="宋体" w:cs="宋体"/>
          <w:kern w:val="0"/>
          <w:highlight w:val="none"/>
        </w:rPr>
      </w:pPr>
      <w:bookmarkStart w:id="132" w:name="_Toc23818"/>
      <w:bookmarkStart w:id="133" w:name="_Toc12620"/>
      <w:r>
        <w:rPr>
          <w:rFonts w:hint="eastAsia" w:ascii="宋体" w:hAnsi="宋体" w:cs="宋体"/>
          <w:kern w:val="0"/>
          <w:highlight w:val="none"/>
        </w:rPr>
        <w:t>5.3开标异议</w:t>
      </w:r>
      <w:bookmarkEnd w:id="132"/>
      <w:bookmarkEnd w:id="133"/>
    </w:p>
    <w:p>
      <w:pPr>
        <w:snapToGrid w:val="0"/>
        <w:spacing w:line="360" w:lineRule="auto"/>
        <w:rPr>
          <w:rFonts w:hint="eastAsia" w:ascii="宋体" w:hAnsi="宋体" w:cs="宋体"/>
          <w:kern w:val="0"/>
          <w:highlight w:val="none"/>
        </w:rPr>
      </w:pPr>
      <w:r>
        <w:rPr>
          <w:rFonts w:hint="eastAsia" w:ascii="宋体" w:hAnsi="宋体" w:cs="宋体"/>
          <w:kern w:val="0"/>
          <w:highlight w:val="none"/>
        </w:rPr>
        <w:t>投标人对开标有异议的，应当在开标现场提出，招标人当场作出答复，并制作记录。</w:t>
      </w:r>
    </w:p>
    <w:p>
      <w:pPr>
        <w:pStyle w:val="4"/>
        <w:snapToGrid w:val="0"/>
        <w:spacing w:before="0" w:after="0" w:line="360" w:lineRule="auto"/>
        <w:rPr>
          <w:rFonts w:hint="eastAsia" w:ascii="宋体" w:hAnsi="宋体" w:cs="宋体"/>
          <w:kern w:val="0"/>
          <w:highlight w:val="none"/>
        </w:rPr>
      </w:pPr>
      <w:bookmarkStart w:id="134" w:name="_Toc8833"/>
      <w:bookmarkStart w:id="135" w:name="_Toc23290"/>
      <w:bookmarkStart w:id="136" w:name="_Toc16597"/>
      <w:bookmarkStart w:id="137" w:name="_Toc2755"/>
      <w:bookmarkStart w:id="138" w:name="_Toc20036"/>
      <w:r>
        <w:rPr>
          <w:rFonts w:hint="eastAsia" w:ascii="宋体" w:hAnsi="宋体" w:cs="宋体"/>
          <w:kern w:val="0"/>
          <w:highlight w:val="none"/>
        </w:rPr>
        <w:t>6.评标</w:t>
      </w:r>
      <w:bookmarkEnd w:id="134"/>
      <w:bookmarkEnd w:id="135"/>
      <w:bookmarkEnd w:id="136"/>
      <w:bookmarkEnd w:id="137"/>
      <w:bookmarkEnd w:id="138"/>
    </w:p>
    <w:p>
      <w:pPr>
        <w:snapToGrid w:val="0"/>
        <w:spacing w:line="360" w:lineRule="auto"/>
        <w:rPr>
          <w:rFonts w:hint="eastAsia" w:ascii="宋体" w:hAnsi="宋体" w:cs="宋体"/>
          <w:kern w:val="0"/>
          <w:highlight w:val="none"/>
        </w:rPr>
      </w:pPr>
      <w:bookmarkStart w:id="139" w:name="_Toc25377"/>
      <w:bookmarkStart w:id="140" w:name="_Toc19955"/>
      <w:r>
        <w:rPr>
          <w:rFonts w:hint="eastAsia" w:ascii="宋体" w:hAnsi="宋体" w:cs="宋体"/>
          <w:kern w:val="0"/>
          <w:highlight w:val="none"/>
        </w:rPr>
        <w:t>6.1评标委员会</w:t>
      </w:r>
      <w:bookmarkEnd w:id="139"/>
      <w:bookmarkEnd w:id="140"/>
    </w:p>
    <w:p>
      <w:pPr>
        <w:snapToGrid w:val="0"/>
        <w:spacing w:line="360" w:lineRule="auto"/>
        <w:rPr>
          <w:rFonts w:hint="eastAsia" w:ascii="宋体" w:hAnsi="宋体" w:cs="宋体"/>
          <w:kern w:val="0"/>
          <w:highlight w:val="none"/>
        </w:rPr>
      </w:pPr>
      <w:r>
        <w:rPr>
          <w:rFonts w:hint="eastAsia" w:ascii="宋体" w:hAnsi="宋体" w:cs="宋体"/>
          <w:kern w:val="0"/>
          <w:highlight w:val="none"/>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napToGrid w:val="0"/>
        <w:spacing w:line="360" w:lineRule="auto"/>
        <w:rPr>
          <w:rFonts w:hint="eastAsia" w:ascii="宋体" w:hAnsi="宋体" w:cs="宋体"/>
          <w:kern w:val="0"/>
          <w:highlight w:val="none"/>
        </w:rPr>
      </w:pPr>
      <w:r>
        <w:rPr>
          <w:rFonts w:hint="eastAsia" w:ascii="宋体" w:hAnsi="宋体" w:cs="宋体"/>
          <w:kern w:val="0"/>
          <w:highlight w:val="none"/>
        </w:rPr>
        <w:t>6.1.2评标委员会成员有下列情形之一的，应当回避：</w:t>
      </w:r>
    </w:p>
    <w:p>
      <w:pPr>
        <w:snapToGrid w:val="0"/>
        <w:spacing w:line="360" w:lineRule="auto"/>
        <w:rPr>
          <w:rFonts w:hint="eastAsia" w:ascii="宋体" w:hAnsi="宋体" w:cs="宋体"/>
          <w:kern w:val="0"/>
          <w:highlight w:val="none"/>
        </w:rPr>
      </w:pPr>
      <w:r>
        <w:rPr>
          <w:rFonts w:hint="eastAsia" w:ascii="宋体" w:hAnsi="宋体" w:cs="宋体"/>
          <w:kern w:val="0"/>
          <w:highlight w:val="none"/>
        </w:rPr>
        <w:t>（1）投标人或投标人主要负责人的近亲属；</w:t>
      </w:r>
    </w:p>
    <w:p>
      <w:pPr>
        <w:snapToGrid w:val="0"/>
        <w:spacing w:line="360" w:lineRule="auto"/>
        <w:rPr>
          <w:rFonts w:hint="eastAsia" w:ascii="宋体" w:hAnsi="宋体" w:cs="宋体"/>
          <w:kern w:val="0"/>
          <w:highlight w:val="none"/>
        </w:rPr>
      </w:pPr>
      <w:r>
        <w:rPr>
          <w:rFonts w:hint="eastAsia" w:ascii="宋体" w:hAnsi="宋体" w:cs="宋体"/>
          <w:kern w:val="0"/>
          <w:highlight w:val="none"/>
        </w:rPr>
        <w:t>（2）项目主管部门或者行政监督部门的人员；</w:t>
      </w:r>
    </w:p>
    <w:p>
      <w:pPr>
        <w:snapToGrid w:val="0"/>
        <w:spacing w:line="360" w:lineRule="auto"/>
        <w:rPr>
          <w:rFonts w:hint="eastAsia" w:ascii="宋体" w:hAnsi="宋体" w:cs="宋体"/>
          <w:kern w:val="0"/>
          <w:highlight w:val="none"/>
        </w:rPr>
      </w:pPr>
      <w:r>
        <w:rPr>
          <w:rFonts w:hint="eastAsia" w:ascii="宋体" w:hAnsi="宋体" w:cs="宋体"/>
          <w:kern w:val="0"/>
          <w:highlight w:val="none"/>
        </w:rPr>
        <w:t>（3）与投标人有经济利益关系，可能影响对投标公正评审的；</w:t>
      </w:r>
    </w:p>
    <w:p>
      <w:pPr>
        <w:snapToGrid w:val="0"/>
        <w:spacing w:line="360" w:lineRule="auto"/>
        <w:rPr>
          <w:rFonts w:hint="eastAsia" w:ascii="宋体" w:hAnsi="宋体" w:cs="宋体"/>
          <w:kern w:val="0"/>
          <w:highlight w:val="none"/>
        </w:rPr>
      </w:pPr>
      <w:r>
        <w:rPr>
          <w:rFonts w:hint="eastAsia" w:ascii="宋体" w:hAnsi="宋体" w:cs="宋体"/>
          <w:kern w:val="0"/>
          <w:highlight w:val="none"/>
        </w:rPr>
        <w:t>（4）曾因在招标、评标以及其他与招标投标有关活动中从事违法行为而受过行政处罚或刑事处罚的；</w:t>
      </w:r>
    </w:p>
    <w:p>
      <w:pPr>
        <w:snapToGrid w:val="0"/>
        <w:spacing w:line="360" w:lineRule="auto"/>
        <w:rPr>
          <w:rFonts w:hint="eastAsia" w:ascii="宋体" w:hAnsi="宋体" w:cs="宋体"/>
          <w:kern w:val="0"/>
          <w:highlight w:val="none"/>
        </w:rPr>
      </w:pPr>
      <w:r>
        <w:rPr>
          <w:rFonts w:hint="eastAsia" w:ascii="宋体" w:hAnsi="宋体" w:cs="宋体"/>
          <w:kern w:val="0"/>
          <w:highlight w:val="none"/>
        </w:rPr>
        <w:t>（5）与投标人有其他利害关系。</w:t>
      </w:r>
    </w:p>
    <w:p>
      <w:pPr>
        <w:snapToGrid w:val="0"/>
        <w:spacing w:line="360" w:lineRule="auto"/>
        <w:rPr>
          <w:rFonts w:hint="eastAsia" w:ascii="宋体" w:hAnsi="宋体" w:cs="宋体"/>
          <w:kern w:val="0"/>
          <w:highlight w:val="none"/>
        </w:rPr>
      </w:pPr>
      <w:r>
        <w:rPr>
          <w:rFonts w:hint="eastAsia" w:ascii="宋体" w:hAnsi="宋体" w:cs="宋体"/>
          <w:kern w:val="0"/>
          <w:highlight w:val="none"/>
        </w:rPr>
        <w:t>6.1.3评标过程中，评标委员会成员有回避事由、擅离职守或者因健康等原因不能继续评标的，招标人有权更换。被更换的评标委员会成员作出的评审结论无效，由更换后的评标委员会成员重新进行评审。</w:t>
      </w:r>
    </w:p>
    <w:p>
      <w:pPr>
        <w:snapToGrid w:val="0"/>
        <w:spacing w:line="360" w:lineRule="auto"/>
        <w:rPr>
          <w:rFonts w:hint="eastAsia" w:ascii="宋体" w:hAnsi="宋体" w:cs="宋体"/>
          <w:kern w:val="0"/>
          <w:highlight w:val="none"/>
        </w:rPr>
      </w:pPr>
      <w:bookmarkStart w:id="141" w:name="_Toc7533"/>
      <w:bookmarkStart w:id="142" w:name="_Toc30310"/>
      <w:r>
        <w:rPr>
          <w:rFonts w:hint="eastAsia" w:ascii="宋体" w:hAnsi="宋体" w:cs="宋体"/>
          <w:kern w:val="0"/>
          <w:highlight w:val="none"/>
        </w:rPr>
        <w:t>6.2评标原则</w:t>
      </w:r>
      <w:bookmarkEnd w:id="141"/>
      <w:bookmarkEnd w:id="142"/>
    </w:p>
    <w:p>
      <w:pPr>
        <w:snapToGrid w:val="0"/>
        <w:spacing w:line="360" w:lineRule="auto"/>
        <w:rPr>
          <w:rFonts w:hint="eastAsia" w:ascii="宋体" w:hAnsi="宋体" w:cs="宋体"/>
          <w:kern w:val="0"/>
          <w:highlight w:val="none"/>
        </w:rPr>
      </w:pPr>
      <w:r>
        <w:rPr>
          <w:rFonts w:hint="eastAsia" w:ascii="宋体" w:hAnsi="宋体" w:cs="宋体"/>
          <w:kern w:val="0"/>
          <w:highlight w:val="none"/>
        </w:rPr>
        <w:t>评标活动遵循公平、公正、科学和择优的原则。</w:t>
      </w:r>
    </w:p>
    <w:p>
      <w:pPr>
        <w:snapToGrid w:val="0"/>
        <w:spacing w:line="360" w:lineRule="auto"/>
        <w:rPr>
          <w:rFonts w:hint="eastAsia" w:ascii="宋体" w:hAnsi="宋体" w:cs="宋体"/>
          <w:kern w:val="0"/>
          <w:highlight w:val="none"/>
        </w:rPr>
      </w:pPr>
      <w:bookmarkStart w:id="143" w:name="_Toc25757"/>
      <w:bookmarkStart w:id="144" w:name="_Toc3196"/>
      <w:r>
        <w:rPr>
          <w:rFonts w:hint="eastAsia" w:ascii="宋体" w:hAnsi="宋体" w:cs="宋体"/>
          <w:kern w:val="0"/>
          <w:highlight w:val="none"/>
        </w:rPr>
        <w:t>6.3评标</w:t>
      </w:r>
      <w:bookmarkEnd w:id="143"/>
      <w:bookmarkEnd w:id="144"/>
    </w:p>
    <w:p>
      <w:pPr>
        <w:snapToGrid w:val="0"/>
        <w:spacing w:line="360" w:lineRule="auto"/>
        <w:rPr>
          <w:rFonts w:hint="eastAsia" w:ascii="宋体" w:hAnsi="宋体" w:cs="宋体"/>
          <w:kern w:val="0"/>
          <w:highlight w:val="none"/>
        </w:rPr>
      </w:pPr>
      <w:r>
        <w:rPr>
          <w:rFonts w:hint="eastAsia" w:ascii="宋体" w:hAnsi="宋体" w:cs="宋体"/>
          <w:kern w:val="0"/>
          <w:highlight w:val="none"/>
        </w:rPr>
        <w:t>6.3.1评标委员会按照第三章“评标办法”规定的方法、评审因素、标准和程序对投标文件进行评审。第三章“评标办法”没有规定的方法、评审因素和标准，不作为评标依据。</w:t>
      </w:r>
    </w:p>
    <w:p>
      <w:pPr>
        <w:snapToGrid w:val="0"/>
        <w:spacing w:line="360" w:lineRule="auto"/>
        <w:rPr>
          <w:rFonts w:hint="eastAsia" w:ascii="宋体" w:hAnsi="宋体" w:cs="宋体"/>
          <w:kern w:val="0"/>
          <w:highlight w:val="none"/>
        </w:rPr>
      </w:pPr>
      <w:r>
        <w:rPr>
          <w:rFonts w:hint="eastAsia" w:ascii="宋体" w:hAnsi="宋体" w:cs="宋体"/>
          <w:kern w:val="0"/>
          <w:highlight w:val="none"/>
        </w:rPr>
        <w:t>6.3.2评标完成后，评标委员会应当向招标人提交书面评标报告和中标候选人名单。评标委员会推荐中标候选人的人数见投标人须知前附表。</w:t>
      </w:r>
    </w:p>
    <w:p>
      <w:pPr>
        <w:pStyle w:val="4"/>
        <w:snapToGrid w:val="0"/>
        <w:spacing w:before="0" w:after="0" w:line="360" w:lineRule="auto"/>
        <w:rPr>
          <w:rFonts w:hint="eastAsia" w:ascii="宋体" w:hAnsi="宋体" w:cs="宋体"/>
          <w:kern w:val="0"/>
          <w:highlight w:val="none"/>
        </w:rPr>
      </w:pPr>
      <w:bookmarkStart w:id="145" w:name="_Toc16180"/>
      <w:bookmarkStart w:id="146" w:name="_Toc13674"/>
      <w:bookmarkStart w:id="147" w:name="_Toc25285"/>
      <w:bookmarkStart w:id="148" w:name="_Toc27539"/>
      <w:bookmarkStart w:id="149" w:name="_Toc3492"/>
      <w:r>
        <w:rPr>
          <w:rFonts w:hint="eastAsia" w:ascii="宋体" w:hAnsi="宋体" w:cs="宋体"/>
          <w:kern w:val="0"/>
          <w:highlight w:val="none"/>
        </w:rPr>
        <w:t>7.合同授予</w:t>
      </w:r>
      <w:bookmarkEnd w:id="145"/>
      <w:bookmarkEnd w:id="146"/>
      <w:bookmarkEnd w:id="147"/>
      <w:bookmarkEnd w:id="148"/>
      <w:bookmarkEnd w:id="149"/>
    </w:p>
    <w:p>
      <w:pPr>
        <w:snapToGrid w:val="0"/>
        <w:spacing w:line="360" w:lineRule="auto"/>
        <w:rPr>
          <w:rFonts w:hint="eastAsia" w:ascii="宋体" w:hAnsi="宋体" w:cs="宋体"/>
          <w:kern w:val="0"/>
          <w:highlight w:val="none"/>
        </w:rPr>
      </w:pPr>
      <w:bookmarkStart w:id="150" w:name="_Toc17614"/>
      <w:bookmarkStart w:id="151" w:name="_Toc443"/>
      <w:r>
        <w:rPr>
          <w:rFonts w:hint="eastAsia" w:ascii="宋体" w:hAnsi="宋体" w:cs="宋体"/>
          <w:kern w:val="0"/>
          <w:highlight w:val="none"/>
        </w:rPr>
        <w:t>7.1中标候选人公示</w:t>
      </w:r>
      <w:bookmarkEnd w:id="150"/>
      <w:bookmarkEnd w:id="151"/>
    </w:p>
    <w:p>
      <w:pPr>
        <w:snapToGrid w:val="0"/>
        <w:spacing w:line="360" w:lineRule="auto"/>
        <w:rPr>
          <w:rFonts w:hint="eastAsia" w:ascii="宋体" w:hAnsi="宋体" w:cs="宋体"/>
          <w:kern w:val="0"/>
          <w:highlight w:val="none"/>
        </w:rPr>
      </w:pPr>
      <w:r>
        <w:rPr>
          <w:rFonts w:hint="eastAsia" w:ascii="宋体" w:hAnsi="宋体" w:cs="宋体"/>
          <w:kern w:val="0"/>
          <w:highlight w:val="none"/>
        </w:rPr>
        <w:t>招标人在收到评标报告之日起 3 日内，按照投标人须知前附表规定的公示媒介和期限公示中标候选人，公示期不得少于 3 天。</w:t>
      </w:r>
    </w:p>
    <w:p>
      <w:pPr>
        <w:snapToGrid w:val="0"/>
        <w:spacing w:line="360" w:lineRule="auto"/>
        <w:rPr>
          <w:rFonts w:hint="eastAsia" w:ascii="宋体" w:hAnsi="宋体" w:cs="宋体"/>
          <w:kern w:val="0"/>
          <w:highlight w:val="none"/>
        </w:rPr>
      </w:pPr>
      <w:bookmarkStart w:id="152" w:name="_Toc1530"/>
      <w:bookmarkStart w:id="153" w:name="_Toc23256"/>
      <w:r>
        <w:rPr>
          <w:rFonts w:hint="eastAsia" w:ascii="宋体" w:hAnsi="宋体" w:cs="宋体"/>
          <w:kern w:val="0"/>
          <w:highlight w:val="none"/>
        </w:rPr>
        <w:t>7.2评标结果异议</w:t>
      </w:r>
      <w:bookmarkEnd w:id="152"/>
      <w:bookmarkEnd w:id="153"/>
    </w:p>
    <w:p>
      <w:pPr>
        <w:snapToGrid w:val="0"/>
        <w:spacing w:line="360" w:lineRule="auto"/>
        <w:rPr>
          <w:rFonts w:hint="eastAsia" w:ascii="宋体" w:hAnsi="宋体" w:cs="宋体"/>
          <w:kern w:val="0"/>
          <w:highlight w:val="none"/>
        </w:rPr>
      </w:pPr>
      <w:r>
        <w:rPr>
          <w:rFonts w:hint="eastAsia" w:ascii="宋体" w:hAnsi="宋体" w:cs="宋体"/>
          <w:kern w:val="0"/>
          <w:highlight w:val="none"/>
        </w:rPr>
        <w:t>投标人或者其他利害关系人对评标结果有异议的，应当在中标候选人公示期间提出。招标人将在收到异议之日起 3 日内作出答复；作出答复前，将暂停招标投标活动。</w:t>
      </w:r>
    </w:p>
    <w:p>
      <w:pPr>
        <w:snapToGrid w:val="0"/>
        <w:spacing w:line="360" w:lineRule="auto"/>
        <w:rPr>
          <w:rFonts w:hint="eastAsia" w:ascii="宋体" w:hAnsi="宋体" w:cs="宋体"/>
          <w:kern w:val="0"/>
          <w:highlight w:val="none"/>
        </w:rPr>
      </w:pPr>
      <w:bookmarkStart w:id="154" w:name="_Toc22097"/>
      <w:bookmarkStart w:id="155" w:name="_Toc6962"/>
      <w:r>
        <w:rPr>
          <w:rFonts w:hint="eastAsia" w:ascii="宋体" w:hAnsi="宋体" w:cs="宋体"/>
          <w:kern w:val="0"/>
          <w:highlight w:val="none"/>
        </w:rPr>
        <w:t>7.3中标候选人履约能力审查</w:t>
      </w:r>
      <w:bookmarkEnd w:id="154"/>
      <w:bookmarkEnd w:id="155"/>
    </w:p>
    <w:p>
      <w:pPr>
        <w:snapToGrid w:val="0"/>
        <w:spacing w:line="360" w:lineRule="auto"/>
        <w:rPr>
          <w:rFonts w:hint="eastAsia" w:ascii="宋体" w:hAnsi="宋体" w:cs="宋体"/>
          <w:kern w:val="0"/>
          <w:highlight w:val="none"/>
        </w:rPr>
      </w:pPr>
      <w:r>
        <w:rPr>
          <w:rFonts w:hint="eastAsia" w:ascii="宋体" w:hAnsi="宋体" w:cs="宋体"/>
          <w:kern w:val="0"/>
          <w:highlight w:val="none"/>
        </w:rPr>
        <w:t>中标候选人的经营、财务状况发生较大变化或存在违法行为，招标人认为可能影响其履约能力的，将在发出中标通知书前提请原评标委员会按照招标文件规定的标准和方法进行审查确认。</w:t>
      </w:r>
    </w:p>
    <w:p>
      <w:pPr>
        <w:snapToGrid w:val="0"/>
        <w:spacing w:line="360" w:lineRule="auto"/>
        <w:rPr>
          <w:rFonts w:hint="eastAsia" w:ascii="宋体" w:hAnsi="宋体" w:cs="宋体"/>
          <w:kern w:val="0"/>
          <w:highlight w:val="none"/>
        </w:rPr>
      </w:pPr>
      <w:bookmarkStart w:id="156" w:name="_Toc31335"/>
      <w:bookmarkStart w:id="157" w:name="_Toc28160"/>
      <w:r>
        <w:rPr>
          <w:rFonts w:hint="eastAsia" w:ascii="宋体" w:hAnsi="宋体" w:cs="宋体"/>
          <w:kern w:val="0"/>
          <w:highlight w:val="none"/>
        </w:rPr>
        <w:t>7.4定标</w:t>
      </w:r>
      <w:bookmarkEnd w:id="156"/>
      <w:bookmarkEnd w:id="157"/>
    </w:p>
    <w:p>
      <w:pPr>
        <w:snapToGrid w:val="0"/>
        <w:spacing w:line="360" w:lineRule="auto"/>
        <w:rPr>
          <w:rFonts w:hint="eastAsia" w:ascii="宋体" w:hAnsi="宋体" w:cs="宋体"/>
          <w:kern w:val="0"/>
          <w:highlight w:val="none"/>
        </w:rPr>
      </w:pPr>
      <w:r>
        <w:rPr>
          <w:rFonts w:hint="eastAsia" w:ascii="宋体" w:hAnsi="宋体" w:cs="宋体"/>
          <w:kern w:val="0"/>
          <w:highlight w:val="none"/>
        </w:rPr>
        <w:t>按照投标人须知前附表的规定，招标人或招标人授权的评标委员会依法确定中标人。</w:t>
      </w:r>
    </w:p>
    <w:p>
      <w:pPr>
        <w:snapToGrid w:val="0"/>
        <w:spacing w:line="360" w:lineRule="auto"/>
        <w:rPr>
          <w:rFonts w:hint="eastAsia" w:ascii="宋体" w:hAnsi="宋体" w:cs="宋体"/>
          <w:kern w:val="0"/>
          <w:highlight w:val="none"/>
        </w:rPr>
      </w:pPr>
      <w:bookmarkStart w:id="158" w:name="_Toc5423"/>
      <w:bookmarkStart w:id="159" w:name="_Toc7363"/>
      <w:r>
        <w:rPr>
          <w:rFonts w:hint="eastAsia" w:ascii="宋体" w:hAnsi="宋体" w:cs="宋体"/>
          <w:kern w:val="0"/>
          <w:highlight w:val="none"/>
        </w:rPr>
        <w:t>7.5中标通知</w:t>
      </w:r>
      <w:bookmarkEnd w:id="158"/>
      <w:bookmarkEnd w:id="159"/>
    </w:p>
    <w:p>
      <w:pPr>
        <w:snapToGrid w:val="0"/>
        <w:spacing w:line="360" w:lineRule="auto"/>
        <w:rPr>
          <w:rFonts w:hint="eastAsia" w:ascii="宋体" w:hAnsi="宋体" w:cs="宋体"/>
          <w:kern w:val="0"/>
          <w:highlight w:val="none"/>
        </w:rPr>
      </w:pPr>
      <w:r>
        <w:rPr>
          <w:rFonts w:hint="eastAsia" w:ascii="宋体" w:hAnsi="宋体" w:cs="宋体"/>
          <w:kern w:val="0"/>
          <w:highlight w:val="none"/>
        </w:rPr>
        <w:t>在本章第3.3款规定的投标有效期内，招标人以书面形式向中标人发出中标通知书，同时将中标结果通知未中标的投标人。</w:t>
      </w:r>
    </w:p>
    <w:p>
      <w:pPr>
        <w:snapToGrid w:val="0"/>
        <w:spacing w:line="360" w:lineRule="auto"/>
        <w:rPr>
          <w:rFonts w:hint="eastAsia" w:ascii="宋体" w:hAnsi="宋体" w:cs="宋体"/>
          <w:kern w:val="0"/>
          <w:highlight w:val="none"/>
        </w:rPr>
      </w:pPr>
      <w:bookmarkStart w:id="160" w:name="_Toc24577"/>
      <w:bookmarkStart w:id="161" w:name="_Toc28488"/>
      <w:r>
        <w:rPr>
          <w:rFonts w:hint="eastAsia" w:ascii="宋体" w:hAnsi="宋体" w:cs="宋体"/>
          <w:kern w:val="0"/>
          <w:highlight w:val="none"/>
        </w:rPr>
        <w:t>7.6履约保证金</w:t>
      </w:r>
      <w:bookmarkEnd w:id="160"/>
      <w:bookmarkEnd w:id="161"/>
    </w:p>
    <w:p>
      <w:pPr>
        <w:snapToGrid w:val="0"/>
        <w:spacing w:line="360" w:lineRule="auto"/>
        <w:rPr>
          <w:rFonts w:hint="eastAsia" w:ascii="宋体" w:hAnsi="宋体" w:cs="宋体"/>
          <w:kern w:val="0"/>
          <w:highlight w:val="none"/>
        </w:rPr>
      </w:pPr>
      <w:r>
        <w:rPr>
          <w:rFonts w:hint="eastAsia" w:ascii="宋体" w:hAnsi="宋体" w:cs="宋体"/>
          <w:kern w:val="0"/>
          <w:highlight w:val="none"/>
        </w:rPr>
        <w:t>7.6.1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pPr>
        <w:snapToGrid w:val="0"/>
        <w:spacing w:line="360" w:lineRule="auto"/>
        <w:rPr>
          <w:rFonts w:hint="eastAsia" w:ascii="宋体" w:hAnsi="宋体" w:cs="宋体"/>
          <w:kern w:val="0"/>
          <w:highlight w:val="none"/>
        </w:rPr>
      </w:pPr>
      <w:r>
        <w:rPr>
          <w:rFonts w:hint="eastAsia" w:ascii="宋体" w:hAnsi="宋体" w:cs="宋体"/>
          <w:kern w:val="0"/>
          <w:highlight w:val="none"/>
        </w:rPr>
        <w:t>7.6.2中标人不能按本章第7.6.1项要求提交履约保证金的，视为放弃中标，其投标保证金不予退还，给招标人造成的损失超过投标保证金数额的，中标人还应当对超过部分予以赔偿。</w:t>
      </w:r>
    </w:p>
    <w:p>
      <w:pPr>
        <w:snapToGrid w:val="0"/>
        <w:spacing w:line="360" w:lineRule="auto"/>
        <w:rPr>
          <w:rFonts w:hint="eastAsia" w:ascii="宋体" w:hAnsi="宋体" w:cs="宋体"/>
          <w:kern w:val="0"/>
          <w:highlight w:val="none"/>
        </w:rPr>
      </w:pPr>
      <w:bookmarkStart w:id="162" w:name="_Toc9918"/>
      <w:bookmarkStart w:id="163" w:name="_Toc21703"/>
      <w:r>
        <w:rPr>
          <w:rFonts w:hint="eastAsia" w:ascii="宋体" w:hAnsi="宋体" w:cs="宋体"/>
          <w:kern w:val="0"/>
          <w:highlight w:val="none"/>
        </w:rPr>
        <w:t>7.7签订合同</w:t>
      </w:r>
      <w:bookmarkEnd w:id="162"/>
      <w:bookmarkEnd w:id="163"/>
    </w:p>
    <w:p>
      <w:pPr>
        <w:snapToGrid w:val="0"/>
        <w:spacing w:line="360" w:lineRule="auto"/>
        <w:rPr>
          <w:rFonts w:hint="eastAsia" w:ascii="宋体" w:hAnsi="宋体" w:cs="宋体"/>
          <w:kern w:val="0"/>
          <w:highlight w:val="none"/>
        </w:rPr>
      </w:pPr>
      <w:r>
        <w:rPr>
          <w:rFonts w:hint="eastAsia" w:ascii="宋体" w:hAnsi="宋体" w:cs="宋体"/>
          <w:kern w:val="0"/>
          <w:highlight w:val="none"/>
        </w:rPr>
        <w:t>7.7.1招标人和中标人应当在中标通知书发出之日起 30 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pPr>
        <w:snapToGrid w:val="0"/>
        <w:spacing w:line="360" w:lineRule="auto"/>
        <w:rPr>
          <w:rFonts w:hint="eastAsia" w:ascii="宋体" w:hAnsi="宋体" w:cs="宋体"/>
          <w:kern w:val="0"/>
          <w:highlight w:val="none"/>
        </w:rPr>
      </w:pPr>
      <w:r>
        <w:rPr>
          <w:rFonts w:hint="eastAsia" w:ascii="宋体" w:hAnsi="宋体" w:cs="宋体"/>
          <w:kern w:val="0"/>
          <w:highlight w:val="none"/>
        </w:rPr>
        <w:t>7.7.2发出中标通知书后，招标人无正当理由拒签合同，或者在签订合同时向中标人提出附加条件的，招标人向中标人退还投标保证金；给中标人造成损失的，还应当赔偿损失。</w:t>
      </w:r>
    </w:p>
    <w:p>
      <w:pPr>
        <w:snapToGrid w:val="0"/>
        <w:spacing w:line="360" w:lineRule="auto"/>
        <w:rPr>
          <w:rFonts w:hint="eastAsia" w:ascii="宋体" w:hAnsi="宋体" w:cs="宋体"/>
          <w:kern w:val="0"/>
          <w:highlight w:val="none"/>
        </w:rPr>
      </w:pPr>
      <w:r>
        <w:rPr>
          <w:rFonts w:hint="eastAsia" w:ascii="宋体" w:hAnsi="宋体" w:cs="宋体"/>
          <w:kern w:val="0"/>
          <w:highlight w:val="none"/>
        </w:rPr>
        <w:t>7.7.3联合体中标的，联合体各方应当共同与招标人签订合同，就中标项目向招标人承担连带责任。</w:t>
      </w:r>
    </w:p>
    <w:p>
      <w:pPr>
        <w:pStyle w:val="4"/>
        <w:snapToGrid w:val="0"/>
        <w:spacing w:before="0" w:after="0" w:line="360" w:lineRule="auto"/>
        <w:rPr>
          <w:rFonts w:hint="eastAsia" w:ascii="宋体" w:hAnsi="宋体" w:cs="宋体"/>
          <w:kern w:val="0"/>
          <w:highlight w:val="none"/>
        </w:rPr>
      </w:pPr>
      <w:bookmarkStart w:id="164" w:name="_Toc17066"/>
      <w:bookmarkStart w:id="165" w:name="_Toc20749"/>
      <w:bookmarkStart w:id="166" w:name="_Toc26734"/>
      <w:bookmarkStart w:id="167" w:name="_Toc29039"/>
      <w:bookmarkStart w:id="168" w:name="_Toc12889"/>
      <w:r>
        <w:rPr>
          <w:rFonts w:hint="eastAsia" w:ascii="宋体" w:hAnsi="宋体" w:cs="宋体"/>
          <w:kern w:val="0"/>
          <w:highlight w:val="none"/>
        </w:rPr>
        <w:t>8.纪律和监督</w:t>
      </w:r>
      <w:bookmarkEnd w:id="164"/>
      <w:bookmarkEnd w:id="165"/>
      <w:bookmarkEnd w:id="166"/>
      <w:bookmarkEnd w:id="167"/>
      <w:bookmarkEnd w:id="168"/>
    </w:p>
    <w:p>
      <w:pPr>
        <w:snapToGrid w:val="0"/>
        <w:spacing w:line="360" w:lineRule="auto"/>
        <w:rPr>
          <w:rFonts w:hint="eastAsia" w:ascii="宋体" w:hAnsi="宋体" w:cs="宋体"/>
          <w:kern w:val="0"/>
          <w:highlight w:val="none"/>
        </w:rPr>
      </w:pPr>
      <w:bookmarkStart w:id="169" w:name="_Toc15697"/>
      <w:bookmarkStart w:id="170" w:name="_Toc14910"/>
      <w:r>
        <w:rPr>
          <w:rFonts w:hint="eastAsia" w:ascii="宋体" w:hAnsi="宋体" w:cs="宋体"/>
          <w:kern w:val="0"/>
          <w:highlight w:val="none"/>
        </w:rPr>
        <w:t>8.1对招标人的纪律要求</w:t>
      </w:r>
      <w:bookmarkEnd w:id="169"/>
      <w:bookmarkEnd w:id="170"/>
    </w:p>
    <w:p>
      <w:pPr>
        <w:snapToGrid w:val="0"/>
        <w:spacing w:line="360" w:lineRule="auto"/>
        <w:rPr>
          <w:rFonts w:hint="eastAsia" w:ascii="宋体" w:hAnsi="宋体" w:cs="宋体"/>
          <w:kern w:val="0"/>
          <w:highlight w:val="none"/>
        </w:rPr>
      </w:pPr>
      <w:r>
        <w:rPr>
          <w:rFonts w:hint="eastAsia" w:ascii="宋体" w:hAnsi="宋体" w:cs="宋体"/>
          <w:kern w:val="0"/>
          <w:highlight w:val="none"/>
        </w:rPr>
        <w:t>招标人不得泄露招标投标活动中应当保密的情况和资料，不得与投标人串通损害国家利益、社会公共利益或者他人合法权益。</w:t>
      </w:r>
    </w:p>
    <w:p>
      <w:pPr>
        <w:snapToGrid w:val="0"/>
        <w:spacing w:line="360" w:lineRule="auto"/>
        <w:rPr>
          <w:rFonts w:hint="eastAsia" w:ascii="宋体" w:hAnsi="宋体" w:cs="宋体"/>
          <w:kern w:val="0"/>
          <w:highlight w:val="none"/>
        </w:rPr>
      </w:pPr>
      <w:bookmarkStart w:id="171" w:name="_Toc17821"/>
      <w:bookmarkStart w:id="172" w:name="_Toc30658"/>
      <w:r>
        <w:rPr>
          <w:rFonts w:hint="eastAsia" w:ascii="宋体" w:hAnsi="宋体" w:cs="宋体"/>
          <w:kern w:val="0"/>
          <w:highlight w:val="none"/>
        </w:rPr>
        <w:t>8.2对投标人的纪律要求</w:t>
      </w:r>
      <w:bookmarkEnd w:id="171"/>
      <w:bookmarkEnd w:id="172"/>
    </w:p>
    <w:p>
      <w:pPr>
        <w:snapToGrid w:val="0"/>
        <w:spacing w:line="360" w:lineRule="auto"/>
        <w:rPr>
          <w:rFonts w:hint="eastAsia" w:ascii="宋体" w:hAnsi="宋体" w:cs="宋体"/>
          <w:kern w:val="0"/>
          <w:highlight w:val="none"/>
        </w:rPr>
      </w:pPr>
      <w:r>
        <w:rPr>
          <w:rFonts w:hint="eastAsia" w:ascii="宋体" w:hAnsi="宋体" w:cs="宋体"/>
          <w:kern w:val="0"/>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snapToGrid w:val="0"/>
        <w:spacing w:line="360" w:lineRule="auto"/>
        <w:rPr>
          <w:rFonts w:hint="eastAsia" w:ascii="宋体" w:hAnsi="宋体" w:cs="宋体"/>
          <w:kern w:val="0"/>
          <w:highlight w:val="none"/>
        </w:rPr>
      </w:pPr>
      <w:bookmarkStart w:id="173" w:name="_Toc32673"/>
      <w:bookmarkStart w:id="174" w:name="_Toc13412"/>
      <w:r>
        <w:rPr>
          <w:rFonts w:hint="eastAsia" w:ascii="宋体" w:hAnsi="宋体" w:cs="宋体"/>
          <w:kern w:val="0"/>
          <w:highlight w:val="none"/>
        </w:rPr>
        <w:t>8.3对评标委员会成员的纪律要求</w:t>
      </w:r>
      <w:bookmarkEnd w:id="173"/>
      <w:bookmarkEnd w:id="174"/>
    </w:p>
    <w:p>
      <w:pPr>
        <w:snapToGrid w:val="0"/>
        <w:spacing w:line="360" w:lineRule="auto"/>
        <w:rPr>
          <w:rFonts w:hint="eastAsia" w:ascii="宋体" w:hAnsi="宋体" w:cs="宋体"/>
          <w:kern w:val="0"/>
          <w:highlight w:val="none"/>
        </w:rPr>
      </w:pPr>
      <w:r>
        <w:rPr>
          <w:rFonts w:hint="eastAsia" w:ascii="宋体" w:hAnsi="宋体" w:cs="宋体"/>
          <w:kern w:val="0"/>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napToGrid w:val="0"/>
        <w:spacing w:line="360" w:lineRule="auto"/>
        <w:rPr>
          <w:rFonts w:hint="eastAsia" w:ascii="宋体" w:hAnsi="宋体" w:cs="宋体"/>
          <w:kern w:val="0"/>
          <w:highlight w:val="none"/>
        </w:rPr>
      </w:pPr>
      <w:bookmarkStart w:id="175" w:name="_Toc25524"/>
      <w:bookmarkStart w:id="176" w:name="_Toc16315"/>
      <w:r>
        <w:rPr>
          <w:rFonts w:hint="eastAsia" w:ascii="宋体" w:hAnsi="宋体" w:cs="宋体"/>
          <w:kern w:val="0"/>
          <w:highlight w:val="none"/>
        </w:rPr>
        <w:t>8.4对与评标活动有关的工作人员的纪律要求</w:t>
      </w:r>
      <w:bookmarkEnd w:id="175"/>
      <w:bookmarkEnd w:id="176"/>
    </w:p>
    <w:p>
      <w:pPr>
        <w:snapToGrid w:val="0"/>
        <w:spacing w:line="360" w:lineRule="auto"/>
        <w:rPr>
          <w:rFonts w:hint="eastAsia" w:ascii="宋体" w:hAnsi="宋体" w:cs="宋体"/>
          <w:kern w:val="0"/>
          <w:highlight w:val="none"/>
        </w:rPr>
      </w:pPr>
      <w:r>
        <w:rPr>
          <w:rFonts w:hint="eastAsia" w:ascii="宋体" w:hAnsi="宋体" w:cs="宋体"/>
          <w:kern w:val="0"/>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snapToGrid w:val="0"/>
        <w:spacing w:line="360" w:lineRule="auto"/>
        <w:rPr>
          <w:rFonts w:hint="eastAsia" w:ascii="宋体" w:hAnsi="宋体" w:cs="宋体"/>
          <w:kern w:val="0"/>
          <w:highlight w:val="none"/>
        </w:rPr>
      </w:pPr>
      <w:bookmarkStart w:id="177" w:name="_Toc2722"/>
      <w:bookmarkStart w:id="178" w:name="_Toc19865"/>
      <w:r>
        <w:rPr>
          <w:rFonts w:hint="eastAsia" w:ascii="宋体" w:hAnsi="宋体" w:cs="宋体"/>
          <w:kern w:val="0"/>
          <w:highlight w:val="none"/>
        </w:rPr>
        <w:t>8.5投诉</w:t>
      </w:r>
      <w:bookmarkEnd w:id="177"/>
      <w:bookmarkEnd w:id="178"/>
    </w:p>
    <w:p>
      <w:pPr>
        <w:snapToGrid w:val="0"/>
        <w:spacing w:line="360" w:lineRule="auto"/>
        <w:rPr>
          <w:rFonts w:hint="eastAsia" w:ascii="宋体" w:hAnsi="宋体" w:cs="宋体"/>
          <w:kern w:val="0"/>
          <w:highlight w:val="none"/>
        </w:rPr>
      </w:pPr>
      <w:r>
        <w:rPr>
          <w:rFonts w:hint="eastAsia" w:ascii="宋体" w:hAnsi="宋体" w:cs="宋体"/>
          <w:kern w:val="0"/>
          <w:highlight w:val="none"/>
        </w:rPr>
        <w:t>8.5.1投标人或者其他利害关系人认为招标投标活动不符合法律、行政法规规定的，可以自知道或者应当知道之日起10日内向有关行政监督部门投诉。投诉应当有明确的请求和必要的证明材料。</w:t>
      </w:r>
    </w:p>
    <w:p>
      <w:pPr>
        <w:snapToGrid w:val="0"/>
        <w:spacing w:line="360" w:lineRule="auto"/>
        <w:rPr>
          <w:rFonts w:hint="eastAsia" w:ascii="宋体" w:hAnsi="宋体" w:cs="宋体"/>
          <w:kern w:val="0"/>
          <w:highlight w:val="none"/>
        </w:rPr>
      </w:pPr>
      <w:r>
        <w:rPr>
          <w:rFonts w:hint="eastAsia" w:ascii="宋体" w:hAnsi="宋体" w:cs="宋体"/>
          <w:kern w:val="0"/>
          <w:highlight w:val="none"/>
        </w:rPr>
        <w:t>8.5.2投标人或者其他利害关系人对招标文件、开标和评标结果提出投诉的，应当按照投标人须知第2.4款、第5.3款和第7.2款的规定先向招标人提出异议。异议答复期间不计算在第8.5.1项规定的期限内。</w:t>
      </w:r>
    </w:p>
    <w:p>
      <w:pPr>
        <w:pStyle w:val="4"/>
        <w:snapToGrid w:val="0"/>
        <w:spacing w:before="0" w:after="0" w:line="360" w:lineRule="auto"/>
        <w:rPr>
          <w:rFonts w:hint="eastAsia" w:ascii="宋体" w:hAnsi="宋体" w:cs="宋体"/>
          <w:kern w:val="0"/>
          <w:highlight w:val="none"/>
        </w:rPr>
      </w:pPr>
      <w:bookmarkStart w:id="179" w:name="_Toc16846"/>
      <w:bookmarkStart w:id="180" w:name="_Toc18267"/>
      <w:bookmarkStart w:id="181" w:name="_Toc7235"/>
      <w:bookmarkStart w:id="182" w:name="_Toc29181"/>
      <w:bookmarkStart w:id="183" w:name="_Toc12206"/>
      <w:r>
        <w:rPr>
          <w:rFonts w:hint="eastAsia" w:ascii="宋体" w:hAnsi="宋体" w:cs="宋体"/>
          <w:kern w:val="0"/>
          <w:highlight w:val="none"/>
        </w:rPr>
        <w:t>9.是否采用电子招标投标</w:t>
      </w:r>
      <w:bookmarkEnd w:id="179"/>
      <w:bookmarkEnd w:id="180"/>
      <w:bookmarkEnd w:id="181"/>
      <w:bookmarkEnd w:id="182"/>
      <w:bookmarkEnd w:id="183"/>
    </w:p>
    <w:p>
      <w:pPr>
        <w:snapToGrid w:val="0"/>
        <w:spacing w:line="360" w:lineRule="auto"/>
        <w:rPr>
          <w:rFonts w:hint="eastAsia" w:ascii="宋体" w:hAnsi="宋体" w:cs="宋体"/>
          <w:kern w:val="0"/>
          <w:highlight w:val="none"/>
        </w:rPr>
      </w:pPr>
      <w:r>
        <w:rPr>
          <w:rFonts w:hint="eastAsia" w:ascii="宋体" w:hAnsi="宋体" w:cs="宋体"/>
          <w:kern w:val="0"/>
          <w:highlight w:val="none"/>
        </w:rPr>
        <w:t>本招标项目是否采用电子招标投标方式，见投标人须知前附表。</w:t>
      </w:r>
    </w:p>
    <w:p>
      <w:pPr>
        <w:pStyle w:val="4"/>
        <w:snapToGrid w:val="0"/>
        <w:spacing w:before="0" w:after="0" w:line="360" w:lineRule="auto"/>
        <w:rPr>
          <w:rFonts w:hint="eastAsia" w:ascii="宋体" w:hAnsi="宋体" w:cs="宋体"/>
          <w:kern w:val="0"/>
          <w:highlight w:val="none"/>
        </w:rPr>
      </w:pPr>
      <w:bookmarkStart w:id="184" w:name="_Toc12378"/>
      <w:bookmarkStart w:id="185" w:name="_Toc1704"/>
      <w:bookmarkStart w:id="186" w:name="_Toc19541"/>
      <w:bookmarkStart w:id="187" w:name="_Toc12612"/>
      <w:bookmarkStart w:id="188" w:name="_Toc31109"/>
      <w:r>
        <w:rPr>
          <w:rFonts w:hint="eastAsia" w:ascii="宋体" w:hAnsi="宋体" w:cs="宋体"/>
          <w:kern w:val="0"/>
          <w:highlight w:val="none"/>
        </w:rPr>
        <w:t>10.需要补充的其他内容</w:t>
      </w:r>
      <w:bookmarkEnd w:id="184"/>
      <w:bookmarkEnd w:id="185"/>
      <w:bookmarkEnd w:id="186"/>
      <w:bookmarkEnd w:id="187"/>
      <w:bookmarkEnd w:id="188"/>
    </w:p>
    <w:p>
      <w:pPr>
        <w:snapToGrid w:val="0"/>
        <w:spacing w:line="360" w:lineRule="auto"/>
        <w:rPr>
          <w:rFonts w:hint="eastAsia" w:ascii="宋体" w:hAnsi="宋体" w:cs="宋体"/>
          <w:kern w:val="0"/>
          <w:highlight w:val="none"/>
        </w:rPr>
      </w:pPr>
      <w:r>
        <w:rPr>
          <w:rFonts w:hint="eastAsia" w:ascii="宋体" w:hAnsi="宋体" w:cs="宋体"/>
          <w:kern w:val="0"/>
          <w:highlight w:val="none"/>
        </w:rPr>
        <w:t>需要补充的其他内容：见投标人须知前附表。</w:t>
      </w:r>
    </w:p>
    <w:p>
      <w:pPr>
        <w:pStyle w:val="3"/>
        <w:snapToGrid w:val="0"/>
        <w:spacing w:before="0" w:after="0" w:line="360" w:lineRule="auto"/>
        <w:rPr>
          <w:rFonts w:hint="eastAsia" w:cs="宋体"/>
          <w:kern w:val="0"/>
          <w:highlight w:val="none"/>
        </w:rPr>
      </w:pPr>
      <w:bookmarkStart w:id="189" w:name="_Toc13836"/>
      <w:bookmarkStart w:id="190" w:name="_Toc2541"/>
      <w:bookmarkStart w:id="191" w:name="_Toc14472"/>
      <w:bookmarkStart w:id="192" w:name="_Toc16096"/>
      <w:r>
        <w:rPr>
          <w:rFonts w:hint="eastAsia" w:cs="宋体"/>
          <w:kern w:val="0"/>
          <w:highlight w:val="none"/>
        </w:rPr>
        <w:br w:type="column"/>
      </w:r>
      <w:r>
        <w:rPr>
          <w:rFonts w:hint="eastAsia" w:cs="宋体"/>
          <w:kern w:val="0"/>
          <w:highlight w:val="none"/>
        </w:rPr>
        <w:t>第三章 评标办法（综合评估法）</w:t>
      </w:r>
      <w:bookmarkEnd w:id="189"/>
      <w:bookmarkEnd w:id="190"/>
      <w:bookmarkEnd w:id="191"/>
      <w:bookmarkEnd w:id="192"/>
    </w:p>
    <w:p>
      <w:pPr>
        <w:pStyle w:val="4"/>
        <w:snapToGrid w:val="0"/>
        <w:spacing w:before="0" w:after="0" w:line="360" w:lineRule="auto"/>
        <w:rPr>
          <w:rFonts w:hint="eastAsia" w:ascii="宋体" w:hAnsi="宋体" w:cs="宋体"/>
          <w:kern w:val="0"/>
          <w:highlight w:val="none"/>
        </w:rPr>
      </w:pPr>
      <w:bookmarkStart w:id="193" w:name="_Toc26177"/>
      <w:bookmarkStart w:id="194" w:name="_Toc18445"/>
      <w:bookmarkStart w:id="195" w:name="_Toc13768"/>
      <w:bookmarkStart w:id="196" w:name="_Toc13469"/>
      <w:bookmarkStart w:id="197" w:name="_Toc31406"/>
      <w:r>
        <w:rPr>
          <w:rFonts w:hint="eastAsia" w:ascii="宋体" w:hAnsi="宋体" w:cs="宋体"/>
          <w:kern w:val="0"/>
          <w:highlight w:val="none"/>
        </w:rPr>
        <w:t>评标办法前附表</w:t>
      </w:r>
      <w:bookmarkEnd w:id="193"/>
      <w:bookmarkEnd w:id="194"/>
      <w:bookmarkEnd w:id="195"/>
      <w:bookmarkEnd w:id="196"/>
      <w:bookmarkEnd w:id="197"/>
    </w:p>
    <w:tbl>
      <w:tblPr>
        <w:tblStyle w:val="31"/>
        <w:tblW w:w="10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1"/>
        <w:gridCol w:w="737"/>
        <w:gridCol w:w="19"/>
        <w:gridCol w:w="1083"/>
        <w:gridCol w:w="272"/>
        <w:gridCol w:w="6618"/>
        <w:gridCol w:w="868"/>
        <w:gridCol w:w="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gridSpan w:val="3"/>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条款号</w:t>
            </w:r>
          </w:p>
        </w:tc>
        <w:tc>
          <w:tcPr>
            <w:tcW w:w="1102" w:type="dxa"/>
            <w:gridSpan w:val="2"/>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条款内容</w:t>
            </w:r>
          </w:p>
        </w:tc>
        <w:tc>
          <w:tcPr>
            <w:tcW w:w="7841" w:type="dxa"/>
            <w:gridSpan w:val="4"/>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737" w:type="dxa"/>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评标方法</w:t>
            </w: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中标候选人排序方法</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本次评标采用综合评估法。评标委员会对满足招标文件实质性要求的投标文件，按照本章第2.2款规定的评分标准进行打分，并按得分由高到低顺序推荐中标候选人，或根据招标人授权直接确定中标人，但投标报价低于其成本的除外。综合评分相等时，以投标报价低的优先；投标报价也相等的，以技术得分高的优先；如果技术得分也相等，确定中标候选人顺序的方法为：招标人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gridSpan w:val="3"/>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条款号</w:t>
            </w:r>
          </w:p>
        </w:tc>
        <w:tc>
          <w:tcPr>
            <w:tcW w:w="1102" w:type="dxa"/>
            <w:gridSpan w:val="2"/>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评审因素</w:t>
            </w:r>
          </w:p>
        </w:tc>
        <w:tc>
          <w:tcPr>
            <w:tcW w:w="7841" w:type="dxa"/>
            <w:gridSpan w:val="4"/>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2" w:type="dxa"/>
            <w:gridSpan w:val="2"/>
            <w:vMerge w:val="restart"/>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2.1.1</w:t>
            </w:r>
          </w:p>
        </w:tc>
        <w:tc>
          <w:tcPr>
            <w:tcW w:w="737" w:type="dxa"/>
            <w:vMerge w:val="restart"/>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形式评审标准</w:t>
            </w: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投标人名称</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投标函签字盖章</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有法定代表人（单位负责人）或其委托代理人签字或加盖单位章。由法定代表人（单位负责人）签字的，应附法定代表人（单位负责人）身份证明；由代理人签字的，应附授权委托书，身份证明或授权委托书应符合第六章“投标文件格式”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投标文件格式</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符合第六章“投标文件格式”的规定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2" w:type="dxa"/>
            <w:gridSpan w:val="2"/>
            <w:vMerge w:val="restart"/>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2.1.2</w:t>
            </w:r>
          </w:p>
        </w:tc>
        <w:tc>
          <w:tcPr>
            <w:tcW w:w="737" w:type="dxa"/>
            <w:vMerge w:val="restart"/>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资格评审标准</w:t>
            </w: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资质要求</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财务要求</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不存在禁止投标的情形</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不存在第二章“投标人须知”第1.4.3项规定的任何一种情形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restart"/>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2.1.3</w:t>
            </w:r>
          </w:p>
        </w:tc>
        <w:tc>
          <w:tcPr>
            <w:tcW w:w="737" w:type="dxa"/>
            <w:vMerge w:val="restart"/>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响应性评审标准</w:t>
            </w: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投标报价</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符合第二章“投标人须知”第3.2款规定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投标内容</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交货期</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符合第二章“投标人须知”第1.3.2项规定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交付地点</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符合第二章“投标人须知”第1.3.3项规定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技术性能指标</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符合第二章“投标人须知”第1.3.4项规定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投标有效期</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投标保证金</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符合第二章“投标人须知”第3.4.1项规定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权利义务</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符合第二章“投标人须知”第1.11.1项规定和第四章“合同条款及格式”中的实质性要求和条件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投标设备及技术服务和质保期服务</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符合第五章“项目需求”中的实质性要求和条件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技术支持资料</w:t>
            </w:r>
          </w:p>
        </w:tc>
        <w:tc>
          <w:tcPr>
            <w:tcW w:w="7841" w:type="dxa"/>
            <w:gridSpan w:val="4"/>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符合第二章“投标人须知”第1.11.3项规定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gridSpan w:val="2"/>
            <w:vMerge w:val="continue"/>
            <w:noWrap w:val="0"/>
            <w:vAlign w:val="center"/>
          </w:tcPr>
          <w:p>
            <w:pPr>
              <w:snapToGrid w:val="0"/>
              <w:ind w:firstLine="0" w:firstLineChars="0"/>
              <w:jc w:val="center"/>
              <w:rPr>
                <w:rFonts w:hint="eastAsia" w:ascii="宋体" w:hAnsi="宋体" w:cs="宋体"/>
                <w:kern w:val="0"/>
                <w:szCs w:val="21"/>
                <w:highlight w:val="none"/>
              </w:rPr>
            </w:pPr>
          </w:p>
        </w:tc>
        <w:tc>
          <w:tcPr>
            <w:tcW w:w="737"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gridSpan w:val="2"/>
            <w:noWrap w:val="0"/>
            <w:vAlign w:val="top"/>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lang w:eastAsia="en-US"/>
              </w:rPr>
              <w:t>主要技术参数</w:t>
            </w:r>
          </w:p>
        </w:tc>
        <w:tc>
          <w:tcPr>
            <w:tcW w:w="7841" w:type="dxa"/>
            <w:gridSpan w:val="4"/>
            <w:noWrap w:val="0"/>
            <w:vAlign w:val="top"/>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符合第五章“项目需求”中的实质性条款的要求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gridSpan w:val="3"/>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条款号</w:t>
            </w:r>
          </w:p>
        </w:tc>
        <w:tc>
          <w:tcPr>
            <w:tcW w:w="1102" w:type="dxa"/>
            <w:gridSpan w:val="2"/>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条款内容</w:t>
            </w:r>
          </w:p>
        </w:tc>
        <w:tc>
          <w:tcPr>
            <w:tcW w:w="7841" w:type="dxa"/>
            <w:gridSpan w:val="4"/>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gridSpan w:val="3"/>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2.2.1</w:t>
            </w:r>
          </w:p>
        </w:tc>
        <w:tc>
          <w:tcPr>
            <w:tcW w:w="1102" w:type="dxa"/>
            <w:gridSpan w:val="2"/>
            <w:noWrap w:val="0"/>
            <w:vAlign w:val="center"/>
          </w:tcPr>
          <w:p>
            <w:pPr>
              <w:snapToGrid w:val="0"/>
              <w:ind w:firstLine="0" w:firstLineChars="0"/>
              <w:rPr>
                <w:rFonts w:hint="eastAsia" w:ascii="宋体" w:hAnsi="宋体" w:cs="宋体"/>
                <w:kern w:val="0"/>
                <w:szCs w:val="21"/>
                <w:highlight w:val="none"/>
              </w:rPr>
            </w:pPr>
            <w:r>
              <w:rPr>
                <w:rFonts w:hint="eastAsia" w:ascii="宋体" w:hAnsi="宋体" w:cs="宋体"/>
                <w:kern w:val="0"/>
                <w:szCs w:val="21"/>
                <w:highlight w:val="none"/>
              </w:rPr>
              <w:t>分值构成</w:t>
            </w:r>
          </w:p>
          <w:p>
            <w:pPr>
              <w:snapToGrid w:val="0"/>
              <w:ind w:firstLine="0" w:firstLineChars="0"/>
              <w:rPr>
                <w:rFonts w:hint="eastAsia" w:ascii="宋体" w:hAnsi="宋体" w:cs="宋体"/>
                <w:kern w:val="0"/>
                <w:szCs w:val="21"/>
                <w:highlight w:val="none"/>
              </w:rPr>
            </w:pPr>
            <w:r>
              <w:rPr>
                <w:rFonts w:hint="eastAsia" w:ascii="宋体" w:hAnsi="宋体" w:cs="宋体"/>
                <w:kern w:val="0"/>
                <w:szCs w:val="21"/>
                <w:highlight w:val="none"/>
              </w:rPr>
              <w:t>（总分 100 分）</w:t>
            </w:r>
          </w:p>
        </w:tc>
        <w:tc>
          <w:tcPr>
            <w:tcW w:w="7841" w:type="dxa"/>
            <w:gridSpan w:val="4"/>
            <w:noWrap w:val="0"/>
            <w:vAlign w:val="center"/>
          </w:tcPr>
          <w:p>
            <w:pPr>
              <w:snapToGrid w:val="0"/>
              <w:ind w:firstLine="0" w:firstLineChars="0"/>
              <w:jc w:val="left"/>
              <w:rPr>
                <w:rFonts w:hint="eastAsia" w:ascii="宋体" w:hAnsi="宋体" w:cs="宋体"/>
                <w:szCs w:val="21"/>
                <w:highlight w:val="none"/>
              </w:rPr>
            </w:pPr>
            <w:r>
              <w:rPr>
                <w:rFonts w:hint="eastAsia" w:ascii="宋体" w:hAnsi="宋体" w:cs="宋体"/>
                <w:szCs w:val="21"/>
                <w:highlight w:val="none"/>
              </w:rPr>
              <w:t>商务部分：</w:t>
            </w:r>
            <w:r>
              <w:rPr>
                <w:rFonts w:hint="eastAsia" w:ascii="宋体" w:hAnsi="宋体" w:cs="宋体"/>
                <w:szCs w:val="21"/>
                <w:highlight w:val="none"/>
                <w:lang w:val="en-US" w:eastAsia="zh-CN"/>
              </w:rPr>
              <w:t>65</w:t>
            </w:r>
            <w:r>
              <w:rPr>
                <w:rFonts w:hint="eastAsia" w:ascii="宋体" w:hAnsi="宋体" w:cs="宋体"/>
                <w:szCs w:val="21"/>
                <w:highlight w:val="none"/>
              </w:rPr>
              <w:t>分</w:t>
            </w:r>
          </w:p>
          <w:p>
            <w:pPr>
              <w:snapToGrid w:val="0"/>
              <w:ind w:firstLine="0" w:firstLineChars="0"/>
              <w:jc w:val="left"/>
              <w:rPr>
                <w:rFonts w:hint="eastAsia" w:ascii="宋体" w:hAnsi="宋体" w:cs="宋体"/>
                <w:szCs w:val="21"/>
                <w:highlight w:val="none"/>
              </w:rPr>
            </w:pPr>
            <w:r>
              <w:rPr>
                <w:rFonts w:hint="eastAsia" w:ascii="宋体" w:hAnsi="宋体" w:cs="宋体"/>
                <w:szCs w:val="21"/>
                <w:highlight w:val="none"/>
              </w:rPr>
              <w:t>技术部分：</w:t>
            </w:r>
            <w:r>
              <w:rPr>
                <w:rFonts w:hint="eastAsia" w:ascii="宋体" w:hAnsi="宋体" w:cs="宋体"/>
                <w:szCs w:val="21"/>
                <w:highlight w:val="none"/>
                <w:lang w:val="en-US" w:eastAsia="zh-CN"/>
              </w:rPr>
              <w:t>35</w:t>
            </w:r>
            <w:r>
              <w:rPr>
                <w:rFonts w:hint="eastAsia" w:ascii="宋体" w:hAnsi="宋体" w:cs="宋体"/>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90" w:hRule="atLeast"/>
          <w:jc w:val="center"/>
        </w:trPr>
        <w:tc>
          <w:tcPr>
            <w:tcW w:w="1528" w:type="dxa"/>
            <w:gridSpan w:val="4"/>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条款号</w:t>
            </w:r>
          </w:p>
        </w:tc>
        <w:tc>
          <w:tcPr>
            <w:tcW w:w="1355" w:type="dxa"/>
            <w:gridSpan w:val="2"/>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评审因素</w:t>
            </w:r>
          </w:p>
        </w:tc>
        <w:tc>
          <w:tcPr>
            <w:tcW w:w="6618" w:type="dxa"/>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评审标准</w:t>
            </w:r>
          </w:p>
        </w:tc>
        <w:tc>
          <w:tcPr>
            <w:tcW w:w="868" w:type="dxa"/>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投标文件对应页码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857" w:hRule="atLeast"/>
          <w:jc w:val="center"/>
        </w:trPr>
        <w:tc>
          <w:tcPr>
            <w:tcW w:w="741" w:type="dxa"/>
            <w:vAlign w:val="center"/>
          </w:tcPr>
          <w:p>
            <w:pPr>
              <w:snapToGrid w:val="0"/>
              <w:ind w:firstLine="0" w:firstLineChars="0"/>
              <w:jc w:val="center"/>
              <w:rPr>
                <w:rFonts w:ascii="宋体" w:hAnsi="宋体" w:cs="宋体"/>
                <w:b/>
                <w:kern w:val="0"/>
                <w:szCs w:val="21"/>
                <w:highlight w:val="none"/>
              </w:rPr>
            </w:pPr>
            <w:r>
              <w:rPr>
                <w:rFonts w:hint="eastAsia" w:ascii="宋体" w:hAnsi="宋体" w:cs="宋体"/>
                <w:kern w:val="0"/>
                <w:szCs w:val="21"/>
                <w:highlight w:val="none"/>
              </w:rPr>
              <w:t>2.2.2（1）</w:t>
            </w:r>
          </w:p>
        </w:tc>
        <w:tc>
          <w:tcPr>
            <w:tcW w:w="787" w:type="dxa"/>
            <w:gridSpan w:val="3"/>
            <w:vAlign w:val="center"/>
          </w:tcPr>
          <w:p>
            <w:pPr>
              <w:snapToGrid w:val="0"/>
              <w:ind w:firstLine="0" w:firstLineChars="0"/>
              <w:jc w:val="center"/>
              <w:rPr>
                <w:rFonts w:ascii="宋体" w:hAnsi="宋体" w:cs="宋体"/>
                <w:b/>
                <w:kern w:val="0"/>
                <w:szCs w:val="21"/>
                <w:highlight w:val="none"/>
              </w:rPr>
            </w:pPr>
            <w:r>
              <w:rPr>
                <w:rFonts w:hint="eastAsia" w:ascii="宋体" w:hAnsi="宋体" w:cs="宋体"/>
                <w:kern w:val="0"/>
                <w:szCs w:val="21"/>
                <w:highlight w:val="none"/>
              </w:rPr>
              <w:t>投标报价评分标准（</w:t>
            </w:r>
            <w:r>
              <w:rPr>
                <w:rFonts w:hint="eastAsia" w:ascii="宋体" w:hAnsi="宋体" w:cs="宋体"/>
                <w:kern w:val="0"/>
                <w:szCs w:val="21"/>
                <w:highlight w:val="none"/>
                <w:lang w:val="en-US" w:eastAsia="zh-CN"/>
              </w:rPr>
              <w:t>55</w:t>
            </w:r>
            <w:r>
              <w:rPr>
                <w:rFonts w:hint="eastAsia" w:ascii="宋体" w:hAnsi="宋体" w:cs="宋体"/>
                <w:kern w:val="0"/>
                <w:szCs w:val="21"/>
                <w:highlight w:val="none"/>
              </w:rPr>
              <w:t>分）</w:t>
            </w:r>
          </w:p>
        </w:tc>
        <w:tc>
          <w:tcPr>
            <w:tcW w:w="1355" w:type="dxa"/>
            <w:gridSpan w:val="2"/>
            <w:vAlign w:val="center"/>
          </w:tcPr>
          <w:p>
            <w:pPr>
              <w:snapToGrid w:val="0"/>
              <w:ind w:firstLine="0" w:firstLineChars="0"/>
              <w:jc w:val="left"/>
              <w:rPr>
                <w:rFonts w:ascii="宋体" w:hAnsi="宋体" w:cs="宋体"/>
                <w:b/>
                <w:kern w:val="0"/>
                <w:szCs w:val="21"/>
                <w:highlight w:val="none"/>
              </w:rPr>
            </w:pPr>
            <w:r>
              <w:rPr>
                <w:rFonts w:hint="eastAsia" w:ascii="宋体" w:hAnsi="宋体" w:cs="宋体"/>
                <w:highlight w:val="none"/>
              </w:rPr>
              <w:t>投标报价（</w:t>
            </w:r>
            <w:r>
              <w:rPr>
                <w:rFonts w:hint="eastAsia" w:ascii="宋体" w:hAnsi="宋体" w:cs="宋体"/>
                <w:highlight w:val="none"/>
                <w:lang w:val="en-US" w:eastAsia="zh-CN"/>
              </w:rPr>
              <w:t>55</w:t>
            </w:r>
            <w:r>
              <w:rPr>
                <w:rFonts w:hint="eastAsia" w:ascii="宋体" w:hAnsi="宋体" w:cs="宋体"/>
                <w:highlight w:val="none"/>
              </w:rPr>
              <w:t>分）</w:t>
            </w:r>
          </w:p>
        </w:tc>
        <w:tc>
          <w:tcPr>
            <w:tcW w:w="6618" w:type="dxa"/>
            <w:vAlign w:val="center"/>
          </w:tcPr>
          <w:p>
            <w:pPr>
              <w:snapToGrid w:val="0"/>
              <w:ind w:firstLine="0" w:firstLineChars="0"/>
              <w:rPr>
                <w:rFonts w:hint="eastAsia"/>
                <w:highlight w:val="none"/>
              </w:rPr>
            </w:pPr>
            <w:r>
              <w:rPr>
                <w:rFonts w:hint="eastAsia"/>
                <w:highlight w:val="none"/>
                <w:lang w:val="en-US" w:eastAsia="zh-CN"/>
              </w:rPr>
              <w:t>A.</w:t>
            </w:r>
            <w:r>
              <w:rPr>
                <w:rFonts w:hint="eastAsia"/>
                <w:highlight w:val="none"/>
              </w:rPr>
              <w:t>报价评分（满分</w:t>
            </w:r>
            <w:r>
              <w:rPr>
                <w:rFonts w:hint="eastAsia"/>
                <w:highlight w:val="none"/>
                <w:lang w:val="en-US" w:eastAsia="zh-CN"/>
              </w:rPr>
              <w:t>50</w:t>
            </w:r>
            <w:r>
              <w:rPr>
                <w:rFonts w:hint="eastAsia"/>
                <w:highlight w:val="none"/>
              </w:rPr>
              <w:t>分）：评标基准价 C=A*K</w:t>
            </w:r>
            <w:r>
              <w:rPr>
                <w:rFonts w:hint="eastAsia"/>
                <w:highlight w:val="none"/>
                <w:lang w:eastAsia="zh-CN"/>
              </w:rPr>
              <w:t>，</w:t>
            </w:r>
            <w:r>
              <w:rPr>
                <w:rFonts w:hint="eastAsia"/>
                <w:highlight w:val="none"/>
              </w:rPr>
              <w:t>A为</w:t>
            </w:r>
            <w:r>
              <w:rPr>
                <w:rFonts w:hint="eastAsia"/>
                <w:highlight w:val="none"/>
                <w:lang w:val="en-US" w:eastAsia="zh-CN"/>
              </w:rPr>
              <w:t>所有</w:t>
            </w:r>
            <w:r>
              <w:rPr>
                <w:rFonts w:hint="eastAsia"/>
                <w:highlight w:val="none"/>
              </w:rPr>
              <w:t>满足招标文件要求的投标人的</w:t>
            </w:r>
            <w:r>
              <w:rPr>
                <w:rFonts w:hint="eastAsia"/>
                <w:highlight w:val="none"/>
                <w:lang w:val="en-US" w:eastAsia="zh-CN"/>
              </w:rPr>
              <w:t>投标</w:t>
            </w:r>
            <w:r>
              <w:rPr>
                <w:rFonts w:hint="eastAsia"/>
                <w:highlight w:val="none"/>
              </w:rPr>
              <w:t>报价的算术平均价（如果投标人超过5家（含5家），</w:t>
            </w:r>
            <w:r>
              <w:rPr>
                <w:rFonts w:hint="eastAsia"/>
                <w:highlight w:val="none"/>
                <w:lang w:val="en-US" w:eastAsia="zh-CN"/>
              </w:rPr>
              <w:t>则</w:t>
            </w:r>
            <w:r>
              <w:rPr>
                <w:rFonts w:hint="eastAsia"/>
                <w:highlight w:val="none"/>
              </w:rPr>
              <w:t>去掉一个最高价和一个最低价后计算算术平均值）</w:t>
            </w:r>
            <w:r>
              <w:rPr>
                <w:rFonts w:hint="eastAsia"/>
                <w:highlight w:val="none"/>
                <w:lang w:eastAsia="zh-CN"/>
              </w:rPr>
              <w:t>，</w:t>
            </w:r>
            <w:r>
              <w:rPr>
                <w:rFonts w:hint="eastAsia"/>
                <w:highlight w:val="none"/>
              </w:rPr>
              <w:t>K值的取值范围为95%-98%之间的整数，在开标时由开标现场人员随机抽取确定。评标价等于评标基准价的得满分</w:t>
            </w:r>
            <w:r>
              <w:rPr>
                <w:rFonts w:hint="eastAsia"/>
                <w:highlight w:val="none"/>
                <w:lang w:val="en-US" w:eastAsia="zh-CN"/>
              </w:rPr>
              <w:t>55</w:t>
            </w:r>
            <w:r>
              <w:rPr>
                <w:rFonts w:hint="eastAsia"/>
                <w:highlight w:val="none"/>
              </w:rPr>
              <w:t>分，偏离基准价的相应扣减得分。投标报价与基准价相比的偏差率，每高出基准价1%扣</w:t>
            </w:r>
            <w:r>
              <w:rPr>
                <w:rFonts w:hint="eastAsia"/>
                <w:highlight w:val="none"/>
                <w:lang w:val="en-US" w:eastAsia="zh-CN"/>
              </w:rPr>
              <w:t>1</w:t>
            </w:r>
            <w:r>
              <w:rPr>
                <w:rFonts w:hint="eastAsia"/>
                <w:highlight w:val="none"/>
              </w:rPr>
              <w:t>分，每低于基准价1%扣</w:t>
            </w:r>
            <w:r>
              <w:rPr>
                <w:rFonts w:hint="eastAsia"/>
                <w:highlight w:val="none"/>
                <w:lang w:val="en-US" w:eastAsia="zh-CN"/>
              </w:rPr>
              <w:t>0.5</w:t>
            </w:r>
            <w:r>
              <w:rPr>
                <w:rFonts w:hint="eastAsia"/>
                <w:highlight w:val="none"/>
              </w:rPr>
              <w:t>分，不足1%按插入法计算，保留两位小数，扣完为止。</w:t>
            </w:r>
          </w:p>
          <w:p>
            <w:pPr>
              <w:pStyle w:val="2"/>
              <w:ind w:left="0" w:leftChars="0" w:firstLine="0" w:firstLineChars="0"/>
              <w:rPr>
                <w:highlight w:val="none"/>
              </w:rPr>
            </w:pPr>
            <w:r>
              <w:rPr>
                <w:rFonts w:hint="eastAsia" w:ascii="Calibri" w:hAnsi="Calibri" w:eastAsia="宋体" w:cs="Times New Roman"/>
                <w:kern w:val="2"/>
                <w:sz w:val="21"/>
                <w:szCs w:val="22"/>
                <w:highlight w:val="none"/>
                <w:lang w:val="en-US" w:eastAsia="zh-CN" w:bidi="ar-SA"/>
              </w:rPr>
              <w:t xml:space="preserve">B.报价合理性得分（满分5分）：主要评审投标报价中各组成单价的合理程度，重点评比金额占总价比重较大的单价合理程度。  </w:t>
            </w:r>
          </w:p>
        </w:tc>
        <w:tc>
          <w:tcPr>
            <w:tcW w:w="868" w:type="dxa"/>
            <w:vAlign w:val="center"/>
          </w:tcPr>
          <w:p>
            <w:pPr>
              <w:snapToGrid w:val="0"/>
              <w:ind w:firstLine="0" w:firstLineChars="0"/>
              <w:jc w:val="left"/>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694" w:hRule="atLeast"/>
          <w:jc w:val="center"/>
        </w:trPr>
        <w:tc>
          <w:tcPr>
            <w:tcW w:w="741" w:type="dxa"/>
            <w:vMerge w:val="restart"/>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2.2.2（2）</w:t>
            </w:r>
          </w:p>
        </w:tc>
        <w:tc>
          <w:tcPr>
            <w:tcW w:w="787" w:type="dxa"/>
            <w:gridSpan w:val="3"/>
            <w:vMerge w:val="restart"/>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商务评分标准（</w:t>
            </w:r>
            <w:r>
              <w:rPr>
                <w:rFonts w:hint="eastAsia" w:ascii="宋体" w:hAnsi="宋体" w:cs="宋体"/>
                <w:kern w:val="0"/>
                <w:szCs w:val="21"/>
                <w:highlight w:val="none"/>
                <w:lang w:val="en-US" w:eastAsia="zh-CN"/>
              </w:rPr>
              <w:t>10</w:t>
            </w:r>
            <w:r>
              <w:rPr>
                <w:rFonts w:hint="eastAsia" w:ascii="宋体" w:hAnsi="宋体" w:cs="宋体"/>
                <w:kern w:val="0"/>
                <w:szCs w:val="21"/>
                <w:highlight w:val="none"/>
              </w:rPr>
              <w:t>分）</w:t>
            </w:r>
          </w:p>
        </w:tc>
        <w:tc>
          <w:tcPr>
            <w:tcW w:w="1355" w:type="dxa"/>
            <w:gridSpan w:val="2"/>
            <w:vAlign w:val="center"/>
          </w:tcPr>
          <w:p>
            <w:pPr>
              <w:ind w:firstLine="0" w:firstLineChars="0"/>
              <w:jc w:val="center"/>
              <w:rPr>
                <w:rFonts w:ascii="宋体" w:hAnsi="宋体" w:cs="宋体"/>
                <w:szCs w:val="21"/>
                <w:highlight w:val="none"/>
              </w:rPr>
            </w:pPr>
            <w:r>
              <w:rPr>
                <w:rFonts w:hint="eastAsia" w:ascii="宋体" w:hAnsi="宋体" w:cs="宋体"/>
                <w:kern w:val="0"/>
                <w:highlight w:val="none"/>
              </w:rPr>
              <w:t>业绩（</w:t>
            </w:r>
            <w:r>
              <w:rPr>
                <w:rFonts w:hint="eastAsia" w:ascii="宋体" w:hAnsi="宋体" w:cs="宋体"/>
                <w:kern w:val="0"/>
                <w:highlight w:val="none"/>
                <w:lang w:val="en-US" w:eastAsia="zh-CN"/>
              </w:rPr>
              <w:t>5</w:t>
            </w:r>
            <w:r>
              <w:rPr>
                <w:rFonts w:hint="eastAsia" w:ascii="宋体" w:hAnsi="宋体" w:cs="宋体"/>
                <w:kern w:val="0"/>
                <w:highlight w:val="none"/>
              </w:rPr>
              <w:t>分）</w:t>
            </w:r>
          </w:p>
        </w:tc>
        <w:tc>
          <w:tcPr>
            <w:tcW w:w="6618" w:type="dxa"/>
            <w:vAlign w:val="center"/>
          </w:tcPr>
          <w:p>
            <w:pPr>
              <w:widowControl/>
              <w:tabs>
                <w:tab w:val="left" w:pos="-79"/>
              </w:tabs>
              <w:ind w:firstLine="0" w:firstLineChars="0"/>
              <w:jc w:val="left"/>
              <w:rPr>
                <w:rFonts w:ascii="宋体" w:hAnsi="宋体" w:cs="宋体"/>
                <w:szCs w:val="21"/>
                <w:highlight w:val="none"/>
              </w:rPr>
            </w:pPr>
            <w:r>
              <w:rPr>
                <w:rFonts w:hint="eastAsia" w:ascii="宋体" w:hAnsi="宋体" w:cs="宋体"/>
                <w:kern w:val="0"/>
                <w:szCs w:val="21"/>
                <w:highlight w:val="none"/>
              </w:rPr>
              <w:t>投标人自2018年1月1日（以合同签订时间为准）以来有同类业绩得1分。</w:t>
            </w:r>
            <w:r>
              <w:rPr>
                <w:rFonts w:hint="eastAsia" w:ascii="宋体" w:hAnsi="宋体" w:cs="宋体"/>
                <w:kern w:val="0"/>
                <w:szCs w:val="21"/>
                <w:highlight w:val="none"/>
                <w:lang w:val="en-US" w:eastAsia="zh-CN"/>
              </w:rPr>
              <w:t>满分5分。</w:t>
            </w:r>
            <w:r>
              <w:rPr>
                <w:rFonts w:hint="eastAsia" w:ascii="宋体" w:hAnsi="宋体" w:cs="宋体"/>
                <w:kern w:val="0"/>
                <w:szCs w:val="21"/>
                <w:highlight w:val="none"/>
              </w:rPr>
              <w:t>（投标人须提供类似项目的合同复印件或其它证明材料）</w:t>
            </w:r>
          </w:p>
        </w:tc>
        <w:tc>
          <w:tcPr>
            <w:tcW w:w="868" w:type="dxa"/>
            <w:vAlign w:val="center"/>
          </w:tcPr>
          <w:p>
            <w:pPr>
              <w:snapToGrid w:val="0"/>
              <w:ind w:firstLine="0" w:firstLineChars="0"/>
              <w:jc w:val="left"/>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634" w:hRule="atLeast"/>
          <w:jc w:val="center"/>
        </w:trPr>
        <w:tc>
          <w:tcPr>
            <w:tcW w:w="741" w:type="dxa"/>
            <w:vMerge w:val="continue"/>
            <w:vAlign w:val="center"/>
          </w:tcPr>
          <w:p>
            <w:pPr>
              <w:snapToGrid w:val="0"/>
              <w:ind w:firstLine="0" w:firstLineChars="0"/>
              <w:jc w:val="center"/>
              <w:rPr>
                <w:rFonts w:ascii="宋体" w:hAnsi="宋体" w:cs="宋体"/>
                <w:kern w:val="0"/>
                <w:szCs w:val="21"/>
                <w:highlight w:val="none"/>
              </w:rPr>
            </w:pPr>
          </w:p>
        </w:tc>
        <w:tc>
          <w:tcPr>
            <w:tcW w:w="787" w:type="dxa"/>
            <w:gridSpan w:val="3"/>
            <w:vMerge w:val="continue"/>
            <w:vAlign w:val="center"/>
          </w:tcPr>
          <w:p>
            <w:pPr>
              <w:snapToGrid w:val="0"/>
              <w:ind w:firstLine="0" w:firstLineChars="0"/>
              <w:jc w:val="center"/>
              <w:rPr>
                <w:rFonts w:ascii="宋体" w:hAnsi="宋体" w:cs="宋体"/>
                <w:kern w:val="0"/>
                <w:szCs w:val="21"/>
                <w:highlight w:val="none"/>
              </w:rPr>
            </w:pPr>
          </w:p>
        </w:tc>
        <w:tc>
          <w:tcPr>
            <w:tcW w:w="1355" w:type="dxa"/>
            <w:gridSpan w:val="2"/>
            <w:vAlign w:val="center"/>
          </w:tcPr>
          <w:p>
            <w:pPr>
              <w:ind w:firstLine="0" w:firstLineChars="0"/>
              <w:jc w:val="center"/>
              <w:rPr>
                <w:rFonts w:ascii="宋体" w:hAnsi="宋体" w:cs="宋体"/>
                <w:highlight w:val="none"/>
              </w:rPr>
            </w:pPr>
            <w:r>
              <w:rPr>
                <w:rFonts w:hint="eastAsia" w:ascii="宋体" w:hAnsi="宋体" w:cs="宋体"/>
                <w:kern w:val="0"/>
                <w:highlight w:val="none"/>
              </w:rPr>
              <w:t>交货期（</w:t>
            </w:r>
            <w:r>
              <w:rPr>
                <w:rFonts w:hint="eastAsia" w:ascii="宋体" w:hAnsi="宋体" w:cs="宋体"/>
                <w:kern w:val="0"/>
                <w:highlight w:val="none"/>
                <w:lang w:val="en-US" w:eastAsia="zh-CN"/>
              </w:rPr>
              <w:t>2</w:t>
            </w:r>
            <w:r>
              <w:rPr>
                <w:rFonts w:hint="eastAsia" w:ascii="宋体" w:hAnsi="宋体" w:cs="宋体"/>
                <w:kern w:val="0"/>
                <w:highlight w:val="none"/>
              </w:rPr>
              <w:t>分）</w:t>
            </w:r>
          </w:p>
        </w:tc>
        <w:tc>
          <w:tcPr>
            <w:tcW w:w="6618" w:type="dxa"/>
            <w:vAlign w:val="center"/>
          </w:tcPr>
          <w:p>
            <w:pPr>
              <w:widowControl/>
              <w:tabs>
                <w:tab w:val="left" w:pos="-79"/>
              </w:tabs>
              <w:ind w:firstLine="0" w:firstLineChars="0"/>
              <w:jc w:val="left"/>
              <w:rPr>
                <w:rFonts w:ascii="宋体" w:hAnsi="宋体" w:cs="宋体"/>
                <w:kern w:val="0"/>
                <w:szCs w:val="21"/>
                <w:highlight w:val="none"/>
              </w:rPr>
            </w:pPr>
            <w:r>
              <w:rPr>
                <w:rFonts w:hint="eastAsia" w:ascii="宋体" w:hAnsi="宋体" w:cs="宋体"/>
                <w:kern w:val="0"/>
                <w:szCs w:val="21"/>
                <w:highlight w:val="none"/>
              </w:rPr>
              <w:t>由评标委员会根据投标人交货期情况打分，</w:t>
            </w:r>
            <w:r>
              <w:rPr>
                <w:rFonts w:hint="eastAsia" w:ascii="宋体" w:hAnsi="宋体" w:cs="宋体"/>
                <w:kern w:val="0"/>
                <w:szCs w:val="21"/>
                <w:highlight w:val="none"/>
                <w:lang w:val="en-US" w:eastAsia="zh-CN"/>
              </w:rPr>
              <w:t>比招标文件要求工期每提前5天加1分，满分2</w:t>
            </w:r>
            <w:r>
              <w:rPr>
                <w:rFonts w:hint="eastAsia" w:ascii="宋体" w:hAnsi="宋体" w:cs="宋体"/>
                <w:kern w:val="0"/>
                <w:szCs w:val="21"/>
                <w:highlight w:val="none"/>
              </w:rPr>
              <w:t>分。</w:t>
            </w:r>
          </w:p>
        </w:tc>
        <w:tc>
          <w:tcPr>
            <w:tcW w:w="868" w:type="dxa"/>
            <w:vAlign w:val="center"/>
          </w:tcPr>
          <w:p>
            <w:pPr>
              <w:snapToGrid w:val="0"/>
              <w:ind w:firstLine="0" w:firstLineChars="0"/>
              <w:jc w:val="left"/>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654" w:hRule="atLeast"/>
          <w:jc w:val="center"/>
        </w:trPr>
        <w:tc>
          <w:tcPr>
            <w:tcW w:w="741" w:type="dxa"/>
            <w:vMerge w:val="continue"/>
            <w:vAlign w:val="center"/>
          </w:tcPr>
          <w:p>
            <w:pPr>
              <w:snapToGrid w:val="0"/>
              <w:ind w:firstLine="0" w:firstLineChars="0"/>
              <w:jc w:val="center"/>
              <w:rPr>
                <w:rFonts w:ascii="宋体" w:hAnsi="宋体" w:cs="宋体"/>
                <w:kern w:val="0"/>
                <w:szCs w:val="21"/>
                <w:highlight w:val="none"/>
              </w:rPr>
            </w:pPr>
          </w:p>
        </w:tc>
        <w:tc>
          <w:tcPr>
            <w:tcW w:w="787" w:type="dxa"/>
            <w:gridSpan w:val="3"/>
            <w:vMerge w:val="continue"/>
            <w:vAlign w:val="center"/>
          </w:tcPr>
          <w:p>
            <w:pPr>
              <w:snapToGrid w:val="0"/>
              <w:ind w:firstLine="0" w:firstLineChars="0"/>
              <w:jc w:val="center"/>
              <w:rPr>
                <w:rFonts w:ascii="宋体" w:hAnsi="宋体" w:cs="宋体"/>
                <w:kern w:val="0"/>
                <w:szCs w:val="21"/>
                <w:highlight w:val="none"/>
              </w:rPr>
            </w:pPr>
          </w:p>
        </w:tc>
        <w:tc>
          <w:tcPr>
            <w:tcW w:w="1355" w:type="dxa"/>
            <w:gridSpan w:val="2"/>
            <w:vAlign w:val="center"/>
          </w:tcPr>
          <w:p>
            <w:pPr>
              <w:ind w:firstLine="0" w:firstLineChars="0"/>
              <w:jc w:val="center"/>
              <w:rPr>
                <w:rFonts w:hint="default" w:ascii="宋体" w:hAnsi="宋体" w:eastAsia="宋体" w:cs="宋体"/>
                <w:kern w:val="0"/>
                <w:highlight w:val="none"/>
                <w:lang w:val="en-US" w:eastAsia="zh-CN"/>
              </w:rPr>
            </w:pPr>
            <w:r>
              <w:rPr>
                <w:rFonts w:hint="eastAsia" w:ascii="宋体" w:hAnsi="宋体" w:cs="宋体"/>
                <w:kern w:val="0"/>
                <w:highlight w:val="none"/>
                <w:lang w:val="en-US" w:eastAsia="zh-CN"/>
              </w:rPr>
              <w:t>企业获奖情况（3）</w:t>
            </w:r>
          </w:p>
        </w:tc>
        <w:tc>
          <w:tcPr>
            <w:tcW w:w="6618" w:type="dxa"/>
            <w:vAlign w:val="center"/>
          </w:tcPr>
          <w:p>
            <w:pPr>
              <w:widowControl/>
              <w:tabs>
                <w:tab w:val="left" w:pos="-79"/>
              </w:tabs>
              <w:ind w:firstLine="0" w:firstLineChars="0"/>
              <w:jc w:val="left"/>
              <w:rPr>
                <w:rFonts w:hint="eastAsia" w:ascii="宋体" w:hAnsi="宋体" w:eastAsia="宋体" w:cs="宋体"/>
                <w:kern w:val="0"/>
                <w:szCs w:val="21"/>
                <w:highlight w:val="none"/>
                <w:lang w:eastAsia="zh-CN"/>
              </w:rPr>
            </w:pPr>
            <w:r>
              <w:rPr>
                <w:rFonts w:hint="eastAsia"/>
                <w:bCs/>
                <w:sz w:val="21"/>
                <w:szCs w:val="21"/>
                <w:highlight w:val="none"/>
              </w:rPr>
              <w:t>投标人</w:t>
            </w:r>
            <w:r>
              <w:rPr>
                <w:rFonts w:hint="eastAsia"/>
                <w:bCs/>
                <w:sz w:val="21"/>
                <w:szCs w:val="21"/>
                <w:highlight w:val="none"/>
                <w:lang w:val="en-US" w:eastAsia="zh-CN"/>
              </w:rPr>
              <w:t>或制造企业</w:t>
            </w:r>
            <w:r>
              <w:rPr>
                <w:rFonts w:hint="eastAsia"/>
                <w:bCs/>
                <w:sz w:val="21"/>
                <w:szCs w:val="21"/>
                <w:highlight w:val="none"/>
              </w:rPr>
              <w:t>获得过</w:t>
            </w:r>
            <w:r>
              <w:rPr>
                <w:rFonts w:hint="eastAsia"/>
                <w:bCs/>
                <w:sz w:val="21"/>
                <w:szCs w:val="21"/>
                <w:highlight w:val="none"/>
                <w:lang w:val="en-US" w:eastAsia="zh-CN"/>
              </w:rPr>
              <w:t>省</w:t>
            </w:r>
            <w:r>
              <w:rPr>
                <w:rFonts w:hint="eastAsia"/>
                <w:bCs/>
                <w:sz w:val="21"/>
                <w:szCs w:val="21"/>
                <w:highlight w:val="none"/>
              </w:rPr>
              <w:t>级及以上荣誉证书（提供证书复印件，没有提供的不得分），有一项得1分，最多得3分</w:t>
            </w:r>
            <w:r>
              <w:rPr>
                <w:rFonts w:hint="eastAsia"/>
                <w:bCs/>
                <w:sz w:val="21"/>
                <w:szCs w:val="21"/>
                <w:highlight w:val="none"/>
                <w:lang w:eastAsia="zh-CN"/>
              </w:rPr>
              <w:t>。</w:t>
            </w:r>
          </w:p>
        </w:tc>
        <w:tc>
          <w:tcPr>
            <w:tcW w:w="868" w:type="dxa"/>
            <w:vAlign w:val="center"/>
          </w:tcPr>
          <w:p>
            <w:pPr>
              <w:snapToGrid w:val="0"/>
              <w:ind w:firstLine="0" w:firstLineChars="0"/>
              <w:jc w:val="left"/>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370" w:hRule="atLeast"/>
          <w:jc w:val="center"/>
        </w:trPr>
        <w:tc>
          <w:tcPr>
            <w:tcW w:w="741" w:type="dxa"/>
            <w:vMerge w:val="restart"/>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2.2.2（3）</w:t>
            </w:r>
          </w:p>
        </w:tc>
        <w:tc>
          <w:tcPr>
            <w:tcW w:w="787" w:type="dxa"/>
            <w:gridSpan w:val="3"/>
            <w:vMerge w:val="restart"/>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技术评分标准（</w:t>
            </w:r>
            <w:r>
              <w:rPr>
                <w:rFonts w:hint="eastAsia" w:ascii="宋体" w:hAnsi="宋体" w:cs="宋体"/>
                <w:kern w:val="0"/>
                <w:szCs w:val="21"/>
                <w:highlight w:val="none"/>
                <w:lang w:val="en-US" w:eastAsia="zh-CN"/>
              </w:rPr>
              <w:t>35</w:t>
            </w:r>
            <w:r>
              <w:rPr>
                <w:rFonts w:hint="eastAsia" w:ascii="宋体" w:hAnsi="宋体" w:cs="宋体"/>
                <w:kern w:val="0"/>
                <w:szCs w:val="21"/>
                <w:highlight w:val="none"/>
              </w:rPr>
              <w:t>分）</w:t>
            </w:r>
          </w:p>
        </w:tc>
        <w:tc>
          <w:tcPr>
            <w:tcW w:w="1355" w:type="dxa"/>
            <w:gridSpan w:val="2"/>
            <w:vAlign w:val="center"/>
          </w:tcPr>
          <w:p>
            <w:pPr>
              <w:snapToGrid w:val="0"/>
              <w:ind w:firstLine="0" w:firstLineChars="0"/>
              <w:rPr>
                <w:rFonts w:ascii="宋体" w:hAnsi="宋体" w:cs="宋体"/>
                <w:kern w:val="0"/>
                <w:szCs w:val="21"/>
                <w:highlight w:val="none"/>
              </w:rPr>
            </w:pPr>
            <w:r>
              <w:rPr>
                <w:rFonts w:hint="eastAsia" w:ascii="宋体" w:hAnsi="宋体" w:cs="宋体"/>
                <w:kern w:val="0"/>
                <w:highlight w:val="none"/>
              </w:rPr>
              <w:t>技术性能（</w:t>
            </w:r>
            <w:r>
              <w:rPr>
                <w:rFonts w:hint="eastAsia" w:ascii="宋体" w:hAnsi="宋体" w:cs="宋体"/>
                <w:kern w:val="0"/>
                <w:highlight w:val="none"/>
                <w:lang w:val="en-US" w:eastAsia="zh-CN"/>
              </w:rPr>
              <w:t>8</w:t>
            </w:r>
            <w:r>
              <w:rPr>
                <w:rFonts w:hint="eastAsia" w:ascii="宋体" w:hAnsi="宋体" w:cs="宋体"/>
                <w:kern w:val="0"/>
                <w:highlight w:val="none"/>
              </w:rPr>
              <w:t>分）</w:t>
            </w:r>
          </w:p>
        </w:tc>
        <w:tc>
          <w:tcPr>
            <w:tcW w:w="6618" w:type="dxa"/>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由评标委员会根据投标货物、功能服务的性能满足招标文件的技术要求的情况打分。★条款为实质性要求，不满足按否决投标处理；其它条款不满足的每项扣</w:t>
            </w:r>
            <w:r>
              <w:rPr>
                <w:rFonts w:hint="eastAsia" w:ascii="宋体" w:hAnsi="宋体" w:cs="宋体"/>
                <w:kern w:val="0"/>
                <w:szCs w:val="21"/>
                <w:highlight w:val="none"/>
                <w:lang w:val="en-US" w:eastAsia="zh-CN"/>
              </w:rPr>
              <w:t>1</w:t>
            </w:r>
            <w:r>
              <w:rPr>
                <w:rFonts w:hint="eastAsia" w:ascii="宋体" w:hAnsi="宋体" w:cs="宋体"/>
                <w:kern w:val="0"/>
                <w:szCs w:val="21"/>
                <w:highlight w:val="none"/>
              </w:rPr>
              <w:t>分，</w:t>
            </w:r>
            <w:r>
              <w:rPr>
                <w:rFonts w:hint="eastAsia" w:ascii="宋体" w:hAnsi="宋体" w:cs="宋体"/>
                <w:kern w:val="0"/>
                <w:szCs w:val="21"/>
                <w:highlight w:val="none"/>
                <w:lang w:val="en-US" w:eastAsia="zh-CN"/>
              </w:rPr>
              <w:t>8</w:t>
            </w:r>
            <w:r>
              <w:rPr>
                <w:rFonts w:hint="eastAsia" w:ascii="宋体" w:hAnsi="宋体" w:cs="宋体"/>
                <w:kern w:val="0"/>
                <w:szCs w:val="21"/>
                <w:highlight w:val="none"/>
              </w:rPr>
              <w:t>分扣完为止</w:t>
            </w:r>
            <w:r>
              <w:rPr>
                <w:rFonts w:hint="eastAsia" w:ascii="宋体" w:hAnsi="宋体" w:cs="宋体"/>
                <w:highlight w:val="none"/>
              </w:rPr>
              <w:t>。</w:t>
            </w:r>
          </w:p>
        </w:tc>
        <w:tc>
          <w:tcPr>
            <w:tcW w:w="868" w:type="dxa"/>
            <w:vAlign w:val="center"/>
          </w:tcPr>
          <w:p>
            <w:pPr>
              <w:snapToGrid w:val="0"/>
              <w:ind w:firstLine="0" w:firstLineChars="0"/>
              <w:jc w:val="center"/>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340" w:hRule="atLeast"/>
          <w:jc w:val="center"/>
        </w:trPr>
        <w:tc>
          <w:tcPr>
            <w:tcW w:w="741" w:type="dxa"/>
            <w:vMerge w:val="continue"/>
            <w:vAlign w:val="center"/>
          </w:tcPr>
          <w:p>
            <w:pPr>
              <w:snapToGrid w:val="0"/>
              <w:ind w:firstLine="0" w:firstLineChars="0"/>
              <w:rPr>
                <w:rFonts w:ascii="宋体" w:hAnsi="宋体" w:cs="宋体"/>
                <w:kern w:val="0"/>
                <w:szCs w:val="21"/>
                <w:highlight w:val="none"/>
              </w:rPr>
            </w:pPr>
          </w:p>
        </w:tc>
        <w:tc>
          <w:tcPr>
            <w:tcW w:w="787" w:type="dxa"/>
            <w:gridSpan w:val="3"/>
            <w:vMerge w:val="continue"/>
            <w:vAlign w:val="center"/>
          </w:tcPr>
          <w:p>
            <w:pPr>
              <w:snapToGrid w:val="0"/>
              <w:ind w:firstLine="0" w:firstLineChars="0"/>
              <w:rPr>
                <w:rFonts w:ascii="宋体" w:hAnsi="宋体" w:cs="宋体"/>
                <w:kern w:val="0"/>
                <w:szCs w:val="21"/>
                <w:highlight w:val="none"/>
              </w:rPr>
            </w:pPr>
          </w:p>
        </w:tc>
        <w:tc>
          <w:tcPr>
            <w:tcW w:w="1355" w:type="dxa"/>
            <w:gridSpan w:val="2"/>
            <w:vAlign w:val="center"/>
          </w:tcPr>
          <w:p>
            <w:pPr>
              <w:ind w:firstLine="0" w:firstLineChars="0"/>
              <w:jc w:val="center"/>
              <w:rPr>
                <w:rFonts w:ascii="宋体" w:hAnsi="宋体" w:cs="宋体"/>
                <w:szCs w:val="21"/>
                <w:highlight w:val="none"/>
              </w:rPr>
            </w:pPr>
            <w:r>
              <w:rPr>
                <w:rFonts w:hint="eastAsia" w:ascii="宋体" w:hAnsi="宋体" w:cs="宋体"/>
                <w:kern w:val="0"/>
                <w:highlight w:val="none"/>
              </w:rPr>
              <w:t>技术方案（1</w:t>
            </w:r>
            <w:r>
              <w:rPr>
                <w:rFonts w:hint="eastAsia" w:ascii="宋体" w:hAnsi="宋体" w:cs="宋体"/>
                <w:kern w:val="0"/>
                <w:highlight w:val="none"/>
                <w:lang w:val="en-US" w:eastAsia="zh-CN"/>
              </w:rPr>
              <w:t>2</w:t>
            </w:r>
            <w:r>
              <w:rPr>
                <w:rFonts w:hint="eastAsia" w:ascii="宋体" w:hAnsi="宋体" w:cs="宋体"/>
                <w:kern w:val="0"/>
                <w:highlight w:val="none"/>
              </w:rPr>
              <w:t>分）</w:t>
            </w:r>
          </w:p>
        </w:tc>
        <w:tc>
          <w:tcPr>
            <w:tcW w:w="6618" w:type="dxa"/>
            <w:vAlign w:val="center"/>
          </w:tcPr>
          <w:p>
            <w:pPr>
              <w:ind w:firstLine="0" w:firstLineChars="0"/>
              <w:rPr>
                <w:rFonts w:ascii="宋体" w:hAnsi="宋体" w:cs="宋体"/>
                <w:kern w:val="0"/>
                <w:szCs w:val="21"/>
                <w:highlight w:val="none"/>
              </w:rPr>
            </w:pPr>
            <w:r>
              <w:rPr>
                <w:rFonts w:hint="eastAsia" w:ascii="宋体" w:hAnsi="宋体" w:cs="宋体"/>
                <w:kern w:val="0"/>
                <w:highlight w:val="none"/>
              </w:rPr>
              <w:t>由评标委员会根据招标文件的功能需求对投标人提供的货物的制造工艺、外观、质量、性能及技术指标</w:t>
            </w:r>
            <w:r>
              <w:rPr>
                <w:rFonts w:hint="eastAsia" w:ascii="宋体" w:hAnsi="宋体" w:cs="宋体"/>
                <w:kern w:val="0"/>
                <w:highlight w:val="none"/>
                <w:lang w:eastAsia="zh-CN"/>
              </w:rPr>
              <w:t>、所使用的材质、类似工程中的使用质量情况、运营成本、寿命、可靠性</w:t>
            </w:r>
            <w:r>
              <w:rPr>
                <w:rFonts w:hint="eastAsia" w:ascii="宋体" w:hAnsi="宋体" w:cs="宋体"/>
                <w:kern w:val="0"/>
                <w:highlight w:val="none"/>
                <w:lang w:val="en-US" w:eastAsia="zh-CN"/>
              </w:rPr>
              <w:t>方面</w:t>
            </w:r>
            <w:r>
              <w:rPr>
                <w:rFonts w:hint="eastAsia" w:ascii="宋体" w:hAnsi="宋体" w:cs="宋体"/>
                <w:kern w:val="0"/>
                <w:highlight w:val="none"/>
              </w:rPr>
              <w:t>进行综合评分，优</w:t>
            </w:r>
            <w:r>
              <w:rPr>
                <w:rFonts w:hint="eastAsia" w:ascii="宋体" w:hAnsi="宋体" w:cs="宋体"/>
                <w:kern w:val="0"/>
                <w:szCs w:val="21"/>
                <w:highlight w:val="none"/>
              </w:rPr>
              <w:t>得</w:t>
            </w:r>
            <w:r>
              <w:rPr>
                <w:rFonts w:hint="eastAsia" w:ascii="宋体" w:hAnsi="宋体" w:cs="宋体"/>
                <w:szCs w:val="21"/>
                <w:highlight w:val="none"/>
              </w:rPr>
              <w:t>（</w:t>
            </w:r>
            <w:r>
              <w:rPr>
                <w:rFonts w:hint="eastAsia" w:ascii="宋体" w:hAnsi="宋体" w:cs="宋体"/>
                <w:szCs w:val="21"/>
                <w:highlight w:val="none"/>
                <w:lang w:val="en-US" w:eastAsia="zh-CN"/>
              </w:rPr>
              <w:t>8</w:t>
            </w:r>
            <w:r>
              <w:rPr>
                <w:rFonts w:hint="eastAsia" w:ascii="宋体" w:hAnsi="宋体" w:cs="宋体"/>
                <w:szCs w:val="21"/>
                <w:highlight w:val="none"/>
              </w:rPr>
              <w:t>，</w:t>
            </w:r>
            <w:r>
              <w:rPr>
                <w:rFonts w:hint="eastAsia" w:ascii="宋体" w:hAnsi="宋体" w:cs="宋体"/>
                <w:szCs w:val="21"/>
                <w:highlight w:val="none"/>
                <w:lang w:val="en-US" w:eastAsia="zh-CN"/>
              </w:rPr>
              <w:t>12</w:t>
            </w:r>
            <w:r>
              <w:rPr>
                <w:rFonts w:hint="eastAsia" w:ascii="宋体" w:hAnsi="宋体" w:cs="宋体"/>
                <w:szCs w:val="21"/>
                <w:highlight w:val="none"/>
              </w:rPr>
              <w:t>]分，良</w:t>
            </w:r>
            <w:r>
              <w:rPr>
                <w:rFonts w:hint="eastAsia" w:ascii="宋体" w:hAnsi="宋体" w:cs="宋体"/>
                <w:kern w:val="0"/>
                <w:szCs w:val="21"/>
                <w:highlight w:val="none"/>
              </w:rPr>
              <w:t>得</w:t>
            </w:r>
            <w:r>
              <w:rPr>
                <w:rFonts w:hint="eastAsia" w:ascii="宋体" w:hAnsi="宋体" w:cs="宋体"/>
                <w:szCs w:val="21"/>
                <w:highlight w:val="none"/>
              </w:rPr>
              <w:t>（</w:t>
            </w:r>
            <w:r>
              <w:rPr>
                <w:rFonts w:hint="eastAsia" w:ascii="宋体" w:hAnsi="宋体" w:cs="宋体"/>
                <w:szCs w:val="21"/>
                <w:highlight w:val="none"/>
                <w:lang w:val="en-US" w:eastAsia="zh-CN"/>
              </w:rPr>
              <w:t>4</w:t>
            </w:r>
            <w:r>
              <w:rPr>
                <w:rFonts w:hint="eastAsia" w:ascii="宋体" w:hAnsi="宋体" w:cs="宋体"/>
                <w:szCs w:val="21"/>
                <w:highlight w:val="none"/>
              </w:rPr>
              <w:t>，</w:t>
            </w:r>
            <w:r>
              <w:rPr>
                <w:rFonts w:hint="eastAsia" w:ascii="宋体" w:hAnsi="宋体" w:cs="宋体"/>
                <w:szCs w:val="21"/>
                <w:highlight w:val="none"/>
                <w:lang w:val="en-US" w:eastAsia="zh-CN"/>
              </w:rPr>
              <w:t>8</w:t>
            </w:r>
            <w:r>
              <w:rPr>
                <w:rFonts w:hint="eastAsia" w:ascii="宋体" w:hAnsi="宋体" w:cs="宋体"/>
                <w:szCs w:val="21"/>
                <w:highlight w:val="none"/>
              </w:rPr>
              <w:t>]分，一般</w:t>
            </w:r>
            <w:r>
              <w:rPr>
                <w:rFonts w:hint="eastAsia" w:ascii="宋体" w:hAnsi="宋体" w:cs="宋体"/>
                <w:kern w:val="0"/>
                <w:szCs w:val="21"/>
                <w:highlight w:val="none"/>
              </w:rPr>
              <w:t>得</w:t>
            </w:r>
            <w:r>
              <w:rPr>
                <w:rFonts w:hint="eastAsia" w:ascii="宋体" w:hAnsi="宋体" w:cs="宋体"/>
                <w:szCs w:val="21"/>
                <w:highlight w:val="none"/>
              </w:rPr>
              <w:t>（0，</w:t>
            </w:r>
            <w:r>
              <w:rPr>
                <w:rFonts w:hint="eastAsia" w:ascii="宋体" w:hAnsi="宋体" w:cs="宋体"/>
                <w:szCs w:val="21"/>
                <w:highlight w:val="none"/>
                <w:lang w:val="en-US" w:eastAsia="zh-CN"/>
              </w:rPr>
              <w:t>4</w:t>
            </w:r>
            <w:r>
              <w:rPr>
                <w:rFonts w:hint="eastAsia" w:ascii="宋体" w:hAnsi="宋体" w:cs="宋体"/>
                <w:szCs w:val="21"/>
                <w:highlight w:val="none"/>
              </w:rPr>
              <w:t>]，无内容得0分</w:t>
            </w:r>
            <w:r>
              <w:rPr>
                <w:rFonts w:hint="eastAsia" w:ascii="宋体" w:hAnsi="宋体" w:cs="宋体"/>
                <w:highlight w:val="none"/>
              </w:rPr>
              <w:t>。</w:t>
            </w:r>
          </w:p>
        </w:tc>
        <w:tc>
          <w:tcPr>
            <w:tcW w:w="868" w:type="dxa"/>
            <w:vAlign w:val="center"/>
          </w:tcPr>
          <w:p>
            <w:pPr>
              <w:snapToGrid w:val="0"/>
              <w:ind w:firstLine="0" w:firstLineChars="0"/>
              <w:jc w:val="center"/>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340" w:hRule="atLeast"/>
          <w:jc w:val="center"/>
        </w:trPr>
        <w:tc>
          <w:tcPr>
            <w:tcW w:w="741" w:type="dxa"/>
            <w:vMerge w:val="continue"/>
            <w:vAlign w:val="center"/>
          </w:tcPr>
          <w:p>
            <w:pPr>
              <w:snapToGrid w:val="0"/>
              <w:ind w:firstLine="0" w:firstLineChars="0"/>
              <w:rPr>
                <w:rFonts w:ascii="宋体" w:hAnsi="宋体" w:cs="宋体"/>
                <w:kern w:val="0"/>
                <w:szCs w:val="21"/>
                <w:highlight w:val="none"/>
              </w:rPr>
            </w:pPr>
          </w:p>
        </w:tc>
        <w:tc>
          <w:tcPr>
            <w:tcW w:w="787" w:type="dxa"/>
            <w:gridSpan w:val="3"/>
            <w:vMerge w:val="continue"/>
            <w:vAlign w:val="center"/>
          </w:tcPr>
          <w:p>
            <w:pPr>
              <w:snapToGrid w:val="0"/>
              <w:ind w:firstLine="0" w:firstLineChars="0"/>
              <w:rPr>
                <w:rFonts w:ascii="宋体" w:hAnsi="宋体" w:cs="宋体"/>
                <w:kern w:val="0"/>
                <w:szCs w:val="21"/>
                <w:highlight w:val="none"/>
              </w:rPr>
            </w:pPr>
          </w:p>
        </w:tc>
        <w:tc>
          <w:tcPr>
            <w:tcW w:w="1355" w:type="dxa"/>
            <w:gridSpan w:val="2"/>
            <w:vAlign w:val="center"/>
          </w:tcPr>
          <w:p>
            <w:pPr>
              <w:ind w:firstLine="0" w:firstLineChars="0"/>
              <w:jc w:val="center"/>
              <w:rPr>
                <w:rFonts w:ascii="宋体" w:hAnsi="宋体" w:cs="宋体"/>
                <w:szCs w:val="21"/>
                <w:highlight w:val="none"/>
              </w:rPr>
            </w:pPr>
            <w:r>
              <w:rPr>
                <w:rFonts w:hint="eastAsia" w:ascii="宋体" w:hAnsi="宋体" w:cs="宋体"/>
                <w:kern w:val="0"/>
                <w:highlight w:val="none"/>
              </w:rPr>
              <w:t>实施方案（</w:t>
            </w:r>
            <w:r>
              <w:rPr>
                <w:rFonts w:hint="eastAsia" w:ascii="宋体" w:hAnsi="宋体" w:cs="宋体"/>
                <w:kern w:val="0"/>
                <w:highlight w:val="none"/>
                <w:lang w:val="en-US" w:eastAsia="zh-CN"/>
              </w:rPr>
              <w:t>5</w:t>
            </w:r>
            <w:r>
              <w:rPr>
                <w:rFonts w:hint="eastAsia" w:ascii="宋体" w:hAnsi="宋体" w:cs="宋体"/>
                <w:kern w:val="0"/>
                <w:highlight w:val="none"/>
              </w:rPr>
              <w:t>分）</w:t>
            </w:r>
          </w:p>
        </w:tc>
        <w:tc>
          <w:tcPr>
            <w:tcW w:w="6618" w:type="dxa"/>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highlight w:val="none"/>
              </w:rPr>
              <w:t>由评标委员会根据投标人系统集成实施方案的可操作性与完整性进行打分，优</w:t>
            </w:r>
            <w:r>
              <w:rPr>
                <w:rFonts w:hint="eastAsia" w:ascii="宋体" w:hAnsi="宋体" w:cs="宋体"/>
                <w:kern w:val="0"/>
                <w:szCs w:val="21"/>
                <w:highlight w:val="none"/>
              </w:rPr>
              <w:t>得</w:t>
            </w:r>
            <w:r>
              <w:rPr>
                <w:rFonts w:hint="eastAsia" w:ascii="宋体" w:hAnsi="宋体" w:cs="宋体"/>
                <w:szCs w:val="21"/>
                <w:highlight w:val="none"/>
              </w:rPr>
              <w:t>（</w:t>
            </w:r>
            <w:r>
              <w:rPr>
                <w:rFonts w:hint="eastAsia" w:ascii="宋体" w:hAnsi="宋体" w:cs="宋体"/>
                <w:szCs w:val="21"/>
                <w:highlight w:val="none"/>
                <w:lang w:val="en-US" w:eastAsia="zh-CN"/>
              </w:rPr>
              <w:t>3</w:t>
            </w:r>
            <w:r>
              <w:rPr>
                <w:rFonts w:hint="eastAsia" w:ascii="宋体" w:hAnsi="宋体" w:cs="宋体"/>
                <w:szCs w:val="21"/>
                <w:highlight w:val="none"/>
              </w:rPr>
              <w:t>，</w:t>
            </w:r>
            <w:r>
              <w:rPr>
                <w:rFonts w:hint="eastAsia" w:ascii="宋体" w:hAnsi="宋体" w:cs="宋体"/>
                <w:szCs w:val="21"/>
                <w:highlight w:val="none"/>
                <w:lang w:val="en-US" w:eastAsia="zh-CN"/>
              </w:rPr>
              <w:t>5</w:t>
            </w:r>
            <w:r>
              <w:rPr>
                <w:rFonts w:hint="eastAsia" w:ascii="宋体" w:hAnsi="宋体" w:cs="宋体"/>
                <w:szCs w:val="21"/>
                <w:highlight w:val="none"/>
              </w:rPr>
              <w:t>]分，</w:t>
            </w:r>
            <w:r>
              <w:rPr>
                <w:rFonts w:hint="eastAsia" w:ascii="宋体" w:hAnsi="宋体" w:cs="宋体"/>
                <w:kern w:val="0"/>
                <w:szCs w:val="21"/>
                <w:highlight w:val="none"/>
              </w:rPr>
              <w:t>良得</w:t>
            </w:r>
            <w:r>
              <w:rPr>
                <w:rFonts w:hint="eastAsia" w:ascii="宋体" w:hAnsi="宋体" w:cs="宋体"/>
                <w:szCs w:val="21"/>
                <w:highlight w:val="none"/>
              </w:rPr>
              <w:t>（1，</w:t>
            </w:r>
            <w:r>
              <w:rPr>
                <w:rFonts w:hint="eastAsia" w:ascii="宋体" w:hAnsi="宋体" w:cs="宋体"/>
                <w:szCs w:val="21"/>
                <w:highlight w:val="none"/>
                <w:lang w:val="en-US" w:eastAsia="zh-CN"/>
              </w:rPr>
              <w:t>3</w:t>
            </w:r>
            <w:r>
              <w:rPr>
                <w:rFonts w:hint="eastAsia" w:ascii="宋体" w:hAnsi="宋体" w:cs="宋体"/>
                <w:szCs w:val="21"/>
                <w:highlight w:val="none"/>
              </w:rPr>
              <w:t>]分，</w:t>
            </w:r>
            <w:r>
              <w:rPr>
                <w:rFonts w:hint="eastAsia" w:ascii="宋体" w:hAnsi="宋体" w:cs="宋体"/>
                <w:kern w:val="0"/>
                <w:szCs w:val="21"/>
                <w:highlight w:val="none"/>
              </w:rPr>
              <w:t>一般得</w:t>
            </w:r>
            <w:r>
              <w:rPr>
                <w:rFonts w:hint="eastAsia" w:ascii="宋体" w:hAnsi="宋体" w:cs="宋体"/>
                <w:szCs w:val="21"/>
                <w:highlight w:val="none"/>
              </w:rPr>
              <w:t>（0，1]，无内容不得分。</w:t>
            </w:r>
          </w:p>
        </w:tc>
        <w:tc>
          <w:tcPr>
            <w:tcW w:w="868" w:type="dxa"/>
            <w:vAlign w:val="center"/>
          </w:tcPr>
          <w:p>
            <w:pPr>
              <w:snapToGrid w:val="0"/>
              <w:ind w:firstLine="0" w:firstLineChars="0"/>
              <w:jc w:val="center"/>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340" w:hRule="atLeast"/>
          <w:jc w:val="center"/>
        </w:trPr>
        <w:tc>
          <w:tcPr>
            <w:tcW w:w="741" w:type="dxa"/>
            <w:vMerge w:val="continue"/>
            <w:vAlign w:val="center"/>
          </w:tcPr>
          <w:p>
            <w:pPr>
              <w:snapToGrid w:val="0"/>
              <w:ind w:firstLine="0" w:firstLineChars="0"/>
              <w:rPr>
                <w:rFonts w:ascii="宋体" w:hAnsi="宋体" w:cs="宋体"/>
                <w:kern w:val="0"/>
                <w:szCs w:val="21"/>
                <w:highlight w:val="none"/>
              </w:rPr>
            </w:pPr>
          </w:p>
        </w:tc>
        <w:tc>
          <w:tcPr>
            <w:tcW w:w="787" w:type="dxa"/>
            <w:gridSpan w:val="3"/>
            <w:vMerge w:val="continue"/>
            <w:vAlign w:val="center"/>
          </w:tcPr>
          <w:p>
            <w:pPr>
              <w:snapToGrid w:val="0"/>
              <w:ind w:firstLine="0" w:firstLineChars="0"/>
              <w:rPr>
                <w:rFonts w:ascii="宋体" w:hAnsi="宋体" w:cs="宋体"/>
                <w:kern w:val="0"/>
                <w:szCs w:val="21"/>
                <w:highlight w:val="none"/>
              </w:rPr>
            </w:pPr>
          </w:p>
        </w:tc>
        <w:tc>
          <w:tcPr>
            <w:tcW w:w="1355" w:type="dxa"/>
            <w:gridSpan w:val="2"/>
            <w:vAlign w:val="center"/>
          </w:tcPr>
          <w:p>
            <w:pPr>
              <w:ind w:firstLine="0" w:firstLineChars="0"/>
              <w:jc w:val="center"/>
              <w:rPr>
                <w:rFonts w:ascii="宋体" w:hAnsi="宋体" w:cs="宋体"/>
                <w:kern w:val="0"/>
                <w:highlight w:val="none"/>
              </w:rPr>
            </w:pPr>
            <w:r>
              <w:rPr>
                <w:rFonts w:hint="eastAsia" w:ascii="宋体" w:hAnsi="宋体" w:cs="宋体"/>
                <w:kern w:val="0"/>
                <w:highlight w:val="none"/>
              </w:rPr>
              <w:t>服务团队（2分）</w:t>
            </w:r>
          </w:p>
        </w:tc>
        <w:tc>
          <w:tcPr>
            <w:tcW w:w="6618" w:type="dxa"/>
            <w:vAlign w:val="center"/>
          </w:tcPr>
          <w:p>
            <w:pPr>
              <w:widowControl/>
              <w:tabs>
                <w:tab w:val="left" w:pos="-79"/>
              </w:tabs>
              <w:ind w:firstLine="0" w:firstLineChars="0"/>
              <w:jc w:val="left"/>
              <w:rPr>
                <w:rFonts w:ascii="宋体" w:hAnsi="宋体" w:cs="宋体"/>
                <w:kern w:val="0"/>
                <w:highlight w:val="none"/>
              </w:rPr>
            </w:pPr>
            <w:r>
              <w:rPr>
                <w:rFonts w:hint="eastAsia" w:ascii="宋体" w:hAnsi="宋体" w:cs="宋体"/>
                <w:kern w:val="0"/>
                <w:szCs w:val="21"/>
                <w:highlight w:val="none"/>
              </w:rPr>
              <w:t>由评标委员会根据投标人配备的项目人员资历、技术团队水平综合打分，</w:t>
            </w:r>
            <w:r>
              <w:rPr>
                <w:rFonts w:hint="eastAsia" w:ascii="宋体" w:hAnsi="宋体" w:cs="宋体"/>
                <w:kern w:val="0"/>
                <w:highlight w:val="none"/>
              </w:rPr>
              <w:t>优</w:t>
            </w:r>
            <w:r>
              <w:rPr>
                <w:rFonts w:hint="eastAsia" w:ascii="宋体" w:hAnsi="宋体" w:cs="宋体"/>
                <w:kern w:val="0"/>
                <w:szCs w:val="21"/>
                <w:highlight w:val="none"/>
              </w:rPr>
              <w:t>得</w:t>
            </w:r>
            <w:r>
              <w:rPr>
                <w:rFonts w:hint="eastAsia" w:ascii="宋体" w:hAnsi="宋体" w:cs="宋体"/>
                <w:szCs w:val="21"/>
                <w:highlight w:val="none"/>
              </w:rPr>
              <w:t>（1，2]分，</w:t>
            </w:r>
            <w:r>
              <w:rPr>
                <w:rFonts w:hint="eastAsia" w:ascii="宋体" w:hAnsi="宋体" w:cs="宋体"/>
                <w:kern w:val="0"/>
                <w:szCs w:val="21"/>
                <w:highlight w:val="none"/>
              </w:rPr>
              <w:t>良得</w:t>
            </w:r>
            <w:r>
              <w:rPr>
                <w:rFonts w:hint="eastAsia" w:ascii="宋体" w:hAnsi="宋体" w:cs="宋体"/>
                <w:szCs w:val="21"/>
                <w:highlight w:val="none"/>
              </w:rPr>
              <w:t>（0.5，1]分，</w:t>
            </w:r>
            <w:r>
              <w:rPr>
                <w:rFonts w:hint="eastAsia" w:ascii="宋体" w:hAnsi="宋体" w:cs="宋体"/>
                <w:kern w:val="0"/>
                <w:szCs w:val="21"/>
                <w:highlight w:val="none"/>
              </w:rPr>
              <w:t>一般得</w:t>
            </w:r>
            <w:r>
              <w:rPr>
                <w:rFonts w:hint="eastAsia" w:ascii="宋体" w:hAnsi="宋体" w:cs="宋体"/>
                <w:szCs w:val="21"/>
                <w:highlight w:val="none"/>
              </w:rPr>
              <w:t>（0，0.5]，无内容不得分。</w:t>
            </w:r>
          </w:p>
        </w:tc>
        <w:tc>
          <w:tcPr>
            <w:tcW w:w="868" w:type="dxa"/>
            <w:vAlign w:val="center"/>
          </w:tcPr>
          <w:p>
            <w:pPr>
              <w:snapToGrid w:val="0"/>
              <w:ind w:firstLine="0" w:firstLineChars="0"/>
              <w:jc w:val="center"/>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361" w:hRule="atLeast"/>
          <w:jc w:val="center"/>
        </w:trPr>
        <w:tc>
          <w:tcPr>
            <w:tcW w:w="741" w:type="dxa"/>
            <w:vMerge w:val="continue"/>
            <w:vAlign w:val="center"/>
          </w:tcPr>
          <w:p>
            <w:pPr>
              <w:snapToGrid w:val="0"/>
              <w:ind w:firstLine="0" w:firstLineChars="0"/>
              <w:rPr>
                <w:rFonts w:ascii="宋体" w:hAnsi="宋体" w:cs="宋体"/>
                <w:kern w:val="0"/>
                <w:szCs w:val="21"/>
                <w:highlight w:val="none"/>
              </w:rPr>
            </w:pPr>
          </w:p>
        </w:tc>
        <w:tc>
          <w:tcPr>
            <w:tcW w:w="787" w:type="dxa"/>
            <w:gridSpan w:val="3"/>
            <w:vMerge w:val="continue"/>
            <w:vAlign w:val="center"/>
          </w:tcPr>
          <w:p>
            <w:pPr>
              <w:snapToGrid w:val="0"/>
              <w:ind w:firstLine="0" w:firstLineChars="0"/>
              <w:rPr>
                <w:rFonts w:ascii="宋体" w:hAnsi="宋体" w:cs="宋体"/>
                <w:kern w:val="0"/>
                <w:szCs w:val="21"/>
                <w:highlight w:val="none"/>
              </w:rPr>
            </w:pPr>
          </w:p>
        </w:tc>
        <w:tc>
          <w:tcPr>
            <w:tcW w:w="1355" w:type="dxa"/>
            <w:gridSpan w:val="2"/>
            <w:vMerge w:val="restart"/>
            <w:vAlign w:val="center"/>
          </w:tcPr>
          <w:p>
            <w:pPr>
              <w:ind w:firstLine="0" w:firstLineChars="0"/>
              <w:jc w:val="center"/>
              <w:rPr>
                <w:rFonts w:ascii="宋体" w:hAnsi="宋体" w:cs="宋体"/>
                <w:szCs w:val="21"/>
                <w:highlight w:val="none"/>
              </w:rPr>
            </w:pPr>
            <w:r>
              <w:rPr>
                <w:rFonts w:hint="eastAsia" w:ascii="宋体" w:hAnsi="宋体" w:cs="宋体"/>
                <w:kern w:val="0"/>
                <w:highlight w:val="none"/>
              </w:rPr>
              <w:t>技术服务与培训（</w:t>
            </w:r>
            <w:r>
              <w:rPr>
                <w:rFonts w:hint="eastAsia" w:ascii="宋体" w:hAnsi="宋体" w:cs="宋体"/>
                <w:kern w:val="0"/>
                <w:highlight w:val="none"/>
                <w:lang w:val="en-US" w:eastAsia="zh-CN"/>
              </w:rPr>
              <w:t>8</w:t>
            </w:r>
            <w:r>
              <w:rPr>
                <w:rFonts w:hint="eastAsia" w:ascii="宋体" w:hAnsi="宋体" w:cs="宋体"/>
                <w:kern w:val="0"/>
                <w:highlight w:val="none"/>
              </w:rPr>
              <w:t>分）</w:t>
            </w:r>
          </w:p>
        </w:tc>
        <w:tc>
          <w:tcPr>
            <w:tcW w:w="6618" w:type="dxa"/>
            <w:vAlign w:val="center"/>
          </w:tcPr>
          <w:p>
            <w:pPr>
              <w:ind w:firstLine="0" w:firstLineChars="0"/>
              <w:rPr>
                <w:rFonts w:ascii="宋体" w:hAnsi="宋体" w:cs="宋体"/>
                <w:kern w:val="0"/>
                <w:szCs w:val="21"/>
                <w:highlight w:val="none"/>
              </w:rPr>
            </w:pPr>
            <w:r>
              <w:rPr>
                <w:rFonts w:hint="eastAsia" w:ascii="宋体" w:hAnsi="宋体" w:cs="宋体"/>
                <w:kern w:val="0"/>
                <w:highlight w:val="none"/>
              </w:rPr>
              <w:t>由评标委员会根据投标人的保修期进行打分。少于</w:t>
            </w:r>
            <w:r>
              <w:rPr>
                <w:rFonts w:hint="eastAsia" w:ascii="宋体" w:hAnsi="宋体" w:cs="宋体"/>
                <w:kern w:val="0"/>
                <w:highlight w:val="none"/>
                <w:lang w:val="en-US" w:eastAsia="zh-CN"/>
              </w:rPr>
              <w:t>18个月的</w:t>
            </w:r>
            <w:r>
              <w:rPr>
                <w:rFonts w:hint="eastAsia" w:ascii="宋体" w:hAnsi="宋体" w:cs="宋体"/>
                <w:kern w:val="0"/>
                <w:highlight w:val="none"/>
              </w:rPr>
              <w:t>按否决投标处理，</w:t>
            </w:r>
            <w:r>
              <w:rPr>
                <w:rFonts w:hint="eastAsia" w:ascii="宋体" w:hAnsi="宋体" w:cs="宋体"/>
                <w:kern w:val="0"/>
                <w:highlight w:val="none"/>
                <w:lang w:val="en-US" w:eastAsia="zh-CN"/>
              </w:rPr>
              <w:t>承诺</w:t>
            </w:r>
            <w:r>
              <w:rPr>
                <w:rFonts w:hint="eastAsia" w:ascii="宋体" w:hAnsi="宋体" w:cs="宋体"/>
                <w:kern w:val="0"/>
                <w:highlight w:val="none"/>
              </w:rPr>
              <w:t>保修期</w:t>
            </w:r>
            <w:r>
              <w:rPr>
                <w:rFonts w:hint="eastAsia" w:ascii="宋体" w:hAnsi="宋体" w:cs="宋体"/>
                <w:kern w:val="0"/>
                <w:highlight w:val="none"/>
                <w:lang w:val="en-US" w:eastAsia="zh-CN"/>
              </w:rPr>
              <w:t>每延长1年加1分</w:t>
            </w:r>
            <w:r>
              <w:rPr>
                <w:rFonts w:hint="eastAsia" w:ascii="宋体" w:hAnsi="宋体" w:cs="宋体"/>
                <w:kern w:val="0"/>
                <w:highlight w:val="none"/>
              </w:rPr>
              <w:t>，</w:t>
            </w:r>
            <w:r>
              <w:rPr>
                <w:rFonts w:hint="eastAsia" w:ascii="宋体" w:hAnsi="宋体" w:cs="宋体"/>
                <w:kern w:val="0"/>
                <w:highlight w:val="none"/>
                <w:lang w:val="en-US" w:eastAsia="zh-CN"/>
              </w:rPr>
              <w:t>最多加</w:t>
            </w:r>
            <w:r>
              <w:rPr>
                <w:rFonts w:hint="eastAsia" w:ascii="宋体" w:hAnsi="宋体" w:cs="宋体"/>
                <w:kern w:val="0"/>
                <w:highlight w:val="none"/>
              </w:rPr>
              <w:t>2分。（提供承诺书）</w:t>
            </w:r>
          </w:p>
        </w:tc>
        <w:tc>
          <w:tcPr>
            <w:tcW w:w="868" w:type="dxa"/>
            <w:vAlign w:val="center"/>
          </w:tcPr>
          <w:p>
            <w:pPr>
              <w:snapToGrid w:val="0"/>
              <w:ind w:firstLine="0" w:firstLineChars="0"/>
              <w:jc w:val="center"/>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361" w:hRule="atLeast"/>
          <w:jc w:val="center"/>
        </w:trPr>
        <w:tc>
          <w:tcPr>
            <w:tcW w:w="741" w:type="dxa"/>
            <w:vMerge w:val="continue"/>
            <w:vAlign w:val="center"/>
          </w:tcPr>
          <w:p>
            <w:pPr>
              <w:snapToGrid w:val="0"/>
              <w:ind w:firstLine="0" w:firstLineChars="0"/>
              <w:rPr>
                <w:rFonts w:ascii="宋体" w:hAnsi="宋体" w:cs="宋体"/>
                <w:kern w:val="0"/>
                <w:szCs w:val="21"/>
                <w:highlight w:val="none"/>
              </w:rPr>
            </w:pPr>
          </w:p>
        </w:tc>
        <w:tc>
          <w:tcPr>
            <w:tcW w:w="787" w:type="dxa"/>
            <w:gridSpan w:val="3"/>
            <w:vMerge w:val="continue"/>
            <w:vAlign w:val="center"/>
          </w:tcPr>
          <w:p>
            <w:pPr>
              <w:snapToGrid w:val="0"/>
              <w:ind w:firstLine="0" w:firstLineChars="0"/>
              <w:rPr>
                <w:rFonts w:ascii="宋体" w:hAnsi="宋体" w:cs="宋体"/>
                <w:kern w:val="0"/>
                <w:szCs w:val="21"/>
                <w:highlight w:val="none"/>
              </w:rPr>
            </w:pPr>
          </w:p>
        </w:tc>
        <w:tc>
          <w:tcPr>
            <w:tcW w:w="1355" w:type="dxa"/>
            <w:gridSpan w:val="2"/>
            <w:vMerge w:val="continue"/>
            <w:vAlign w:val="center"/>
          </w:tcPr>
          <w:p>
            <w:pPr>
              <w:widowControl/>
              <w:ind w:firstLine="0" w:firstLineChars="0"/>
              <w:jc w:val="left"/>
              <w:rPr>
                <w:rFonts w:ascii="宋体" w:hAnsi="宋体" w:cs="宋体"/>
                <w:szCs w:val="21"/>
                <w:highlight w:val="none"/>
              </w:rPr>
            </w:pPr>
          </w:p>
        </w:tc>
        <w:tc>
          <w:tcPr>
            <w:tcW w:w="6618" w:type="dxa"/>
            <w:vAlign w:val="center"/>
          </w:tcPr>
          <w:p>
            <w:pPr>
              <w:ind w:firstLine="0" w:firstLineChars="0"/>
              <w:rPr>
                <w:rFonts w:ascii="宋体" w:hAnsi="宋体" w:cs="宋体"/>
                <w:highlight w:val="none"/>
              </w:rPr>
            </w:pPr>
            <w:r>
              <w:rPr>
                <w:rFonts w:hint="eastAsia" w:ascii="宋体" w:hAnsi="宋体" w:cs="宋体"/>
                <w:kern w:val="0"/>
                <w:highlight w:val="none"/>
              </w:rPr>
              <w:t>由评标委员会根据投标人对售后服务的承诺、响应时间、维修技术能力、国内是否有备品备件库，是否在</w:t>
            </w:r>
            <w:r>
              <w:rPr>
                <w:rFonts w:hint="eastAsia" w:ascii="宋体" w:hAnsi="宋体" w:cs="宋体"/>
                <w:kern w:val="0"/>
                <w:highlight w:val="none"/>
                <w:lang w:val="en-US" w:eastAsia="zh-CN"/>
              </w:rPr>
              <w:t>本地</w:t>
            </w:r>
            <w:r>
              <w:rPr>
                <w:rFonts w:hint="eastAsia" w:ascii="宋体" w:hAnsi="宋体" w:cs="宋体"/>
                <w:kern w:val="0"/>
                <w:highlight w:val="none"/>
              </w:rPr>
              <w:t>有备件及维修站情况进行打分，优</w:t>
            </w:r>
            <w:r>
              <w:rPr>
                <w:rFonts w:hint="eastAsia" w:ascii="宋体" w:hAnsi="宋体" w:cs="宋体"/>
                <w:kern w:val="0"/>
                <w:szCs w:val="21"/>
                <w:highlight w:val="none"/>
              </w:rPr>
              <w:t>得</w:t>
            </w:r>
            <w:r>
              <w:rPr>
                <w:rFonts w:hint="eastAsia" w:ascii="宋体" w:hAnsi="宋体" w:cs="宋体"/>
                <w:szCs w:val="21"/>
                <w:highlight w:val="none"/>
              </w:rPr>
              <w:t>（</w:t>
            </w:r>
            <w:r>
              <w:rPr>
                <w:rFonts w:hint="eastAsia" w:ascii="宋体" w:hAnsi="宋体" w:cs="宋体"/>
                <w:szCs w:val="21"/>
                <w:highlight w:val="none"/>
                <w:lang w:val="en-US" w:eastAsia="zh-CN"/>
              </w:rPr>
              <w:t>2</w:t>
            </w:r>
            <w:r>
              <w:rPr>
                <w:rFonts w:hint="eastAsia" w:ascii="宋体" w:hAnsi="宋体" w:cs="宋体"/>
                <w:szCs w:val="21"/>
                <w:highlight w:val="none"/>
              </w:rPr>
              <w:t>，</w:t>
            </w:r>
            <w:r>
              <w:rPr>
                <w:rFonts w:hint="eastAsia" w:ascii="宋体" w:hAnsi="宋体" w:cs="宋体"/>
                <w:szCs w:val="21"/>
                <w:highlight w:val="none"/>
                <w:lang w:val="en-US" w:eastAsia="zh-CN"/>
              </w:rPr>
              <w:t>3</w:t>
            </w:r>
            <w:r>
              <w:rPr>
                <w:rFonts w:hint="eastAsia" w:ascii="宋体" w:hAnsi="宋体" w:cs="宋体"/>
                <w:szCs w:val="21"/>
                <w:highlight w:val="none"/>
              </w:rPr>
              <w:t>]分，</w:t>
            </w:r>
            <w:r>
              <w:rPr>
                <w:rFonts w:hint="eastAsia" w:ascii="宋体" w:hAnsi="宋体" w:cs="宋体"/>
                <w:kern w:val="0"/>
                <w:szCs w:val="21"/>
                <w:highlight w:val="none"/>
              </w:rPr>
              <w:t>良得</w:t>
            </w:r>
            <w:r>
              <w:rPr>
                <w:rFonts w:hint="eastAsia" w:ascii="宋体" w:hAnsi="宋体" w:cs="宋体"/>
                <w:szCs w:val="21"/>
                <w:highlight w:val="none"/>
              </w:rPr>
              <w:t>（</w:t>
            </w:r>
            <w:r>
              <w:rPr>
                <w:rFonts w:hint="eastAsia" w:ascii="宋体" w:hAnsi="宋体" w:cs="宋体"/>
                <w:szCs w:val="21"/>
                <w:highlight w:val="none"/>
                <w:lang w:val="en-US" w:eastAsia="zh-CN"/>
              </w:rPr>
              <w:t>1</w:t>
            </w:r>
            <w:r>
              <w:rPr>
                <w:rFonts w:hint="eastAsia" w:ascii="宋体" w:hAnsi="宋体" w:cs="宋体"/>
                <w:szCs w:val="21"/>
                <w:highlight w:val="none"/>
              </w:rPr>
              <w:t>，</w:t>
            </w:r>
            <w:r>
              <w:rPr>
                <w:rFonts w:hint="eastAsia" w:ascii="宋体" w:hAnsi="宋体" w:cs="宋体"/>
                <w:szCs w:val="21"/>
                <w:highlight w:val="none"/>
                <w:lang w:val="en-US" w:eastAsia="zh-CN"/>
              </w:rPr>
              <w:t>2</w:t>
            </w:r>
            <w:r>
              <w:rPr>
                <w:rFonts w:hint="eastAsia" w:ascii="宋体" w:hAnsi="宋体" w:cs="宋体"/>
                <w:szCs w:val="21"/>
                <w:highlight w:val="none"/>
              </w:rPr>
              <w:t>]分，</w:t>
            </w:r>
            <w:r>
              <w:rPr>
                <w:rFonts w:hint="eastAsia" w:ascii="宋体" w:hAnsi="宋体" w:cs="宋体"/>
                <w:kern w:val="0"/>
                <w:szCs w:val="21"/>
                <w:highlight w:val="none"/>
              </w:rPr>
              <w:t>一般得</w:t>
            </w:r>
            <w:r>
              <w:rPr>
                <w:rFonts w:hint="eastAsia" w:ascii="宋体" w:hAnsi="宋体" w:cs="宋体"/>
                <w:szCs w:val="21"/>
                <w:highlight w:val="none"/>
              </w:rPr>
              <w:t>（0，</w:t>
            </w:r>
            <w:r>
              <w:rPr>
                <w:rFonts w:hint="eastAsia" w:ascii="宋体" w:hAnsi="宋体" w:cs="宋体"/>
                <w:szCs w:val="21"/>
                <w:highlight w:val="none"/>
                <w:lang w:val="en-US" w:eastAsia="zh-CN"/>
              </w:rPr>
              <w:t>1</w:t>
            </w:r>
            <w:r>
              <w:rPr>
                <w:rFonts w:hint="eastAsia" w:ascii="宋体" w:hAnsi="宋体" w:cs="宋体"/>
                <w:szCs w:val="21"/>
                <w:highlight w:val="none"/>
              </w:rPr>
              <w:t>]，无内容不得分。</w:t>
            </w:r>
            <w:r>
              <w:rPr>
                <w:rFonts w:hint="eastAsia" w:ascii="宋体" w:hAnsi="宋体" w:cs="宋体"/>
                <w:kern w:val="0"/>
                <w:highlight w:val="none"/>
              </w:rPr>
              <w:t>（须提供证明材料）</w:t>
            </w:r>
          </w:p>
        </w:tc>
        <w:tc>
          <w:tcPr>
            <w:tcW w:w="868" w:type="dxa"/>
            <w:vAlign w:val="center"/>
          </w:tcPr>
          <w:p>
            <w:pPr>
              <w:snapToGrid w:val="0"/>
              <w:ind w:firstLine="0" w:firstLineChars="0"/>
              <w:jc w:val="center"/>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361" w:hRule="atLeast"/>
          <w:jc w:val="center"/>
        </w:trPr>
        <w:tc>
          <w:tcPr>
            <w:tcW w:w="741" w:type="dxa"/>
            <w:vMerge w:val="continue"/>
            <w:vAlign w:val="center"/>
          </w:tcPr>
          <w:p>
            <w:pPr>
              <w:snapToGrid w:val="0"/>
              <w:ind w:firstLine="0" w:firstLineChars="0"/>
              <w:rPr>
                <w:rFonts w:ascii="宋体" w:hAnsi="宋体" w:cs="宋体"/>
                <w:kern w:val="0"/>
                <w:szCs w:val="21"/>
                <w:highlight w:val="none"/>
              </w:rPr>
            </w:pPr>
          </w:p>
        </w:tc>
        <w:tc>
          <w:tcPr>
            <w:tcW w:w="787" w:type="dxa"/>
            <w:gridSpan w:val="3"/>
            <w:vMerge w:val="continue"/>
            <w:vAlign w:val="center"/>
          </w:tcPr>
          <w:p>
            <w:pPr>
              <w:snapToGrid w:val="0"/>
              <w:ind w:firstLine="0" w:firstLineChars="0"/>
              <w:rPr>
                <w:rFonts w:ascii="宋体" w:hAnsi="宋体" w:cs="宋体"/>
                <w:kern w:val="0"/>
                <w:szCs w:val="21"/>
                <w:highlight w:val="none"/>
              </w:rPr>
            </w:pPr>
          </w:p>
        </w:tc>
        <w:tc>
          <w:tcPr>
            <w:tcW w:w="1355" w:type="dxa"/>
            <w:gridSpan w:val="2"/>
            <w:vMerge w:val="continue"/>
            <w:vAlign w:val="center"/>
          </w:tcPr>
          <w:p>
            <w:pPr>
              <w:widowControl/>
              <w:ind w:firstLine="0" w:firstLineChars="0"/>
              <w:jc w:val="left"/>
              <w:rPr>
                <w:rFonts w:ascii="宋体" w:hAnsi="宋体" w:cs="宋体"/>
                <w:szCs w:val="21"/>
                <w:highlight w:val="none"/>
              </w:rPr>
            </w:pPr>
          </w:p>
        </w:tc>
        <w:tc>
          <w:tcPr>
            <w:tcW w:w="6618" w:type="dxa"/>
            <w:vAlign w:val="center"/>
          </w:tcPr>
          <w:p>
            <w:pPr>
              <w:ind w:firstLine="0" w:firstLineChars="0"/>
              <w:rPr>
                <w:rFonts w:ascii="宋体" w:hAnsi="宋体" w:cs="宋体"/>
                <w:highlight w:val="none"/>
              </w:rPr>
            </w:pPr>
            <w:r>
              <w:rPr>
                <w:rFonts w:hint="eastAsia" w:ascii="宋体" w:hAnsi="宋体" w:cs="宋体"/>
                <w:kern w:val="0"/>
                <w:highlight w:val="none"/>
              </w:rPr>
              <w:t>由评标委员会根据投标人的培训方案打分，优</w:t>
            </w:r>
            <w:r>
              <w:rPr>
                <w:rFonts w:hint="eastAsia" w:ascii="宋体" w:hAnsi="宋体" w:cs="宋体"/>
                <w:kern w:val="0"/>
                <w:szCs w:val="21"/>
                <w:highlight w:val="none"/>
              </w:rPr>
              <w:t>得</w:t>
            </w:r>
            <w:r>
              <w:rPr>
                <w:rFonts w:hint="eastAsia" w:ascii="宋体" w:hAnsi="宋体" w:cs="宋体"/>
                <w:szCs w:val="21"/>
                <w:highlight w:val="none"/>
              </w:rPr>
              <w:t>（</w:t>
            </w:r>
            <w:r>
              <w:rPr>
                <w:rFonts w:hint="eastAsia" w:ascii="宋体" w:hAnsi="宋体" w:cs="宋体"/>
                <w:szCs w:val="21"/>
                <w:highlight w:val="none"/>
                <w:lang w:val="en-US" w:eastAsia="zh-CN"/>
              </w:rPr>
              <w:t>2</w:t>
            </w:r>
            <w:r>
              <w:rPr>
                <w:rFonts w:hint="eastAsia" w:ascii="宋体" w:hAnsi="宋体" w:cs="宋体"/>
                <w:szCs w:val="21"/>
                <w:highlight w:val="none"/>
              </w:rPr>
              <w:t>，</w:t>
            </w:r>
            <w:r>
              <w:rPr>
                <w:rFonts w:hint="eastAsia" w:ascii="宋体" w:hAnsi="宋体" w:cs="宋体"/>
                <w:szCs w:val="21"/>
                <w:highlight w:val="none"/>
                <w:lang w:val="en-US" w:eastAsia="zh-CN"/>
              </w:rPr>
              <w:t>3</w:t>
            </w:r>
            <w:r>
              <w:rPr>
                <w:rFonts w:hint="eastAsia" w:ascii="宋体" w:hAnsi="宋体" w:cs="宋体"/>
                <w:szCs w:val="21"/>
                <w:highlight w:val="none"/>
              </w:rPr>
              <w:t>]分，</w:t>
            </w:r>
            <w:r>
              <w:rPr>
                <w:rFonts w:hint="eastAsia" w:ascii="宋体" w:hAnsi="宋体" w:cs="宋体"/>
                <w:kern w:val="0"/>
                <w:szCs w:val="21"/>
                <w:highlight w:val="none"/>
              </w:rPr>
              <w:t>良得</w:t>
            </w:r>
            <w:r>
              <w:rPr>
                <w:rFonts w:hint="eastAsia" w:ascii="宋体" w:hAnsi="宋体" w:cs="宋体"/>
                <w:szCs w:val="21"/>
                <w:highlight w:val="none"/>
              </w:rPr>
              <w:t>（</w:t>
            </w:r>
            <w:r>
              <w:rPr>
                <w:rFonts w:hint="eastAsia" w:ascii="宋体" w:hAnsi="宋体" w:cs="宋体"/>
                <w:szCs w:val="21"/>
                <w:highlight w:val="none"/>
                <w:lang w:val="en-US" w:eastAsia="zh-CN"/>
              </w:rPr>
              <w:t>1</w:t>
            </w:r>
            <w:r>
              <w:rPr>
                <w:rFonts w:hint="eastAsia" w:ascii="宋体" w:hAnsi="宋体" w:cs="宋体"/>
                <w:szCs w:val="21"/>
                <w:highlight w:val="none"/>
              </w:rPr>
              <w:t>，</w:t>
            </w:r>
            <w:r>
              <w:rPr>
                <w:rFonts w:hint="eastAsia" w:ascii="宋体" w:hAnsi="宋体" w:cs="宋体"/>
                <w:szCs w:val="21"/>
                <w:highlight w:val="none"/>
                <w:lang w:val="en-US" w:eastAsia="zh-CN"/>
              </w:rPr>
              <w:t>2</w:t>
            </w:r>
            <w:r>
              <w:rPr>
                <w:rFonts w:hint="eastAsia" w:ascii="宋体" w:hAnsi="宋体" w:cs="宋体"/>
                <w:szCs w:val="21"/>
                <w:highlight w:val="none"/>
              </w:rPr>
              <w:t>]分，</w:t>
            </w:r>
            <w:r>
              <w:rPr>
                <w:rFonts w:hint="eastAsia" w:ascii="宋体" w:hAnsi="宋体" w:cs="宋体"/>
                <w:kern w:val="0"/>
                <w:szCs w:val="21"/>
                <w:highlight w:val="none"/>
              </w:rPr>
              <w:t>一般得</w:t>
            </w:r>
            <w:r>
              <w:rPr>
                <w:rFonts w:hint="eastAsia" w:ascii="宋体" w:hAnsi="宋体" w:cs="宋体"/>
                <w:szCs w:val="21"/>
                <w:highlight w:val="none"/>
              </w:rPr>
              <w:t>（0，</w:t>
            </w:r>
            <w:r>
              <w:rPr>
                <w:rFonts w:hint="eastAsia" w:ascii="宋体" w:hAnsi="宋体" w:cs="宋体"/>
                <w:szCs w:val="21"/>
                <w:highlight w:val="none"/>
                <w:lang w:val="en-US" w:eastAsia="zh-CN"/>
              </w:rPr>
              <w:t>1</w:t>
            </w:r>
            <w:r>
              <w:rPr>
                <w:rFonts w:hint="eastAsia" w:ascii="宋体" w:hAnsi="宋体" w:cs="宋体"/>
                <w:szCs w:val="21"/>
                <w:highlight w:val="none"/>
              </w:rPr>
              <w:t>]，无内容不得分。</w:t>
            </w:r>
          </w:p>
        </w:tc>
        <w:tc>
          <w:tcPr>
            <w:tcW w:w="868" w:type="dxa"/>
            <w:vAlign w:val="center"/>
          </w:tcPr>
          <w:p>
            <w:pPr>
              <w:snapToGrid w:val="0"/>
              <w:ind w:firstLine="0" w:firstLineChars="0"/>
              <w:jc w:val="center"/>
              <w:rPr>
                <w:rFonts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340" w:hRule="atLeast"/>
          <w:jc w:val="center"/>
        </w:trPr>
        <w:tc>
          <w:tcPr>
            <w:tcW w:w="10369" w:type="dxa"/>
            <w:gridSpan w:val="8"/>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说明：以上优的标准为内容完整、详细具体、科学合理、措施可靠、组织严谨、针对性强；中的标准为内容一般、措施可行、针对性较强；差的标准为内容略差、措施基本可行、针对性差、内容不够完整；以上某项无内容，该项不得分。</w:t>
            </w:r>
          </w:p>
        </w:tc>
      </w:tr>
    </w:tbl>
    <w:p>
      <w:pPr>
        <w:rPr>
          <w:highlight w:val="none"/>
        </w:rPr>
      </w:pPr>
    </w:p>
    <w:p>
      <w:pPr>
        <w:pStyle w:val="2"/>
        <w:rPr>
          <w:highlight w:val="none"/>
        </w:rPr>
      </w:pPr>
    </w:p>
    <w:p>
      <w:pPr>
        <w:rPr>
          <w:highlight w:val="none"/>
        </w:rPr>
      </w:pPr>
    </w:p>
    <w:tbl>
      <w:tblPr>
        <w:tblStyle w:val="31"/>
        <w:tblW w:w="10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1102"/>
        <w:gridCol w:w="7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条款号</w:t>
            </w:r>
          </w:p>
        </w:tc>
        <w:tc>
          <w:tcPr>
            <w:tcW w:w="1102" w:type="dxa"/>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条款内容</w:t>
            </w:r>
          </w:p>
        </w:tc>
        <w:tc>
          <w:tcPr>
            <w:tcW w:w="7841" w:type="dxa"/>
            <w:noWrap w:val="0"/>
            <w:vAlign w:val="center"/>
          </w:tcPr>
          <w:p>
            <w:pPr>
              <w:snapToGrid w:val="0"/>
              <w:ind w:firstLine="0" w:firstLineChars="0"/>
              <w:jc w:val="center"/>
              <w:rPr>
                <w:rFonts w:hint="eastAsia" w:ascii="宋体" w:hAnsi="宋体" w:cs="宋体"/>
                <w:b/>
                <w:kern w:val="0"/>
                <w:szCs w:val="21"/>
                <w:highlight w:val="none"/>
              </w:rPr>
            </w:pPr>
            <w:r>
              <w:rPr>
                <w:rFonts w:hint="eastAsia" w:ascii="宋体" w:hAnsi="宋体" w:cs="宋体"/>
                <w:b/>
                <w:kern w:val="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31" w:type="dxa"/>
            <w:vMerge w:val="restart"/>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3.1.2（2）</w:t>
            </w:r>
          </w:p>
        </w:tc>
        <w:tc>
          <w:tcPr>
            <w:tcW w:w="1102" w:type="dxa"/>
            <w:vMerge w:val="restart"/>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串通投标</w:t>
            </w:r>
          </w:p>
        </w:tc>
        <w:tc>
          <w:tcPr>
            <w:tcW w:w="7841" w:type="dxa"/>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有下列情形之一的，属于投标人相互串通投标：</w:t>
            </w:r>
          </w:p>
          <w:p>
            <w:pPr>
              <w:numPr>
                <w:ilvl w:val="0"/>
                <w:numId w:val="2"/>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投标人之间协商投标报价等投标文件的实质性内容；</w:t>
            </w:r>
          </w:p>
          <w:p>
            <w:pPr>
              <w:numPr>
                <w:ilvl w:val="0"/>
                <w:numId w:val="2"/>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投标人之间约定中标人；</w:t>
            </w:r>
          </w:p>
          <w:p>
            <w:pPr>
              <w:numPr>
                <w:ilvl w:val="0"/>
                <w:numId w:val="2"/>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投标人之间约定部分投标人放弃投标或者中标；</w:t>
            </w:r>
          </w:p>
          <w:p>
            <w:pPr>
              <w:numPr>
                <w:ilvl w:val="0"/>
                <w:numId w:val="2"/>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属于同一集团、协会、商会等组织成员的投标人按照该组织要求协同投标；</w:t>
            </w:r>
          </w:p>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投标人之间为谋取中标或者排斥特定投标人而采取的其他联合行动。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31"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7841" w:type="dxa"/>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有下列情形之一的，视为投标人相互串通投标：</w:t>
            </w:r>
          </w:p>
          <w:p>
            <w:pPr>
              <w:numPr>
                <w:ilvl w:val="0"/>
                <w:numId w:val="3"/>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不同投标人的投标文件由同一单位或者个人编制；</w:t>
            </w:r>
          </w:p>
          <w:p>
            <w:pPr>
              <w:numPr>
                <w:ilvl w:val="0"/>
                <w:numId w:val="3"/>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不同投标人委托同一单位或者个人办理投标事宜；</w:t>
            </w:r>
          </w:p>
          <w:p>
            <w:pPr>
              <w:numPr>
                <w:ilvl w:val="0"/>
                <w:numId w:val="3"/>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不同投标人的投标文件载明的项目管理成员为同一人；</w:t>
            </w:r>
          </w:p>
          <w:p>
            <w:pPr>
              <w:numPr>
                <w:ilvl w:val="0"/>
                <w:numId w:val="3"/>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不同投标人的投标文件异常一致或者投标报价呈规律性差异；</w:t>
            </w:r>
          </w:p>
          <w:p>
            <w:pPr>
              <w:numPr>
                <w:ilvl w:val="0"/>
                <w:numId w:val="3"/>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不同投标人的投标文件相互混装；</w:t>
            </w:r>
          </w:p>
          <w:p>
            <w:pPr>
              <w:numPr>
                <w:ilvl w:val="0"/>
                <w:numId w:val="3"/>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不同投标人的投标保证金从同一单位或者个人的账户转出。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1631"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7841" w:type="dxa"/>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有下列情形之一的，属于招标人与投标人串通投标：</w:t>
            </w:r>
          </w:p>
          <w:p>
            <w:pPr>
              <w:numPr>
                <w:ilvl w:val="0"/>
                <w:numId w:val="4"/>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招标人在开标前开启投标文件并将有关信息泄露给其他投标人；</w:t>
            </w:r>
          </w:p>
          <w:p>
            <w:pPr>
              <w:numPr>
                <w:ilvl w:val="0"/>
                <w:numId w:val="4"/>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招标人直接或者间接向投标人泄露标底、评标委员会成员等信息；</w:t>
            </w:r>
          </w:p>
          <w:p>
            <w:pPr>
              <w:numPr>
                <w:ilvl w:val="0"/>
                <w:numId w:val="4"/>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招标人明示或者暗示投标人压低或者抬高投标报价；</w:t>
            </w:r>
          </w:p>
          <w:p>
            <w:pPr>
              <w:numPr>
                <w:ilvl w:val="0"/>
                <w:numId w:val="4"/>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招标人授意投标人撤换、修改投标文件；</w:t>
            </w:r>
          </w:p>
          <w:p>
            <w:pPr>
              <w:numPr>
                <w:ilvl w:val="0"/>
                <w:numId w:val="4"/>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招标人明示或者暗示投标人为特定投标人中标提供方便；</w:t>
            </w:r>
          </w:p>
          <w:p>
            <w:pPr>
              <w:numPr>
                <w:ilvl w:val="0"/>
                <w:numId w:val="4"/>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招标人与投标人为谋求特定投标人中标而采取的其他串通行为。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Merge w:val="continue"/>
            <w:noWrap w:val="0"/>
            <w:vAlign w:val="center"/>
          </w:tcPr>
          <w:p>
            <w:pPr>
              <w:snapToGrid w:val="0"/>
              <w:ind w:firstLine="0" w:firstLineChars="0"/>
              <w:jc w:val="center"/>
              <w:rPr>
                <w:rFonts w:hint="eastAsia" w:ascii="宋体" w:hAnsi="宋体" w:cs="宋体"/>
                <w:kern w:val="0"/>
                <w:szCs w:val="21"/>
                <w:highlight w:val="none"/>
              </w:rPr>
            </w:pPr>
          </w:p>
        </w:tc>
        <w:tc>
          <w:tcPr>
            <w:tcW w:w="1102" w:type="dxa"/>
            <w:noWrap w:val="0"/>
            <w:vAlign w:val="center"/>
          </w:tcPr>
          <w:p>
            <w:pPr>
              <w:snapToGrid w:val="0"/>
              <w:ind w:firstLine="0" w:firstLineChars="0"/>
              <w:jc w:val="center"/>
              <w:rPr>
                <w:rFonts w:hint="eastAsia" w:ascii="宋体" w:hAnsi="宋体" w:cs="宋体"/>
                <w:kern w:val="0"/>
                <w:szCs w:val="21"/>
                <w:highlight w:val="none"/>
              </w:rPr>
            </w:pPr>
            <w:r>
              <w:rPr>
                <w:rFonts w:hint="eastAsia" w:ascii="宋体" w:hAnsi="宋体" w:cs="宋体"/>
                <w:kern w:val="0"/>
                <w:szCs w:val="21"/>
                <w:highlight w:val="none"/>
              </w:rPr>
              <w:t>弄虚作假</w:t>
            </w:r>
          </w:p>
        </w:tc>
        <w:tc>
          <w:tcPr>
            <w:tcW w:w="7841" w:type="dxa"/>
            <w:noWrap w:val="0"/>
            <w:vAlign w:val="center"/>
          </w:tcPr>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使用通过受让或者租借等方式获取的资格、资质证书投标的，属于以他人名义投标。</w:t>
            </w:r>
          </w:p>
          <w:p>
            <w:pPr>
              <w:snapToGrid w:val="0"/>
              <w:ind w:firstLine="0" w:firstLineChars="0"/>
              <w:jc w:val="left"/>
              <w:rPr>
                <w:rFonts w:hint="eastAsia" w:ascii="宋体" w:hAnsi="宋体" w:cs="宋体"/>
                <w:kern w:val="0"/>
                <w:szCs w:val="21"/>
                <w:highlight w:val="none"/>
              </w:rPr>
            </w:pPr>
            <w:r>
              <w:rPr>
                <w:rFonts w:hint="eastAsia" w:ascii="宋体" w:hAnsi="宋体" w:cs="宋体"/>
                <w:kern w:val="0"/>
                <w:szCs w:val="21"/>
                <w:highlight w:val="none"/>
              </w:rPr>
              <w:t>投标人有下列情形之一的，属于以其他方式弄虚作假的行为：</w:t>
            </w:r>
          </w:p>
          <w:p>
            <w:pPr>
              <w:numPr>
                <w:ilvl w:val="0"/>
                <w:numId w:val="5"/>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使用伪造、变造的许可证件；</w:t>
            </w:r>
          </w:p>
          <w:p>
            <w:pPr>
              <w:numPr>
                <w:ilvl w:val="0"/>
                <w:numId w:val="5"/>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提供虚假的财务状况或者业绩；</w:t>
            </w:r>
          </w:p>
          <w:p>
            <w:pPr>
              <w:numPr>
                <w:ilvl w:val="0"/>
                <w:numId w:val="5"/>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提供虚假的项目负责人或者主要技术人员简历、劳动关系证明；</w:t>
            </w:r>
          </w:p>
          <w:p>
            <w:pPr>
              <w:numPr>
                <w:ilvl w:val="0"/>
                <w:numId w:val="5"/>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提供虚假的信用状况；</w:t>
            </w:r>
          </w:p>
          <w:p>
            <w:pPr>
              <w:numPr>
                <w:ilvl w:val="0"/>
                <w:numId w:val="5"/>
              </w:numPr>
              <w:snapToGrid w:val="0"/>
              <w:ind w:firstLineChars="0"/>
              <w:jc w:val="left"/>
              <w:rPr>
                <w:rFonts w:hint="eastAsia" w:ascii="宋体" w:hAnsi="宋体" w:cs="宋体"/>
                <w:kern w:val="0"/>
                <w:szCs w:val="21"/>
                <w:highlight w:val="none"/>
              </w:rPr>
            </w:pPr>
            <w:r>
              <w:rPr>
                <w:rFonts w:hint="eastAsia" w:ascii="宋体" w:hAnsi="宋体" w:cs="宋体"/>
                <w:kern w:val="0"/>
                <w:szCs w:val="21"/>
                <w:highlight w:val="none"/>
              </w:rPr>
              <w:t>其他弄虚作假的行为。</w:t>
            </w:r>
          </w:p>
        </w:tc>
      </w:tr>
    </w:tbl>
    <w:p>
      <w:pPr>
        <w:pStyle w:val="4"/>
        <w:snapToGrid w:val="0"/>
        <w:spacing w:before="0" w:after="0" w:line="360" w:lineRule="auto"/>
        <w:rPr>
          <w:rFonts w:hint="eastAsia" w:ascii="宋体" w:hAnsi="宋体" w:cs="宋体"/>
          <w:kern w:val="0"/>
          <w:highlight w:val="none"/>
        </w:rPr>
      </w:pPr>
      <w:bookmarkStart w:id="198" w:name="_Toc14441"/>
      <w:bookmarkStart w:id="199" w:name="_Toc28614"/>
      <w:bookmarkStart w:id="200" w:name="_Toc4851"/>
      <w:bookmarkStart w:id="201" w:name="_Toc26353"/>
      <w:bookmarkStart w:id="202" w:name="_Toc27676"/>
      <w:r>
        <w:rPr>
          <w:rFonts w:hint="eastAsia" w:ascii="宋体" w:hAnsi="宋体" w:cs="宋体"/>
          <w:kern w:val="0"/>
          <w:highlight w:val="none"/>
        </w:rPr>
        <w:t>1.评标方法</w:t>
      </w:r>
      <w:bookmarkEnd w:id="198"/>
      <w:bookmarkEnd w:id="199"/>
      <w:bookmarkEnd w:id="200"/>
      <w:bookmarkEnd w:id="201"/>
      <w:bookmarkEnd w:id="202"/>
    </w:p>
    <w:p>
      <w:pPr>
        <w:snapToGrid w:val="0"/>
        <w:spacing w:line="360" w:lineRule="auto"/>
        <w:rPr>
          <w:rFonts w:hint="eastAsia" w:ascii="宋体" w:hAnsi="宋体" w:cs="宋体"/>
          <w:kern w:val="0"/>
          <w:highlight w:val="none"/>
        </w:rPr>
      </w:pPr>
      <w:r>
        <w:rPr>
          <w:rFonts w:hint="eastAsia" w:ascii="宋体" w:hAnsi="宋体" w:cs="宋体"/>
          <w:kern w:val="0"/>
          <w:highlight w:val="none"/>
        </w:rPr>
        <w:t>本次评标采用综合评估法。评标委员会对满足招标文件实质性要求的投标文件，按照本章第2.2款规定的评分标准进行打分，并按得分由高到低顺序推荐中标候选人，或根据招标人授权直接确定中标人，但投标报价低于其成本的除外。综合评分相等时，以投标报价低的优先；投标报价也相等的，以技术得分高的优先；如果技术得分也相等，确定中标候选人顺序的方法为：招标人确定。</w:t>
      </w:r>
    </w:p>
    <w:p>
      <w:pPr>
        <w:pStyle w:val="4"/>
        <w:snapToGrid w:val="0"/>
        <w:spacing w:before="0" w:after="0" w:line="360" w:lineRule="auto"/>
        <w:rPr>
          <w:rFonts w:hint="eastAsia" w:ascii="宋体" w:hAnsi="宋体" w:cs="宋体"/>
          <w:kern w:val="0"/>
          <w:highlight w:val="none"/>
        </w:rPr>
      </w:pPr>
      <w:bookmarkStart w:id="203" w:name="_Toc32625"/>
      <w:bookmarkStart w:id="204" w:name="_Toc13959"/>
      <w:bookmarkStart w:id="205" w:name="_Toc29352"/>
      <w:bookmarkStart w:id="206" w:name="_Toc562"/>
      <w:bookmarkStart w:id="207" w:name="_Toc29108"/>
      <w:r>
        <w:rPr>
          <w:rFonts w:hint="eastAsia" w:ascii="宋体" w:hAnsi="宋体" w:cs="宋体"/>
          <w:kern w:val="0"/>
          <w:highlight w:val="none"/>
          <w:lang w:val="en-US" w:eastAsia="zh-CN"/>
        </w:rPr>
        <w:t>2</w:t>
      </w:r>
      <w:r>
        <w:rPr>
          <w:rFonts w:hint="eastAsia" w:ascii="宋体" w:hAnsi="宋体" w:cs="宋体"/>
          <w:kern w:val="0"/>
          <w:highlight w:val="none"/>
        </w:rPr>
        <w:t>.评</w:t>
      </w:r>
      <w:r>
        <w:rPr>
          <w:rFonts w:hint="eastAsia" w:ascii="宋体" w:hAnsi="宋体" w:cs="宋体"/>
          <w:kern w:val="0"/>
          <w:highlight w:val="none"/>
          <w:lang w:val="en-US" w:eastAsia="zh-CN"/>
        </w:rPr>
        <w:t>标</w:t>
      </w:r>
      <w:r>
        <w:rPr>
          <w:rFonts w:hint="eastAsia" w:ascii="宋体" w:hAnsi="宋体" w:cs="宋体"/>
          <w:kern w:val="0"/>
          <w:highlight w:val="none"/>
        </w:rPr>
        <w:t>程序</w:t>
      </w:r>
      <w:bookmarkEnd w:id="203"/>
      <w:bookmarkEnd w:id="204"/>
      <w:bookmarkEnd w:id="205"/>
      <w:bookmarkEnd w:id="206"/>
      <w:bookmarkEnd w:id="207"/>
    </w:p>
    <w:p>
      <w:pPr>
        <w:snapToGrid w:val="0"/>
        <w:spacing w:line="360" w:lineRule="auto"/>
        <w:rPr>
          <w:rFonts w:hint="eastAsia" w:ascii="宋体" w:hAnsi="宋体" w:cs="宋体"/>
          <w:kern w:val="0"/>
          <w:highlight w:val="none"/>
        </w:rPr>
      </w:pPr>
      <w:bookmarkStart w:id="208" w:name="_Toc31556"/>
      <w:bookmarkStart w:id="209" w:name="_Toc5857"/>
      <w:r>
        <w:rPr>
          <w:rFonts w:hint="eastAsia" w:ascii="宋体" w:hAnsi="宋体" w:cs="宋体"/>
          <w:kern w:val="0"/>
          <w:highlight w:val="none"/>
        </w:rPr>
        <w:t>3.1初步评审</w:t>
      </w:r>
      <w:bookmarkEnd w:id="208"/>
      <w:bookmarkEnd w:id="209"/>
    </w:p>
    <w:p>
      <w:pPr>
        <w:snapToGrid w:val="0"/>
        <w:spacing w:line="360" w:lineRule="auto"/>
        <w:rPr>
          <w:rFonts w:hint="eastAsia" w:ascii="宋体" w:hAnsi="宋体" w:cs="宋体"/>
          <w:kern w:val="0"/>
          <w:highlight w:val="none"/>
        </w:rPr>
      </w:pPr>
      <w:r>
        <w:rPr>
          <w:rFonts w:hint="eastAsia" w:ascii="宋体" w:hAnsi="宋体" w:cs="宋体"/>
          <w:kern w:val="0"/>
          <w:highlight w:val="none"/>
        </w:rPr>
        <w:t>3.1.1评标委员会可以要求投标人提交第二章“投标人须知”规定的有关证明和证件的原件，以便核验。有一项不符合评审标准的，评标委员会应当否决其投标。</w:t>
      </w:r>
    </w:p>
    <w:p>
      <w:pPr>
        <w:snapToGrid w:val="0"/>
        <w:spacing w:line="360" w:lineRule="auto"/>
        <w:rPr>
          <w:rFonts w:hint="eastAsia" w:ascii="宋体" w:hAnsi="宋体" w:cs="宋体"/>
          <w:kern w:val="0"/>
          <w:highlight w:val="none"/>
        </w:rPr>
      </w:pPr>
      <w:r>
        <w:rPr>
          <w:rFonts w:hint="eastAsia" w:ascii="宋体" w:hAnsi="宋体" w:cs="宋体"/>
          <w:kern w:val="0"/>
          <w:highlight w:val="none"/>
        </w:rPr>
        <w:t>3.1.2投标人有以下情形之一的，评标委员会应当否决其投标：</w:t>
      </w:r>
    </w:p>
    <w:p>
      <w:pPr>
        <w:snapToGrid w:val="0"/>
        <w:spacing w:line="360" w:lineRule="auto"/>
        <w:rPr>
          <w:rFonts w:hint="eastAsia" w:ascii="宋体" w:hAnsi="宋体" w:cs="宋体"/>
          <w:kern w:val="0"/>
          <w:highlight w:val="none"/>
        </w:rPr>
      </w:pPr>
      <w:r>
        <w:rPr>
          <w:rFonts w:hint="eastAsia" w:ascii="宋体" w:hAnsi="宋体" w:cs="宋体"/>
          <w:kern w:val="0"/>
          <w:highlight w:val="none"/>
        </w:rPr>
        <w:t>（1）投标文件没有对招标文件的实质性要求和条件作出响应，或者对招标文件的偏差超出招标文件规定的偏差范围或最高项数；</w:t>
      </w:r>
    </w:p>
    <w:p>
      <w:pPr>
        <w:snapToGrid w:val="0"/>
        <w:spacing w:line="360" w:lineRule="auto"/>
        <w:rPr>
          <w:rFonts w:hint="eastAsia" w:ascii="宋体" w:hAnsi="宋体" w:cs="宋体"/>
          <w:kern w:val="0"/>
          <w:highlight w:val="none"/>
        </w:rPr>
      </w:pPr>
      <w:r>
        <w:rPr>
          <w:rFonts w:hint="eastAsia" w:ascii="宋体" w:hAnsi="宋体" w:cs="宋体"/>
          <w:kern w:val="0"/>
          <w:highlight w:val="none"/>
        </w:rPr>
        <w:t>（2）第二章“投标人须知”第1.4.3项规定的任何一种情形的；</w:t>
      </w:r>
    </w:p>
    <w:p>
      <w:pPr>
        <w:snapToGrid w:val="0"/>
        <w:spacing w:line="360" w:lineRule="auto"/>
        <w:rPr>
          <w:rFonts w:hint="eastAsia" w:ascii="宋体" w:hAnsi="宋体" w:cs="宋体"/>
          <w:kern w:val="0"/>
          <w:highlight w:val="none"/>
        </w:rPr>
      </w:pPr>
      <w:r>
        <w:rPr>
          <w:rFonts w:hint="eastAsia" w:ascii="宋体" w:hAnsi="宋体" w:cs="宋体"/>
          <w:kern w:val="0"/>
          <w:highlight w:val="none"/>
        </w:rPr>
        <w:t>（3）有串通投标、弄虚作假、行贿等违法行为。</w:t>
      </w:r>
    </w:p>
    <w:p>
      <w:pPr>
        <w:snapToGrid w:val="0"/>
        <w:spacing w:line="360" w:lineRule="auto"/>
        <w:rPr>
          <w:rFonts w:hint="eastAsia" w:ascii="宋体" w:hAnsi="宋体" w:cs="宋体"/>
          <w:kern w:val="0"/>
          <w:highlight w:val="none"/>
        </w:rPr>
      </w:pPr>
      <w:r>
        <w:rPr>
          <w:rFonts w:hint="eastAsia" w:ascii="宋体" w:hAnsi="宋体" w:cs="宋体"/>
          <w:kern w:val="0"/>
          <w:highlight w:val="none"/>
        </w:rPr>
        <w:t>3.1.3投标报价有算术错误及其他错误的，评标委员会按以下原则要求投标人对投标报价进行修正，并要求投标人书面澄清确认。投标人拒不澄清确认的，评标委员会应当否决其投标：</w:t>
      </w:r>
    </w:p>
    <w:p>
      <w:pPr>
        <w:snapToGrid w:val="0"/>
        <w:spacing w:line="360" w:lineRule="auto"/>
        <w:rPr>
          <w:rFonts w:hint="eastAsia" w:ascii="宋体" w:hAnsi="宋体" w:cs="宋体"/>
          <w:kern w:val="0"/>
          <w:highlight w:val="none"/>
        </w:rPr>
      </w:pPr>
      <w:r>
        <w:rPr>
          <w:rFonts w:hint="eastAsia" w:ascii="宋体" w:hAnsi="宋体" w:cs="宋体"/>
          <w:kern w:val="0"/>
          <w:highlight w:val="none"/>
        </w:rPr>
        <w:t>（1）投标文件中的大写金额与小写金额不一致的，以大写金额为准；</w:t>
      </w:r>
    </w:p>
    <w:p>
      <w:pPr>
        <w:snapToGrid w:val="0"/>
        <w:spacing w:line="360" w:lineRule="auto"/>
        <w:rPr>
          <w:rFonts w:hint="eastAsia" w:ascii="宋体" w:hAnsi="宋体" w:cs="宋体"/>
          <w:kern w:val="0"/>
          <w:highlight w:val="none"/>
        </w:rPr>
      </w:pPr>
      <w:r>
        <w:rPr>
          <w:rFonts w:hint="eastAsia" w:ascii="宋体" w:hAnsi="宋体" w:cs="宋体"/>
          <w:kern w:val="0"/>
          <w:highlight w:val="none"/>
        </w:rPr>
        <w:t>（2）总价金额与单价金额不一致的，以单价金额为准，但单价金额小数点有明显错误的除外；</w:t>
      </w:r>
    </w:p>
    <w:p>
      <w:pPr>
        <w:snapToGrid w:val="0"/>
        <w:spacing w:line="360" w:lineRule="auto"/>
        <w:rPr>
          <w:rFonts w:hint="eastAsia" w:ascii="宋体" w:hAnsi="宋体" w:cs="宋体"/>
          <w:kern w:val="0"/>
          <w:highlight w:val="none"/>
        </w:rPr>
      </w:pPr>
      <w:r>
        <w:rPr>
          <w:rFonts w:hint="eastAsia" w:ascii="宋体" w:hAnsi="宋体" w:cs="宋体"/>
          <w:kern w:val="0"/>
          <w:highlight w:val="none"/>
        </w:rPr>
        <w:t>（3）投标报价为各分项报价金额之和，投标报价与分项报价的合价不一致的，应以各分项合价累计数为准，修正投标报价；</w:t>
      </w:r>
    </w:p>
    <w:p>
      <w:pPr>
        <w:snapToGrid w:val="0"/>
        <w:spacing w:line="360" w:lineRule="auto"/>
        <w:rPr>
          <w:rFonts w:hint="eastAsia" w:ascii="宋体" w:hAnsi="宋体" w:cs="宋体"/>
          <w:kern w:val="0"/>
          <w:highlight w:val="none"/>
        </w:rPr>
      </w:pPr>
      <w:r>
        <w:rPr>
          <w:rFonts w:hint="eastAsia" w:ascii="宋体" w:hAnsi="宋体" w:cs="宋体"/>
          <w:kern w:val="0"/>
          <w:highlight w:val="none"/>
        </w:rPr>
        <w:t>（4）如果分项报价中存在缺漏项，则视为缺漏项价格已包含在其他分项报价之中。</w:t>
      </w:r>
    </w:p>
    <w:p>
      <w:pPr>
        <w:snapToGrid w:val="0"/>
        <w:spacing w:line="360" w:lineRule="auto"/>
        <w:rPr>
          <w:rFonts w:hint="eastAsia" w:ascii="宋体" w:hAnsi="宋体" w:cs="宋体"/>
          <w:kern w:val="0"/>
          <w:highlight w:val="none"/>
        </w:rPr>
      </w:pPr>
      <w:bookmarkStart w:id="210" w:name="_Toc26569"/>
      <w:bookmarkStart w:id="211" w:name="_Toc8357"/>
      <w:r>
        <w:rPr>
          <w:rFonts w:hint="eastAsia" w:ascii="宋体" w:hAnsi="宋体" w:cs="宋体"/>
          <w:kern w:val="0"/>
          <w:highlight w:val="none"/>
        </w:rPr>
        <w:t>3.2详细评审</w:t>
      </w:r>
      <w:bookmarkEnd w:id="210"/>
      <w:bookmarkEnd w:id="211"/>
    </w:p>
    <w:p>
      <w:pPr>
        <w:snapToGrid w:val="0"/>
        <w:spacing w:line="360" w:lineRule="auto"/>
        <w:rPr>
          <w:rFonts w:hint="eastAsia" w:ascii="宋体" w:hAnsi="宋体" w:cs="宋体"/>
          <w:kern w:val="0"/>
          <w:highlight w:val="none"/>
        </w:rPr>
      </w:pPr>
      <w:r>
        <w:rPr>
          <w:rFonts w:hint="eastAsia" w:ascii="宋体" w:hAnsi="宋体" w:cs="宋体"/>
          <w:kern w:val="0"/>
          <w:highlight w:val="none"/>
        </w:rPr>
        <w:t>3.2.1评标委员会按</w:t>
      </w:r>
      <w:r>
        <w:rPr>
          <w:rFonts w:hint="eastAsia" w:ascii="宋体" w:hAnsi="宋体" w:cs="宋体"/>
          <w:kern w:val="0"/>
          <w:highlight w:val="none"/>
          <w:lang w:val="en-US" w:eastAsia="zh-CN"/>
        </w:rPr>
        <w:t>评标办法</w:t>
      </w:r>
      <w:r>
        <w:rPr>
          <w:rFonts w:hint="eastAsia" w:ascii="宋体" w:hAnsi="宋体" w:cs="宋体"/>
          <w:kern w:val="0"/>
          <w:highlight w:val="none"/>
        </w:rPr>
        <w:t>规定的量化因素和分值进行打分，并计算出综合评估得分。</w:t>
      </w:r>
    </w:p>
    <w:p>
      <w:pPr>
        <w:snapToGrid w:val="0"/>
        <w:spacing w:line="360" w:lineRule="auto"/>
        <w:rPr>
          <w:rFonts w:hint="eastAsia" w:ascii="宋体" w:hAnsi="宋体" w:cs="宋体"/>
          <w:kern w:val="0"/>
          <w:highlight w:val="none"/>
        </w:rPr>
      </w:pPr>
      <w:r>
        <w:rPr>
          <w:rFonts w:hint="eastAsia" w:ascii="宋体" w:hAnsi="宋体" w:cs="宋体"/>
          <w:kern w:val="0"/>
          <w:highlight w:val="none"/>
        </w:rPr>
        <w:t>3.2.2评分分值计算保留小数点后两位，小数点后第三位“四舍五入”。</w:t>
      </w:r>
    </w:p>
    <w:p>
      <w:pPr>
        <w:snapToGrid w:val="0"/>
        <w:spacing w:line="360" w:lineRule="auto"/>
        <w:rPr>
          <w:rFonts w:hint="eastAsia" w:ascii="宋体" w:hAnsi="宋体" w:cs="宋体"/>
          <w:kern w:val="0"/>
          <w:highlight w:val="none"/>
        </w:rPr>
      </w:pPr>
      <w:r>
        <w:rPr>
          <w:rFonts w:hint="eastAsia" w:ascii="宋体" w:hAnsi="宋体" w:cs="宋体"/>
          <w:kern w:val="0"/>
          <w:highlight w:val="none"/>
        </w:rPr>
        <w:t>3.2.3投标人得分</w:t>
      </w:r>
      <w:r>
        <w:rPr>
          <w:rFonts w:hint="eastAsia" w:ascii="宋体" w:hAnsi="宋体" w:cs="宋体"/>
          <w:kern w:val="0"/>
          <w:highlight w:val="none"/>
          <w:lang w:val="en-US" w:eastAsia="zh-CN"/>
        </w:rPr>
        <w:t>=商务分+技术分</w:t>
      </w:r>
      <w:r>
        <w:rPr>
          <w:rFonts w:hint="eastAsia" w:ascii="宋体" w:hAnsi="宋体" w:cs="宋体"/>
          <w:kern w:val="0"/>
          <w:highlight w:val="none"/>
        </w:rPr>
        <w:t>。</w:t>
      </w:r>
    </w:p>
    <w:p>
      <w:pPr>
        <w:snapToGrid w:val="0"/>
        <w:spacing w:line="360" w:lineRule="auto"/>
        <w:rPr>
          <w:rFonts w:hint="eastAsia" w:ascii="宋体" w:hAnsi="宋体" w:cs="宋体"/>
          <w:kern w:val="0"/>
          <w:highlight w:val="none"/>
        </w:rPr>
      </w:pPr>
      <w:r>
        <w:rPr>
          <w:rFonts w:hint="eastAsia" w:ascii="宋体" w:hAnsi="宋体" w:cs="宋体"/>
          <w:kern w:val="0"/>
          <w:highlight w:val="none"/>
        </w:rPr>
        <w:t>3.2.4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pPr>
        <w:snapToGrid w:val="0"/>
        <w:spacing w:line="360" w:lineRule="auto"/>
        <w:rPr>
          <w:rFonts w:hint="eastAsia" w:ascii="宋体" w:hAnsi="宋体" w:cs="宋体"/>
          <w:kern w:val="0"/>
          <w:highlight w:val="none"/>
        </w:rPr>
      </w:pPr>
      <w:bookmarkStart w:id="212" w:name="_Toc26010"/>
      <w:bookmarkStart w:id="213" w:name="_Toc16426"/>
      <w:r>
        <w:rPr>
          <w:rFonts w:hint="eastAsia" w:ascii="宋体" w:hAnsi="宋体" w:cs="宋体"/>
          <w:kern w:val="0"/>
          <w:highlight w:val="none"/>
        </w:rPr>
        <w:t>3.3投标文件的澄清</w:t>
      </w:r>
      <w:bookmarkEnd w:id="212"/>
      <w:bookmarkEnd w:id="213"/>
    </w:p>
    <w:p>
      <w:pPr>
        <w:snapToGrid w:val="0"/>
        <w:spacing w:line="360" w:lineRule="auto"/>
        <w:rPr>
          <w:rFonts w:hint="eastAsia" w:ascii="宋体" w:hAnsi="宋体" w:cs="宋体"/>
          <w:kern w:val="0"/>
          <w:highlight w:val="none"/>
        </w:rPr>
      </w:pPr>
      <w:r>
        <w:rPr>
          <w:rFonts w:hint="eastAsia" w:ascii="宋体" w:hAnsi="宋体" w:cs="宋体"/>
          <w:kern w:val="0"/>
          <w:highlight w:val="none"/>
        </w:rPr>
        <w:t>3.3.1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pPr>
        <w:snapToGrid w:val="0"/>
        <w:spacing w:line="360" w:lineRule="auto"/>
        <w:rPr>
          <w:rFonts w:hint="eastAsia" w:ascii="宋体" w:hAnsi="宋体" w:cs="宋体"/>
          <w:kern w:val="0"/>
          <w:highlight w:val="none"/>
        </w:rPr>
      </w:pPr>
      <w:r>
        <w:rPr>
          <w:rFonts w:hint="eastAsia" w:ascii="宋体" w:hAnsi="宋体" w:cs="宋体"/>
          <w:kern w:val="0"/>
          <w:highlight w:val="none"/>
        </w:rPr>
        <w:t>3.3.2澄清、说明或补正不得超出投标文件的范围且不得改变投标文件的实质性内容，并构成投标文件的组成部分。</w:t>
      </w:r>
    </w:p>
    <w:p>
      <w:pPr>
        <w:snapToGrid w:val="0"/>
        <w:spacing w:line="360" w:lineRule="auto"/>
        <w:rPr>
          <w:rFonts w:hint="eastAsia" w:ascii="宋体" w:hAnsi="宋体" w:cs="宋体"/>
          <w:kern w:val="0"/>
          <w:highlight w:val="none"/>
        </w:rPr>
      </w:pPr>
      <w:r>
        <w:rPr>
          <w:rFonts w:hint="eastAsia" w:ascii="宋体" w:hAnsi="宋体" w:cs="宋体"/>
          <w:kern w:val="0"/>
          <w:highlight w:val="none"/>
        </w:rPr>
        <w:t>3.3.3评标委员会对投标人提交的澄清、说明或补正有疑问的，可以要求投标人进一步澄清、说明或补正，直至满足评标委员会的要求。</w:t>
      </w:r>
    </w:p>
    <w:p>
      <w:pPr>
        <w:snapToGrid w:val="0"/>
        <w:spacing w:line="360" w:lineRule="auto"/>
        <w:rPr>
          <w:rFonts w:hint="eastAsia" w:ascii="宋体" w:hAnsi="宋体" w:cs="宋体"/>
          <w:kern w:val="0"/>
          <w:highlight w:val="none"/>
        </w:rPr>
      </w:pPr>
      <w:bookmarkStart w:id="214" w:name="_Toc14333"/>
      <w:bookmarkStart w:id="215" w:name="_Toc13137"/>
      <w:r>
        <w:rPr>
          <w:rFonts w:hint="eastAsia" w:ascii="宋体" w:hAnsi="宋体" w:cs="宋体"/>
          <w:kern w:val="0"/>
          <w:highlight w:val="none"/>
        </w:rPr>
        <w:t>3.4评标结果</w:t>
      </w:r>
      <w:bookmarkEnd w:id="214"/>
      <w:bookmarkEnd w:id="215"/>
    </w:p>
    <w:p>
      <w:pPr>
        <w:snapToGrid w:val="0"/>
        <w:spacing w:line="360" w:lineRule="auto"/>
        <w:rPr>
          <w:rFonts w:hint="eastAsia" w:ascii="宋体" w:hAnsi="宋体" w:cs="宋体"/>
          <w:kern w:val="0"/>
          <w:highlight w:val="none"/>
        </w:rPr>
      </w:pPr>
      <w:r>
        <w:rPr>
          <w:rFonts w:hint="eastAsia" w:ascii="宋体" w:hAnsi="宋体" w:cs="宋体"/>
          <w:kern w:val="0"/>
          <w:highlight w:val="none"/>
        </w:rPr>
        <w:t>3.4.1评标委员会按照得分由高到低的顺序推荐中标候选人，并标明排序。</w:t>
      </w:r>
    </w:p>
    <w:p>
      <w:pPr>
        <w:snapToGrid w:val="0"/>
        <w:spacing w:line="360" w:lineRule="auto"/>
        <w:rPr>
          <w:rFonts w:hint="eastAsia" w:ascii="宋体" w:hAnsi="宋体" w:cs="宋体"/>
          <w:kern w:val="0"/>
          <w:highlight w:val="none"/>
        </w:rPr>
      </w:pPr>
      <w:r>
        <w:rPr>
          <w:rFonts w:hint="eastAsia" w:ascii="宋体" w:hAnsi="宋体" w:cs="宋体"/>
          <w:kern w:val="0"/>
          <w:highlight w:val="none"/>
        </w:rPr>
        <w:t>3.4.2评标委员会完成评标后，应当向招标人提交书面评标报告和中标候选人名单。</w:t>
      </w:r>
    </w:p>
    <w:p>
      <w:pPr>
        <w:snapToGrid w:val="0"/>
        <w:ind w:firstLine="0" w:firstLineChars="0"/>
        <w:rPr>
          <w:rFonts w:hint="eastAsia" w:ascii="宋体" w:hAnsi="宋体" w:cs="宋体"/>
          <w:kern w:val="0"/>
          <w:highlight w:val="none"/>
        </w:rPr>
      </w:pPr>
    </w:p>
    <w:p>
      <w:pPr>
        <w:pStyle w:val="3"/>
        <w:snapToGrid w:val="0"/>
        <w:spacing w:before="0" w:after="0" w:line="360" w:lineRule="auto"/>
        <w:rPr>
          <w:rFonts w:hint="eastAsia" w:cs="宋体"/>
          <w:kern w:val="0"/>
          <w:highlight w:val="none"/>
        </w:rPr>
      </w:pPr>
      <w:bookmarkStart w:id="216" w:name="_Toc1840"/>
      <w:bookmarkStart w:id="217" w:name="_Toc16425"/>
      <w:bookmarkStart w:id="218" w:name="_Toc17663"/>
      <w:bookmarkStart w:id="219" w:name="_Toc716"/>
      <w:r>
        <w:rPr>
          <w:rFonts w:hint="eastAsia" w:cs="宋体"/>
          <w:kern w:val="0"/>
          <w:highlight w:val="none"/>
        </w:rPr>
        <w:br w:type="column"/>
      </w:r>
      <w:r>
        <w:rPr>
          <w:rFonts w:hint="eastAsia" w:cs="宋体"/>
          <w:kern w:val="0"/>
          <w:highlight w:val="none"/>
        </w:rPr>
        <w:t xml:space="preserve">第四章 </w:t>
      </w:r>
      <w:r>
        <w:rPr>
          <w:rFonts w:hint="eastAsia" w:cs="宋体"/>
          <w:kern w:val="0"/>
          <w:highlight w:val="none"/>
          <w:lang w:eastAsia="zh-CN"/>
        </w:rPr>
        <w:t>主要</w:t>
      </w:r>
      <w:r>
        <w:rPr>
          <w:rFonts w:hint="eastAsia" w:cs="宋体"/>
          <w:kern w:val="0"/>
          <w:highlight w:val="none"/>
        </w:rPr>
        <w:t>合同条款及格式</w:t>
      </w:r>
      <w:bookmarkEnd w:id="216"/>
    </w:p>
    <w:p>
      <w:pPr>
        <w:ind w:firstLine="0" w:firstLineChars="0"/>
        <w:jc w:val="center"/>
        <w:rPr>
          <w:rFonts w:ascii="黑体" w:eastAsia="黑体"/>
          <w:b/>
          <w:color w:val="auto"/>
          <w:sz w:val="36"/>
          <w:szCs w:val="36"/>
          <w:highlight w:val="none"/>
        </w:rPr>
      </w:pPr>
      <w:r>
        <w:rPr>
          <w:rFonts w:hint="eastAsia" w:ascii="黑体" w:eastAsia="黑体"/>
          <w:b/>
          <w:color w:val="auto"/>
          <w:sz w:val="36"/>
          <w:szCs w:val="36"/>
          <w:highlight w:val="none"/>
        </w:rPr>
        <w:t>设备采购、安装及调试合同</w:t>
      </w:r>
    </w:p>
    <w:p>
      <w:pPr>
        <w:ind w:firstLine="0" w:firstLineChars="0"/>
        <w:jc w:val="center"/>
        <w:rPr>
          <w:rFonts w:ascii="黑体" w:hAnsi="宋体" w:eastAsia="黑体"/>
          <w:color w:val="auto"/>
          <w:sz w:val="28"/>
          <w:szCs w:val="28"/>
          <w:highlight w:val="none"/>
        </w:rPr>
      </w:pPr>
    </w:p>
    <w:p>
      <w:pPr>
        <w:spacing w:line="440" w:lineRule="exact"/>
        <w:ind w:left="420" w:firstLine="0" w:firstLineChars="0"/>
        <w:rPr>
          <w:rFonts w:ascii="宋体" w:hAnsi="宋体"/>
          <w:color w:val="auto"/>
          <w:sz w:val="24"/>
          <w:szCs w:val="24"/>
          <w:highlight w:val="none"/>
        </w:rPr>
      </w:pPr>
      <w:r>
        <w:rPr>
          <w:rFonts w:hint="eastAsia" w:ascii="宋体" w:hAnsi="宋体"/>
          <w:color w:val="auto"/>
          <w:sz w:val="24"/>
          <w:szCs w:val="24"/>
          <w:highlight w:val="none"/>
        </w:rPr>
        <w:t>买方：江苏长江水务股份有限公司</w:t>
      </w:r>
    </w:p>
    <w:p>
      <w:pPr>
        <w:spacing w:line="440" w:lineRule="exact"/>
        <w:ind w:left="420" w:firstLine="0" w:firstLineChars="0"/>
        <w:rPr>
          <w:rFonts w:ascii="宋体" w:hAnsi="宋体"/>
          <w:color w:val="auto"/>
          <w:sz w:val="24"/>
          <w:szCs w:val="24"/>
          <w:highlight w:val="none"/>
        </w:rPr>
      </w:pPr>
      <w:r>
        <w:rPr>
          <w:rFonts w:hint="eastAsia" w:ascii="宋体" w:hAnsi="宋体"/>
          <w:color w:val="auto"/>
          <w:sz w:val="24"/>
          <w:szCs w:val="24"/>
          <w:highlight w:val="none"/>
        </w:rPr>
        <w:t>卖方：</w:t>
      </w:r>
    </w:p>
    <w:p>
      <w:pPr>
        <w:spacing w:line="440" w:lineRule="exact"/>
        <w:ind w:right="-290" w:rightChars="-138" w:firstLine="0" w:firstLineChars="0"/>
        <w:rPr>
          <w:rFonts w:ascii="宋体" w:hAnsi="宋体"/>
          <w:color w:val="auto"/>
          <w:sz w:val="24"/>
          <w:szCs w:val="24"/>
          <w:highlight w:val="none"/>
        </w:rPr>
      </w:pPr>
    </w:p>
    <w:p>
      <w:pPr>
        <w:spacing w:line="440" w:lineRule="exact"/>
        <w:ind w:right="-290" w:rightChars="-138" w:firstLine="0" w:firstLineChars="0"/>
        <w:rPr>
          <w:rFonts w:ascii="宋体" w:hAnsi="宋体"/>
          <w:color w:val="auto"/>
          <w:sz w:val="24"/>
          <w:szCs w:val="24"/>
          <w:highlight w:val="none"/>
        </w:rPr>
      </w:pPr>
      <w:r>
        <w:rPr>
          <w:rFonts w:ascii="宋体" w:hAnsi="宋体"/>
          <w:color w:val="auto"/>
          <w:sz w:val="24"/>
          <w:szCs w:val="24"/>
          <w:highlight w:val="none"/>
        </w:rPr>
        <w:t xml:space="preserve">    江苏长江水务股份有限公司（以下简称“买方”）通过招标（招标编号：</w:t>
      </w:r>
      <w:r>
        <w:rPr>
          <w:rFonts w:ascii="宋体" w:hAnsi="宋体"/>
          <w:color w:val="auto"/>
          <w:sz w:val="24"/>
          <w:szCs w:val="24"/>
          <w:highlight w:val="none"/>
          <w:u w:val="single"/>
        </w:rPr>
        <w:t xml:space="preserve">      </w:t>
      </w:r>
      <w:r>
        <w:rPr>
          <w:rFonts w:hint="eastAsia" w:ascii="宋体" w:hAnsi="宋体"/>
          <w:color w:val="auto"/>
          <w:sz w:val="24"/>
          <w:szCs w:val="24"/>
          <w:highlight w:val="none"/>
        </w:rPr>
        <w:t>），确定</w:t>
      </w:r>
      <w:r>
        <w:rPr>
          <w:rFonts w:ascii="宋体" w:hAnsi="宋体"/>
          <w:color w:val="auto"/>
          <w:sz w:val="24"/>
          <w:szCs w:val="24"/>
          <w:highlight w:val="non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rPr>
        <w:t>公司（以下简称“卖方”）为江苏长江水务股份有限公司</w:t>
      </w:r>
      <w:r>
        <w:rPr>
          <w:rFonts w:ascii="宋体" w:hAnsi="宋体"/>
          <w:color w:val="auto"/>
          <w:sz w:val="24"/>
          <w:szCs w:val="24"/>
          <w:highlight w:val="none"/>
          <w:u w:val="single"/>
        </w:rPr>
        <w:t xml:space="preserve">       </w:t>
      </w:r>
      <w:r>
        <w:rPr>
          <w:rFonts w:ascii="宋体" w:hAnsi="宋体"/>
          <w:color w:val="auto"/>
          <w:sz w:val="24"/>
          <w:szCs w:val="24"/>
          <w:highlight w:val="none"/>
        </w:rPr>
        <w:t>设备</w:t>
      </w:r>
      <w:r>
        <w:rPr>
          <w:rFonts w:hint="eastAsia" w:ascii="宋体" w:hAnsi="宋体"/>
          <w:color w:val="auto"/>
          <w:sz w:val="24"/>
          <w:szCs w:val="24"/>
          <w:highlight w:val="none"/>
        </w:rPr>
        <w:t>安装</w:t>
      </w:r>
      <w:r>
        <w:rPr>
          <w:rFonts w:ascii="宋体" w:hAnsi="宋体"/>
          <w:color w:val="auto"/>
          <w:sz w:val="24"/>
          <w:szCs w:val="24"/>
          <w:highlight w:val="none"/>
        </w:rPr>
        <w:t>采购项目的供应方，经买卖双方协商一致，签订本合同。</w:t>
      </w: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第一条　名词和用语</w:t>
      </w:r>
    </w:p>
    <w:p>
      <w:pPr>
        <w:spacing w:line="440" w:lineRule="exact"/>
        <w:ind w:firstLine="570" w:firstLineChars="0"/>
        <w:rPr>
          <w:rFonts w:ascii="宋体" w:hAnsi="宋体"/>
          <w:color w:val="auto"/>
          <w:sz w:val="24"/>
          <w:szCs w:val="24"/>
          <w:highlight w:val="none"/>
        </w:rPr>
      </w:pPr>
      <w:r>
        <w:rPr>
          <w:rFonts w:hint="eastAsia" w:ascii="宋体" w:hAnsi="宋体"/>
          <w:color w:val="auto"/>
          <w:sz w:val="24"/>
          <w:szCs w:val="24"/>
          <w:highlight w:val="none"/>
        </w:rPr>
        <w:t>下列名词和用语，</w:t>
      </w:r>
      <w:r>
        <w:rPr>
          <w:rFonts w:ascii="宋体" w:hAnsi="宋体"/>
          <w:color w:val="auto"/>
          <w:sz w:val="24"/>
          <w:szCs w:val="24"/>
          <w:highlight w:val="none"/>
        </w:rPr>
        <w:t xml:space="preserve"> </w:t>
      </w:r>
      <w:r>
        <w:rPr>
          <w:rFonts w:hint="eastAsia" w:ascii="宋体" w:hAnsi="宋体"/>
          <w:color w:val="auto"/>
          <w:sz w:val="24"/>
          <w:szCs w:val="24"/>
          <w:highlight w:val="none"/>
        </w:rPr>
        <w:t>除上下文另有规定外，有如下含义：</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“工程”是指江苏长江水务股份有限公司</w:t>
      </w:r>
      <w:r>
        <w:rPr>
          <w:rFonts w:ascii="宋体" w:hAnsi="宋体"/>
          <w:color w:val="auto"/>
          <w:sz w:val="24"/>
          <w:szCs w:val="24"/>
          <w:highlight w:val="none"/>
          <w:u w:val="single"/>
        </w:rPr>
        <w:t xml:space="preserve">       </w:t>
      </w:r>
      <w:r>
        <w:rPr>
          <w:rFonts w:ascii="宋体" w:hAnsi="宋体"/>
          <w:color w:val="auto"/>
          <w:sz w:val="24"/>
          <w:szCs w:val="24"/>
          <w:highlight w:val="none"/>
        </w:rPr>
        <w:t>设备</w:t>
      </w:r>
      <w:r>
        <w:rPr>
          <w:rFonts w:hint="eastAsia" w:ascii="宋体" w:hAnsi="宋体"/>
          <w:color w:val="auto"/>
          <w:sz w:val="24"/>
          <w:szCs w:val="24"/>
          <w:highlight w:val="none"/>
        </w:rPr>
        <w:t>采购、</w:t>
      </w:r>
      <w:r>
        <w:rPr>
          <w:rFonts w:ascii="宋体" w:hAnsi="宋体"/>
          <w:color w:val="auto"/>
          <w:sz w:val="24"/>
          <w:szCs w:val="24"/>
          <w:highlight w:val="none"/>
        </w:rPr>
        <w:t>安装</w:t>
      </w:r>
      <w:r>
        <w:rPr>
          <w:rFonts w:hint="eastAsia" w:ascii="宋体" w:hAnsi="宋体"/>
          <w:color w:val="auto"/>
          <w:sz w:val="24"/>
          <w:szCs w:val="24"/>
          <w:highlight w:val="none"/>
        </w:rPr>
        <w:t>及调试项目</w:t>
      </w:r>
      <w:r>
        <w:rPr>
          <w:rFonts w:ascii="宋体" w:hAnsi="宋体"/>
          <w:color w:val="auto"/>
          <w:sz w:val="24"/>
          <w:szCs w:val="24"/>
          <w:highlight w:val="none"/>
        </w:rPr>
        <w:t>。</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“买方”指江苏长江水务股份有限公司或其合法承继者。</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“卖方”是指</w:t>
      </w:r>
      <w:r>
        <w:rPr>
          <w:rFonts w:ascii="宋体" w:hAnsi="宋体"/>
          <w:color w:val="auto"/>
          <w:sz w:val="24"/>
          <w:szCs w:val="24"/>
          <w:highlight w:val="none"/>
          <w:u w:val="single"/>
        </w:rPr>
        <w:t xml:space="preserve">             </w:t>
      </w:r>
      <w:r>
        <w:rPr>
          <w:rFonts w:hint="eastAsia" w:ascii="宋体" w:hAnsi="宋体"/>
          <w:color w:val="auto"/>
          <w:sz w:val="24"/>
          <w:szCs w:val="24"/>
          <w:highlight w:val="none"/>
        </w:rPr>
        <w:t>公司以及其合法承继者。</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“中标通知书”：指买方正式接受卖方投标的接受信。</w:t>
      </w:r>
    </w:p>
    <w:p>
      <w:pPr>
        <w:numPr>
          <w:ilvl w:val="0"/>
          <w:numId w:val="6"/>
        </w:numPr>
        <w:tabs>
          <w:tab w:val="left" w:pos="540"/>
        </w:tabs>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“不可抗力”：任何一方都不能预见、对其发生及后果不能避免并且超过合理控制范围、且不能克服的自然事件和社会事件。</w:t>
      </w:r>
    </w:p>
    <w:p>
      <w:pPr>
        <w:numPr>
          <w:ilvl w:val="0"/>
          <w:numId w:val="6"/>
        </w:numPr>
        <w:tabs>
          <w:tab w:val="left" w:pos="540"/>
        </w:tabs>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“合同价款”：指根据合同条款，用以支付卖方在全面正确地履行合同义务后卖方所应得的金额。</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“一方”：指买方或卖方的任何一方。</w:t>
      </w:r>
    </w:p>
    <w:p>
      <w:pPr>
        <w:numPr>
          <w:ilvl w:val="0"/>
          <w:numId w:val="6"/>
        </w:numPr>
        <w:tabs>
          <w:tab w:val="left" w:pos="540"/>
        </w:tabs>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“服务”：系指合同规定卖方需承担的检验、运输、保险、交接验收、技术援助与保障、培训以及其它类似的在合同中所提到的卖方的义务。</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“现场”系指将要进行加工或货物使用的地点。</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“技术资料”是指卖方提供的与合同设备及相关的设计、制造、监造、检验、指导安装、调试、验收、性能验收试验和技术指导等文件</w:t>
      </w:r>
      <w:r>
        <w:rPr>
          <w:rFonts w:ascii="宋体" w:hAnsi="宋体"/>
          <w:color w:val="auto"/>
          <w:sz w:val="24"/>
          <w:szCs w:val="24"/>
          <w:highlight w:val="none"/>
        </w:rPr>
        <w:t>(包括图纸、各种文字说明、标准、各种软件)。</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“合同设备”是指卖方根据合同所供应的机器、装置、材料、物品、专用工具、备品备件等。</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“技术服务”是指由卖方提供的与本合同设备有关的工程设计、设备监造、检验、土建、指导安装、调试、验收、性能验收试验、运行、检修时相应的技术指导、技术配合、技术培训等全过程的服务。</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“验收”系指买方依据技术规格书规定接受所供货物或/和安装、调试应依据的程序和检验。</w:t>
      </w:r>
    </w:p>
    <w:p>
      <w:pPr>
        <w:numPr>
          <w:ilvl w:val="0"/>
          <w:numId w:val="6"/>
        </w:numPr>
        <w:tabs>
          <w:tab w:val="left" w:pos="540"/>
        </w:tabs>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“日、月、年”是指公历的日、月、年；“天”是指</w:t>
      </w:r>
      <w:r>
        <w:rPr>
          <w:rFonts w:ascii="宋体" w:hAnsi="宋体"/>
          <w:color w:val="auto"/>
          <w:sz w:val="24"/>
          <w:szCs w:val="24"/>
          <w:highlight w:val="none"/>
        </w:rPr>
        <w:t>24小时；“周”是指7天。</w:t>
      </w:r>
    </w:p>
    <w:p>
      <w:pPr>
        <w:numPr>
          <w:ilvl w:val="0"/>
          <w:numId w:val="6"/>
        </w:numPr>
        <w:tabs>
          <w:tab w:val="left" w:pos="540"/>
        </w:tabs>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“备品备件”是指根据本合同提供的随机备用部件。</w:t>
      </w:r>
    </w:p>
    <w:p>
      <w:pPr>
        <w:numPr>
          <w:ilvl w:val="0"/>
          <w:numId w:val="6"/>
        </w:numPr>
        <w:tabs>
          <w:tab w:val="left" w:pos="540"/>
        </w:tabs>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“设备缺陷”是指卖方因设计、制造错误或疏忽所引起的本合同设备（包括部件、原材料、铸锻件、原器件等）达不到本合同及技术附件规定的性能、质量标准要求的情形。</w:t>
      </w:r>
    </w:p>
    <w:p>
      <w:pPr>
        <w:numPr>
          <w:ilvl w:val="0"/>
          <w:numId w:val="6"/>
        </w:numPr>
        <w:tabs>
          <w:tab w:val="left" w:pos="540"/>
        </w:tabs>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“初步性能验收”是指当性能验收试验的结果表明已达到了合同附件技术规格书规定的保证值后，买方对合同设备的验收。</w:t>
      </w:r>
    </w:p>
    <w:p>
      <w:pPr>
        <w:numPr>
          <w:ilvl w:val="0"/>
          <w:numId w:val="6"/>
        </w:numPr>
        <w:spacing w:line="360" w:lineRule="auto"/>
        <w:ind w:left="0" w:firstLine="480"/>
        <w:rPr>
          <w:rFonts w:ascii="宋体" w:hAnsi="宋体"/>
          <w:color w:val="auto"/>
          <w:sz w:val="24"/>
          <w:szCs w:val="24"/>
          <w:highlight w:val="none"/>
        </w:rPr>
      </w:pPr>
      <w:r>
        <w:rPr>
          <w:rFonts w:hint="eastAsia" w:ascii="宋体" w:hAnsi="宋体"/>
          <w:color w:val="auto"/>
          <w:sz w:val="24"/>
          <w:szCs w:val="24"/>
          <w:highlight w:val="none"/>
        </w:rPr>
        <w:t>“最终性能验收”是指买方对每一合同设备质量保证期满后的验收。</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第二条　合同条件的构成及解释顺序</w:t>
      </w:r>
    </w:p>
    <w:p>
      <w:pPr>
        <w:spacing w:line="440" w:lineRule="exact"/>
        <w:ind w:firstLine="570" w:firstLineChars="0"/>
        <w:rPr>
          <w:rFonts w:ascii="宋体" w:hAnsi="宋体"/>
          <w:color w:val="auto"/>
          <w:sz w:val="24"/>
          <w:szCs w:val="24"/>
          <w:highlight w:val="none"/>
        </w:rPr>
      </w:pPr>
      <w:r>
        <w:rPr>
          <w:rFonts w:hint="eastAsia" w:ascii="宋体" w:hAnsi="宋体"/>
          <w:color w:val="auto"/>
          <w:sz w:val="24"/>
          <w:szCs w:val="24"/>
          <w:highlight w:val="none"/>
        </w:rPr>
        <w:t>合同文件应能互相解释，互为说明。除合同另有约定外，其组成和解释顺序如下：</w:t>
      </w:r>
    </w:p>
    <w:p>
      <w:pPr>
        <w:numPr>
          <w:ilvl w:val="0"/>
          <w:numId w:val="7"/>
        </w:numPr>
        <w:tabs>
          <w:tab w:val="left" w:pos="1440"/>
        </w:tabs>
        <w:spacing w:line="440" w:lineRule="exact"/>
        <w:ind w:firstLine="0" w:firstLineChars="0"/>
        <w:rPr>
          <w:rFonts w:ascii="宋体" w:hAnsi="宋体"/>
          <w:color w:val="auto"/>
          <w:sz w:val="24"/>
          <w:szCs w:val="24"/>
          <w:highlight w:val="none"/>
        </w:rPr>
      </w:pPr>
      <w:r>
        <w:rPr>
          <w:rFonts w:hint="eastAsia" w:ascii="宋体" w:hAnsi="宋体"/>
          <w:color w:val="auto"/>
          <w:sz w:val="24"/>
          <w:szCs w:val="24"/>
          <w:highlight w:val="none"/>
        </w:rPr>
        <w:t>双方协商同意的对本合同的变更、补充协议等正式书面文件；</w:t>
      </w:r>
    </w:p>
    <w:p>
      <w:pPr>
        <w:numPr>
          <w:ilvl w:val="0"/>
          <w:numId w:val="7"/>
        </w:numPr>
        <w:tabs>
          <w:tab w:val="left" w:pos="1440"/>
        </w:tabs>
        <w:spacing w:line="440" w:lineRule="exact"/>
        <w:ind w:firstLine="0" w:firstLineChars="0"/>
        <w:rPr>
          <w:rFonts w:ascii="宋体" w:hAnsi="宋体"/>
          <w:color w:val="auto"/>
          <w:sz w:val="24"/>
          <w:szCs w:val="24"/>
          <w:highlight w:val="none"/>
        </w:rPr>
      </w:pPr>
      <w:r>
        <w:rPr>
          <w:rFonts w:hint="eastAsia" w:ascii="宋体" w:hAnsi="宋体"/>
          <w:color w:val="auto"/>
          <w:sz w:val="24"/>
          <w:szCs w:val="24"/>
          <w:highlight w:val="none"/>
        </w:rPr>
        <w:t>本合同；</w:t>
      </w:r>
    </w:p>
    <w:p>
      <w:pPr>
        <w:numPr>
          <w:ilvl w:val="0"/>
          <w:numId w:val="7"/>
        </w:numPr>
        <w:tabs>
          <w:tab w:val="left" w:pos="1440"/>
        </w:tabs>
        <w:spacing w:line="440" w:lineRule="exact"/>
        <w:ind w:firstLine="0" w:firstLineChars="0"/>
        <w:rPr>
          <w:rFonts w:ascii="宋体" w:hAnsi="宋体"/>
          <w:color w:val="auto"/>
          <w:sz w:val="24"/>
          <w:szCs w:val="24"/>
          <w:highlight w:val="none"/>
        </w:rPr>
      </w:pPr>
      <w:r>
        <w:rPr>
          <w:rFonts w:hint="eastAsia" w:ascii="宋体" w:hAnsi="宋体"/>
          <w:color w:val="auto"/>
          <w:sz w:val="24"/>
          <w:szCs w:val="24"/>
          <w:highlight w:val="none"/>
        </w:rPr>
        <w:t>中标通知书；</w:t>
      </w:r>
    </w:p>
    <w:p>
      <w:pPr>
        <w:numPr>
          <w:ilvl w:val="0"/>
          <w:numId w:val="7"/>
        </w:numPr>
        <w:tabs>
          <w:tab w:val="left" w:pos="1440"/>
        </w:tabs>
        <w:spacing w:line="440" w:lineRule="exact"/>
        <w:ind w:firstLine="0" w:firstLineChars="0"/>
        <w:rPr>
          <w:rFonts w:ascii="宋体" w:hAnsi="宋体"/>
          <w:color w:val="auto"/>
          <w:sz w:val="24"/>
          <w:szCs w:val="24"/>
          <w:highlight w:val="none"/>
        </w:rPr>
      </w:pPr>
      <w:r>
        <w:rPr>
          <w:rFonts w:hint="eastAsia" w:ascii="宋体" w:hAnsi="宋体"/>
          <w:color w:val="auto"/>
          <w:sz w:val="24"/>
          <w:szCs w:val="24"/>
          <w:highlight w:val="none"/>
        </w:rPr>
        <w:t>投标文件；</w:t>
      </w:r>
    </w:p>
    <w:p>
      <w:pPr>
        <w:numPr>
          <w:ilvl w:val="0"/>
          <w:numId w:val="7"/>
        </w:numPr>
        <w:tabs>
          <w:tab w:val="left" w:pos="1440"/>
        </w:tabs>
        <w:spacing w:line="440" w:lineRule="exact"/>
        <w:ind w:firstLine="0" w:firstLineChars="0"/>
        <w:rPr>
          <w:rFonts w:ascii="宋体" w:hAnsi="宋体"/>
          <w:color w:val="auto"/>
          <w:sz w:val="24"/>
          <w:szCs w:val="24"/>
          <w:highlight w:val="none"/>
        </w:rPr>
      </w:pPr>
      <w:r>
        <w:rPr>
          <w:rFonts w:hint="eastAsia" w:ascii="宋体" w:hAnsi="宋体"/>
          <w:color w:val="auto"/>
          <w:sz w:val="24"/>
          <w:szCs w:val="24"/>
          <w:highlight w:val="none"/>
        </w:rPr>
        <w:t>买方提供的工程技术资料和技术要求；</w:t>
      </w:r>
    </w:p>
    <w:p>
      <w:pPr>
        <w:numPr>
          <w:ilvl w:val="0"/>
          <w:numId w:val="7"/>
        </w:numPr>
        <w:tabs>
          <w:tab w:val="left" w:pos="1440"/>
        </w:tabs>
        <w:spacing w:line="440" w:lineRule="exact"/>
        <w:ind w:firstLine="0" w:firstLineChars="0"/>
        <w:rPr>
          <w:rFonts w:ascii="宋体" w:hAnsi="宋体"/>
          <w:color w:val="auto"/>
          <w:sz w:val="24"/>
          <w:szCs w:val="24"/>
          <w:highlight w:val="none"/>
        </w:rPr>
      </w:pPr>
      <w:r>
        <w:rPr>
          <w:rFonts w:hint="eastAsia" w:ascii="宋体" w:hAnsi="宋体"/>
          <w:color w:val="auto"/>
          <w:sz w:val="24"/>
          <w:szCs w:val="24"/>
          <w:highlight w:val="none"/>
        </w:rPr>
        <w:t>卖方提供的技术资料；</w:t>
      </w:r>
    </w:p>
    <w:p>
      <w:pPr>
        <w:numPr>
          <w:ilvl w:val="0"/>
          <w:numId w:val="7"/>
        </w:numPr>
        <w:tabs>
          <w:tab w:val="left" w:pos="1440"/>
        </w:tabs>
        <w:spacing w:line="440" w:lineRule="exact"/>
        <w:ind w:firstLine="0" w:firstLineChars="0"/>
        <w:rPr>
          <w:rFonts w:ascii="宋体" w:hAnsi="宋体"/>
          <w:color w:val="auto"/>
          <w:sz w:val="24"/>
          <w:szCs w:val="24"/>
          <w:highlight w:val="none"/>
        </w:rPr>
      </w:pPr>
      <w:r>
        <w:rPr>
          <w:rFonts w:hint="eastAsia" w:ascii="宋体" w:hAnsi="宋体"/>
          <w:color w:val="auto"/>
          <w:sz w:val="24"/>
          <w:szCs w:val="24"/>
          <w:highlight w:val="none"/>
        </w:rPr>
        <w:t>招标文件；</w:t>
      </w:r>
    </w:p>
    <w:p>
      <w:pPr>
        <w:spacing w:line="440" w:lineRule="exact"/>
        <w:ind w:left="540" w:leftChars="257" w:firstLine="508" w:firstLineChars="212"/>
        <w:rPr>
          <w:rFonts w:ascii="宋体" w:hAnsi="宋体"/>
          <w:color w:val="auto"/>
          <w:sz w:val="24"/>
          <w:szCs w:val="24"/>
          <w:highlight w:val="none"/>
        </w:rPr>
      </w:pPr>
      <w:r>
        <w:rPr>
          <w:rFonts w:hint="eastAsia" w:ascii="宋体" w:hAnsi="宋体"/>
          <w:color w:val="auto"/>
          <w:sz w:val="24"/>
          <w:szCs w:val="24"/>
          <w:highlight w:val="none"/>
        </w:rPr>
        <w:t>当合同文件出现含糊不清或不相一致，并按上述规定不能解决时，由双方协商解决；双方经协商不能达成一致的，按本合同第二十七条约定的办法解决。</w:t>
      </w:r>
    </w:p>
    <w:p>
      <w:pPr>
        <w:spacing w:line="440" w:lineRule="exact"/>
        <w:ind w:firstLine="570" w:firstLineChars="0"/>
        <w:rPr>
          <w:rFonts w:ascii="宋体" w:hAnsi="宋体"/>
          <w:color w:val="auto"/>
          <w:sz w:val="24"/>
          <w:szCs w:val="24"/>
          <w:highlight w:val="none"/>
        </w:rPr>
      </w:pPr>
    </w:p>
    <w:p>
      <w:pPr>
        <w:spacing w:line="440" w:lineRule="exact"/>
        <w:ind w:left="540" w:leftChars="257" w:firstLine="30" w:firstLineChars="0"/>
        <w:rPr>
          <w:rFonts w:ascii="宋体" w:hAnsi="宋体"/>
          <w:b/>
          <w:color w:val="auto"/>
          <w:sz w:val="24"/>
          <w:szCs w:val="24"/>
          <w:highlight w:val="none"/>
        </w:rPr>
      </w:pPr>
    </w:p>
    <w:p>
      <w:pPr>
        <w:spacing w:line="440" w:lineRule="exact"/>
        <w:ind w:left="540" w:leftChars="257" w:firstLine="30" w:firstLineChars="0"/>
        <w:rPr>
          <w:rFonts w:ascii="宋体" w:hAnsi="宋体"/>
          <w:b/>
          <w:color w:val="auto"/>
          <w:sz w:val="24"/>
          <w:szCs w:val="24"/>
          <w:highlight w:val="none"/>
        </w:rPr>
      </w:pPr>
      <w:r>
        <w:rPr>
          <w:rFonts w:hint="eastAsia" w:ascii="宋体" w:hAnsi="宋体"/>
          <w:b/>
          <w:color w:val="auto"/>
          <w:sz w:val="24"/>
          <w:szCs w:val="24"/>
          <w:highlight w:val="none"/>
        </w:rPr>
        <w:t>第三条</w:t>
      </w:r>
      <w:r>
        <w:rPr>
          <w:rFonts w:ascii="宋体" w:hAnsi="宋体"/>
          <w:b/>
          <w:color w:val="auto"/>
          <w:sz w:val="24"/>
          <w:szCs w:val="24"/>
          <w:highlight w:val="none"/>
        </w:rPr>
        <w:t xml:space="preserve"> </w:t>
      </w:r>
      <w:r>
        <w:rPr>
          <w:rFonts w:hint="eastAsia" w:ascii="宋体" w:hAnsi="宋体"/>
          <w:b/>
          <w:color w:val="auto"/>
          <w:sz w:val="24"/>
          <w:szCs w:val="24"/>
          <w:highlight w:val="none"/>
        </w:rPr>
        <w:t>适用的法律</w:t>
      </w:r>
    </w:p>
    <w:p>
      <w:pPr>
        <w:spacing w:line="440" w:lineRule="exact"/>
        <w:ind w:left="540" w:leftChars="257" w:firstLine="508" w:firstLineChars="212"/>
        <w:rPr>
          <w:rFonts w:ascii="宋体" w:hAnsi="宋体"/>
          <w:color w:val="auto"/>
          <w:sz w:val="24"/>
          <w:szCs w:val="24"/>
          <w:highlight w:val="none"/>
        </w:rPr>
      </w:pPr>
      <w:r>
        <w:rPr>
          <w:rFonts w:hint="eastAsia" w:ascii="宋体" w:hAnsi="宋体"/>
          <w:color w:val="auto"/>
          <w:sz w:val="24"/>
          <w:szCs w:val="24"/>
          <w:highlight w:val="none"/>
        </w:rPr>
        <w:t>本合同适用的法律是指中华人民共和国的法律、行政法规，以及双方议定的部门规章或工程所在地的地方法规、地方规章。</w:t>
      </w:r>
    </w:p>
    <w:p>
      <w:pPr>
        <w:spacing w:line="440" w:lineRule="exact"/>
        <w:ind w:left="540" w:leftChars="257" w:firstLine="508" w:firstLineChars="212"/>
        <w:rPr>
          <w:rFonts w:ascii="宋体" w:hAnsi="宋体"/>
          <w:color w:val="auto"/>
          <w:sz w:val="24"/>
          <w:szCs w:val="24"/>
          <w:highlight w:val="none"/>
        </w:rPr>
      </w:pPr>
      <w:r>
        <w:rPr>
          <w:rFonts w:hint="eastAsia" w:ascii="宋体" w:hAnsi="宋体"/>
          <w:color w:val="auto"/>
          <w:sz w:val="24"/>
          <w:szCs w:val="24"/>
          <w:highlight w:val="none"/>
        </w:rPr>
        <w:t>本合同文件使用中文书写、解释和说明。除技术规格书中另有规定外，计量单位均使用国际单位制。</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第四条</w:t>
      </w:r>
      <w:r>
        <w:rPr>
          <w:rFonts w:ascii="宋体" w:hAnsi="宋体"/>
          <w:b/>
          <w:color w:val="auto"/>
          <w:sz w:val="24"/>
          <w:szCs w:val="24"/>
          <w:highlight w:val="none"/>
        </w:rPr>
        <w:t xml:space="preserve"> </w:t>
      </w:r>
      <w:r>
        <w:rPr>
          <w:rFonts w:hint="eastAsia" w:ascii="宋体" w:hAnsi="宋体"/>
          <w:b/>
          <w:color w:val="auto"/>
          <w:sz w:val="24"/>
          <w:szCs w:val="24"/>
          <w:highlight w:val="none"/>
        </w:rPr>
        <w:t>合同标的</w:t>
      </w:r>
    </w:p>
    <w:p>
      <w:pPr>
        <w:numPr>
          <w:ilvl w:val="0"/>
          <w:numId w:val="8"/>
        </w:numPr>
        <w:tabs>
          <w:tab w:val="left" w:pos="900"/>
          <w:tab w:val="left" w:pos="1440"/>
          <w:tab w:val="clear" w:pos="108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设备名称、规格</w:t>
      </w:r>
      <w:r>
        <w:rPr>
          <w:rFonts w:ascii="宋体" w:hAnsi="宋体"/>
          <w:color w:val="auto"/>
          <w:sz w:val="24"/>
          <w:szCs w:val="24"/>
          <w:highlight w:val="none"/>
        </w:rPr>
        <w:t>(型号)、数量</w:t>
      </w:r>
    </w:p>
    <w:p>
      <w:pPr>
        <w:tabs>
          <w:tab w:val="left" w:pos="90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设备名称：</w:t>
      </w:r>
      <w:r>
        <w:rPr>
          <w:rFonts w:ascii="宋体" w:hAnsi="宋体"/>
          <w:color w:val="auto"/>
          <w:sz w:val="24"/>
          <w:szCs w:val="24"/>
          <w:highlight w:val="none"/>
        </w:rPr>
        <w:t xml:space="preserve">                        </w:t>
      </w:r>
    </w:p>
    <w:p>
      <w:pPr>
        <w:tabs>
          <w:tab w:val="left" w:pos="90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设备规格</w:t>
      </w:r>
      <w:r>
        <w:rPr>
          <w:rFonts w:ascii="宋体" w:hAnsi="宋体"/>
          <w:color w:val="auto"/>
          <w:sz w:val="24"/>
          <w:szCs w:val="24"/>
          <w:highlight w:val="none"/>
        </w:rPr>
        <w:t>(型号)及数量：。</w:t>
      </w:r>
    </w:p>
    <w:p>
      <w:pPr>
        <w:numPr>
          <w:ilvl w:val="0"/>
          <w:numId w:val="8"/>
        </w:numPr>
        <w:tabs>
          <w:tab w:val="left" w:pos="900"/>
          <w:tab w:val="left" w:pos="1440"/>
          <w:tab w:val="clear" w:pos="108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凡卖方供应的设备应是全新的、安全的、经济的、技术先进并且是成熟可靠的。</w:t>
      </w:r>
    </w:p>
    <w:p>
      <w:pPr>
        <w:numPr>
          <w:ilvl w:val="0"/>
          <w:numId w:val="8"/>
        </w:numPr>
        <w:tabs>
          <w:tab w:val="left" w:pos="900"/>
          <w:tab w:val="left" w:pos="1440"/>
          <w:tab w:val="clear" w:pos="108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设备的技术规范、技术经济指标和性能、合同设备的供货范围、卖方提供的技术资料和技术服务。</w:t>
      </w:r>
    </w:p>
    <w:p>
      <w:pPr>
        <w:numPr>
          <w:ilvl w:val="0"/>
          <w:numId w:val="8"/>
        </w:numPr>
        <w:tabs>
          <w:tab w:val="left" w:pos="900"/>
          <w:tab w:val="left" w:pos="1440"/>
          <w:tab w:val="clear" w:pos="1080"/>
        </w:tabs>
        <w:spacing w:line="360" w:lineRule="auto"/>
        <w:ind w:left="420" w:leftChars="200" w:firstLine="0" w:firstLineChars="0"/>
        <w:rPr>
          <w:rFonts w:ascii="宋体" w:hAnsi="宋体"/>
          <w:color w:val="auto"/>
          <w:sz w:val="24"/>
          <w:szCs w:val="24"/>
          <w:highlight w:val="none"/>
        </w:rPr>
      </w:pPr>
      <w:r>
        <w:rPr>
          <w:rFonts w:ascii="宋体" w:hAnsi="宋体"/>
          <w:color w:val="auto"/>
          <w:sz w:val="24"/>
          <w:szCs w:val="24"/>
          <w:highlight w:val="none"/>
        </w:rPr>
        <w:t>买方有权对采购设备的数量在一定范围内调整，单价仍按投标时的价格。</w:t>
      </w:r>
    </w:p>
    <w:p>
      <w:pPr>
        <w:numPr>
          <w:ilvl w:val="0"/>
          <w:numId w:val="8"/>
        </w:numPr>
        <w:tabs>
          <w:tab w:val="left" w:pos="900"/>
          <w:tab w:val="left" w:pos="1440"/>
          <w:tab w:val="clear" w:pos="108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由卖方负责拆除原有设备并安装新购设备及协调有关供电事宜直至所安装设备能达到安全生产要求，具备验收条件时应及时通知买方组织验收。所需费用包含在合同标的之内，不再单独报价。</w:t>
      </w:r>
    </w:p>
    <w:p>
      <w:pPr>
        <w:spacing w:line="440" w:lineRule="exact"/>
        <w:ind w:firstLine="570" w:firstLineChars="0"/>
        <w:rPr>
          <w:rFonts w:ascii="宋体" w:hAnsi="宋体"/>
          <w:color w:val="auto"/>
          <w:sz w:val="24"/>
          <w:szCs w:val="24"/>
          <w:highlight w:val="none"/>
        </w:rPr>
      </w:pPr>
    </w:p>
    <w:p>
      <w:pPr>
        <w:spacing w:line="440" w:lineRule="exact"/>
        <w:ind w:left="540" w:leftChars="257" w:firstLine="30" w:firstLineChars="0"/>
        <w:rPr>
          <w:rFonts w:ascii="宋体" w:hAnsi="宋体"/>
          <w:color w:val="auto"/>
          <w:sz w:val="24"/>
          <w:szCs w:val="24"/>
          <w:highlight w:val="none"/>
        </w:rPr>
      </w:pPr>
      <w:r>
        <w:rPr>
          <w:rFonts w:hint="eastAsia" w:ascii="宋体" w:hAnsi="宋体"/>
          <w:b/>
          <w:color w:val="auto"/>
          <w:sz w:val="24"/>
          <w:szCs w:val="24"/>
          <w:highlight w:val="none"/>
        </w:rPr>
        <w:t>第五条</w:t>
      </w:r>
      <w:r>
        <w:rPr>
          <w:rFonts w:ascii="宋体" w:hAnsi="宋体"/>
          <w:b/>
          <w:color w:val="auto"/>
          <w:sz w:val="24"/>
          <w:szCs w:val="24"/>
          <w:highlight w:val="none"/>
        </w:rPr>
        <w:t xml:space="preserve"> </w:t>
      </w:r>
      <w:r>
        <w:rPr>
          <w:rFonts w:hint="eastAsia" w:ascii="宋体" w:hAnsi="宋体"/>
          <w:b/>
          <w:color w:val="auto"/>
          <w:sz w:val="24"/>
          <w:szCs w:val="24"/>
          <w:highlight w:val="none"/>
        </w:rPr>
        <w:t>供货范围</w:t>
      </w:r>
    </w:p>
    <w:p>
      <w:pPr>
        <w:spacing w:line="440" w:lineRule="exact"/>
        <w:ind w:left="540" w:leftChars="257" w:firstLine="508" w:firstLineChars="212"/>
        <w:rPr>
          <w:rFonts w:ascii="宋体" w:hAnsi="宋体"/>
          <w:color w:val="auto"/>
          <w:sz w:val="24"/>
          <w:szCs w:val="24"/>
          <w:highlight w:val="none"/>
        </w:rPr>
      </w:pPr>
      <w:r>
        <w:rPr>
          <w:rFonts w:hint="eastAsia" w:ascii="宋体" w:hAnsi="宋体"/>
          <w:color w:val="auto"/>
          <w:sz w:val="24"/>
          <w:szCs w:val="24"/>
          <w:highlight w:val="none"/>
        </w:rPr>
        <w:t>本合同的供货范围包括了所有设备、技术资料、专用工具、备品备件、人员培训及技术协调、技术服务及安装技术指导，但在执行合同过程中如发现有任何漏项和短缺，在发货清单中并未列入而且确实是卖方供货范围中应该有的，并且是满足技术规格书对合同设备的性能保证值要求所必须的，均应由卖方负责将所缺的设备、技术资料、专用工具、备品备件、人员培训及技术协调、技术服务及技术指导等补上，发生的费用由卖方承担。</w:t>
      </w:r>
    </w:p>
    <w:p>
      <w:pPr>
        <w:spacing w:line="440" w:lineRule="exact"/>
        <w:ind w:left="540" w:leftChars="257" w:firstLine="3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第六条</w:t>
      </w:r>
      <w:r>
        <w:rPr>
          <w:rFonts w:ascii="宋体" w:hAnsi="宋体"/>
          <w:b/>
          <w:color w:val="auto"/>
          <w:sz w:val="24"/>
          <w:szCs w:val="24"/>
          <w:highlight w:val="none"/>
        </w:rPr>
        <w:t xml:space="preserve">  </w:t>
      </w:r>
      <w:r>
        <w:rPr>
          <w:rFonts w:hint="eastAsia" w:ascii="宋体" w:hAnsi="宋体"/>
          <w:b/>
          <w:color w:val="auto"/>
          <w:sz w:val="24"/>
          <w:szCs w:val="24"/>
          <w:highlight w:val="none"/>
        </w:rPr>
        <w:t>包装</w:t>
      </w:r>
    </w:p>
    <w:p>
      <w:pPr>
        <w:numPr>
          <w:ilvl w:val="0"/>
          <w:numId w:val="9"/>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除非本合同另有规定外，卖方提供所有货物的包装应符合技术规格书及货物承运部门的有关规定，采用良好的防湿、防潮、防震和防野蛮装卸等保护措施，以确保货物安全运抵现场而不使货物受损。如果由于包装不妥或不合理而引起货物损坏和丢失的责任，卖方应按本合同第十五条的规定承担更换或赔偿的责任。如果因此造成整个工程损失的，卖方应对此类损失承担赔偿责任。</w:t>
      </w:r>
    </w:p>
    <w:p>
      <w:pPr>
        <w:numPr>
          <w:ilvl w:val="0"/>
          <w:numId w:val="9"/>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卖方应提供四套详细装箱单和质量证书，其中一套随运输工具发送，两套在货物备妥及运输工具发出</w:t>
      </w:r>
      <w:r>
        <w:rPr>
          <w:rFonts w:ascii="宋体" w:hAnsi="宋体"/>
          <w:color w:val="auto"/>
          <w:sz w:val="24"/>
          <w:szCs w:val="24"/>
          <w:highlight w:val="none"/>
        </w:rPr>
        <w:t>24小时内用特快专递寄送给买方，一套随发票结算。随发票结算的一套应标明货物的单价和总价。</w:t>
      </w:r>
    </w:p>
    <w:p>
      <w:pPr>
        <w:numPr>
          <w:ilvl w:val="0"/>
          <w:numId w:val="9"/>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装箱单因包括如下内容：</w:t>
      </w:r>
    </w:p>
    <w:p>
      <w:pPr>
        <w:numPr>
          <w:ilvl w:val="0"/>
          <w:numId w:val="10"/>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合同号；</w:t>
      </w:r>
    </w:p>
    <w:p>
      <w:pPr>
        <w:numPr>
          <w:ilvl w:val="0"/>
          <w:numId w:val="10"/>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设备号；</w:t>
      </w:r>
    </w:p>
    <w:p>
      <w:pPr>
        <w:numPr>
          <w:ilvl w:val="0"/>
          <w:numId w:val="10"/>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货物备妥发运日；</w:t>
      </w:r>
    </w:p>
    <w:p>
      <w:pPr>
        <w:numPr>
          <w:ilvl w:val="0"/>
          <w:numId w:val="10"/>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货物名称及编号；</w:t>
      </w:r>
    </w:p>
    <w:p>
      <w:pPr>
        <w:numPr>
          <w:ilvl w:val="0"/>
          <w:numId w:val="10"/>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货物总毛重；</w:t>
      </w:r>
    </w:p>
    <w:p>
      <w:pPr>
        <w:numPr>
          <w:ilvl w:val="0"/>
          <w:numId w:val="10"/>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货物总体积；</w:t>
      </w:r>
    </w:p>
    <w:p>
      <w:pPr>
        <w:numPr>
          <w:ilvl w:val="0"/>
          <w:numId w:val="10"/>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总包装件数；</w:t>
      </w:r>
    </w:p>
    <w:p>
      <w:pPr>
        <w:numPr>
          <w:ilvl w:val="0"/>
          <w:numId w:val="10"/>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重量超过二吨（包括二吨）或尺寸超过</w:t>
      </w:r>
      <w:r>
        <w:rPr>
          <w:rFonts w:ascii="宋体" w:hAnsi="宋体"/>
          <w:color w:val="auto"/>
          <w:sz w:val="24"/>
          <w:szCs w:val="24"/>
          <w:highlight w:val="none"/>
        </w:rPr>
        <w:t>9米×3米×3米的每件货物的名称、重量、体积和件数。对每件该类设备(部件)必须标明重心和吊点位置，并附有草图。</w:t>
      </w:r>
    </w:p>
    <w:p>
      <w:pPr>
        <w:numPr>
          <w:ilvl w:val="0"/>
          <w:numId w:val="10"/>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对于特殊物品</w:t>
      </w:r>
      <w:r>
        <w:rPr>
          <w:rFonts w:ascii="宋体" w:hAnsi="宋体"/>
          <w:color w:val="auto"/>
          <w:sz w:val="24"/>
          <w:szCs w:val="24"/>
          <w:highlight w:val="none"/>
        </w:rPr>
        <w:t>(易燃、易爆、有毒物品及</w:t>
      </w:r>
      <w:r>
        <w:rPr>
          <w:rFonts w:hint="eastAsia" w:ascii="宋体" w:hAnsi="宋体"/>
          <w:color w:val="auto"/>
          <w:sz w:val="24"/>
          <w:szCs w:val="24"/>
          <w:highlight w:val="none"/>
        </w:rPr>
        <w:t>其它危险品和运输过程中对温度等环境因素和震动有特殊要求的设备或物品</w:t>
      </w:r>
      <w:r>
        <w:rPr>
          <w:rFonts w:ascii="宋体" w:hAnsi="宋体"/>
          <w:color w:val="auto"/>
          <w:sz w:val="24"/>
          <w:szCs w:val="24"/>
          <w:highlight w:val="none"/>
        </w:rPr>
        <w:t>)必须特别标明其品名、性质、特殊保护措施、保存方法以及处理意外情况的方法。</w:t>
      </w:r>
    </w:p>
    <w:p>
      <w:pPr>
        <w:numPr>
          <w:ilvl w:val="0"/>
          <w:numId w:val="9"/>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对裸装货物应以金属标签</w:t>
      </w:r>
      <w:r>
        <w:rPr>
          <w:rFonts w:ascii="宋体" w:hAnsi="宋体"/>
          <w:color w:val="auto"/>
          <w:sz w:val="24"/>
          <w:szCs w:val="24"/>
          <w:highlight w:val="none"/>
        </w:rPr>
        <w:t>(金属铭牌)或在设备本身上注明上述有关内容。大件货物应带有足够的货物支架或包装垫木。</w:t>
      </w:r>
    </w:p>
    <w:p>
      <w:pPr>
        <w:numPr>
          <w:ilvl w:val="0"/>
          <w:numId w:val="9"/>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备品备件、专用工具应与对应设备分别包装，并在包装箱外按</w:t>
      </w:r>
      <w:r>
        <w:rPr>
          <w:rFonts w:ascii="宋体" w:hAnsi="宋体"/>
          <w:color w:val="auto"/>
          <w:sz w:val="24"/>
          <w:szCs w:val="24"/>
          <w:highlight w:val="none"/>
        </w:rPr>
        <w:t>7.2条注明内容，并标明“备品配件”或“专用工具”的字样，一次性发货。</w:t>
      </w:r>
    </w:p>
    <w:p>
      <w:pPr>
        <w:numPr>
          <w:ilvl w:val="0"/>
          <w:numId w:val="9"/>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所有设备的端口必须用保护盖或其它方式妥善防护。</w:t>
      </w:r>
    </w:p>
    <w:p>
      <w:pPr>
        <w:numPr>
          <w:ilvl w:val="0"/>
          <w:numId w:val="9"/>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卖方不得用同一箱号标明任何两个箱件，包装箱应连续编号，而且在全部装运的过程中，装箱编号的顺序始终是连贯的。</w:t>
      </w:r>
    </w:p>
    <w:p>
      <w:pPr>
        <w:numPr>
          <w:ilvl w:val="0"/>
          <w:numId w:val="9"/>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对于需要保证精确装配的明亮洁净加工面的货物，加工面应采用优良，耐久的保护层</w:t>
      </w:r>
      <w:r>
        <w:rPr>
          <w:rFonts w:ascii="宋体" w:hAnsi="宋体"/>
          <w:color w:val="auto"/>
          <w:sz w:val="24"/>
          <w:szCs w:val="24"/>
          <w:highlight w:val="none"/>
        </w:rPr>
        <w:t>(不得用油漆)以防止在安装前发生锈蚀和损坏。</w:t>
      </w:r>
    </w:p>
    <w:p>
      <w:pPr>
        <w:numPr>
          <w:ilvl w:val="0"/>
          <w:numId w:val="9"/>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卖方交付的技术资料应使用适合于长途运输、多次搬运、防雨和防潮的包装，并应防止潮气和水的侵蚀。每包技术资料的封面上应注明下述内容：</w:t>
      </w:r>
    </w:p>
    <w:p>
      <w:pPr>
        <w:numPr>
          <w:ilvl w:val="0"/>
          <w:numId w:val="11"/>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合同号；</w:t>
      </w:r>
    </w:p>
    <w:p>
      <w:pPr>
        <w:numPr>
          <w:ilvl w:val="0"/>
          <w:numId w:val="11"/>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供货、收货单位名称；</w:t>
      </w:r>
    </w:p>
    <w:p>
      <w:pPr>
        <w:numPr>
          <w:ilvl w:val="0"/>
          <w:numId w:val="11"/>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目的地；</w:t>
      </w:r>
    </w:p>
    <w:p>
      <w:pPr>
        <w:numPr>
          <w:ilvl w:val="0"/>
          <w:numId w:val="11"/>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毛重；</w:t>
      </w:r>
    </w:p>
    <w:p>
      <w:pPr>
        <w:numPr>
          <w:ilvl w:val="0"/>
          <w:numId w:val="11"/>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箱号</w:t>
      </w:r>
      <w:r>
        <w:rPr>
          <w:rFonts w:ascii="宋体" w:hAnsi="宋体"/>
          <w:color w:val="auto"/>
          <w:sz w:val="24"/>
          <w:szCs w:val="24"/>
          <w:highlight w:val="none"/>
        </w:rPr>
        <w:t>/件号。</w:t>
      </w:r>
    </w:p>
    <w:p>
      <w:pPr>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每一包资料内应附有技术资料的详细清单一式二份，标明技术资料的序号、文件项号、名称和页数。</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第七条</w:t>
      </w:r>
      <w:r>
        <w:rPr>
          <w:rFonts w:ascii="宋体" w:hAnsi="宋体"/>
          <w:b/>
          <w:color w:val="auto"/>
          <w:sz w:val="24"/>
          <w:szCs w:val="24"/>
          <w:highlight w:val="none"/>
        </w:rPr>
        <w:t xml:space="preserve">  </w:t>
      </w:r>
      <w:r>
        <w:rPr>
          <w:rFonts w:hint="eastAsia" w:ascii="宋体" w:hAnsi="宋体"/>
          <w:b/>
          <w:color w:val="auto"/>
          <w:sz w:val="24"/>
          <w:szCs w:val="24"/>
          <w:highlight w:val="none"/>
        </w:rPr>
        <w:t>标记</w:t>
      </w:r>
    </w:p>
    <w:p>
      <w:pPr>
        <w:numPr>
          <w:ilvl w:val="0"/>
          <w:numId w:val="12"/>
        </w:numPr>
        <w:tabs>
          <w:tab w:val="left" w:pos="900"/>
          <w:tab w:val="left" w:pos="1440"/>
          <w:tab w:val="clear" w:pos="108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合同设备的喷漆、标识、验收文件和运输应符合本合同附件技术规范书所列的各项要求。</w:t>
      </w:r>
    </w:p>
    <w:p>
      <w:pPr>
        <w:numPr>
          <w:ilvl w:val="0"/>
          <w:numId w:val="12"/>
        </w:numPr>
        <w:tabs>
          <w:tab w:val="left" w:pos="900"/>
          <w:tab w:val="left" w:pos="1440"/>
          <w:tab w:val="clear" w:pos="108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合同设备若有外包装，卖方应在每件外包装上以醒目的方式用中文印刷字样标明以下各项：</w:t>
      </w:r>
    </w:p>
    <w:p>
      <w:pPr>
        <w:numPr>
          <w:ilvl w:val="1"/>
          <w:numId w:val="13"/>
        </w:numPr>
        <w:spacing w:line="360" w:lineRule="auto"/>
        <w:ind w:left="840" w:leftChars="400" w:firstLine="0" w:firstLineChars="0"/>
        <w:rPr>
          <w:rFonts w:ascii="宋体" w:hAnsi="宋体"/>
          <w:color w:val="auto"/>
          <w:sz w:val="24"/>
          <w:szCs w:val="24"/>
          <w:highlight w:val="none"/>
        </w:rPr>
      </w:pPr>
      <w:r>
        <w:rPr>
          <w:rFonts w:hint="eastAsia" w:ascii="宋体" w:hAnsi="宋体"/>
          <w:color w:val="auto"/>
          <w:sz w:val="24"/>
          <w:szCs w:val="24"/>
          <w:highlight w:val="none"/>
        </w:rPr>
        <w:t>制造厂名称和产品商标，设备名称；</w:t>
      </w:r>
    </w:p>
    <w:p>
      <w:pPr>
        <w:numPr>
          <w:ilvl w:val="1"/>
          <w:numId w:val="13"/>
        </w:numPr>
        <w:spacing w:line="360" w:lineRule="auto"/>
        <w:ind w:left="840" w:leftChars="400" w:firstLine="0" w:firstLineChars="0"/>
        <w:rPr>
          <w:rFonts w:ascii="宋体" w:hAnsi="宋体"/>
          <w:color w:val="auto"/>
          <w:sz w:val="24"/>
          <w:szCs w:val="24"/>
          <w:highlight w:val="none"/>
        </w:rPr>
      </w:pPr>
      <w:r>
        <w:rPr>
          <w:rFonts w:hint="eastAsia" w:ascii="宋体" w:hAnsi="宋体"/>
          <w:color w:val="auto"/>
          <w:sz w:val="24"/>
          <w:szCs w:val="24"/>
          <w:highlight w:val="none"/>
        </w:rPr>
        <w:t>毛重／净重（</w:t>
      </w:r>
      <w:r>
        <w:rPr>
          <w:rFonts w:ascii="宋体" w:hAnsi="宋体"/>
          <w:color w:val="auto"/>
          <w:sz w:val="24"/>
          <w:szCs w:val="24"/>
          <w:highlight w:val="none"/>
        </w:rPr>
        <w:t>Kg）；体积(长×宽×高，以毫米表示)；</w:t>
      </w:r>
    </w:p>
    <w:p>
      <w:pPr>
        <w:numPr>
          <w:ilvl w:val="1"/>
          <w:numId w:val="13"/>
        </w:numPr>
        <w:spacing w:line="360" w:lineRule="auto"/>
        <w:ind w:left="840" w:leftChars="400" w:firstLine="0" w:firstLineChars="0"/>
        <w:rPr>
          <w:rFonts w:ascii="宋体" w:hAnsi="宋体"/>
          <w:color w:val="auto"/>
          <w:sz w:val="24"/>
          <w:szCs w:val="24"/>
          <w:highlight w:val="none"/>
        </w:rPr>
      </w:pPr>
      <w:r>
        <w:rPr>
          <w:rFonts w:hint="eastAsia" w:ascii="宋体" w:hAnsi="宋体"/>
          <w:color w:val="auto"/>
          <w:sz w:val="24"/>
          <w:szCs w:val="24"/>
          <w:highlight w:val="none"/>
        </w:rPr>
        <w:t>制造时间</w:t>
      </w:r>
    </w:p>
    <w:p>
      <w:pPr>
        <w:numPr>
          <w:ilvl w:val="1"/>
          <w:numId w:val="13"/>
        </w:numPr>
        <w:spacing w:line="360" w:lineRule="auto"/>
        <w:ind w:left="840" w:leftChars="400" w:firstLine="0" w:firstLineChars="0"/>
        <w:rPr>
          <w:rFonts w:ascii="宋体" w:hAnsi="宋体"/>
          <w:color w:val="auto"/>
          <w:sz w:val="24"/>
          <w:szCs w:val="24"/>
          <w:highlight w:val="none"/>
        </w:rPr>
      </w:pPr>
      <w:r>
        <w:rPr>
          <w:rFonts w:hint="eastAsia" w:ascii="宋体" w:hAnsi="宋体"/>
          <w:color w:val="auto"/>
          <w:sz w:val="24"/>
          <w:szCs w:val="24"/>
          <w:highlight w:val="none"/>
        </w:rPr>
        <w:t>出厂检验合格标志</w:t>
      </w:r>
    </w:p>
    <w:p>
      <w:pPr>
        <w:numPr>
          <w:ilvl w:val="1"/>
          <w:numId w:val="13"/>
        </w:numPr>
        <w:spacing w:line="360" w:lineRule="auto"/>
        <w:ind w:left="840" w:leftChars="400" w:firstLine="0" w:firstLineChars="0"/>
        <w:rPr>
          <w:rFonts w:ascii="宋体" w:hAnsi="宋体"/>
          <w:color w:val="auto"/>
          <w:sz w:val="24"/>
          <w:szCs w:val="24"/>
          <w:highlight w:val="none"/>
        </w:rPr>
      </w:pPr>
      <w:r>
        <w:rPr>
          <w:rFonts w:hint="eastAsia" w:ascii="宋体" w:hAnsi="宋体"/>
          <w:color w:val="auto"/>
          <w:sz w:val="24"/>
          <w:szCs w:val="24"/>
          <w:highlight w:val="none"/>
        </w:rPr>
        <w:t>表示储运安全的其它标志</w:t>
      </w:r>
    </w:p>
    <w:p>
      <w:pPr>
        <w:numPr>
          <w:ilvl w:val="1"/>
          <w:numId w:val="13"/>
        </w:numPr>
        <w:spacing w:line="360" w:lineRule="auto"/>
        <w:ind w:left="840" w:leftChars="400" w:firstLine="0" w:firstLineChars="0"/>
        <w:rPr>
          <w:rFonts w:ascii="宋体" w:hAnsi="宋体"/>
          <w:color w:val="auto"/>
          <w:sz w:val="24"/>
          <w:szCs w:val="24"/>
          <w:highlight w:val="none"/>
        </w:rPr>
      </w:pPr>
      <w:r>
        <w:rPr>
          <w:rFonts w:hint="eastAsia" w:ascii="宋体" w:hAnsi="宋体"/>
          <w:color w:val="auto"/>
          <w:sz w:val="24"/>
          <w:szCs w:val="24"/>
          <w:highlight w:val="none"/>
        </w:rPr>
        <w:t>项目名称</w:t>
      </w:r>
    </w:p>
    <w:p>
      <w:pPr>
        <w:numPr>
          <w:ilvl w:val="1"/>
          <w:numId w:val="13"/>
        </w:numPr>
        <w:spacing w:line="360" w:lineRule="auto"/>
        <w:ind w:left="840" w:leftChars="400" w:firstLine="0" w:firstLineChars="0"/>
        <w:rPr>
          <w:rFonts w:ascii="宋体" w:hAnsi="宋体"/>
          <w:color w:val="auto"/>
          <w:sz w:val="24"/>
          <w:szCs w:val="24"/>
          <w:highlight w:val="none"/>
        </w:rPr>
      </w:pPr>
      <w:r>
        <w:rPr>
          <w:rFonts w:hint="eastAsia" w:ascii="宋体" w:hAnsi="宋体"/>
          <w:color w:val="auto"/>
          <w:sz w:val="24"/>
          <w:szCs w:val="24"/>
          <w:highlight w:val="none"/>
        </w:rPr>
        <w:t>联系方式</w:t>
      </w:r>
    </w:p>
    <w:p>
      <w:pPr>
        <w:numPr>
          <w:ilvl w:val="1"/>
          <w:numId w:val="13"/>
        </w:numPr>
        <w:spacing w:line="360" w:lineRule="auto"/>
        <w:ind w:left="840" w:leftChars="400" w:firstLine="0" w:firstLineChars="0"/>
        <w:rPr>
          <w:rFonts w:ascii="宋体" w:hAnsi="宋体"/>
          <w:color w:val="auto"/>
          <w:sz w:val="24"/>
          <w:szCs w:val="24"/>
          <w:highlight w:val="none"/>
        </w:rPr>
      </w:pPr>
      <w:r>
        <w:rPr>
          <w:rFonts w:hint="eastAsia" w:ascii="宋体" w:hAnsi="宋体"/>
          <w:color w:val="auto"/>
          <w:sz w:val="24"/>
          <w:szCs w:val="24"/>
          <w:highlight w:val="none"/>
        </w:rPr>
        <w:t>箱号</w:t>
      </w:r>
      <w:r>
        <w:rPr>
          <w:rFonts w:ascii="宋体" w:hAnsi="宋体"/>
          <w:color w:val="auto"/>
          <w:sz w:val="24"/>
          <w:szCs w:val="24"/>
          <w:highlight w:val="none"/>
        </w:rPr>
        <w:t>/件号；</w:t>
      </w:r>
    </w:p>
    <w:p>
      <w:pPr>
        <w:spacing w:line="360" w:lineRule="auto"/>
        <w:ind w:left="420" w:leftChars="200" w:firstLine="480"/>
        <w:rPr>
          <w:rFonts w:ascii="宋体" w:hAnsi="宋体"/>
          <w:color w:val="auto"/>
          <w:sz w:val="24"/>
          <w:szCs w:val="24"/>
          <w:highlight w:val="none"/>
        </w:rPr>
      </w:pPr>
      <w:r>
        <w:rPr>
          <w:rFonts w:hint="eastAsia" w:ascii="宋体" w:hAnsi="宋体"/>
          <w:color w:val="auto"/>
          <w:sz w:val="24"/>
          <w:szCs w:val="24"/>
          <w:highlight w:val="none"/>
        </w:rPr>
        <w:t>凡重量为二吨或超过二吨的货物，应在包装箱的侧面以运输常用的标记和图案标明重心位置及起吊点，以便于装卸和搬运。</w:t>
      </w:r>
    </w:p>
    <w:p>
      <w:pPr>
        <w:spacing w:line="360" w:lineRule="auto"/>
        <w:ind w:left="420" w:leftChars="200" w:firstLine="480"/>
        <w:rPr>
          <w:rFonts w:ascii="宋体" w:hAnsi="宋体"/>
          <w:color w:val="auto"/>
          <w:sz w:val="24"/>
          <w:szCs w:val="24"/>
          <w:highlight w:val="none"/>
        </w:rPr>
      </w:pPr>
      <w:r>
        <w:rPr>
          <w:rFonts w:hint="eastAsia" w:ascii="宋体" w:hAnsi="宋体"/>
          <w:color w:val="auto"/>
          <w:sz w:val="24"/>
          <w:szCs w:val="24"/>
          <w:highlight w:val="none"/>
        </w:rPr>
        <w:t>应按照设备各特性和不同的运输及装卸要求，在箱上明显位置标上“小心”“向上”、“防潮”、“勿倒”、“怕热”、“远离放射源及热源”、“由此起吊”、“重心点”、“堆码重量极限”、“堆码层数极限”、“温度极限”等通用标志。</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第八条</w:t>
      </w:r>
      <w:r>
        <w:rPr>
          <w:rFonts w:ascii="宋体" w:hAnsi="宋体"/>
          <w:b/>
          <w:color w:val="auto"/>
          <w:sz w:val="24"/>
          <w:szCs w:val="24"/>
          <w:highlight w:val="none"/>
        </w:rPr>
        <w:t xml:space="preserve">  </w:t>
      </w:r>
      <w:r>
        <w:rPr>
          <w:rFonts w:hint="eastAsia" w:ascii="宋体" w:hAnsi="宋体"/>
          <w:b/>
          <w:color w:val="auto"/>
          <w:sz w:val="24"/>
          <w:szCs w:val="24"/>
          <w:highlight w:val="none"/>
        </w:rPr>
        <w:t>运输和交付</w:t>
      </w:r>
    </w:p>
    <w:p>
      <w:pPr>
        <w:numPr>
          <w:ilvl w:val="0"/>
          <w:numId w:val="14"/>
        </w:numPr>
        <w:tabs>
          <w:tab w:val="left" w:pos="1440"/>
        </w:tabs>
        <w:spacing w:line="360" w:lineRule="auto"/>
        <w:ind w:left="420" w:leftChars="200" w:firstLine="0" w:firstLineChars="0"/>
        <w:rPr>
          <w:rFonts w:ascii="宋体" w:hAnsi="宋体"/>
          <w:color w:val="auto"/>
          <w:sz w:val="24"/>
          <w:szCs w:val="24"/>
          <w:highlight w:val="none"/>
        </w:rPr>
      </w:pPr>
      <w:r>
        <w:rPr>
          <w:rFonts w:ascii="宋体" w:hAnsi="宋体"/>
          <w:color w:val="auto"/>
          <w:sz w:val="24"/>
          <w:szCs w:val="24"/>
          <w:highlight w:val="none"/>
        </w:rPr>
        <w:t xml:space="preserve"> </w:t>
      </w:r>
      <w:r>
        <w:rPr>
          <w:rFonts w:hint="eastAsia" w:ascii="宋体" w:hAnsi="宋体"/>
          <w:b/>
          <w:color w:val="auto"/>
          <w:sz w:val="24"/>
          <w:szCs w:val="24"/>
          <w:highlight w:val="none"/>
        </w:rPr>
        <w:t>交货期：合同签订后</w:t>
      </w:r>
      <w:r>
        <w:rPr>
          <w:rFonts w:ascii="宋体" w:hAnsi="宋体"/>
          <w:color w:val="auto"/>
          <w:sz w:val="24"/>
          <w:szCs w:val="24"/>
          <w:highlight w:val="none"/>
          <w:u w:val="single"/>
        </w:rPr>
        <w:t xml:space="preserve">     </w:t>
      </w:r>
      <w:r>
        <w:rPr>
          <w:rFonts w:ascii="宋体" w:hAnsi="宋体"/>
          <w:b/>
          <w:color w:val="auto"/>
          <w:sz w:val="24"/>
          <w:szCs w:val="24"/>
          <w:highlight w:val="none"/>
        </w:rPr>
        <w:t>天内货到用户指定地点</w:t>
      </w:r>
      <w:r>
        <w:rPr>
          <w:rFonts w:hint="eastAsia" w:ascii="宋体" w:hAnsi="宋体"/>
          <w:color w:val="auto"/>
          <w:sz w:val="24"/>
          <w:szCs w:val="24"/>
          <w:highlight w:val="none"/>
        </w:rPr>
        <w:t>。卖方应在发货日的</w:t>
      </w:r>
      <w:r>
        <w:rPr>
          <w:rFonts w:ascii="宋体" w:hAnsi="宋体"/>
          <w:color w:val="auto"/>
          <w:sz w:val="24"/>
          <w:szCs w:val="24"/>
          <w:highlight w:val="none"/>
        </w:rPr>
        <w:t>2日前以</w:t>
      </w:r>
      <w:r>
        <w:rPr>
          <w:rFonts w:hint="eastAsia" w:ascii="宋体" w:hAnsi="宋体"/>
          <w:color w:val="auto"/>
          <w:sz w:val="24"/>
          <w:szCs w:val="24"/>
          <w:highlight w:val="none"/>
        </w:rPr>
        <w:t>传真通知买方合同号、货物名称、数量、件数和备妥待运日期。</w:t>
      </w:r>
    </w:p>
    <w:p>
      <w:pPr>
        <w:numPr>
          <w:ilvl w:val="0"/>
          <w:numId w:val="14"/>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卖方在货物装车完成</w:t>
      </w:r>
      <w:r>
        <w:rPr>
          <w:rFonts w:ascii="宋体" w:hAnsi="宋体"/>
          <w:color w:val="auto"/>
          <w:sz w:val="24"/>
          <w:szCs w:val="24"/>
          <w:highlight w:val="none"/>
        </w:rPr>
        <w:t>24小时内以传真或电传通知买方合同号、车号、货物名称、规格、数量、件数、到站及到买方指定地点的时间。</w:t>
      </w:r>
    </w:p>
    <w:p>
      <w:pPr>
        <w:numPr>
          <w:ilvl w:val="0"/>
          <w:numId w:val="14"/>
        </w:numPr>
        <w:tabs>
          <w:tab w:val="left" w:pos="1440"/>
        </w:tabs>
        <w:spacing w:line="360" w:lineRule="auto"/>
        <w:ind w:left="420" w:leftChars="200" w:firstLine="0" w:firstLineChars="0"/>
        <w:rPr>
          <w:rFonts w:ascii="宋体" w:hAnsi="宋体"/>
          <w:color w:val="auto"/>
          <w:szCs w:val="21"/>
          <w:highlight w:val="none"/>
        </w:rPr>
      </w:pPr>
      <w:r>
        <w:rPr>
          <w:rFonts w:hint="eastAsia" w:ascii="宋体" w:hAnsi="宋体"/>
          <w:color w:val="auto"/>
          <w:sz w:val="24"/>
          <w:szCs w:val="24"/>
          <w:highlight w:val="none"/>
        </w:rPr>
        <w:t>本合同项下货物的交付地点为买方指定位置地面，卖方负责将货物运抵交付地点并负责卸车并搬运到指定地点，在此期间的安全由卖方负责。</w:t>
      </w:r>
    </w:p>
    <w:p>
      <w:pPr>
        <w:tabs>
          <w:tab w:val="left" w:pos="1440"/>
        </w:tabs>
        <w:spacing w:line="360" w:lineRule="auto"/>
        <w:ind w:left="420" w:leftChars="200" w:firstLine="480"/>
        <w:rPr>
          <w:rFonts w:ascii="宋体" w:hAnsi="宋体"/>
          <w:color w:val="auto"/>
          <w:sz w:val="24"/>
          <w:szCs w:val="24"/>
          <w:highlight w:val="none"/>
        </w:rPr>
      </w:pPr>
      <w:r>
        <w:rPr>
          <w:rFonts w:hint="eastAsia" w:ascii="宋体" w:hAnsi="宋体"/>
          <w:color w:val="auto"/>
          <w:sz w:val="24"/>
          <w:szCs w:val="24"/>
          <w:highlight w:val="none"/>
        </w:rPr>
        <w:t>合同设备所有权自合同设备</w:t>
      </w:r>
      <w:r>
        <w:rPr>
          <w:rFonts w:hint="eastAsia" w:ascii="宋体" w:hAnsi="宋体"/>
          <w:color w:val="auto"/>
          <w:sz w:val="24"/>
          <w:szCs w:val="24"/>
          <w:highlight w:val="none"/>
          <w:lang w:val="en-US" w:eastAsia="zh-CN"/>
        </w:rPr>
        <w:t>安装调试验收合格之日</w:t>
      </w:r>
      <w:r>
        <w:rPr>
          <w:rFonts w:hint="eastAsia" w:ascii="宋体" w:hAnsi="宋体"/>
          <w:color w:val="auto"/>
          <w:sz w:val="24"/>
          <w:szCs w:val="24"/>
          <w:highlight w:val="none"/>
        </w:rPr>
        <w:t>起由卖方转移给买方。合同设备毁损、灭失的风险，在合同设备交付之前由卖方承担，交付之后由买方承担。货物到达目的地后，当场可清点验收的设备，经买卖双方组织人员进行现场验收，由卖方安装人员负责开箱验收后设备的保管、仓贮（卖方应提出对设备的存放要求）。对未开箱的设备（指需在安装时开箱的设备），经双方清点数量后由卖方负责安全保管、仓贮。确定安装时开箱验收的，由双方共同参与对货物进行检验，按开箱清单现场清点核对，并签字确认。如果货物被证明有缺陷，包括潜在缺陷或使用了不适当的材料不符合合同约定的，买方将保留拒收货物和对卖方索赔的权力；</w:t>
      </w:r>
    </w:p>
    <w:p>
      <w:pPr>
        <w:numPr>
          <w:ilvl w:val="0"/>
          <w:numId w:val="14"/>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由于卖方未及时按本合同第</w:t>
      </w:r>
      <w:r>
        <w:rPr>
          <w:rFonts w:ascii="宋体" w:hAnsi="宋体"/>
          <w:color w:val="auto"/>
          <w:sz w:val="24"/>
          <w:szCs w:val="24"/>
          <w:highlight w:val="none"/>
        </w:rPr>
        <w:t>8.1款和/或第8.2款向买方发出通知，导致买方遭受损失的，卖方应向买方承担损失赔偿责任。</w:t>
      </w:r>
    </w:p>
    <w:p>
      <w:pPr>
        <w:numPr>
          <w:ilvl w:val="0"/>
          <w:numId w:val="14"/>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在保证期满后三年内由于卖方的过失或疏忽造成的供应设备（或部件）的损坏或潜在缺陷，而动用了买方库存中的备品备件以调换损坏的设备或部件，则卖方应负责免费将动用的备品备件补齐，最迟不得超过买方通知后</w:t>
      </w:r>
      <w:r>
        <w:rPr>
          <w:rFonts w:ascii="宋体" w:hAnsi="宋体"/>
          <w:color w:val="auto"/>
          <w:sz w:val="24"/>
          <w:szCs w:val="24"/>
          <w:highlight w:val="none"/>
        </w:rPr>
        <w:t>1个月运到指定交付点，并且通知买方。</w:t>
      </w:r>
    </w:p>
    <w:p>
      <w:pPr>
        <w:numPr>
          <w:ilvl w:val="0"/>
          <w:numId w:val="14"/>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卖方应按技术规格书规定，向买方提供满足调试、试验、检验、培训、运行和维修所需的技术资料。技术资料的交付时间按买方要求的时间及时提供。</w:t>
      </w:r>
    </w:p>
    <w:p>
      <w:pPr>
        <w:numPr>
          <w:ilvl w:val="0"/>
          <w:numId w:val="14"/>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技术资料以快递邮寄（可直送）方式递交</w:t>
      </w:r>
      <w:r>
        <w:rPr>
          <w:rFonts w:ascii="宋体" w:hAnsi="宋体"/>
          <w:color w:val="auto"/>
          <w:sz w:val="24"/>
          <w:szCs w:val="24"/>
          <w:highlight w:val="none"/>
        </w:rPr>
        <w:t>,每批技术资料交邮后，卖方应在24小时内将技术资料的交邮日期、邮单号、技术资料的详细清单、件数及重量、合同号等以传真通知买方。</w:t>
      </w:r>
    </w:p>
    <w:p>
      <w:pPr>
        <w:numPr>
          <w:ilvl w:val="0"/>
          <w:numId w:val="14"/>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技术资料可以邮寄方式或专人送达方式递交，如以邮寄方式递交，则以邮政部门提货通知单时间戳记为技术资料的实际交付日期，如以专人送达方式递交，则以买方代表签收日期为技术资料的实际交付日期。此日期将作为按合同第十五条对任何延期交付资料进行延期违约金计算的依据。</w:t>
      </w:r>
    </w:p>
    <w:p>
      <w:pPr>
        <w:spacing w:line="360" w:lineRule="auto"/>
        <w:ind w:left="420" w:leftChars="200" w:firstLine="480"/>
        <w:rPr>
          <w:rFonts w:ascii="宋体" w:hAnsi="宋体"/>
          <w:color w:val="auto"/>
          <w:sz w:val="24"/>
          <w:szCs w:val="24"/>
          <w:highlight w:val="none"/>
        </w:rPr>
      </w:pPr>
      <w:r>
        <w:rPr>
          <w:rFonts w:hint="eastAsia" w:ascii="宋体" w:hAnsi="宋体"/>
          <w:color w:val="auto"/>
          <w:sz w:val="24"/>
          <w:szCs w:val="24"/>
          <w:highlight w:val="none"/>
        </w:rPr>
        <w:t>如果技术资料经买方或买方代表检查后发现有缺少、丢失或损坏，且非买方原因，卖方应在收到买方通知后</w:t>
      </w:r>
      <w:r>
        <w:rPr>
          <w:rFonts w:ascii="宋体" w:hAnsi="宋体"/>
          <w:color w:val="auto"/>
          <w:sz w:val="24"/>
          <w:szCs w:val="24"/>
          <w:highlight w:val="none"/>
        </w:rPr>
        <w:t>14天内(对急用者应在3天内)免费向</w:t>
      </w:r>
      <w:r>
        <w:rPr>
          <w:rFonts w:hint="eastAsia" w:ascii="宋体" w:hAnsi="宋体"/>
          <w:color w:val="auto"/>
          <w:sz w:val="24"/>
          <w:szCs w:val="24"/>
          <w:highlight w:val="none"/>
        </w:rPr>
        <w:t>买方</w:t>
      </w:r>
      <w:r>
        <w:rPr>
          <w:rFonts w:ascii="宋体" w:hAnsi="宋体"/>
          <w:color w:val="auto"/>
          <w:sz w:val="24"/>
          <w:szCs w:val="24"/>
          <w:highlight w:val="none"/>
        </w:rPr>
        <w:t>补充提供缺少、丢失或损坏的部分。</w:t>
      </w:r>
    </w:p>
    <w:p>
      <w:pPr>
        <w:spacing w:line="360" w:lineRule="auto"/>
        <w:ind w:left="420" w:leftChars="200" w:firstLine="480"/>
        <w:rPr>
          <w:rFonts w:ascii="宋体" w:hAnsi="宋体"/>
          <w:color w:val="auto"/>
          <w:sz w:val="24"/>
          <w:szCs w:val="24"/>
          <w:highlight w:val="none"/>
        </w:rPr>
      </w:pPr>
      <w:r>
        <w:rPr>
          <w:rFonts w:hint="eastAsia" w:ascii="宋体" w:hAnsi="宋体"/>
          <w:color w:val="auto"/>
          <w:sz w:val="24"/>
          <w:szCs w:val="24"/>
          <w:highlight w:val="none"/>
        </w:rPr>
        <w:t>如因买方原因发生缺少、丢失或损坏，卖方应在接到买方通知后</w:t>
      </w:r>
      <w:r>
        <w:rPr>
          <w:rFonts w:ascii="宋体" w:hAnsi="宋体"/>
          <w:color w:val="auto"/>
          <w:sz w:val="24"/>
          <w:szCs w:val="24"/>
          <w:highlight w:val="none"/>
        </w:rPr>
        <w:t>14天内(对急用者应在3天内)，向</w:t>
      </w:r>
      <w:r>
        <w:rPr>
          <w:rFonts w:hint="eastAsia" w:ascii="宋体" w:hAnsi="宋体"/>
          <w:color w:val="auto"/>
          <w:sz w:val="24"/>
          <w:szCs w:val="24"/>
          <w:highlight w:val="none"/>
        </w:rPr>
        <w:t>买方</w:t>
      </w:r>
      <w:r>
        <w:rPr>
          <w:rFonts w:ascii="宋体" w:hAnsi="宋体"/>
          <w:color w:val="auto"/>
          <w:sz w:val="24"/>
          <w:szCs w:val="24"/>
          <w:highlight w:val="none"/>
        </w:rPr>
        <w:t>补充提供缺少、丢失或损坏部分，费用由买方承担。</w:t>
      </w:r>
    </w:p>
    <w:p>
      <w:pPr>
        <w:numPr>
          <w:ilvl w:val="0"/>
          <w:numId w:val="14"/>
        </w:numPr>
        <w:tabs>
          <w:tab w:val="left" w:pos="144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买方可派遣代表到卖方工厂及装货车站</w:t>
      </w:r>
      <w:r>
        <w:rPr>
          <w:rFonts w:ascii="宋体" w:hAnsi="宋体"/>
          <w:color w:val="auto"/>
          <w:sz w:val="24"/>
          <w:szCs w:val="24"/>
          <w:highlight w:val="none"/>
        </w:rPr>
        <w:t>/码头/机场检查包装质量和监督装车情况。卖方应提前15天通知买方交运日期。买方代表的检查与监督不能免除卖方应负的责任。</w:t>
      </w:r>
    </w:p>
    <w:p>
      <w:pPr>
        <w:numPr>
          <w:ilvl w:val="0"/>
          <w:numId w:val="14"/>
        </w:numPr>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技术资料收件单位：江苏长江水务股份有限公司（注明技术资料）</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第九条</w:t>
      </w:r>
      <w:r>
        <w:rPr>
          <w:rFonts w:ascii="宋体" w:hAnsi="宋体"/>
          <w:b/>
          <w:color w:val="auto"/>
          <w:sz w:val="24"/>
          <w:szCs w:val="24"/>
          <w:highlight w:val="none"/>
        </w:rPr>
        <w:t xml:space="preserve"> </w:t>
      </w:r>
      <w:r>
        <w:rPr>
          <w:rFonts w:hint="eastAsia" w:ascii="宋体" w:hAnsi="宋体"/>
          <w:b/>
          <w:color w:val="auto"/>
          <w:sz w:val="24"/>
          <w:szCs w:val="24"/>
          <w:highlight w:val="none"/>
        </w:rPr>
        <w:t>保险</w:t>
      </w:r>
    </w:p>
    <w:p>
      <w:pPr>
        <w:spacing w:line="440" w:lineRule="exact"/>
        <w:ind w:left="540" w:leftChars="257" w:firstLine="540" w:firstLineChars="225"/>
        <w:rPr>
          <w:rFonts w:ascii="宋体" w:hAnsi="宋体"/>
          <w:color w:val="auto"/>
          <w:sz w:val="24"/>
          <w:szCs w:val="24"/>
          <w:highlight w:val="none"/>
        </w:rPr>
      </w:pPr>
      <w:r>
        <w:rPr>
          <w:rFonts w:hint="eastAsia" w:ascii="宋体" w:hAnsi="宋体"/>
          <w:color w:val="auto"/>
          <w:sz w:val="24"/>
          <w:szCs w:val="24"/>
          <w:highlight w:val="none"/>
        </w:rPr>
        <w:t>在货物发运前卖方须对货物，根据水运、陆运和空运等运输方式，向保险公司投保以卖方为受益人，金额为发运货物价格</w:t>
      </w:r>
      <w:r>
        <w:rPr>
          <w:rFonts w:ascii="宋体" w:hAnsi="宋体"/>
          <w:color w:val="auto"/>
          <w:sz w:val="24"/>
          <w:szCs w:val="24"/>
          <w:highlight w:val="none"/>
        </w:rPr>
        <w:t>110%的运输一切险(包括卸货至现场地面的最后一吊)，保险区段为卖方仓库到交货地点交货后90天止。</w:t>
      </w:r>
    </w:p>
    <w:p>
      <w:pPr>
        <w:spacing w:line="440" w:lineRule="exact"/>
        <w:ind w:firstLine="570" w:firstLineChars="0"/>
        <w:rPr>
          <w:rFonts w:ascii="宋体" w:hAnsi="宋体"/>
          <w:color w:val="auto"/>
          <w:sz w:val="24"/>
          <w:szCs w:val="24"/>
          <w:highlight w:val="none"/>
        </w:rPr>
      </w:pPr>
    </w:p>
    <w:p>
      <w:pPr>
        <w:spacing w:line="440" w:lineRule="exact"/>
        <w:ind w:firstLineChars="0"/>
        <w:rPr>
          <w:rFonts w:ascii="宋体" w:hAnsi="宋体"/>
          <w:b/>
          <w:color w:val="auto"/>
          <w:sz w:val="24"/>
          <w:szCs w:val="24"/>
          <w:highlight w:val="none"/>
        </w:rPr>
      </w:pPr>
      <w:r>
        <w:rPr>
          <w:rFonts w:hint="eastAsia" w:ascii="宋体" w:hAnsi="宋体"/>
          <w:b/>
          <w:color w:val="auto"/>
          <w:sz w:val="24"/>
          <w:szCs w:val="24"/>
          <w:highlight w:val="none"/>
        </w:rPr>
        <w:t>第十条</w:t>
      </w:r>
      <w:r>
        <w:rPr>
          <w:rFonts w:ascii="宋体" w:hAnsi="宋体"/>
          <w:b/>
          <w:color w:val="auto"/>
          <w:sz w:val="24"/>
          <w:szCs w:val="24"/>
          <w:highlight w:val="none"/>
        </w:rPr>
        <w:t xml:space="preserve">  </w:t>
      </w:r>
      <w:r>
        <w:rPr>
          <w:rFonts w:hint="eastAsia" w:ascii="宋体" w:hAnsi="宋体"/>
          <w:b/>
          <w:color w:val="auto"/>
          <w:sz w:val="24"/>
          <w:szCs w:val="24"/>
          <w:highlight w:val="none"/>
        </w:rPr>
        <w:t>风险承担</w:t>
      </w:r>
    </w:p>
    <w:p>
      <w:pPr>
        <w:tabs>
          <w:tab w:val="left" w:pos="900"/>
          <w:tab w:val="left" w:pos="1080"/>
        </w:tabs>
        <w:spacing w:line="440" w:lineRule="exact"/>
        <w:ind w:left="540" w:firstLine="480"/>
        <w:rPr>
          <w:rFonts w:ascii="宋体" w:hAnsi="宋体"/>
          <w:color w:val="auto"/>
          <w:sz w:val="24"/>
          <w:szCs w:val="24"/>
          <w:highlight w:val="none"/>
        </w:rPr>
      </w:pPr>
      <w:r>
        <w:rPr>
          <w:rFonts w:hint="eastAsia" w:ascii="宋体" w:hAnsi="宋体"/>
          <w:color w:val="auto"/>
          <w:sz w:val="24"/>
          <w:szCs w:val="24"/>
          <w:highlight w:val="none"/>
        </w:rPr>
        <w:t>所有货物在交付之前的所有风险和责任均由卖方承担。如果在交付之前因运输等问题造成货物毁损、灭失等风险，卖方在本合同项下的义务与责任均不予解除。</w:t>
      </w:r>
    </w:p>
    <w:p>
      <w:pPr>
        <w:spacing w:line="440" w:lineRule="exact"/>
        <w:ind w:firstLine="570" w:firstLineChars="0"/>
        <w:rPr>
          <w:rFonts w:ascii="宋体" w:hAnsi="宋体"/>
          <w:b/>
          <w:color w:val="auto"/>
          <w:sz w:val="24"/>
          <w:szCs w:val="24"/>
          <w:highlight w:val="none"/>
        </w:rPr>
      </w:pPr>
      <w:r>
        <w:rPr>
          <w:rFonts w:ascii="宋体" w:hAnsi="宋体"/>
          <w:b/>
          <w:color w:val="auto"/>
          <w:sz w:val="24"/>
          <w:szCs w:val="24"/>
          <w:highlight w:val="none"/>
        </w:rPr>
        <w:t xml:space="preserve">  </w:t>
      </w:r>
    </w:p>
    <w:p>
      <w:pPr>
        <w:spacing w:line="360" w:lineRule="auto"/>
        <w:ind w:firstLine="570" w:firstLineChars="0"/>
        <w:rPr>
          <w:rFonts w:ascii="宋体" w:hAnsi="宋体"/>
          <w:b/>
          <w:color w:val="auto"/>
          <w:sz w:val="24"/>
          <w:szCs w:val="24"/>
          <w:highlight w:val="none"/>
        </w:rPr>
      </w:pPr>
      <w:r>
        <w:rPr>
          <w:rFonts w:hint="eastAsia" w:ascii="宋体" w:hAnsi="宋体"/>
          <w:b/>
          <w:color w:val="auto"/>
          <w:sz w:val="24"/>
          <w:szCs w:val="24"/>
          <w:highlight w:val="none"/>
        </w:rPr>
        <w:t>第十一条</w:t>
      </w:r>
      <w:r>
        <w:rPr>
          <w:rFonts w:ascii="宋体" w:hAnsi="宋体"/>
          <w:b/>
          <w:color w:val="auto"/>
          <w:sz w:val="24"/>
          <w:szCs w:val="24"/>
          <w:highlight w:val="none"/>
        </w:rPr>
        <w:t xml:space="preserve">  合同价款与支付 </w:t>
      </w:r>
    </w:p>
    <w:p>
      <w:pPr>
        <w:numPr>
          <w:ilvl w:val="0"/>
          <w:numId w:val="15"/>
        </w:numPr>
        <w:tabs>
          <w:tab w:val="left" w:pos="540"/>
          <w:tab w:val="left" w:pos="1080"/>
          <w:tab w:val="clear" w:pos="90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本合同价款即合同总价为人民币总价：</w:t>
      </w:r>
      <w:r>
        <w:rPr>
          <w:rFonts w:ascii="宋体" w:hAnsi="宋体"/>
          <w:color w:val="auto"/>
          <w:sz w:val="24"/>
          <w:szCs w:val="24"/>
          <w:highlight w:val="none"/>
        </w:rPr>
        <w:t xml:space="preserve">     </w:t>
      </w:r>
      <w:r>
        <w:rPr>
          <w:rFonts w:hint="eastAsia" w:ascii="宋体" w:hAnsi="宋体"/>
          <w:color w:val="auto"/>
          <w:sz w:val="24"/>
          <w:szCs w:val="24"/>
          <w:highlight w:val="none"/>
        </w:rPr>
        <w:t>万元</w:t>
      </w:r>
      <w:r>
        <w:rPr>
          <w:rFonts w:ascii="宋体" w:hAnsi="宋体"/>
          <w:color w:val="auto"/>
          <w:sz w:val="24"/>
          <w:szCs w:val="24"/>
          <w:highlight w:val="none"/>
        </w:rPr>
        <w:t>(大写：        )。</w:t>
      </w:r>
      <w:r>
        <w:rPr>
          <w:rFonts w:hint="eastAsia" w:ascii="宋体" w:hAnsi="宋体"/>
          <w:color w:val="auto"/>
          <w:sz w:val="24"/>
          <w:szCs w:val="24"/>
          <w:highlight w:val="none"/>
        </w:rPr>
        <w:t>合同总价为固定不变价格，投标文件中的清单报价作为质保期外维修或更换的结算依据，除非本合同另有规定，否则在合同期内不因任何原因加以变更或调整。</w:t>
      </w:r>
    </w:p>
    <w:p>
      <w:pPr>
        <w:spacing w:line="360" w:lineRule="auto"/>
        <w:ind w:left="420" w:leftChars="200" w:firstLine="480" w:firstLineChars="200"/>
        <w:rPr>
          <w:rFonts w:ascii="宋体" w:hAnsi="宋体"/>
          <w:color w:val="auto"/>
          <w:sz w:val="24"/>
          <w:szCs w:val="24"/>
          <w:highlight w:val="none"/>
        </w:rPr>
      </w:pPr>
      <w:r>
        <w:rPr>
          <w:rFonts w:hint="eastAsia" w:ascii="宋体" w:hAnsi="宋体"/>
          <w:color w:val="auto"/>
          <w:sz w:val="24"/>
          <w:szCs w:val="24"/>
          <w:highlight w:val="none"/>
        </w:rPr>
        <w:t>本合同价款包括合同设备</w:t>
      </w:r>
      <w:r>
        <w:rPr>
          <w:rFonts w:ascii="宋体" w:hAnsi="宋体"/>
          <w:color w:val="auto"/>
          <w:sz w:val="24"/>
          <w:szCs w:val="24"/>
          <w:highlight w:val="none"/>
        </w:rPr>
        <w:t>(含备品备件、专用工具)、技术资料、</w:t>
      </w:r>
      <w:r>
        <w:rPr>
          <w:rFonts w:hint="eastAsia" w:ascii="宋体" w:hAnsi="宋体"/>
          <w:color w:val="auto"/>
          <w:sz w:val="24"/>
          <w:szCs w:val="24"/>
          <w:highlight w:val="none"/>
        </w:rPr>
        <w:t>安装调试、</w:t>
      </w:r>
      <w:r>
        <w:rPr>
          <w:rFonts w:ascii="宋体" w:hAnsi="宋体"/>
          <w:color w:val="auto"/>
          <w:sz w:val="24"/>
          <w:szCs w:val="24"/>
          <w:highlight w:val="none"/>
        </w:rPr>
        <w:t>技术服务和运输及保险费等费用,还包括合同设备的税费等与本合同中卖方应承担的所有义务和所有工作相关的费用。合同设备的技术服务及备品备件由卖方免费提供。</w:t>
      </w:r>
    </w:p>
    <w:p>
      <w:pPr>
        <w:spacing w:line="360" w:lineRule="auto"/>
        <w:ind w:left="420" w:leftChars="200" w:firstLine="480" w:firstLineChars="200"/>
        <w:rPr>
          <w:highlight w:val="none"/>
        </w:rPr>
      </w:pPr>
      <w:r>
        <w:rPr>
          <w:rFonts w:hint="eastAsia" w:ascii="宋体" w:hAnsi="宋体"/>
          <w:color w:val="auto"/>
          <w:sz w:val="24"/>
          <w:szCs w:val="24"/>
          <w:highlight w:val="none"/>
        </w:rPr>
        <w:t>合同设备运抵项目现场的运输及保险费等杂费已含在合同价款内。运输及保险费是指合同设备从卖方</w:t>
      </w:r>
      <w:r>
        <w:rPr>
          <w:rFonts w:ascii="宋体" w:hAnsi="宋体"/>
          <w:color w:val="auto"/>
          <w:sz w:val="24"/>
          <w:szCs w:val="24"/>
          <w:highlight w:val="none"/>
        </w:rPr>
        <w:t>(包括卖方的分包商)始发站（车上）/码头（船上）到交货地点地面所发生的公路、铁路、水路、航空运费</w:t>
      </w:r>
      <w:r>
        <w:rPr>
          <w:rFonts w:hint="eastAsia" w:ascii="宋体" w:hAnsi="宋体"/>
          <w:color w:val="auto"/>
          <w:sz w:val="24"/>
          <w:szCs w:val="24"/>
          <w:highlight w:val="none"/>
        </w:rPr>
        <w:t>和</w:t>
      </w:r>
      <w:r>
        <w:rPr>
          <w:rFonts w:ascii="宋体" w:hAnsi="宋体"/>
          <w:color w:val="auto"/>
          <w:sz w:val="24"/>
          <w:szCs w:val="24"/>
          <w:highlight w:val="none"/>
        </w:rPr>
        <w:t>保险费等运输过程中发生的各种费用。</w:t>
      </w:r>
    </w:p>
    <w:p>
      <w:pPr>
        <w:numPr>
          <w:ilvl w:val="0"/>
          <w:numId w:val="15"/>
        </w:numPr>
        <w:tabs>
          <w:tab w:val="left" w:pos="108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lang w:val="en-US" w:eastAsia="zh-CN"/>
        </w:rPr>
        <w:t xml:space="preserve"> </w:t>
      </w:r>
      <w:r>
        <w:rPr>
          <w:rFonts w:hint="eastAsia" w:ascii="宋体" w:hAnsi="宋体" w:cs="宋体"/>
          <w:kern w:val="0"/>
          <w:sz w:val="24"/>
          <w:szCs w:val="24"/>
          <w:highlight w:val="none"/>
        </w:rPr>
        <w:t>履约保证金</w:t>
      </w:r>
    </w:p>
    <w:p>
      <w:pPr>
        <w:spacing w:line="360" w:lineRule="auto"/>
        <w:ind w:left="420" w:leftChars="200"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履约保证金的金额：合同总价的10%。履约保证金的形式：银行汇票、银行保函或现金支票。卖方在在接到中标通知书日起5个工作日内须向买方提交足额履约保证金，否则买方可以取消其中标资格。履约保证金的期限从提交之日起至本招标项目通过最终联合验收合格后终止。在履行合同过程中，如卖方按合同约定履行义务，则履约保证金到期无息退还；如卖方出现未能按合同约定履行其义务或存在质量问题等情况，买方有权优先从履约保证金里取得补偿。</w:t>
      </w:r>
    </w:p>
    <w:p>
      <w:pPr>
        <w:numPr>
          <w:ilvl w:val="0"/>
          <w:numId w:val="15"/>
        </w:numPr>
        <w:tabs>
          <w:tab w:val="left" w:pos="108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支付</w:t>
      </w:r>
    </w:p>
    <w:p>
      <w:pPr>
        <w:spacing w:line="360" w:lineRule="auto"/>
        <w:ind w:left="420" w:leftChars="200" w:firstLine="480"/>
        <w:rPr>
          <w:rFonts w:ascii="宋体" w:hAnsi="宋体"/>
          <w:color w:val="auto"/>
          <w:sz w:val="24"/>
          <w:szCs w:val="24"/>
          <w:highlight w:val="none"/>
        </w:rPr>
      </w:pPr>
      <w:r>
        <w:rPr>
          <w:rFonts w:hint="eastAsia" w:ascii="宋体" w:hAnsi="宋体"/>
          <w:color w:val="auto"/>
          <w:sz w:val="24"/>
          <w:szCs w:val="24"/>
          <w:highlight w:val="none"/>
          <w:lang w:val="en-US" w:eastAsia="zh-CN"/>
        </w:rPr>
        <w:t>合同签订后买方支付合同总价的10%做为预付款。所有货到工地，开箱验收合格后</w:t>
      </w:r>
      <w:r>
        <w:rPr>
          <w:rFonts w:hint="eastAsia" w:ascii="宋体" w:hAnsi="宋体"/>
          <w:color w:val="auto"/>
          <w:sz w:val="24"/>
          <w:szCs w:val="24"/>
          <w:highlight w:val="none"/>
        </w:rPr>
        <w:t>凭卖方出具的</w:t>
      </w:r>
      <w:r>
        <w:rPr>
          <w:rFonts w:hint="eastAsia" w:ascii="宋体" w:hAnsi="宋体"/>
          <w:color w:val="auto"/>
          <w:sz w:val="24"/>
          <w:szCs w:val="24"/>
          <w:highlight w:val="none"/>
          <w:lang w:val="en-US" w:eastAsia="zh-CN"/>
        </w:rPr>
        <w:t>全额</w:t>
      </w:r>
      <w:r>
        <w:rPr>
          <w:rFonts w:hint="eastAsia" w:ascii="宋体" w:hAnsi="宋体"/>
          <w:color w:val="auto"/>
          <w:sz w:val="24"/>
          <w:szCs w:val="24"/>
          <w:highlight w:val="none"/>
        </w:rPr>
        <w:t>合规发票</w:t>
      </w:r>
      <w:r>
        <w:rPr>
          <w:rFonts w:hint="eastAsia" w:ascii="宋体" w:hAnsi="宋体"/>
          <w:color w:val="auto"/>
          <w:sz w:val="24"/>
          <w:szCs w:val="24"/>
          <w:highlight w:val="none"/>
          <w:lang w:val="en-US" w:eastAsia="zh-CN"/>
        </w:rPr>
        <w:t>支付至合同总价款的70%。</w:t>
      </w:r>
      <w:r>
        <w:rPr>
          <w:rFonts w:hint="eastAsia" w:ascii="宋体" w:hAnsi="宋体"/>
          <w:color w:val="auto"/>
          <w:sz w:val="24"/>
          <w:szCs w:val="24"/>
          <w:highlight w:val="none"/>
        </w:rPr>
        <w:t>所有货</w:t>
      </w:r>
      <w:r>
        <w:rPr>
          <w:rFonts w:hint="eastAsia" w:ascii="宋体" w:hAnsi="宋体"/>
          <w:color w:val="auto"/>
          <w:sz w:val="24"/>
          <w:szCs w:val="24"/>
          <w:highlight w:val="none"/>
          <w:lang w:val="en-US" w:eastAsia="zh-CN"/>
        </w:rPr>
        <w:t>物经</w:t>
      </w:r>
      <w:r>
        <w:rPr>
          <w:rFonts w:hint="eastAsia" w:ascii="宋体" w:hAnsi="宋体"/>
          <w:color w:val="auto"/>
          <w:sz w:val="24"/>
          <w:szCs w:val="24"/>
          <w:highlight w:val="none"/>
        </w:rPr>
        <w:t>安装、联动调试、验收合格且连续无故障运行</w:t>
      </w:r>
      <w:r>
        <w:rPr>
          <w:rFonts w:hint="eastAsia" w:ascii="宋体" w:hAnsi="宋体"/>
          <w:color w:val="auto"/>
          <w:sz w:val="24"/>
          <w:szCs w:val="24"/>
          <w:highlight w:val="none"/>
          <w:lang w:val="en-US" w:eastAsia="zh-CN"/>
        </w:rPr>
        <w:t>30</w:t>
      </w:r>
      <w:r>
        <w:rPr>
          <w:rFonts w:ascii="宋体" w:hAnsi="宋体"/>
          <w:color w:val="auto"/>
          <w:sz w:val="24"/>
          <w:szCs w:val="24"/>
          <w:highlight w:val="none"/>
        </w:rPr>
        <w:t>天后支付至合同总价款的95%，</w:t>
      </w:r>
      <w:r>
        <w:rPr>
          <w:rFonts w:hint="eastAsia" w:ascii="宋体" w:hAnsi="宋体"/>
          <w:color w:val="auto"/>
          <w:sz w:val="24"/>
          <w:szCs w:val="24"/>
          <w:highlight w:val="none"/>
        </w:rPr>
        <w:t>并无息退还履约保证金；</w:t>
      </w:r>
      <w:r>
        <w:rPr>
          <w:rFonts w:ascii="宋体" w:hAnsi="宋体"/>
          <w:color w:val="auto"/>
          <w:sz w:val="24"/>
          <w:szCs w:val="24"/>
          <w:highlight w:val="none"/>
        </w:rPr>
        <w:t>余款5%作为质保金，在质保期满且</w:t>
      </w:r>
      <w:r>
        <w:rPr>
          <w:rFonts w:hint="eastAsia" w:ascii="宋体" w:hAnsi="宋体"/>
          <w:color w:val="auto"/>
          <w:sz w:val="24"/>
          <w:szCs w:val="24"/>
          <w:highlight w:val="none"/>
        </w:rPr>
        <w:t>卖方履行质保义务</w:t>
      </w:r>
      <w:r>
        <w:rPr>
          <w:rFonts w:ascii="宋体" w:hAnsi="宋体"/>
          <w:color w:val="auto"/>
          <w:sz w:val="24"/>
          <w:szCs w:val="24"/>
          <w:highlight w:val="none"/>
        </w:rPr>
        <w:t>后</w:t>
      </w:r>
      <w:r>
        <w:rPr>
          <w:rFonts w:hint="eastAsia" w:ascii="宋体" w:hAnsi="宋体"/>
          <w:color w:val="auto"/>
          <w:sz w:val="24"/>
          <w:szCs w:val="24"/>
          <w:highlight w:val="none"/>
          <w:lang w:val="en-US" w:eastAsia="zh-CN"/>
        </w:rPr>
        <w:t>2</w:t>
      </w:r>
      <w:r>
        <w:rPr>
          <w:rFonts w:ascii="宋体" w:hAnsi="宋体"/>
          <w:color w:val="auto"/>
          <w:sz w:val="24"/>
          <w:szCs w:val="24"/>
          <w:highlight w:val="none"/>
        </w:rPr>
        <w:t>个月内无息付清</w:t>
      </w:r>
      <w:r>
        <w:rPr>
          <w:rFonts w:hint="eastAsia" w:ascii="宋体" w:hAnsi="宋体"/>
          <w:color w:val="auto"/>
          <w:sz w:val="24"/>
          <w:szCs w:val="24"/>
          <w:highlight w:val="none"/>
        </w:rPr>
        <w:t>余额</w:t>
      </w:r>
      <w:r>
        <w:rPr>
          <w:rFonts w:ascii="宋体" w:hAnsi="宋体"/>
          <w:color w:val="auto"/>
          <w:sz w:val="24"/>
          <w:szCs w:val="24"/>
          <w:highlight w:val="none"/>
        </w:rPr>
        <w:t>。（</w:t>
      </w:r>
      <w:r>
        <w:rPr>
          <w:rFonts w:hint="eastAsia" w:ascii="宋体"/>
          <w:color w:val="auto"/>
          <w:sz w:val="24"/>
          <w:szCs w:val="24"/>
          <w:highlight w:val="none"/>
        </w:rPr>
        <w:t>备注：</w:t>
      </w:r>
      <w:r>
        <w:rPr>
          <w:rFonts w:hint="eastAsia" w:ascii="宋体" w:hAnsi="宋体"/>
          <w:color w:val="auto"/>
          <w:sz w:val="24"/>
          <w:szCs w:val="24"/>
          <w:highlight w:val="none"/>
        </w:rPr>
        <w:t>本项目在结算支付时，票据为税率</w:t>
      </w:r>
      <w:r>
        <w:rPr>
          <w:rFonts w:ascii="宋体" w:hAnsi="宋体"/>
          <w:color w:val="auto"/>
          <w:sz w:val="24"/>
          <w:szCs w:val="24"/>
          <w:highlight w:val="none"/>
        </w:rPr>
        <w:t>13%增值税专用发票（国家政策若发生变化以相关政策执行）。</w:t>
      </w:r>
    </w:p>
    <w:p>
      <w:pPr>
        <w:spacing w:line="360" w:lineRule="auto"/>
        <w:ind w:firstLine="570" w:firstLineChars="0"/>
        <w:rPr>
          <w:rFonts w:ascii="宋体" w:hAnsi="宋体"/>
          <w:color w:val="auto"/>
          <w:sz w:val="24"/>
          <w:szCs w:val="24"/>
          <w:highlight w:val="none"/>
        </w:rPr>
      </w:pPr>
    </w:p>
    <w:p>
      <w:pPr>
        <w:spacing w:line="360" w:lineRule="auto"/>
        <w:ind w:firstLine="570" w:firstLineChars="0"/>
        <w:rPr>
          <w:rFonts w:ascii="宋体" w:hAnsi="宋体"/>
          <w:b/>
          <w:color w:val="auto"/>
          <w:sz w:val="24"/>
          <w:szCs w:val="24"/>
          <w:highlight w:val="none"/>
        </w:rPr>
      </w:pPr>
      <w:r>
        <w:rPr>
          <w:rFonts w:hint="eastAsia" w:ascii="宋体" w:hAnsi="宋体"/>
          <w:b/>
          <w:color w:val="auto"/>
          <w:sz w:val="24"/>
          <w:szCs w:val="24"/>
          <w:highlight w:val="none"/>
        </w:rPr>
        <w:t>第十二条</w:t>
      </w:r>
      <w:r>
        <w:rPr>
          <w:rFonts w:ascii="宋体" w:hAnsi="宋体"/>
          <w:b/>
          <w:color w:val="auto"/>
          <w:sz w:val="24"/>
          <w:szCs w:val="24"/>
          <w:highlight w:val="none"/>
        </w:rPr>
        <w:t xml:space="preserve">  </w:t>
      </w:r>
      <w:r>
        <w:rPr>
          <w:rFonts w:hint="eastAsia" w:ascii="宋体" w:hAnsi="宋体"/>
          <w:b/>
          <w:color w:val="auto"/>
          <w:sz w:val="24"/>
          <w:szCs w:val="24"/>
          <w:highlight w:val="none"/>
        </w:rPr>
        <w:t>连带责任</w:t>
      </w:r>
    </w:p>
    <w:p>
      <w:pPr>
        <w:spacing w:line="360" w:lineRule="auto"/>
        <w:ind w:left="420" w:leftChars="200" w:firstLine="0" w:firstLineChars="0"/>
        <w:rPr>
          <w:rFonts w:ascii="宋体" w:hAnsi="宋体"/>
          <w:color w:val="auto"/>
          <w:sz w:val="24"/>
          <w:szCs w:val="24"/>
          <w:highlight w:val="none"/>
        </w:rPr>
      </w:pPr>
      <w:r>
        <w:rPr>
          <w:rFonts w:ascii="宋体" w:hAnsi="宋体"/>
          <w:color w:val="auto"/>
          <w:sz w:val="24"/>
          <w:szCs w:val="24"/>
          <w:highlight w:val="none"/>
        </w:rPr>
        <w:t>12.1卖方应对本合同项下设备的制造、运输、装卸、交货、</w:t>
      </w:r>
      <w:r>
        <w:rPr>
          <w:rFonts w:hint="eastAsia" w:ascii="宋体" w:hAnsi="宋体"/>
          <w:color w:val="auto"/>
          <w:sz w:val="24"/>
          <w:szCs w:val="24"/>
          <w:highlight w:val="none"/>
        </w:rPr>
        <w:t>安装等承担全部责任。</w:t>
      </w:r>
    </w:p>
    <w:p>
      <w:pPr>
        <w:spacing w:line="360" w:lineRule="auto"/>
        <w:ind w:left="420" w:leftChars="200" w:firstLine="0" w:firstLineChars="0"/>
        <w:rPr>
          <w:rFonts w:ascii="宋体" w:hAnsi="宋体"/>
          <w:color w:val="auto"/>
          <w:sz w:val="24"/>
          <w:szCs w:val="24"/>
          <w:highlight w:val="none"/>
        </w:rPr>
      </w:pPr>
      <w:r>
        <w:rPr>
          <w:rFonts w:ascii="宋体" w:hAnsi="宋体"/>
          <w:color w:val="auto"/>
          <w:sz w:val="24"/>
          <w:szCs w:val="24"/>
          <w:highlight w:val="none"/>
        </w:rPr>
        <w:t xml:space="preserve">12.2 </w:t>
      </w:r>
      <w:r>
        <w:rPr>
          <w:rFonts w:hint="eastAsia" w:ascii="宋体" w:hAnsi="宋体"/>
          <w:color w:val="auto"/>
          <w:sz w:val="24"/>
          <w:szCs w:val="24"/>
          <w:highlight w:val="none"/>
        </w:rPr>
        <w:t>卖方应对本合同项下设备安装过程中影响买方安全生产的任何事宜承担全部责任。</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第十三条</w:t>
      </w:r>
      <w:r>
        <w:rPr>
          <w:rFonts w:ascii="宋体" w:hAnsi="宋体"/>
          <w:b/>
          <w:color w:val="auto"/>
          <w:sz w:val="24"/>
          <w:szCs w:val="24"/>
          <w:highlight w:val="none"/>
        </w:rPr>
        <w:t xml:space="preserve">  </w:t>
      </w:r>
      <w:r>
        <w:rPr>
          <w:rFonts w:hint="eastAsia" w:ascii="宋体" w:hAnsi="宋体"/>
          <w:b/>
          <w:color w:val="auto"/>
          <w:sz w:val="24"/>
          <w:szCs w:val="24"/>
          <w:highlight w:val="none"/>
        </w:rPr>
        <w:t>质量保证</w:t>
      </w:r>
    </w:p>
    <w:p>
      <w:pPr>
        <w:numPr>
          <w:ilvl w:val="0"/>
          <w:numId w:val="16"/>
        </w:numPr>
        <w:tabs>
          <w:tab w:val="left" w:pos="540"/>
          <w:tab w:val="left" w:pos="1080"/>
          <w:tab w:val="clear" w:pos="90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卖方应保证其提供的货物在各个方面符合技术规格书规定的质量、规格和性能要求。</w:t>
      </w:r>
    </w:p>
    <w:p>
      <w:pPr>
        <w:numPr>
          <w:ilvl w:val="0"/>
          <w:numId w:val="16"/>
        </w:numPr>
        <w:tabs>
          <w:tab w:val="left" w:pos="540"/>
          <w:tab w:val="left" w:pos="1080"/>
          <w:tab w:val="clear" w:pos="90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合同货物的质量保证期为联动调试合格试运行后的</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rPr>
        <w:t>个月。在质量保证期内，卖方应对由于设计、工艺、生产或运输导致的缺陷负责，出现上述情况，卖方应在7天内对买方提出的要求给予答复并处理。</w:t>
      </w:r>
    </w:p>
    <w:p>
      <w:pPr>
        <w:tabs>
          <w:tab w:val="left" w:pos="1080"/>
        </w:tabs>
        <w:spacing w:line="440" w:lineRule="exact"/>
        <w:ind w:left="540" w:firstLine="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第十四条</w:t>
      </w:r>
      <w:r>
        <w:rPr>
          <w:rFonts w:ascii="宋体" w:hAnsi="宋体"/>
          <w:b/>
          <w:color w:val="auto"/>
          <w:sz w:val="24"/>
          <w:szCs w:val="24"/>
          <w:highlight w:val="none"/>
        </w:rPr>
        <w:t xml:space="preserve">  </w:t>
      </w:r>
      <w:r>
        <w:rPr>
          <w:rFonts w:hint="eastAsia" w:ascii="宋体" w:hAnsi="宋体"/>
          <w:b/>
          <w:color w:val="auto"/>
          <w:sz w:val="24"/>
          <w:szCs w:val="24"/>
          <w:highlight w:val="none"/>
        </w:rPr>
        <w:t>技术服务和检验</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卖方应及时提供与本合同设备有关的安装、调试、验收、性能验收试验、运行、检修等相应的技术指导、技术配合、技术培训等全过程的服务。</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卖方根据相关设备的技术资料、检验标准、图纸及说明书进行安装、调试、运行和维修</w:t>
      </w:r>
      <w:r>
        <w:rPr>
          <w:rFonts w:hint="eastAsia" w:ascii="宋体" w:hAnsi="宋体"/>
          <w:color w:val="auto"/>
          <w:sz w:val="24"/>
          <w:szCs w:val="24"/>
          <w:highlight w:val="none"/>
          <w:lang w:eastAsia="zh-CN"/>
        </w:rPr>
        <w:t>，</w:t>
      </w:r>
      <w:r>
        <w:rPr>
          <w:rFonts w:hint="eastAsia" w:ascii="宋体" w:hAnsi="宋体"/>
          <w:color w:val="auto"/>
          <w:sz w:val="24"/>
          <w:szCs w:val="24"/>
          <w:highlight w:val="none"/>
        </w:rPr>
        <w:t>并负责解决合同设备在安装调试、试运行中发现的制造质量及性能等有关问题。</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卖方应在合同生效后</w:t>
      </w:r>
      <w:r>
        <w:rPr>
          <w:rFonts w:ascii="宋体" w:hAnsi="宋体"/>
          <w:color w:val="auto"/>
          <w:sz w:val="24"/>
          <w:szCs w:val="24"/>
          <w:highlight w:val="none"/>
        </w:rPr>
        <w:t>1个月内以快递邮寄方式向买方提交执行14.2条规定的服务工作的组织计划一式两份。</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如遇有重大问题需要双方立即研究协商时，任何一方均可建议召开会议，在一般情况下，另一方应同意参加。</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各次会议及其他联络方式双方均应签订会议或联络纪要，所签纪要双方均应执行。如涉及合同条款有修改时，双方需签订补充或更改合同。</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提出并经双方在会议上确定的安装、调试和运行技术服务方案，卖方如有修改，须以书面形式通知买方，经买方确认后方可进行。为适应现场条件的要求，买方有权提出变更或修改意见，并书面通知卖方，卖方应给予充分考虑，应尽量满足买方要求。</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买方有权将对方所提供的一切与本合同设备有关的资料分发给与本工程有关的各方，并不由此而构成任何侵权</w:t>
      </w:r>
      <w:r>
        <w:rPr>
          <w:rFonts w:ascii="宋体" w:hAnsi="宋体"/>
          <w:color w:val="auto"/>
          <w:sz w:val="24"/>
          <w:szCs w:val="24"/>
          <w:highlight w:val="none"/>
        </w:rPr>
        <w:t>,但不得向任何与本工程无关的第三方提供。</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对盖有“密件”印章的卖方、买方的资料，双方都有为其保密的义务。</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需要卖方的分包商对合同设备的部分技术服务或去现场工作，应由卖方统一组织并征得买方同意，费用应由卖方负担。</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卖方（包括外购）须对一切与本合同有关的供货、设备及技术接口、技术服务等问题负全部责任。</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凡与本合同设备相连接的其它设备装置，卖方有提供接口和技术配合的义务，并不由此而发生合同价格以外的任何费用。</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卖方派到现场服务的技术人员应是有实践经验、可胜任此项工作的人员。卖方派到现场服务的技术人员名单在本合同生效后</w:t>
      </w:r>
      <w:r>
        <w:rPr>
          <w:rFonts w:ascii="宋体" w:hAnsi="宋体"/>
          <w:color w:val="auto"/>
          <w:sz w:val="24"/>
          <w:szCs w:val="24"/>
          <w:highlight w:val="none"/>
        </w:rPr>
        <w:t>1个月内提交买方予以确认。</w:t>
      </w:r>
    </w:p>
    <w:p>
      <w:pPr>
        <w:spacing w:line="440" w:lineRule="exact"/>
        <w:ind w:left="540" w:leftChars="257" w:firstLineChars="175"/>
        <w:rPr>
          <w:rFonts w:ascii="宋体" w:hAnsi="宋体"/>
          <w:color w:val="auto"/>
          <w:sz w:val="24"/>
          <w:szCs w:val="24"/>
          <w:highlight w:val="none"/>
        </w:rPr>
      </w:pPr>
      <w:r>
        <w:rPr>
          <w:rFonts w:hint="eastAsia" w:ascii="宋体" w:hAnsi="宋体"/>
          <w:color w:val="auto"/>
          <w:sz w:val="24"/>
          <w:szCs w:val="24"/>
          <w:highlight w:val="none"/>
        </w:rPr>
        <w:t>买方有权提出更换不符合要求的卖方现场服务人员，卖方应根据现场需要，重新选派买方认可的服务人员。如果买方在书面提出该项要求</w:t>
      </w:r>
      <w:r>
        <w:rPr>
          <w:rFonts w:ascii="宋体" w:hAnsi="宋体"/>
          <w:color w:val="auto"/>
          <w:sz w:val="24"/>
          <w:szCs w:val="24"/>
          <w:highlight w:val="none"/>
        </w:rPr>
        <w:t>10天内卖方没有答复，将按第十五条视为延误工期等同处理。</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由于卖方人员对安装、调试、试运的疏忽和错误以及卖方未按要求派人指导而造成的损失应由卖方负责。</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应在发货之前对货物的有关质量、规格、性能、数量进行准确的全面的检验，并出具其货物符合规定的质量证明书。该证书将作为提交付款单据的一部分。但不应视为是对质量、规格、性能、数量的定论。质量证书应附有写明制造商的出厂检验结果、细节说明。</w:t>
      </w:r>
    </w:p>
    <w:p>
      <w:pPr>
        <w:spacing w:line="440" w:lineRule="exact"/>
        <w:ind w:left="540" w:leftChars="257" w:firstLine="508" w:firstLineChars="212"/>
        <w:rPr>
          <w:rFonts w:ascii="宋体" w:hAnsi="宋体"/>
          <w:color w:val="auto"/>
          <w:sz w:val="24"/>
          <w:szCs w:val="24"/>
          <w:highlight w:val="none"/>
        </w:rPr>
      </w:pPr>
      <w:r>
        <w:rPr>
          <w:rFonts w:hint="eastAsia" w:ascii="宋体" w:hAnsi="宋体"/>
          <w:color w:val="auto"/>
          <w:sz w:val="24"/>
          <w:szCs w:val="24"/>
          <w:highlight w:val="none"/>
        </w:rPr>
        <w:t>由卖方供应的所有合同设备</w:t>
      </w:r>
      <w:r>
        <w:rPr>
          <w:rFonts w:ascii="宋体" w:hAnsi="宋体"/>
          <w:color w:val="auto"/>
          <w:sz w:val="24"/>
          <w:szCs w:val="24"/>
          <w:highlight w:val="none"/>
        </w:rPr>
        <w:t>/部件(包括分包与外购),在生产过程中都须进行严格的检验和试验,出厂前须进行部套和/或整机总装和试验。所有检验、试验和总装(装配)必须有正式的记录文件。以上工作完成之后,合格者才能出厂发运。</w:t>
      </w:r>
    </w:p>
    <w:p>
      <w:pPr>
        <w:spacing w:line="440" w:lineRule="exact"/>
        <w:ind w:left="540" w:leftChars="257" w:firstLine="508" w:firstLineChars="212"/>
        <w:rPr>
          <w:rFonts w:ascii="宋体" w:hAnsi="宋体"/>
          <w:color w:val="auto"/>
          <w:sz w:val="24"/>
          <w:szCs w:val="24"/>
          <w:highlight w:val="none"/>
        </w:rPr>
      </w:pPr>
      <w:r>
        <w:rPr>
          <w:rFonts w:hint="eastAsia" w:ascii="宋体" w:hAnsi="宋体"/>
          <w:color w:val="auto"/>
          <w:sz w:val="24"/>
          <w:szCs w:val="24"/>
          <w:highlight w:val="none"/>
        </w:rPr>
        <w:t>所有这些正式的记录文件及合格证作为技术资料的一部分，卖方要以快递方式邮寄给买方存档。此外</w:t>
      </w:r>
      <w:r>
        <w:rPr>
          <w:rFonts w:ascii="宋体" w:hAnsi="宋体"/>
          <w:color w:val="auto"/>
          <w:sz w:val="24"/>
          <w:szCs w:val="24"/>
          <w:highlight w:val="none"/>
        </w:rPr>
        <w:t>,卖方还应在随机文件中提供合格证和质量证明文件。</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货物运抵现场后，卖方在接到买方通知后应及时到现场，与买方将对货物的有关质量、规格、数量</w:t>
      </w:r>
      <w:r>
        <w:rPr>
          <w:rFonts w:ascii="宋体" w:hAnsi="宋体"/>
          <w:color w:val="auto"/>
          <w:sz w:val="24"/>
          <w:szCs w:val="24"/>
          <w:highlight w:val="none"/>
        </w:rPr>
        <w:t>/重量进行检验，并出具检验证书，该检验证书不免除或减轻卖方对货物应承担的任何质量责任。</w:t>
      </w:r>
    </w:p>
    <w:p>
      <w:pPr>
        <w:spacing w:line="440" w:lineRule="exact"/>
        <w:ind w:left="540" w:leftChars="257" w:firstLine="508" w:firstLineChars="212"/>
        <w:rPr>
          <w:rFonts w:ascii="宋体" w:hAnsi="宋体"/>
          <w:color w:val="auto"/>
          <w:sz w:val="24"/>
          <w:szCs w:val="24"/>
          <w:highlight w:val="none"/>
        </w:rPr>
      </w:pPr>
      <w:r>
        <w:rPr>
          <w:rFonts w:hint="eastAsia" w:ascii="宋体" w:hAnsi="宋体"/>
          <w:color w:val="auto"/>
          <w:sz w:val="24"/>
          <w:szCs w:val="24"/>
          <w:highlight w:val="none"/>
        </w:rPr>
        <w:t>在现场开箱检验时，如果卖方人员未按时赴现场，买方有权自行开箱检验，检验结果和记录对双方同样有效，并作为买方向卖方提出索赔的有效证据。</w:t>
      </w:r>
    </w:p>
    <w:p>
      <w:pPr>
        <w:spacing w:line="440" w:lineRule="exact"/>
        <w:ind w:left="540" w:leftChars="257" w:firstLine="508" w:firstLineChars="212"/>
        <w:rPr>
          <w:rFonts w:ascii="宋体" w:hAnsi="宋体"/>
          <w:color w:val="auto"/>
          <w:sz w:val="24"/>
          <w:szCs w:val="24"/>
          <w:highlight w:val="none"/>
        </w:rPr>
      </w:pPr>
      <w:r>
        <w:rPr>
          <w:rFonts w:hint="eastAsia" w:ascii="宋体" w:hAnsi="宋体"/>
          <w:color w:val="auto"/>
          <w:sz w:val="24"/>
          <w:szCs w:val="24"/>
          <w:highlight w:val="none"/>
        </w:rPr>
        <w:t>如果经检验发现质量、规格或数量不符合技术规格书的规定时，买方有权在货物运抵现场后</w:t>
      </w:r>
      <w:r>
        <w:rPr>
          <w:rFonts w:ascii="宋体" w:hAnsi="宋体"/>
          <w:color w:val="auto"/>
          <w:sz w:val="24"/>
          <w:szCs w:val="24"/>
          <w:highlight w:val="none"/>
        </w:rPr>
        <w:t>90日内向卖方提出索赔。</w:t>
      </w:r>
    </w:p>
    <w:p>
      <w:pPr>
        <w:numPr>
          <w:ilvl w:val="0"/>
          <w:numId w:val="17"/>
        </w:numPr>
        <w:tabs>
          <w:tab w:val="left" w:pos="5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如果在第十三条规定的质量保证期内，发现货物的质量或规格与合同规定不符，或证明货物有缺陷（包括潜在缺陷），买方有权立即将此情况通知卖方，卖方应负责处理，并对买方因此遭受的损失承担赔偿责任。</w:t>
      </w:r>
    </w:p>
    <w:p>
      <w:pPr>
        <w:spacing w:line="440" w:lineRule="exact"/>
        <w:ind w:firstLine="570" w:firstLineChars="0"/>
        <w:rPr>
          <w:rFonts w:ascii="宋体" w:hAnsi="宋体"/>
          <w:color w:val="auto"/>
          <w:sz w:val="24"/>
          <w:szCs w:val="24"/>
          <w:highlight w:val="none"/>
        </w:rPr>
      </w:pPr>
      <w:r>
        <w:rPr>
          <w:rFonts w:ascii="宋体" w:hAnsi="宋体"/>
          <w:color w:val="auto"/>
          <w:sz w:val="24"/>
          <w:szCs w:val="24"/>
          <w:highlight w:val="none"/>
        </w:rPr>
        <w:t xml:space="preserve"> </w:t>
      </w: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第十五条</w:t>
      </w:r>
      <w:r>
        <w:rPr>
          <w:rFonts w:ascii="宋体" w:hAnsi="宋体"/>
          <w:b/>
          <w:color w:val="auto"/>
          <w:sz w:val="24"/>
          <w:szCs w:val="24"/>
          <w:highlight w:val="none"/>
        </w:rPr>
        <w:t xml:space="preserve">  </w:t>
      </w:r>
      <w:r>
        <w:rPr>
          <w:rFonts w:hint="eastAsia" w:ascii="宋体" w:hAnsi="宋体"/>
          <w:b/>
          <w:color w:val="auto"/>
          <w:sz w:val="24"/>
          <w:szCs w:val="24"/>
          <w:highlight w:val="none"/>
        </w:rPr>
        <w:t>索赔</w:t>
      </w:r>
    </w:p>
    <w:p>
      <w:pPr>
        <w:numPr>
          <w:ilvl w:val="0"/>
          <w:numId w:val="18"/>
        </w:numPr>
        <w:tabs>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如果卖方提供的货物与合同不符，并且买方已于第十三条、第十四条规定的质量保证期内和检验、验收测试期限内提出索赔，卖方应按买方同意的下述一种或多种方法解决索赔事宜。</w:t>
      </w:r>
    </w:p>
    <w:p>
      <w:pPr>
        <w:numPr>
          <w:ilvl w:val="0"/>
          <w:numId w:val="19"/>
        </w:numPr>
        <w:tabs>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应向买方支付与被拒收货物价值等额的款项，并应负担由此发生的一切损失补偿和费用，包括利息、银行费用、运费和保险费、检验费、仓储费、装卸费以及为保管和保护被拒绝货物所需要的其它必要费用等。如果买方选择按本项解决索赔事宜，则在卖方支付前述款项和费用后，卖方将被免除按本合同交付该批货物的义务。</w:t>
      </w:r>
    </w:p>
    <w:p>
      <w:pPr>
        <w:spacing w:line="440" w:lineRule="exact"/>
        <w:ind w:left="540" w:firstLine="0" w:firstLineChars="0"/>
        <w:rPr>
          <w:rFonts w:ascii="宋体" w:hAnsi="宋体"/>
          <w:color w:val="auto"/>
          <w:sz w:val="24"/>
          <w:szCs w:val="24"/>
          <w:highlight w:val="none"/>
        </w:rPr>
      </w:pPr>
      <w:r>
        <w:rPr>
          <w:rFonts w:ascii="宋体" w:hAnsi="宋体"/>
          <w:color w:val="auto"/>
          <w:sz w:val="24"/>
          <w:szCs w:val="24"/>
          <w:highlight w:val="none"/>
        </w:rPr>
        <w:t xml:space="preserve">15.1.2 </w:t>
      </w:r>
      <w:r>
        <w:rPr>
          <w:rFonts w:hint="eastAsia" w:ascii="宋体" w:hAnsi="宋体"/>
          <w:color w:val="auto"/>
          <w:sz w:val="24"/>
          <w:szCs w:val="24"/>
          <w:highlight w:val="none"/>
        </w:rPr>
        <w:t>更换不合格的货物，以达到合同规定的规格、质量和性能，卖方承担由此产生的一切费用和风险并负担买方遭受的一切直接费用和损失。同时卖方应根据第十三条规定对更换的货物相应地延长质量保证期。</w:t>
      </w:r>
    </w:p>
    <w:p>
      <w:pPr>
        <w:numPr>
          <w:ilvl w:val="0"/>
          <w:numId w:val="18"/>
        </w:numPr>
        <w:tabs>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由于卖方原因而引起的设备或部件的更换或补齐短少的零部件的时间，以不影响设备安装、调试及运行进度为原则，但最迟不得晚于发现缺陷、损坏或短缺等之后</w:t>
      </w:r>
      <w:r>
        <w:rPr>
          <w:rFonts w:ascii="宋体" w:hAnsi="宋体"/>
          <w:color w:val="auto"/>
          <w:sz w:val="24"/>
          <w:szCs w:val="24"/>
          <w:highlight w:val="none"/>
        </w:rPr>
        <w:t>1周或买卖双方商定的更长时间内，否则按延迟交货处理。</w:t>
      </w:r>
    </w:p>
    <w:p>
      <w:pPr>
        <w:numPr>
          <w:ilvl w:val="0"/>
          <w:numId w:val="18"/>
        </w:numPr>
        <w:tabs>
          <w:tab w:val="left" w:pos="1260"/>
          <w:tab w:val="clear" w:pos="1080"/>
        </w:tabs>
        <w:spacing w:line="440" w:lineRule="exact"/>
        <w:ind w:left="540" w:firstLine="0" w:firstLineChars="0"/>
        <w:rPr>
          <w:rFonts w:ascii="宋体" w:hAnsi="宋体"/>
          <w:color w:val="auto"/>
          <w:sz w:val="24"/>
          <w:szCs w:val="24"/>
          <w:highlight w:val="none"/>
        </w:rPr>
      </w:pPr>
      <w:r>
        <w:rPr>
          <w:rFonts w:ascii="宋体" w:hAnsi="宋体"/>
          <w:color w:val="auto"/>
          <w:sz w:val="24"/>
          <w:szCs w:val="24"/>
          <w:highlight w:val="none"/>
        </w:rPr>
        <w:t>如果买方提出索赔通知后20日内卖方未能答复，该索赔应视为已被卖方接受</w:t>
      </w:r>
      <w:r>
        <w:rPr>
          <w:rFonts w:hint="eastAsia" w:ascii="宋体" w:hAnsi="宋体"/>
          <w:color w:val="auto"/>
          <w:sz w:val="24"/>
          <w:szCs w:val="24"/>
          <w:highlight w:val="none"/>
        </w:rPr>
        <w:t>（以买方寄出通知书的邮戳日期为起算日）</w:t>
      </w:r>
      <w:r>
        <w:rPr>
          <w:rFonts w:ascii="宋体" w:hAnsi="宋体"/>
          <w:color w:val="auto"/>
          <w:sz w:val="24"/>
          <w:szCs w:val="24"/>
          <w:highlight w:val="none"/>
        </w:rPr>
        <w:t>。若卖方未能在买方提出索赔通知的20日内或买方同意的更长一些的时间内，按买方同意的上述任何一种方式处理索赔事宜，买方将从货款或卖方提供的履约保证金或质量保证金中扣回索赔金额，履约保证金或质量保证金金额不足时，买方有权向卖方进行进一步的索赔。</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第十六条</w:t>
      </w:r>
      <w:r>
        <w:rPr>
          <w:rFonts w:ascii="宋体" w:hAnsi="宋体"/>
          <w:b/>
          <w:color w:val="auto"/>
          <w:sz w:val="24"/>
          <w:szCs w:val="24"/>
          <w:highlight w:val="none"/>
        </w:rPr>
        <w:t xml:space="preserve"> </w:t>
      </w:r>
      <w:r>
        <w:rPr>
          <w:rFonts w:hint="eastAsia" w:ascii="宋体" w:hAnsi="宋体"/>
          <w:b/>
          <w:color w:val="auto"/>
          <w:sz w:val="24"/>
          <w:szCs w:val="24"/>
          <w:highlight w:val="none"/>
        </w:rPr>
        <w:t>安装、调试、试运和验收</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本合同设备由卖方根据相关设备的技术资料、检验标准、图纸及说明书进行安装、调试、运行和维修。重要工序须经卖方现场技术服务人员签字确认。安装、调试过程中，若卖方未按相关设备的技术资料规定和安装规定而出现问题，卖方自行负责。</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在安装之前，卖方技术人员应说明安装方法和要求。在安装过程中，买方技术人员有权对安装工作进行</w:t>
      </w:r>
      <w:r>
        <w:rPr>
          <w:rFonts w:ascii="宋体" w:hAnsi="宋体"/>
          <w:color w:val="auto"/>
          <w:sz w:val="24"/>
          <w:szCs w:val="24"/>
          <w:highlight w:val="none"/>
        </w:rPr>
        <w:t>监督</w:t>
      </w:r>
      <w:r>
        <w:rPr>
          <w:rFonts w:hint="eastAsia" w:ascii="宋体" w:hAnsi="宋体"/>
          <w:color w:val="auto"/>
          <w:sz w:val="24"/>
          <w:szCs w:val="24"/>
          <w:highlight w:val="none"/>
        </w:rPr>
        <w:t>。</w:t>
      </w:r>
      <w:r>
        <w:rPr>
          <w:rFonts w:ascii="宋体" w:hAnsi="宋体"/>
          <w:color w:val="auto"/>
          <w:sz w:val="24"/>
          <w:szCs w:val="24"/>
          <w:highlight w:val="none"/>
        </w:rPr>
        <w:t>在单套合同设备安装完毕后，买卖双方代表将进一步核实、确认安装工作，并共同签署安装完毕证书一式二份，买卖双方各执一份。但此证书不能解除卖方在试运行、性能验收试验和保证期内的责任，以及技术性能和保证与合同规定不相符的责任。本合同设备安装完毕后的验收工作按照技术规格书的要求进行。</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合同设备安装完毕后，卖方应派人参加调试进行指导，并应尽快解决调试中出现的因卖方原因引起的设备问题，其所需时间一般不应超过</w:t>
      </w:r>
      <w:r>
        <w:rPr>
          <w:rFonts w:ascii="宋体" w:hAnsi="宋体"/>
          <w:color w:val="auto"/>
          <w:sz w:val="24"/>
          <w:szCs w:val="24"/>
          <w:highlight w:val="none"/>
        </w:rPr>
        <w:t>1周，对于因卖方原因引起的较大的设备问题，卖方应在双方协商确定的合理期间内解决，否则将视为延误工期进行处理。对于非卖方原因引起的设备问题，卖方应尽快协助买方予以处理。</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性能验收试验的目的是为验证合同设备是否能达到各项技术性能和保证指标。验收试验由买方负责，卖方参加。性能验收试验完毕</w:t>
      </w:r>
      <w:r>
        <w:rPr>
          <w:rFonts w:ascii="宋体" w:hAnsi="宋体"/>
          <w:color w:val="auto"/>
          <w:sz w:val="24"/>
          <w:szCs w:val="24"/>
          <w:highlight w:val="none"/>
        </w:rPr>
        <w:t>,每套合同设备达到技术规格书所规定的各项性能保证值指标后，买方应在10天内签署由卖方会签的本合同设备初步性能验收合格证书一式二份，双方各执一份。除合同中另有规定外，各方人员所发生的费用均由该方自行负担。</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在不影响本合同设备安全、可靠运行的条件下，如有个别微小缺陷，且此缺陷按本合同条款被定为卖方责任</w:t>
      </w:r>
      <w:r>
        <w:rPr>
          <w:rFonts w:ascii="宋体" w:hAnsi="宋体"/>
          <w:color w:val="auto"/>
          <w:sz w:val="24"/>
          <w:szCs w:val="24"/>
          <w:highlight w:val="none"/>
        </w:rPr>
        <w:t>,卖方在双方商定的时间内免费修理上述的缺陷，买方则可同意签署初步性能验收合格证书。</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如果第一次性能验收试验达不到技术规格书所规定的一项或多项性能保证值，则双方应共同分析原因，澄清责任</w:t>
      </w:r>
      <w:r>
        <w:rPr>
          <w:rFonts w:ascii="宋体" w:hAnsi="宋体"/>
          <w:color w:val="auto"/>
          <w:sz w:val="24"/>
          <w:szCs w:val="24"/>
          <w:highlight w:val="none"/>
        </w:rPr>
        <w:t>,由责任一方采取措施，并在第一次验收试验结束后1个月内进行第二次验收试验。</w:t>
      </w:r>
    </w:p>
    <w:p>
      <w:pPr>
        <w:numPr>
          <w:ilvl w:val="0"/>
          <w:numId w:val="21"/>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如属卖方责任，卖方需自费采取有效措施以使第二次性能验收试验能达到技术性能和</w:t>
      </w:r>
      <w:r>
        <w:rPr>
          <w:rFonts w:ascii="宋体" w:hAnsi="宋体"/>
          <w:color w:val="auto"/>
          <w:sz w:val="24"/>
          <w:szCs w:val="24"/>
          <w:highlight w:val="none"/>
        </w:rPr>
        <w:t>/或保证指标，卖方将负担所有直接的费用，包括但不仅限于下列费用：</w:t>
      </w:r>
    </w:p>
    <w:p>
      <w:pPr>
        <w:numPr>
          <w:ilvl w:val="1"/>
          <w:numId w:val="22"/>
        </w:numPr>
        <w:tabs>
          <w:tab w:val="left" w:pos="1260"/>
          <w:tab w:val="clear" w:pos="132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替换和</w:t>
      </w:r>
      <w:r>
        <w:rPr>
          <w:rFonts w:ascii="宋体" w:hAnsi="宋体"/>
          <w:color w:val="auto"/>
          <w:sz w:val="24"/>
          <w:szCs w:val="24"/>
          <w:highlight w:val="none"/>
        </w:rPr>
        <w:t>/或修理的设备和材料的费用；</w:t>
      </w:r>
    </w:p>
    <w:p>
      <w:pPr>
        <w:numPr>
          <w:ilvl w:val="1"/>
          <w:numId w:val="22"/>
        </w:numPr>
        <w:tabs>
          <w:tab w:val="left" w:pos="1260"/>
          <w:tab w:val="clear" w:pos="132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参与第二次性能验收试验的卖方技术人员的费用；</w:t>
      </w:r>
    </w:p>
    <w:p>
      <w:pPr>
        <w:numPr>
          <w:ilvl w:val="1"/>
          <w:numId w:val="22"/>
        </w:numPr>
        <w:tabs>
          <w:tab w:val="left" w:pos="1260"/>
          <w:tab w:val="clear" w:pos="132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参加修理的买方人员的费用；</w:t>
      </w:r>
    </w:p>
    <w:p>
      <w:pPr>
        <w:numPr>
          <w:ilvl w:val="1"/>
          <w:numId w:val="22"/>
        </w:numPr>
        <w:tabs>
          <w:tab w:val="left" w:pos="1260"/>
          <w:tab w:val="clear" w:pos="132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第二次性能验收试验所使用的工具和设备的费用；</w:t>
      </w:r>
    </w:p>
    <w:p>
      <w:pPr>
        <w:numPr>
          <w:ilvl w:val="1"/>
          <w:numId w:val="22"/>
        </w:numPr>
        <w:tabs>
          <w:tab w:val="left" w:pos="1260"/>
          <w:tab w:val="clear" w:pos="132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第二次性能验收试验所使用的材料和消耗品的费用；</w:t>
      </w:r>
    </w:p>
    <w:p>
      <w:pPr>
        <w:numPr>
          <w:ilvl w:val="1"/>
          <w:numId w:val="22"/>
        </w:numPr>
        <w:tabs>
          <w:tab w:val="left" w:pos="1260"/>
          <w:tab w:val="clear" w:pos="1320"/>
        </w:tabs>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所更换和</w:t>
      </w:r>
      <w:r>
        <w:rPr>
          <w:rFonts w:ascii="宋体" w:hAnsi="宋体"/>
          <w:color w:val="auto"/>
          <w:sz w:val="24"/>
          <w:szCs w:val="24"/>
          <w:highlight w:val="none"/>
        </w:rPr>
        <w:t>/或修理的设备和材料运离/运抵现场的所有运输和保险费用。</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第二次性能验收试验后，如仍有一项或多项指标未能达到技术规格书所规定的性能保证值，双方应共同研究，分析原因，澄清责任</w:t>
      </w:r>
      <w:r>
        <w:rPr>
          <w:rFonts w:ascii="宋体" w:hAnsi="宋体"/>
          <w:color w:val="auto"/>
          <w:sz w:val="24"/>
          <w:szCs w:val="24"/>
          <w:highlight w:val="none"/>
        </w:rPr>
        <w:t>:</w:t>
      </w:r>
    </w:p>
    <w:p>
      <w:pPr>
        <w:numPr>
          <w:ilvl w:val="1"/>
          <w:numId w:val="23"/>
        </w:numPr>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如属卖方原因，则应按本合同第十八条执行。</w:t>
      </w:r>
    </w:p>
    <w:p>
      <w:pPr>
        <w:numPr>
          <w:ilvl w:val="1"/>
          <w:numId w:val="23"/>
        </w:numPr>
        <w:spacing w:line="360" w:lineRule="auto"/>
        <w:ind w:left="420" w:leftChars="200" w:firstLine="0" w:firstLineChars="0"/>
        <w:rPr>
          <w:rFonts w:ascii="宋体" w:hAnsi="宋体"/>
          <w:color w:val="auto"/>
          <w:sz w:val="24"/>
          <w:szCs w:val="24"/>
          <w:highlight w:val="none"/>
        </w:rPr>
      </w:pPr>
      <w:r>
        <w:rPr>
          <w:rFonts w:hint="eastAsia" w:ascii="宋体" w:hAnsi="宋体"/>
          <w:color w:val="auto"/>
          <w:sz w:val="24"/>
          <w:szCs w:val="24"/>
          <w:highlight w:val="none"/>
        </w:rPr>
        <w:t>如属买方原因，本合同设备应被认为初步性能验收通过，此后</w:t>
      </w:r>
      <w:r>
        <w:rPr>
          <w:rFonts w:ascii="宋体" w:hAnsi="宋体"/>
          <w:color w:val="auto"/>
          <w:sz w:val="24"/>
          <w:szCs w:val="24"/>
          <w:highlight w:val="none"/>
        </w:rPr>
        <w:t>10天内由买方代表签署由卖方代表会签的本合同设备初步性能验收合格证书一式二份，双方各执一份。此时卖方仍有义务向买方提供技术帮助,与买方一起采取各种措施，使合同设备达到本合同规定的技术性能和保证指标。</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初步性能验收合格证书只是证明卖方所提供的合同设备性能和参数截至出具初步性能验收证明时可以按合同要求予以接受，但不能视为卖方对合同设备中存在的可能引起合同设备损坏的潜在缺陷所应负的责任解除的证据；同样，最终性能验收合格证书也不能被视为卖方对合同设备中存在可能引起合同设备损坏的潜在缺陷应负责任的解除的证据。</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在合同执行过程中的任何时候，对由于卖方责任需要进行的检查、试验、再试验、修理或调换，在卖方提出请求时，买方应作好安排进行配合以便进行上述工作。卖方应负担修理或调换及其人员的费用。如果卖方委托买方施工人员进行加工和</w:t>
      </w:r>
      <w:r>
        <w:rPr>
          <w:rFonts w:ascii="宋体" w:hAnsi="宋体"/>
          <w:color w:val="auto"/>
          <w:sz w:val="24"/>
          <w:szCs w:val="24"/>
          <w:highlight w:val="none"/>
        </w:rPr>
        <w:t>/或修理、更换设备，或由于卖方设计图纸错误或卖方技术服务人员的指导错误造成返工，卖方应按下列公式向买方支付费用：（所有费用按发生时的费率水平计费）</w:t>
      </w:r>
    </w:p>
    <w:p>
      <w:pPr>
        <w:spacing w:line="440" w:lineRule="exact"/>
        <w:ind w:firstLine="570" w:firstLineChars="0"/>
        <w:rPr>
          <w:rFonts w:ascii="宋体" w:hAnsi="宋体"/>
          <w:color w:val="auto"/>
          <w:sz w:val="24"/>
          <w:szCs w:val="24"/>
          <w:highlight w:val="none"/>
        </w:rPr>
      </w:pPr>
      <w:r>
        <w:rPr>
          <w:rFonts w:ascii="宋体" w:hAnsi="宋体"/>
          <w:color w:val="auto"/>
          <w:sz w:val="24"/>
          <w:szCs w:val="24"/>
          <w:highlight w:val="none"/>
        </w:rPr>
        <w:t xml:space="preserve">        Ｐ＝ ａh + M + c m</w:t>
      </w:r>
    </w:p>
    <w:p>
      <w:pPr>
        <w:spacing w:line="440" w:lineRule="exact"/>
        <w:ind w:firstLine="570" w:firstLineChars="0"/>
        <w:rPr>
          <w:rFonts w:ascii="宋体" w:hAnsi="宋体"/>
          <w:color w:val="auto"/>
          <w:sz w:val="24"/>
          <w:szCs w:val="24"/>
          <w:highlight w:val="none"/>
        </w:rPr>
      </w:pPr>
      <w:r>
        <w:rPr>
          <w:rFonts w:ascii="宋体" w:hAnsi="宋体"/>
          <w:color w:val="auto"/>
          <w:sz w:val="24"/>
          <w:szCs w:val="24"/>
          <w:highlight w:val="none"/>
        </w:rPr>
        <w:t xml:space="preserve">        其中：Ｐ＿＿总费用(元)</w:t>
      </w:r>
    </w:p>
    <w:p>
      <w:pPr>
        <w:spacing w:line="440" w:lineRule="exact"/>
        <w:ind w:firstLine="570" w:firstLineChars="0"/>
        <w:rPr>
          <w:rFonts w:ascii="宋体" w:hAnsi="宋体"/>
          <w:color w:val="auto"/>
          <w:sz w:val="24"/>
          <w:szCs w:val="24"/>
          <w:highlight w:val="none"/>
        </w:rPr>
      </w:pPr>
      <w:r>
        <w:rPr>
          <w:rFonts w:ascii="宋体" w:hAnsi="宋体"/>
          <w:color w:val="auto"/>
          <w:sz w:val="24"/>
          <w:szCs w:val="24"/>
          <w:highlight w:val="none"/>
        </w:rPr>
        <w:t xml:space="preserve">              a ＿＿人工费(元/小时.人)</w:t>
      </w:r>
    </w:p>
    <w:p>
      <w:pPr>
        <w:spacing w:line="440" w:lineRule="exact"/>
        <w:ind w:firstLine="570" w:firstLineChars="0"/>
        <w:rPr>
          <w:rFonts w:ascii="宋体" w:hAnsi="宋体"/>
          <w:color w:val="auto"/>
          <w:sz w:val="24"/>
          <w:szCs w:val="24"/>
          <w:highlight w:val="none"/>
        </w:rPr>
      </w:pPr>
      <w:r>
        <w:rPr>
          <w:rFonts w:ascii="宋体" w:hAnsi="宋体"/>
          <w:color w:val="auto"/>
          <w:sz w:val="24"/>
          <w:szCs w:val="24"/>
          <w:highlight w:val="none"/>
        </w:rPr>
        <w:t xml:space="preserve">              h ＿＿人时(小时.人)</w:t>
      </w:r>
    </w:p>
    <w:p>
      <w:pPr>
        <w:spacing w:line="440" w:lineRule="exact"/>
        <w:ind w:firstLine="570" w:firstLineChars="0"/>
        <w:rPr>
          <w:rFonts w:ascii="宋体" w:hAnsi="宋体"/>
          <w:color w:val="auto"/>
          <w:sz w:val="24"/>
          <w:szCs w:val="24"/>
          <w:highlight w:val="none"/>
        </w:rPr>
      </w:pPr>
      <w:r>
        <w:rPr>
          <w:rFonts w:ascii="宋体" w:hAnsi="宋体"/>
          <w:color w:val="auto"/>
          <w:sz w:val="24"/>
          <w:szCs w:val="24"/>
          <w:highlight w:val="none"/>
        </w:rPr>
        <w:t xml:space="preserve">              M ＿＿材料费(元)</w:t>
      </w:r>
    </w:p>
    <w:p>
      <w:pPr>
        <w:spacing w:line="440" w:lineRule="exact"/>
        <w:ind w:firstLine="570" w:firstLineChars="0"/>
        <w:rPr>
          <w:rFonts w:ascii="宋体" w:hAnsi="宋体"/>
          <w:color w:val="auto"/>
          <w:sz w:val="24"/>
          <w:szCs w:val="24"/>
          <w:highlight w:val="none"/>
        </w:rPr>
      </w:pPr>
      <w:r>
        <w:rPr>
          <w:rFonts w:ascii="宋体" w:hAnsi="宋体"/>
          <w:color w:val="auto"/>
          <w:sz w:val="24"/>
          <w:szCs w:val="24"/>
          <w:highlight w:val="none"/>
        </w:rPr>
        <w:t xml:space="preserve">              c ＿＿台班数(台.班)</w:t>
      </w:r>
    </w:p>
    <w:p>
      <w:pPr>
        <w:spacing w:line="440" w:lineRule="exact"/>
        <w:ind w:firstLine="570" w:firstLineChars="0"/>
        <w:rPr>
          <w:rFonts w:ascii="宋体" w:hAnsi="宋体"/>
          <w:color w:val="auto"/>
          <w:sz w:val="24"/>
          <w:szCs w:val="24"/>
          <w:highlight w:val="none"/>
        </w:rPr>
      </w:pPr>
      <w:r>
        <w:rPr>
          <w:rFonts w:ascii="宋体" w:hAnsi="宋体"/>
          <w:color w:val="auto"/>
          <w:sz w:val="24"/>
          <w:szCs w:val="24"/>
          <w:highlight w:val="none"/>
        </w:rPr>
        <w:t xml:space="preserve">              m ＿＿每台设备的台班费(元/台.班)</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在设备寿命内</w:t>
      </w:r>
      <w:r>
        <w:rPr>
          <w:rFonts w:ascii="宋体" w:hAnsi="宋体"/>
          <w:color w:val="auto"/>
          <w:sz w:val="24"/>
          <w:szCs w:val="24"/>
          <w:highlight w:val="none"/>
        </w:rPr>
        <w:t>,卖方欲停止或不能制造某些备品备件，卖方有义务提前通知买方，以便买方有足够时间从卖方处对所需的备品备件做最后一批订货，并且卖方有义务免费提供制造这些备品备件的图纸、样板、工具、模具及技术说明等，使买方能够为合同设备制造所需的备品备件，且买方制造这些备品备件不构成对专利及工业设计权的侵权。买方在用毕后适当的时候以合理的方式和状况归还以上各项物品。</w:t>
      </w:r>
    </w:p>
    <w:p>
      <w:pPr>
        <w:numPr>
          <w:ilvl w:val="0"/>
          <w:numId w:val="20"/>
        </w:numPr>
        <w:tabs>
          <w:tab w:val="left" w:pos="540"/>
          <w:tab w:val="left" w:pos="126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不论合同设备的损失或损坏的责任在买方或是在卖方，卖方应首先尽快交付更换或补充此损失或损坏的设备，然后确定上述设备的费用由哪一方承担。</w:t>
      </w:r>
    </w:p>
    <w:p>
      <w:pPr>
        <w:spacing w:line="440" w:lineRule="exact"/>
        <w:ind w:firstLine="482"/>
        <w:rPr>
          <w:rFonts w:ascii="宋体" w:hAnsi="宋体"/>
          <w:b/>
          <w:color w:val="auto"/>
          <w:sz w:val="24"/>
          <w:szCs w:val="24"/>
          <w:highlight w:val="none"/>
        </w:rPr>
      </w:pPr>
      <w:bookmarkStart w:id="220" w:name="OLE_LINK8"/>
      <w:r>
        <w:rPr>
          <w:rFonts w:hint="eastAsia" w:ascii="宋体" w:hAnsi="宋体"/>
          <w:b/>
          <w:color w:val="auto"/>
          <w:sz w:val="24"/>
          <w:szCs w:val="24"/>
          <w:highlight w:val="none"/>
        </w:rPr>
        <w:t>第十七条 安全约定</w:t>
      </w:r>
      <w:bookmarkEnd w:id="220"/>
      <w:r>
        <w:rPr>
          <w:rFonts w:hint="eastAsia" w:ascii="宋体" w:hAnsi="宋体"/>
          <w:b/>
          <w:color w:val="auto"/>
          <w:sz w:val="24"/>
          <w:szCs w:val="24"/>
          <w:highlight w:val="none"/>
        </w:rPr>
        <w:t> </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卖方在设备安装、调试期间应严格遵守安全技术规程、安装安全操作规程、和其它相关的法律、行政法规、规范及买方的有关安全管理规定，确保作业安全。</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卖方在安装作业过程发生安全事故的，应立即向买方及相关部门报告，并采取相应的应对措施。事故的一切责任及损失均由卖方承担。</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卖方在安装作业过程中必须按规定严格执行买方制定的工作票制度。对买方规定可以不使用工作票的工作，开工前应得到买方负责人的同意。</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卖方应确保所派作业人员业务水平、身体素质及精神状态等满足安装作业要求，严禁使用未成年工和不适应现场安全作业要求的老、弱、病、残人员，不得安排60岁以上的人员入场作业。</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卖方设备安装前必须自上而下进行安全技术交底，全体作业人员均掌握项目特点及作业安全措施。</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复杂的和危险性较大的作业，卖方应制订并采取有效的作业安全技术措施。现场必须具有相关的安全标志牌。</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卖方应保证安全生产条件所需资金投入，作业前所有安装设备、工器具、作业临时电源及作业场所安全防护设施等均应经过严格检查，并有记录，保证其处于完好状态，不合格的严禁使用。</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卖方安装作业人员必须在规定的范围内作业，不得超出买方划定范围，不得擅自操作作业范围外的设施设备；若确需操作的，需征得买方值班负责人同意，由值班人员操作或在值班人员的监督下操作。</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因本合同项目安装作业造成买方或第三方人身财产损失的，卖方承担全部赔偿责任。</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买方有权监督卖方的设备安装行为，对卖方安装作业实行安全考核。当发生安全生产责任事故、买方发现卖方有违反安全管理规定行为的，买方可依以下约定在支付货款或履约保证金中扣除相应款项作为卖方应支付给买方的安全违约金。</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在设备安装作业过程中，买方每发现卖方一次违章行为，扣收卖方安全保证金 500 元，严重违章的每次扣收 1000 元。卖方违反买方有关安全生产规章制度，并且不听从买方建议，拒绝执行整改的，买方可要求停工整改，按前述标准加倍扣收安全违约金。如出现违章的行为或不听从买方建议整改的，买方以书面形式告知卖方。</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 xml:space="preserve"> 卖方在设备安装过程中每发生一起轻伤事故，买方扣收合同暂定总价的1.5%作为卖方的安全违约金；每发生一起重伤事故，买方扣收合同暂定总价的3%作为卖方的安全违约金；发生死亡及以上事故的，扣收合同暂定总价的5%作为卖方的安全违约金。</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应严格执行国家、行业的安全标准及买方安全要求，卖方发生同类违章行为（或违背买方安全要求）3次且经买方指出后仍发生的、或因卖方原因发生轻伤事故2次以上（含本数）或发生重伤事故或死亡事故的，买方有权按合同扣除安全违约金后解除本合同，并没收履约保证金。因此而解除合同所造成的损失由乙方自行承担。</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买方对设备安装现场的安全监督检查意见（包括作业人员违章及处罚情况、安全隐患情况等），以书面形式通知卖方，作为安全考核依据。</w:t>
      </w:r>
    </w:p>
    <w:p>
      <w:pPr>
        <w:numPr>
          <w:ilvl w:val="0"/>
          <w:numId w:val="24"/>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买方对卖方设备安装作业的安全监督，属于买方依自身管理需要的监管行为，其行为不构成责任主体行为，买方无需对本合同项目安装作业中的安全事故承担任何责任。</w:t>
      </w:r>
    </w:p>
    <w:p>
      <w:pPr>
        <w:spacing w:line="440" w:lineRule="exact"/>
        <w:ind w:firstLine="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第十八条</w:t>
      </w:r>
      <w:r>
        <w:rPr>
          <w:rFonts w:ascii="宋体" w:hAnsi="宋体"/>
          <w:b/>
          <w:color w:val="auto"/>
          <w:sz w:val="24"/>
          <w:szCs w:val="24"/>
          <w:highlight w:val="none"/>
        </w:rPr>
        <w:t xml:space="preserve">  </w:t>
      </w:r>
      <w:r>
        <w:rPr>
          <w:rFonts w:hint="eastAsia" w:ascii="宋体" w:hAnsi="宋体"/>
          <w:b/>
          <w:color w:val="auto"/>
          <w:sz w:val="24"/>
          <w:szCs w:val="24"/>
          <w:highlight w:val="none"/>
        </w:rPr>
        <w:t>保证与违约金</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质保期为联动调试合格试运行后的</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个月。</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卖方保证其供应的本合同设备是全新的，技术水平是先进的、成熟的、质量是优良的，设备的选型均符合安全可靠、经济运行和易于维护的要求。</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卖方保证所提交技术资料完整统一和内容正确、准确并能满足合同设备的设计、安装、调试、运行和维修的要求。</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本合同执行期间，如果卖方提供的设备有缺陷和技术资料有错误，或者由于卖方技术人员指导错误和疏忽，造成合同设备的返工或报废，卖方应立即以最快捷的方式无偿予以更换和修理。如需更换，卖方应负担由此产生的到安装现场更换的一切费用，更换或修理期限应不迟于证实属卖方责任之日起的1周或双方商定的更长时间内。由于买方未按卖方所提供的技术资料、图纸、说明书和卖方现场技术服务人员的指导而进行安装、调试造成的设备损坏，由买方负责修理，更换，但卖方有义务尽快提供所需更换的部件，对于买方要求的紧急部件，卖方应安排最快的方式运输，所有费用均由买方负担。</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合同规定的质量保证期满后，由买方在14天内出具合同设备保证期满最终性能验收合格证书交给卖方。条件是：在此期间卖方应完成买方在保证期满前提出的索赔和赔偿。但卖方对非正常维修和误操作以及由于正常磨损造成的损失不负责任。</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在质量保证期内，如发现设备有缺陷，不符合本合同规定时，如属卖方责任，则买方有权向卖方提出索赔。如卖方对此索赔有异议按第十五条办理。否则卖方在接到买方索赔文件后，应立即无偿修理、更换、赔款或委托买方安排大型修理，由此产生的到安装现场的更换费用、运输费及保险费也由卖方承担。</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如由于卖方责任需要更换、修理有缺陷的设备，而使合同设备停运或推迟安装时，则保证期应按实际修理或更换所延误的时间做相应的延长。</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由于卖方责任，在第十六条规定的性能验收试验后，如经第二次验收试验(由于卖方原因)仍不能达到技术规格书所规定的一项或多项保证指标时，卖方应按下列方式承担违约责任为：卖方应在一周内予以更换设备，同时支付该设备合同价10%的违约金。</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如合同设备在质量保证期内发现属卖方责任的十分严重的缺陷（如设备性能达不到要求等）则其质量保证期将自该缺陷修正后开始重新计算。</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如果不是由于买方原因或买方没有要求推迟交货而卖方未能按本合同规定的交货期交货时（不可抗力除外），买方有权按下列比例向卖方收取违约金(不满一周按比例计算)：</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迟交1－4周，每周违约金金额为迟交货物金额的0.5％；</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迟交5－8周，每周违约金金额为迟交货物金额的1％；</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迟交9周以上，每周违约金金额为迟交货物金额的1.5％；</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每套合同设备迟交货物的违约金总金额不超过每套合同设备价格的10％。卖方支付迟交违约金，并不解除卖方按照合同继续交货的义务。</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对安装、运行有重大影响的设备迟延交付达90日时，卖方除应向买方支付合同价款10%的迟延交付违约金外，还应向买方赔偿因此而遭受的损失, 此损失在履约保证金中扣除，履约保证金金额不足时，买方有权向卖方进行进一步的索赔。</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如由于确属卖方责任未能按本合同规定按时交付经双方确认属严重影响关键技术资料时，买方有权按下列比例向卖方收取违约金(不满一周按比例计算)：</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迟交１周内，违约金金额为人民币2000元/周；</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迟交2－4周，违约金金额为人民币5000元/周；</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迟交4周以上，违约金金额为人民币10000元/周；</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果由于卖方技术服务的延误、疏忽和/或错误，在执行合同中造成延误，每延误工期一周卖方将向买方支付合同价款的0.5％违约金。且卖方需支付由于卖方技术服务错误或违约造成买方的直接损失。如果由于卖方运抵现场的设备包装不符合买、卖双方达成的包装与保管技术标准与规范的要求，则买方有权要求卖方支付合同价款1%的违约金。</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卖方按本合同规定所承担的违约金总额不论单项或多项累计将不超过合同价款的30％。</w:t>
      </w:r>
    </w:p>
    <w:p>
      <w:pPr>
        <w:numPr>
          <w:ilvl w:val="0"/>
          <w:numId w:val="25"/>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卖方支付迟交违约金并不解除按合同所规定的相应义务。</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第十九条</w:t>
      </w:r>
      <w:r>
        <w:rPr>
          <w:rFonts w:ascii="宋体" w:hAnsi="宋体"/>
          <w:b/>
          <w:color w:val="auto"/>
          <w:sz w:val="24"/>
          <w:szCs w:val="24"/>
          <w:highlight w:val="none"/>
        </w:rPr>
        <w:t xml:space="preserve">  </w:t>
      </w:r>
      <w:r>
        <w:rPr>
          <w:rFonts w:hint="eastAsia" w:ascii="宋体" w:hAnsi="宋体"/>
          <w:b/>
          <w:color w:val="auto"/>
          <w:sz w:val="24"/>
          <w:szCs w:val="24"/>
          <w:highlight w:val="none"/>
        </w:rPr>
        <w:t>不可抗力</w:t>
      </w:r>
    </w:p>
    <w:p>
      <w:pPr>
        <w:numPr>
          <w:ilvl w:val="0"/>
          <w:numId w:val="26"/>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任何一方由于不可抗力事件而影响其履行合同义务时，可以延迟履行合同义务，但延迟履行合同义务的期限和范围应仅限于受不可抗力事件影响的时间和范围，无论本合同其他条款如何规定，任何一方均不得因不可抗力事件而要求调整合同价款。</w:t>
      </w:r>
    </w:p>
    <w:p>
      <w:pPr>
        <w:numPr>
          <w:ilvl w:val="0"/>
          <w:numId w:val="26"/>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受不可抗力影响的一方应在不可抗力事故发生后，尽快将所发生的不可抗力事件的情况以传真或电报等方式通知另一方，受影响的一方同时应尽量设法缩小这种影响和由此而引起的延误，一旦不可抗力的影响消除后，应将此情况立即通知对方，并立即恢复履行受不可抗力事件影响的合同义务。</w:t>
      </w:r>
    </w:p>
    <w:p>
      <w:pPr>
        <w:numPr>
          <w:ilvl w:val="0"/>
          <w:numId w:val="26"/>
        </w:numPr>
        <w:tabs>
          <w:tab w:val="left" w:pos="540"/>
          <w:tab w:val="left" w:pos="1260"/>
          <w:tab w:val="left" w:pos="1440"/>
          <w:tab w:val="clear" w:pos="108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如果双方对不可抗力事件的影响估计将延续到一百天以上时，双方应通过友好协商解决本合同的执行问题。</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第二十条</w:t>
      </w:r>
      <w:r>
        <w:rPr>
          <w:rFonts w:ascii="宋体" w:hAnsi="宋体"/>
          <w:b/>
          <w:color w:val="auto"/>
          <w:sz w:val="24"/>
          <w:szCs w:val="24"/>
          <w:highlight w:val="none"/>
        </w:rPr>
        <w:t xml:space="preserve">  </w:t>
      </w:r>
      <w:r>
        <w:rPr>
          <w:rFonts w:hint="eastAsia" w:ascii="宋体" w:hAnsi="宋体"/>
          <w:b/>
          <w:color w:val="auto"/>
          <w:sz w:val="24"/>
          <w:szCs w:val="24"/>
          <w:highlight w:val="none"/>
        </w:rPr>
        <w:t>违约终止合同</w:t>
      </w:r>
    </w:p>
    <w:p>
      <w:pPr>
        <w:tabs>
          <w:tab w:val="left" w:pos="540"/>
          <w:tab w:val="left" w:pos="1260"/>
          <w:tab w:val="left" w:pos="144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20.1因卖方违约，买方有权采取任何必要的措施予以补救，在下列卖方违约情况下，买方在向卖方发出书面违约通知后，可立即解除全部或部分合同：</w:t>
      </w:r>
      <w:r>
        <w:rPr>
          <w:rFonts w:ascii="宋体" w:hAnsi="宋体"/>
          <w:color w:val="auto"/>
          <w:sz w:val="24"/>
          <w:szCs w:val="24"/>
          <w:highlight w:val="none"/>
        </w:rPr>
        <w:t xml:space="preserve"> </w:t>
      </w:r>
    </w:p>
    <w:p>
      <w:pPr>
        <w:numPr>
          <w:ilvl w:val="1"/>
          <w:numId w:val="27"/>
        </w:numPr>
        <w:tabs>
          <w:tab w:val="left" w:pos="1620"/>
          <w:tab w:val="clear" w:pos="1320"/>
        </w:tabs>
        <w:spacing w:line="440" w:lineRule="exact"/>
        <w:ind w:left="1620" w:hanging="720" w:firstLineChars="0"/>
        <w:rPr>
          <w:rFonts w:ascii="宋体" w:hAnsi="宋体"/>
          <w:color w:val="auto"/>
          <w:sz w:val="24"/>
          <w:szCs w:val="24"/>
          <w:highlight w:val="none"/>
        </w:rPr>
      </w:pPr>
      <w:r>
        <w:rPr>
          <w:rFonts w:hint="eastAsia" w:ascii="宋体" w:hAnsi="宋体"/>
          <w:color w:val="auto"/>
          <w:sz w:val="24"/>
          <w:szCs w:val="24"/>
          <w:highlight w:val="none"/>
        </w:rPr>
        <w:t>卖方原因导致的迟延交付超过</w:t>
      </w:r>
      <w:r>
        <w:rPr>
          <w:rFonts w:ascii="宋体" w:hAnsi="宋体"/>
          <w:color w:val="auto"/>
          <w:sz w:val="24"/>
          <w:szCs w:val="24"/>
          <w:highlight w:val="none"/>
        </w:rPr>
        <w:t>90天时；</w:t>
      </w:r>
    </w:p>
    <w:p>
      <w:pPr>
        <w:numPr>
          <w:ilvl w:val="1"/>
          <w:numId w:val="27"/>
        </w:numPr>
        <w:tabs>
          <w:tab w:val="left" w:pos="1620"/>
          <w:tab w:val="clear" w:pos="1320"/>
        </w:tabs>
        <w:spacing w:line="440" w:lineRule="exact"/>
        <w:ind w:left="1620" w:hanging="720" w:firstLineChars="0"/>
        <w:rPr>
          <w:rFonts w:ascii="宋体" w:hAnsi="宋体"/>
          <w:color w:val="auto"/>
          <w:sz w:val="24"/>
          <w:szCs w:val="24"/>
          <w:highlight w:val="none"/>
        </w:rPr>
      </w:pPr>
      <w:r>
        <w:rPr>
          <w:rFonts w:hint="eastAsia" w:ascii="宋体" w:hAnsi="宋体"/>
          <w:color w:val="auto"/>
          <w:sz w:val="24"/>
          <w:szCs w:val="24"/>
          <w:highlight w:val="none"/>
        </w:rPr>
        <w:t>卖方未能履行合同项下的任何其它义务，导致买方利益遭受严重损害的；</w:t>
      </w:r>
    </w:p>
    <w:p>
      <w:pPr>
        <w:numPr>
          <w:ilvl w:val="1"/>
          <w:numId w:val="27"/>
        </w:numPr>
        <w:tabs>
          <w:tab w:val="left" w:pos="1620"/>
          <w:tab w:val="clear" w:pos="1320"/>
        </w:tabs>
        <w:spacing w:line="440" w:lineRule="exact"/>
        <w:ind w:left="1620" w:hanging="720" w:firstLineChars="0"/>
        <w:rPr>
          <w:rFonts w:ascii="宋体" w:hAnsi="宋体"/>
          <w:color w:val="auto"/>
          <w:sz w:val="24"/>
          <w:szCs w:val="24"/>
          <w:highlight w:val="none"/>
        </w:rPr>
      </w:pPr>
      <w:r>
        <w:rPr>
          <w:rFonts w:hint="eastAsia" w:ascii="宋体" w:hAnsi="宋体"/>
          <w:color w:val="auto"/>
          <w:sz w:val="24"/>
          <w:szCs w:val="24"/>
          <w:highlight w:val="none"/>
        </w:rPr>
        <w:t>卖方破产或无清偿能力。</w:t>
      </w:r>
    </w:p>
    <w:p>
      <w:pPr>
        <w:tabs>
          <w:tab w:val="left" w:pos="540"/>
          <w:tab w:val="left" w:pos="1260"/>
          <w:tab w:val="left" w:pos="144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20.2一旦买方根据第20</w:t>
      </w:r>
      <w:r>
        <w:rPr>
          <w:rFonts w:ascii="宋体" w:hAnsi="宋体"/>
          <w:color w:val="auto"/>
          <w:sz w:val="24"/>
          <w:szCs w:val="24"/>
          <w:highlight w:val="none"/>
        </w:rPr>
        <w:t>.1款</w:t>
      </w:r>
      <w:r>
        <w:rPr>
          <w:rFonts w:hint="eastAsia" w:ascii="宋体" w:hAnsi="宋体"/>
          <w:color w:val="auto"/>
          <w:sz w:val="24"/>
          <w:szCs w:val="24"/>
          <w:highlight w:val="none"/>
        </w:rPr>
        <w:t>解除</w:t>
      </w:r>
      <w:r>
        <w:rPr>
          <w:rFonts w:ascii="宋体" w:hAnsi="宋体"/>
          <w:color w:val="auto"/>
          <w:sz w:val="24"/>
          <w:szCs w:val="24"/>
          <w:highlight w:val="none"/>
        </w:rPr>
        <w:t>部分或全部合同，买方有权按其认为适当的条件和方式采购类似未交付部分货物。卖方应承担买方购买类似货物的额外费用，以及因此而造成的一切损失。</w:t>
      </w:r>
      <w:r>
        <w:rPr>
          <w:rFonts w:hint="eastAsia" w:ascii="宋体" w:hAnsi="宋体"/>
          <w:color w:val="auto"/>
          <w:sz w:val="24"/>
          <w:szCs w:val="24"/>
          <w:highlight w:val="none"/>
        </w:rPr>
        <w:t>合同中未解除的部分，</w:t>
      </w:r>
      <w:r>
        <w:rPr>
          <w:rFonts w:ascii="宋体" w:hAnsi="宋体"/>
          <w:color w:val="auto"/>
          <w:sz w:val="24"/>
          <w:szCs w:val="24"/>
          <w:highlight w:val="none"/>
        </w:rPr>
        <w:t>卖方应继续履行。</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第二十一条</w:t>
      </w:r>
      <w:r>
        <w:rPr>
          <w:rFonts w:ascii="宋体" w:hAnsi="宋体"/>
          <w:b/>
          <w:color w:val="auto"/>
          <w:sz w:val="24"/>
          <w:szCs w:val="24"/>
          <w:highlight w:val="none"/>
        </w:rPr>
        <w:t xml:space="preserve">  </w:t>
      </w:r>
      <w:r>
        <w:rPr>
          <w:rFonts w:hint="eastAsia" w:ascii="宋体" w:hAnsi="宋体"/>
          <w:b/>
          <w:color w:val="auto"/>
          <w:sz w:val="24"/>
          <w:szCs w:val="24"/>
          <w:highlight w:val="none"/>
        </w:rPr>
        <w:t>变更指示</w:t>
      </w:r>
    </w:p>
    <w:p>
      <w:pPr>
        <w:tabs>
          <w:tab w:val="left" w:pos="540"/>
          <w:tab w:val="left" w:pos="1260"/>
          <w:tab w:val="left" w:pos="144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21.1买方在任何时候可以按第二十三条规定向卖方发出书面指示，对合同的下列内容及相应条款作出变更或修改：</w:t>
      </w:r>
      <w:r>
        <w:rPr>
          <w:rFonts w:ascii="宋体" w:hAnsi="宋体"/>
          <w:color w:val="auto"/>
          <w:sz w:val="24"/>
          <w:szCs w:val="24"/>
          <w:highlight w:val="none"/>
        </w:rPr>
        <w:t xml:space="preserve"> </w:t>
      </w:r>
    </w:p>
    <w:p>
      <w:pPr>
        <w:numPr>
          <w:ilvl w:val="1"/>
          <w:numId w:val="28"/>
        </w:numPr>
        <w:tabs>
          <w:tab w:val="left" w:pos="1620"/>
          <w:tab w:val="clear" w:pos="1320"/>
        </w:tabs>
        <w:spacing w:line="440" w:lineRule="exact"/>
        <w:ind w:left="1620" w:hanging="720" w:firstLineChars="0"/>
        <w:rPr>
          <w:rFonts w:ascii="宋体" w:hAnsi="宋体"/>
          <w:color w:val="auto"/>
          <w:sz w:val="24"/>
          <w:szCs w:val="24"/>
          <w:highlight w:val="none"/>
        </w:rPr>
      </w:pPr>
      <w:r>
        <w:rPr>
          <w:rFonts w:hint="eastAsia" w:ascii="宋体" w:hAnsi="宋体"/>
          <w:color w:val="auto"/>
          <w:sz w:val="24"/>
          <w:szCs w:val="24"/>
          <w:highlight w:val="none"/>
        </w:rPr>
        <w:t>装运方式和包装方式；</w:t>
      </w:r>
    </w:p>
    <w:p>
      <w:pPr>
        <w:numPr>
          <w:ilvl w:val="1"/>
          <w:numId w:val="28"/>
        </w:numPr>
        <w:tabs>
          <w:tab w:val="left" w:pos="1620"/>
          <w:tab w:val="clear" w:pos="1320"/>
        </w:tabs>
        <w:spacing w:line="440" w:lineRule="exact"/>
        <w:ind w:left="1620" w:hanging="720" w:firstLineChars="0"/>
        <w:rPr>
          <w:rFonts w:ascii="宋体" w:hAnsi="宋体"/>
          <w:color w:val="auto"/>
          <w:sz w:val="24"/>
          <w:szCs w:val="24"/>
          <w:highlight w:val="none"/>
        </w:rPr>
      </w:pPr>
      <w:r>
        <w:rPr>
          <w:rFonts w:hint="eastAsia" w:ascii="宋体" w:hAnsi="宋体"/>
          <w:color w:val="auto"/>
          <w:sz w:val="24"/>
          <w:szCs w:val="24"/>
          <w:highlight w:val="none"/>
        </w:rPr>
        <w:t>交货地点；</w:t>
      </w:r>
    </w:p>
    <w:p>
      <w:pPr>
        <w:numPr>
          <w:ilvl w:val="1"/>
          <w:numId w:val="28"/>
        </w:numPr>
        <w:tabs>
          <w:tab w:val="left" w:pos="1620"/>
          <w:tab w:val="clear" w:pos="1320"/>
        </w:tabs>
        <w:spacing w:line="440" w:lineRule="exact"/>
        <w:ind w:left="1620" w:hanging="720" w:firstLineChars="0"/>
        <w:rPr>
          <w:rFonts w:ascii="宋体" w:hAnsi="宋体"/>
          <w:color w:val="auto"/>
          <w:sz w:val="24"/>
          <w:szCs w:val="24"/>
          <w:highlight w:val="none"/>
        </w:rPr>
      </w:pPr>
      <w:r>
        <w:rPr>
          <w:rFonts w:hint="eastAsia" w:ascii="宋体" w:hAnsi="宋体"/>
          <w:color w:val="auto"/>
          <w:sz w:val="24"/>
          <w:szCs w:val="24"/>
          <w:highlight w:val="none"/>
        </w:rPr>
        <w:t>卖方须提供的服务。</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第二十二条</w:t>
      </w:r>
      <w:r>
        <w:rPr>
          <w:rFonts w:ascii="宋体" w:hAnsi="宋体"/>
          <w:b/>
          <w:color w:val="auto"/>
          <w:sz w:val="24"/>
          <w:szCs w:val="24"/>
          <w:highlight w:val="none"/>
        </w:rPr>
        <w:t xml:space="preserve">  </w:t>
      </w:r>
      <w:r>
        <w:rPr>
          <w:rFonts w:hint="eastAsia" w:ascii="宋体" w:hAnsi="宋体"/>
          <w:b/>
          <w:color w:val="auto"/>
          <w:sz w:val="24"/>
          <w:szCs w:val="24"/>
          <w:highlight w:val="none"/>
        </w:rPr>
        <w:t>合同修改</w:t>
      </w:r>
    </w:p>
    <w:p>
      <w:pPr>
        <w:spacing w:line="440" w:lineRule="exact"/>
        <w:ind w:firstLine="570" w:firstLineChars="0"/>
        <w:rPr>
          <w:rFonts w:ascii="宋体" w:hAnsi="宋体"/>
          <w:color w:val="auto"/>
          <w:sz w:val="24"/>
          <w:szCs w:val="24"/>
          <w:highlight w:val="none"/>
        </w:rPr>
      </w:pPr>
      <w:r>
        <w:rPr>
          <w:rFonts w:hint="eastAsia" w:ascii="宋体" w:hAnsi="宋体"/>
          <w:color w:val="auto"/>
          <w:sz w:val="24"/>
          <w:szCs w:val="24"/>
          <w:highlight w:val="none"/>
        </w:rPr>
        <w:t>根据第二十一条，欲对合同条款作出任何改动或偏离，买卖双方均须签署书面的合同修改书。</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第二十三条</w:t>
      </w:r>
      <w:r>
        <w:rPr>
          <w:rFonts w:ascii="宋体" w:hAnsi="宋体"/>
          <w:b/>
          <w:color w:val="auto"/>
          <w:sz w:val="24"/>
          <w:szCs w:val="24"/>
          <w:highlight w:val="none"/>
        </w:rPr>
        <w:t xml:space="preserve">  </w:t>
      </w:r>
      <w:r>
        <w:rPr>
          <w:rFonts w:hint="eastAsia" w:ascii="宋体" w:hAnsi="宋体"/>
          <w:b/>
          <w:color w:val="auto"/>
          <w:sz w:val="24"/>
          <w:szCs w:val="24"/>
          <w:highlight w:val="none"/>
        </w:rPr>
        <w:t>转包与分包</w:t>
      </w:r>
    </w:p>
    <w:p>
      <w:pPr>
        <w:spacing w:line="440" w:lineRule="exact"/>
        <w:ind w:firstLine="570" w:firstLineChars="0"/>
        <w:rPr>
          <w:rFonts w:ascii="宋体" w:hAnsi="宋体"/>
          <w:color w:val="auto"/>
          <w:sz w:val="24"/>
          <w:szCs w:val="24"/>
          <w:highlight w:val="none"/>
        </w:rPr>
      </w:pPr>
      <w:r>
        <w:rPr>
          <w:rFonts w:hint="eastAsia" w:ascii="宋体" w:hAnsi="宋体"/>
          <w:color w:val="auto"/>
          <w:sz w:val="24"/>
          <w:szCs w:val="24"/>
          <w:highlight w:val="none"/>
        </w:rPr>
        <w:t>卖方不得将其在本合同项下的义务全部转让或分包给任何第三方。</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第二十四条</w:t>
      </w:r>
      <w:r>
        <w:rPr>
          <w:rFonts w:ascii="宋体" w:hAnsi="宋体"/>
          <w:b/>
          <w:color w:val="auto"/>
          <w:sz w:val="24"/>
          <w:szCs w:val="24"/>
          <w:highlight w:val="none"/>
        </w:rPr>
        <w:t xml:space="preserve">  </w:t>
      </w:r>
      <w:r>
        <w:rPr>
          <w:rFonts w:hint="eastAsia" w:ascii="宋体" w:hAnsi="宋体"/>
          <w:b/>
          <w:color w:val="auto"/>
          <w:sz w:val="24"/>
          <w:szCs w:val="24"/>
          <w:highlight w:val="none"/>
        </w:rPr>
        <w:t>通知</w:t>
      </w:r>
    </w:p>
    <w:p>
      <w:pPr>
        <w:spacing w:line="440" w:lineRule="exact"/>
        <w:ind w:firstLine="570" w:firstLineChars="0"/>
        <w:rPr>
          <w:rFonts w:ascii="宋体" w:hAnsi="宋体"/>
          <w:color w:val="auto"/>
          <w:sz w:val="24"/>
          <w:szCs w:val="24"/>
          <w:highlight w:val="none"/>
        </w:rPr>
      </w:pPr>
      <w:r>
        <w:rPr>
          <w:rFonts w:hint="eastAsia" w:ascii="宋体" w:hAnsi="宋体"/>
          <w:color w:val="auto"/>
          <w:sz w:val="24"/>
          <w:szCs w:val="24"/>
          <w:highlight w:val="none"/>
        </w:rPr>
        <w:t>本合同任何一方给另一方的通知都应以信函或电报、传真等书面形式发送，而另一方应以书面形式确认并发送到对方明确的地址。</w:t>
      </w:r>
    </w:p>
    <w:p>
      <w:pPr>
        <w:spacing w:line="440" w:lineRule="exact"/>
        <w:ind w:firstLine="570" w:firstLineChars="0"/>
        <w:rPr>
          <w:rFonts w:ascii="宋体" w:hAnsi="宋体"/>
          <w:color w:val="auto"/>
          <w:sz w:val="24"/>
          <w:szCs w:val="24"/>
          <w:highlight w:val="none"/>
        </w:rPr>
      </w:pPr>
    </w:p>
    <w:p>
      <w:pPr>
        <w:spacing w:line="44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第二十五条</w:t>
      </w:r>
      <w:r>
        <w:rPr>
          <w:rFonts w:ascii="宋体" w:hAnsi="宋体"/>
          <w:b/>
          <w:color w:val="auto"/>
          <w:sz w:val="24"/>
          <w:szCs w:val="24"/>
          <w:highlight w:val="none"/>
        </w:rPr>
        <w:t xml:space="preserve">  </w:t>
      </w:r>
      <w:r>
        <w:rPr>
          <w:rFonts w:hint="eastAsia" w:ascii="宋体" w:hAnsi="宋体"/>
          <w:b/>
          <w:color w:val="auto"/>
          <w:sz w:val="24"/>
          <w:szCs w:val="24"/>
          <w:highlight w:val="none"/>
        </w:rPr>
        <w:t>合同文件资料的使用</w:t>
      </w:r>
    </w:p>
    <w:p>
      <w:pPr>
        <w:tabs>
          <w:tab w:val="left" w:pos="540"/>
          <w:tab w:val="left" w:pos="1260"/>
          <w:tab w:val="left" w:pos="1440"/>
        </w:tabs>
        <w:spacing w:line="44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25.1除了卖方为执行合同所雇人员外，在未经买方同意的情况下，卖方不得将合同、或其中任何规定、或任何有关规格、计划或买方为上述内容向卖方提供的资料透露给任何人。卖方须在对外保密的前提下，对其雇用人员提供有关情况，所提供的情况仅限于执行合同必不可少的范围内。</w:t>
      </w:r>
    </w:p>
    <w:p>
      <w:pPr>
        <w:tabs>
          <w:tab w:val="left" w:pos="540"/>
          <w:tab w:val="left" w:pos="1260"/>
          <w:tab w:val="left" w:pos="1440"/>
        </w:tabs>
        <w:spacing w:line="40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25.2除非执行合同需要，在事先未得到买方同意的情况下，卖方不得使用第</w:t>
      </w:r>
      <w:r>
        <w:rPr>
          <w:rFonts w:ascii="宋体" w:hAnsi="宋体"/>
          <w:color w:val="auto"/>
          <w:sz w:val="24"/>
          <w:szCs w:val="24"/>
          <w:highlight w:val="none"/>
        </w:rPr>
        <w:t>2</w:t>
      </w:r>
      <w:r>
        <w:rPr>
          <w:rFonts w:hint="eastAsia" w:ascii="宋体" w:hAnsi="宋体"/>
          <w:color w:val="auto"/>
          <w:sz w:val="24"/>
          <w:szCs w:val="24"/>
          <w:highlight w:val="none"/>
        </w:rPr>
        <w:t>5.1</w:t>
      </w:r>
      <w:r>
        <w:rPr>
          <w:rFonts w:ascii="宋体" w:hAnsi="宋体"/>
          <w:color w:val="auto"/>
          <w:sz w:val="24"/>
          <w:szCs w:val="24"/>
          <w:highlight w:val="none"/>
        </w:rPr>
        <w:t>款中所列的任何文件和资料。</w:t>
      </w:r>
    </w:p>
    <w:p>
      <w:pPr>
        <w:spacing w:line="400" w:lineRule="exact"/>
        <w:ind w:firstLine="570" w:firstLineChars="0"/>
        <w:rPr>
          <w:rFonts w:ascii="宋体" w:hAnsi="宋体"/>
          <w:color w:val="auto"/>
          <w:sz w:val="24"/>
          <w:szCs w:val="24"/>
          <w:highlight w:val="none"/>
        </w:rPr>
      </w:pPr>
    </w:p>
    <w:p>
      <w:pPr>
        <w:spacing w:line="40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第二十六条</w:t>
      </w:r>
      <w:r>
        <w:rPr>
          <w:rFonts w:ascii="宋体" w:hAnsi="宋体"/>
          <w:b/>
          <w:color w:val="auto"/>
          <w:sz w:val="24"/>
          <w:szCs w:val="24"/>
          <w:highlight w:val="none"/>
        </w:rPr>
        <w:t xml:space="preserve">  </w:t>
      </w:r>
      <w:r>
        <w:rPr>
          <w:rFonts w:hint="eastAsia" w:ascii="宋体" w:hAnsi="宋体"/>
          <w:b/>
          <w:color w:val="auto"/>
          <w:sz w:val="24"/>
          <w:szCs w:val="24"/>
          <w:highlight w:val="none"/>
        </w:rPr>
        <w:t>合同生效及期限</w:t>
      </w:r>
    </w:p>
    <w:p>
      <w:pPr>
        <w:tabs>
          <w:tab w:val="left" w:pos="1260"/>
          <w:tab w:val="left" w:pos="1440"/>
        </w:tabs>
        <w:spacing w:line="40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26.1本合同经双方法定代表人或其授权代表签字盖章后生效。</w:t>
      </w:r>
    </w:p>
    <w:p>
      <w:pPr>
        <w:tabs>
          <w:tab w:val="left" w:pos="1260"/>
          <w:tab w:val="left" w:pos="1440"/>
        </w:tabs>
        <w:spacing w:line="40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26.2本合同有效期自合同生效日起到双方之间已完全解决了所有索赔事项并货款两清之日止。</w:t>
      </w:r>
    </w:p>
    <w:p>
      <w:pPr>
        <w:spacing w:line="400" w:lineRule="exact"/>
        <w:ind w:firstLine="570" w:firstLineChars="0"/>
        <w:rPr>
          <w:rFonts w:ascii="宋体" w:hAnsi="宋体"/>
          <w:color w:val="auto"/>
          <w:sz w:val="24"/>
          <w:szCs w:val="24"/>
          <w:highlight w:val="none"/>
        </w:rPr>
      </w:pPr>
    </w:p>
    <w:p>
      <w:pPr>
        <w:spacing w:line="40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第二十七条</w:t>
      </w:r>
      <w:r>
        <w:rPr>
          <w:rFonts w:ascii="宋体" w:hAnsi="宋体"/>
          <w:b/>
          <w:color w:val="auto"/>
          <w:sz w:val="24"/>
          <w:szCs w:val="24"/>
          <w:highlight w:val="none"/>
        </w:rPr>
        <w:t xml:space="preserve">  </w:t>
      </w:r>
      <w:r>
        <w:rPr>
          <w:rFonts w:hint="eastAsia" w:ascii="宋体" w:hAnsi="宋体"/>
          <w:b/>
          <w:color w:val="auto"/>
          <w:sz w:val="24"/>
          <w:szCs w:val="24"/>
          <w:highlight w:val="none"/>
        </w:rPr>
        <w:t>争议解决</w:t>
      </w:r>
    </w:p>
    <w:p>
      <w:pPr>
        <w:tabs>
          <w:tab w:val="left" w:pos="540"/>
          <w:tab w:val="left" w:pos="1260"/>
          <w:tab w:val="left" w:pos="1440"/>
        </w:tabs>
        <w:spacing w:line="40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27.1 因货物的质量问题发生争议的，可在国家认可的质量检测机构对货物质量进行鉴定。货物符合标准的，鉴定费由买方承担；货物不符合质量标准的，鉴定费由卖方承担。</w:t>
      </w:r>
    </w:p>
    <w:p>
      <w:pPr>
        <w:tabs>
          <w:tab w:val="left" w:pos="540"/>
          <w:tab w:val="left" w:pos="1260"/>
          <w:tab w:val="left" w:pos="1440"/>
        </w:tabs>
        <w:spacing w:line="40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27.2因履行本合同引起的或与本合同有关的争议，甲、乙双方应首先通过友好协商解决；如果协商不能解决争议，买卖双方同意采取下列两种方式的第（ 1 ）种方式解决争议：</w:t>
      </w:r>
    </w:p>
    <w:p>
      <w:pPr>
        <w:tabs>
          <w:tab w:val="left" w:pos="540"/>
          <w:tab w:val="left" w:pos="1260"/>
          <w:tab w:val="left" w:pos="1440"/>
        </w:tabs>
        <w:spacing w:line="40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（1）向买方住所地的基层人民法院提起诉讼，适用中华人民共和国法律；</w:t>
      </w:r>
    </w:p>
    <w:p>
      <w:pPr>
        <w:tabs>
          <w:tab w:val="left" w:pos="540"/>
          <w:tab w:val="left" w:pos="1260"/>
          <w:tab w:val="left" w:pos="1440"/>
        </w:tabs>
        <w:spacing w:line="40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（2）向扬州仲裁委员会按其仲裁规则申请仲裁。</w:t>
      </w:r>
    </w:p>
    <w:p>
      <w:pPr>
        <w:tabs>
          <w:tab w:val="left" w:pos="540"/>
          <w:tab w:val="left" w:pos="1260"/>
          <w:tab w:val="left" w:pos="1440"/>
        </w:tabs>
        <w:spacing w:line="40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27.3 若买卖双方任何一方都没有选择解除合同的，为避免扩大损失，在诉讼或仲裁期间，双方应继续履行。</w:t>
      </w:r>
    </w:p>
    <w:p>
      <w:pPr>
        <w:pStyle w:val="76"/>
        <w:ind w:firstLine="420"/>
        <w:rPr>
          <w:color w:val="auto"/>
          <w:highlight w:val="none"/>
        </w:rPr>
      </w:pPr>
    </w:p>
    <w:p>
      <w:pPr>
        <w:tabs>
          <w:tab w:val="left" w:pos="1260"/>
          <w:tab w:val="left" w:pos="1440"/>
        </w:tabs>
        <w:spacing w:line="400" w:lineRule="exact"/>
        <w:ind w:left="720" w:firstLine="0" w:firstLineChars="0"/>
        <w:rPr>
          <w:rFonts w:ascii="宋体" w:hAnsi="宋体"/>
          <w:color w:val="auto"/>
          <w:sz w:val="24"/>
          <w:szCs w:val="24"/>
          <w:highlight w:val="none"/>
        </w:rPr>
      </w:pPr>
    </w:p>
    <w:p>
      <w:pPr>
        <w:spacing w:line="400" w:lineRule="exact"/>
        <w:ind w:firstLine="570" w:firstLineChars="0"/>
        <w:rPr>
          <w:rFonts w:ascii="宋体" w:hAnsi="宋体"/>
          <w:b/>
          <w:color w:val="auto"/>
          <w:sz w:val="24"/>
          <w:szCs w:val="24"/>
          <w:highlight w:val="none"/>
        </w:rPr>
      </w:pPr>
      <w:r>
        <w:rPr>
          <w:rFonts w:hint="eastAsia" w:ascii="宋体" w:hAnsi="宋体"/>
          <w:b/>
          <w:color w:val="auto"/>
          <w:sz w:val="24"/>
          <w:szCs w:val="24"/>
          <w:highlight w:val="none"/>
        </w:rPr>
        <w:t>第二十八条</w:t>
      </w:r>
      <w:r>
        <w:rPr>
          <w:rFonts w:ascii="宋体" w:hAnsi="宋体"/>
          <w:b/>
          <w:color w:val="auto"/>
          <w:sz w:val="24"/>
          <w:szCs w:val="24"/>
          <w:highlight w:val="none"/>
        </w:rPr>
        <w:t xml:space="preserve">  </w:t>
      </w:r>
      <w:r>
        <w:rPr>
          <w:rFonts w:hint="eastAsia" w:ascii="宋体" w:hAnsi="宋体"/>
          <w:b/>
          <w:color w:val="auto"/>
          <w:sz w:val="24"/>
          <w:szCs w:val="24"/>
          <w:highlight w:val="none"/>
        </w:rPr>
        <w:t>其他</w:t>
      </w:r>
    </w:p>
    <w:p>
      <w:pPr>
        <w:tabs>
          <w:tab w:val="left" w:pos="540"/>
          <w:tab w:val="left" w:pos="1260"/>
          <w:tab w:val="left" w:pos="1440"/>
        </w:tabs>
        <w:spacing w:line="400" w:lineRule="exact"/>
        <w:ind w:left="540" w:firstLine="0" w:firstLineChars="0"/>
        <w:rPr>
          <w:rFonts w:ascii="宋体" w:hAnsi="宋体"/>
          <w:color w:val="auto"/>
          <w:sz w:val="24"/>
          <w:szCs w:val="24"/>
          <w:highlight w:val="none"/>
        </w:rPr>
      </w:pPr>
      <w:r>
        <w:rPr>
          <w:rFonts w:hint="eastAsia" w:ascii="宋体" w:hAnsi="宋体"/>
          <w:color w:val="auto"/>
          <w:sz w:val="24"/>
          <w:szCs w:val="24"/>
          <w:highlight w:val="none"/>
        </w:rPr>
        <w:t>28.1本合同正本贰份，买方、卖方双方各执壹份，副本伍份，买方执肆份、卖方执壹份。下述合同附件为本合同不可分割的部分并与本合同具有同等效力：</w:t>
      </w:r>
    </w:p>
    <w:p>
      <w:pPr>
        <w:tabs>
          <w:tab w:val="left" w:pos="1260"/>
          <w:tab w:val="left" w:pos="1440"/>
        </w:tabs>
        <w:spacing w:line="400" w:lineRule="exact"/>
        <w:ind w:left="540" w:firstLine="0" w:firstLineChars="0"/>
        <w:rPr>
          <w:rFonts w:ascii="宋体" w:hAnsi="宋体"/>
          <w:b/>
          <w:color w:val="auto"/>
          <w:sz w:val="24"/>
          <w:szCs w:val="24"/>
          <w:highlight w:val="none"/>
        </w:rPr>
      </w:pPr>
      <w:r>
        <w:rPr>
          <w:rFonts w:hint="eastAsia" w:ascii="宋体" w:hAnsi="宋体"/>
          <w:color w:val="auto"/>
          <w:sz w:val="24"/>
          <w:szCs w:val="24"/>
          <w:highlight w:val="none"/>
        </w:rPr>
        <w:t>28.2本合同若有未尽事宜，以招标文件为准，或经双方协商一致后签订补充合同。</w:t>
      </w:r>
    </w:p>
    <w:p>
      <w:pPr>
        <w:ind w:firstLine="480"/>
        <w:rPr>
          <w:color w:val="auto"/>
          <w:highlight w:val="none"/>
        </w:rPr>
      </w:pPr>
    </w:p>
    <w:p>
      <w:pPr>
        <w:spacing w:line="400" w:lineRule="exact"/>
        <w:ind w:firstLine="602" w:firstLineChars="250"/>
        <w:rPr>
          <w:rFonts w:ascii="宋体" w:hAnsi="宋体"/>
          <w:b/>
          <w:color w:val="auto"/>
          <w:sz w:val="24"/>
          <w:szCs w:val="24"/>
          <w:highlight w:val="none"/>
        </w:rPr>
      </w:pPr>
      <w:r>
        <w:rPr>
          <w:rFonts w:hint="eastAsia" w:ascii="宋体" w:hAnsi="宋体"/>
          <w:b/>
          <w:color w:val="auto"/>
          <w:sz w:val="24"/>
          <w:szCs w:val="24"/>
          <w:highlight w:val="none"/>
        </w:rPr>
        <w:t>附件：履约保函格式</w:t>
      </w:r>
    </w:p>
    <w:p>
      <w:pPr>
        <w:keepNext w:val="0"/>
        <w:keepLines w:val="0"/>
        <w:pageBreakBefore w:val="0"/>
        <w:widowControl w:val="0"/>
        <w:kinsoku/>
        <w:wordWrap/>
        <w:overflowPunct/>
        <w:topLinePunct w:val="0"/>
        <w:autoSpaceDE/>
        <w:autoSpaceDN/>
        <w:bidi w:val="0"/>
        <w:adjustRightInd/>
        <w:snapToGrid/>
        <w:spacing w:line="400" w:lineRule="exact"/>
        <w:ind w:left="420" w:leftChars="200" w:firstLine="0" w:firstLineChars="0"/>
        <w:textAlignment w:val="auto"/>
        <w:rPr>
          <w:rFonts w:ascii="宋体" w:hAnsi="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400" w:lineRule="exact"/>
        <w:ind w:left="420" w:leftChars="200" w:firstLine="0" w:firstLineChars="0"/>
        <w:textAlignment w:val="auto"/>
        <w:rPr>
          <w:rFonts w:ascii="宋体" w:hAnsi="宋体"/>
          <w:color w:val="auto"/>
          <w:sz w:val="24"/>
          <w:szCs w:val="24"/>
          <w:highlight w:val="none"/>
        </w:rPr>
      </w:pPr>
      <w:r>
        <w:rPr>
          <w:rFonts w:hint="eastAsia" w:ascii="宋体" w:hAnsi="宋体"/>
          <w:color w:val="auto"/>
          <w:sz w:val="24"/>
          <w:szCs w:val="24"/>
          <w:highlight w:val="none"/>
        </w:rPr>
        <w:t>买方：</w:t>
      </w:r>
      <w:r>
        <w:rPr>
          <w:rFonts w:ascii="宋体" w:hAnsi="宋体"/>
          <w:color w:val="auto"/>
          <w:sz w:val="24"/>
          <w:szCs w:val="24"/>
          <w:highlight w:val="none"/>
        </w:rPr>
        <w:t xml:space="preserve">                             </w:t>
      </w:r>
      <w:r>
        <w:rPr>
          <w:rFonts w:hint="eastAsia" w:ascii="宋体" w:hAnsi="宋体"/>
          <w:color w:val="auto"/>
          <w:sz w:val="24"/>
          <w:szCs w:val="24"/>
          <w:highlight w:val="none"/>
        </w:rPr>
        <w:t>卖方：</w:t>
      </w:r>
    </w:p>
    <w:p>
      <w:pPr>
        <w:keepNext w:val="0"/>
        <w:keepLines w:val="0"/>
        <w:pageBreakBefore w:val="0"/>
        <w:widowControl w:val="0"/>
        <w:kinsoku/>
        <w:wordWrap/>
        <w:overflowPunct/>
        <w:topLinePunct w:val="0"/>
        <w:autoSpaceDE/>
        <w:autoSpaceDN/>
        <w:bidi w:val="0"/>
        <w:adjustRightInd/>
        <w:snapToGrid/>
        <w:spacing w:line="400" w:lineRule="exact"/>
        <w:ind w:left="420" w:leftChars="200" w:firstLine="0" w:firstLineChars="0"/>
        <w:textAlignment w:val="auto"/>
        <w:rPr>
          <w:rFonts w:ascii="宋体" w:hAnsi="宋体"/>
          <w:color w:val="auto"/>
          <w:sz w:val="24"/>
          <w:szCs w:val="24"/>
          <w:highlight w:val="none"/>
        </w:rPr>
      </w:pPr>
      <w:r>
        <w:rPr>
          <w:rFonts w:hint="eastAsia" w:ascii="宋体" w:hAnsi="宋体"/>
          <w:color w:val="auto"/>
          <w:sz w:val="24"/>
          <w:szCs w:val="24"/>
          <w:highlight w:val="none"/>
        </w:rPr>
        <w:t>授权代表人：</w:t>
      </w:r>
      <w:r>
        <w:rPr>
          <w:rFonts w:ascii="宋体" w:hAnsi="宋体"/>
          <w:color w:val="auto"/>
          <w:sz w:val="24"/>
          <w:szCs w:val="24"/>
          <w:highlight w:val="none"/>
        </w:rPr>
        <w:t xml:space="preserve">       </w:t>
      </w:r>
      <w:r>
        <w:rPr>
          <w:rFonts w:hint="eastAsia" w:ascii="宋体" w:hAnsi="宋体"/>
          <w:color w:val="auto"/>
          <w:sz w:val="24"/>
          <w:szCs w:val="24"/>
          <w:highlight w:val="none"/>
        </w:rPr>
        <w:t>　　　　　</w:t>
      </w:r>
      <w:r>
        <w:rPr>
          <w:rFonts w:ascii="宋体" w:hAnsi="宋体"/>
          <w:color w:val="auto"/>
          <w:sz w:val="24"/>
          <w:szCs w:val="24"/>
          <w:highlight w:val="none"/>
        </w:rPr>
        <w:t xml:space="preserve">      </w:t>
      </w:r>
      <w:r>
        <w:rPr>
          <w:rFonts w:hint="eastAsia" w:ascii="宋体" w:hAnsi="宋体"/>
          <w:color w:val="auto"/>
          <w:sz w:val="24"/>
          <w:szCs w:val="24"/>
          <w:highlight w:val="none"/>
        </w:rPr>
        <w:t>授权代表人：</w:t>
      </w:r>
    </w:p>
    <w:p>
      <w:pPr>
        <w:keepNext w:val="0"/>
        <w:keepLines w:val="0"/>
        <w:pageBreakBefore w:val="0"/>
        <w:widowControl w:val="0"/>
        <w:kinsoku/>
        <w:wordWrap/>
        <w:overflowPunct/>
        <w:topLinePunct w:val="0"/>
        <w:autoSpaceDE/>
        <w:autoSpaceDN/>
        <w:bidi w:val="0"/>
        <w:adjustRightInd/>
        <w:snapToGrid/>
        <w:spacing w:line="400" w:lineRule="exact"/>
        <w:ind w:left="420" w:leftChars="200" w:firstLine="0" w:firstLineChars="0"/>
        <w:textAlignment w:val="auto"/>
        <w:rPr>
          <w:rFonts w:ascii="宋体" w:hAnsi="宋体"/>
          <w:color w:val="auto"/>
          <w:sz w:val="24"/>
          <w:szCs w:val="24"/>
          <w:highlight w:val="none"/>
        </w:rPr>
      </w:pPr>
      <w:r>
        <w:rPr>
          <w:rFonts w:hint="eastAsia" w:ascii="宋体" w:hAnsi="宋体"/>
          <w:color w:val="auto"/>
          <w:sz w:val="24"/>
          <w:szCs w:val="24"/>
          <w:highlight w:val="none"/>
        </w:rPr>
        <w:t>开户银行：</w:t>
      </w:r>
      <w:r>
        <w:rPr>
          <w:rFonts w:ascii="宋体" w:hAnsi="宋体"/>
          <w:color w:val="auto"/>
          <w:sz w:val="24"/>
          <w:szCs w:val="24"/>
          <w:highlight w:val="none"/>
        </w:rPr>
        <w:t xml:space="preserve">            </w:t>
      </w:r>
      <w:r>
        <w:rPr>
          <w:rFonts w:hint="eastAsia" w:ascii="宋体" w:hAnsi="宋体"/>
          <w:color w:val="auto"/>
          <w:sz w:val="24"/>
          <w:szCs w:val="24"/>
          <w:highlight w:val="none"/>
        </w:rPr>
        <w:t>　　　　</w:t>
      </w:r>
      <w:r>
        <w:rPr>
          <w:rFonts w:ascii="宋体" w:hAnsi="宋体"/>
          <w:color w:val="auto"/>
          <w:sz w:val="24"/>
          <w:szCs w:val="24"/>
          <w:highlight w:val="none"/>
        </w:rPr>
        <w:t xml:space="preserve">     </w:t>
      </w:r>
      <w:r>
        <w:rPr>
          <w:rFonts w:hint="eastAsia" w:ascii="宋体" w:hAnsi="宋体"/>
          <w:color w:val="auto"/>
          <w:sz w:val="24"/>
          <w:szCs w:val="24"/>
          <w:highlight w:val="none"/>
        </w:rPr>
        <w:t>开户银行：</w:t>
      </w:r>
    </w:p>
    <w:p>
      <w:pPr>
        <w:keepNext w:val="0"/>
        <w:keepLines w:val="0"/>
        <w:pageBreakBefore w:val="0"/>
        <w:widowControl w:val="0"/>
        <w:kinsoku/>
        <w:wordWrap/>
        <w:overflowPunct/>
        <w:topLinePunct w:val="0"/>
        <w:autoSpaceDE/>
        <w:autoSpaceDN/>
        <w:bidi w:val="0"/>
        <w:adjustRightInd/>
        <w:snapToGrid/>
        <w:spacing w:line="400" w:lineRule="exact"/>
        <w:ind w:left="420" w:leftChars="200" w:firstLine="0" w:firstLineChars="0"/>
        <w:textAlignment w:val="auto"/>
        <w:rPr>
          <w:rFonts w:ascii="宋体" w:hAnsi="宋体"/>
          <w:color w:val="auto"/>
          <w:sz w:val="24"/>
          <w:szCs w:val="24"/>
          <w:highlight w:val="none"/>
        </w:rPr>
      </w:pPr>
      <w:r>
        <w:rPr>
          <w:rFonts w:hint="eastAsia" w:ascii="宋体" w:hAnsi="宋体"/>
          <w:color w:val="auto"/>
          <w:sz w:val="24"/>
          <w:szCs w:val="24"/>
          <w:highlight w:val="none"/>
        </w:rPr>
        <w:t>账　号：</w:t>
      </w:r>
      <w:r>
        <w:rPr>
          <w:rFonts w:ascii="宋体" w:hAnsi="宋体"/>
          <w:color w:val="auto"/>
          <w:sz w:val="24"/>
          <w:szCs w:val="24"/>
          <w:highlight w:val="none"/>
        </w:rPr>
        <w:t xml:space="preserve">                   </w:t>
      </w:r>
      <w:r>
        <w:rPr>
          <w:rFonts w:hint="eastAsia" w:ascii="宋体" w:hAnsi="宋体"/>
          <w:color w:val="auto"/>
          <w:sz w:val="24"/>
          <w:szCs w:val="24"/>
          <w:highlight w:val="none"/>
        </w:rPr>
        <w:t>　</w:t>
      </w:r>
      <w:r>
        <w:rPr>
          <w:rFonts w:ascii="宋体" w:hAnsi="宋体"/>
          <w:color w:val="auto"/>
          <w:sz w:val="24"/>
          <w:szCs w:val="24"/>
          <w:highlight w:val="none"/>
        </w:rPr>
        <w:t xml:space="preserve">      </w:t>
      </w:r>
      <w:r>
        <w:rPr>
          <w:rFonts w:hint="eastAsia" w:ascii="宋体" w:hAnsi="宋体"/>
          <w:color w:val="auto"/>
          <w:sz w:val="24"/>
          <w:szCs w:val="24"/>
          <w:highlight w:val="none"/>
        </w:rPr>
        <w:t>账　号：</w:t>
      </w:r>
    </w:p>
    <w:p>
      <w:pPr>
        <w:keepNext w:val="0"/>
        <w:keepLines w:val="0"/>
        <w:pageBreakBefore w:val="0"/>
        <w:widowControl w:val="0"/>
        <w:kinsoku/>
        <w:wordWrap/>
        <w:overflowPunct/>
        <w:topLinePunct w:val="0"/>
        <w:autoSpaceDE/>
        <w:autoSpaceDN/>
        <w:bidi w:val="0"/>
        <w:adjustRightInd/>
        <w:snapToGrid/>
        <w:spacing w:line="400" w:lineRule="exact"/>
        <w:ind w:left="420" w:leftChars="200" w:firstLine="0" w:firstLineChars="0"/>
        <w:jc w:val="left"/>
        <w:textAlignment w:val="auto"/>
        <w:rPr>
          <w:rFonts w:ascii="宋体" w:hAnsi="宋体"/>
          <w:color w:val="auto"/>
          <w:sz w:val="24"/>
          <w:szCs w:val="24"/>
          <w:highlight w:val="none"/>
        </w:rPr>
      </w:pPr>
      <w:r>
        <w:rPr>
          <w:rFonts w:hint="eastAsia" w:ascii="宋体" w:hAnsi="宋体"/>
          <w:color w:val="auto"/>
          <w:sz w:val="24"/>
          <w:szCs w:val="24"/>
          <w:highlight w:val="none"/>
        </w:rPr>
        <w:t>地址：</w:t>
      </w:r>
      <w:r>
        <w:rPr>
          <w:rFonts w:ascii="宋体" w:hAnsi="宋体"/>
          <w:color w:val="auto"/>
          <w:sz w:val="24"/>
          <w:szCs w:val="24"/>
          <w:highlight w:val="none"/>
        </w:rPr>
        <w:t xml:space="preserve">                             </w:t>
      </w:r>
      <w:r>
        <w:rPr>
          <w:rFonts w:hint="eastAsia" w:ascii="宋体" w:hAnsi="宋体"/>
          <w:color w:val="auto"/>
          <w:sz w:val="24"/>
          <w:szCs w:val="24"/>
          <w:highlight w:val="none"/>
        </w:rPr>
        <w:t>地</w:t>
      </w:r>
      <w:r>
        <w:rPr>
          <w:rFonts w:ascii="宋体" w:hAnsi="宋体"/>
          <w:color w:val="auto"/>
          <w:sz w:val="24"/>
          <w:szCs w:val="24"/>
          <w:highlight w:val="none"/>
        </w:rPr>
        <w:t xml:space="preserve">  </w:t>
      </w:r>
      <w:r>
        <w:rPr>
          <w:rFonts w:hint="eastAsia" w:ascii="宋体" w:hAnsi="宋体"/>
          <w:color w:val="auto"/>
          <w:sz w:val="24"/>
          <w:szCs w:val="24"/>
          <w:highlight w:val="none"/>
        </w:rPr>
        <w:t>址：</w:t>
      </w:r>
    </w:p>
    <w:p>
      <w:pPr>
        <w:keepNext w:val="0"/>
        <w:keepLines w:val="0"/>
        <w:pageBreakBefore w:val="0"/>
        <w:widowControl w:val="0"/>
        <w:kinsoku/>
        <w:wordWrap/>
        <w:overflowPunct/>
        <w:topLinePunct w:val="0"/>
        <w:autoSpaceDE/>
        <w:autoSpaceDN/>
        <w:bidi w:val="0"/>
        <w:adjustRightInd/>
        <w:snapToGrid/>
        <w:spacing w:line="400" w:lineRule="exact"/>
        <w:ind w:left="420" w:leftChars="200" w:firstLine="0" w:firstLineChars="0"/>
        <w:textAlignment w:val="auto"/>
        <w:rPr>
          <w:rFonts w:ascii="宋体" w:hAnsi="宋体"/>
          <w:color w:val="auto"/>
          <w:sz w:val="24"/>
          <w:szCs w:val="24"/>
          <w:highlight w:val="none"/>
        </w:rPr>
      </w:pPr>
      <w:r>
        <w:rPr>
          <w:rFonts w:hint="eastAsia" w:ascii="宋体" w:hAnsi="宋体"/>
          <w:color w:val="auto"/>
          <w:sz w:val="24"/>
          <w:szCs w:val="24"/>
          <w:highlight w:val="none"/>
        </w:rPr>
        <w:t>邮　编：</w:t>
      </w:r>
      <w:r>
        <w:rPr>
          <w:rFonts w:ascii="宋体" w:hAnsi="宋体"/>
          <w:color w:val="auto"/>
          <w:sz w:val="24"/>
          <w:szCs w:val="24"/>
          <w:highlight w:val="none"/>
        </w:rPr>
        <w:t xml:space="preserve">      </w:t>
      </w:r>
      <w:r>
        <w:rPr>
          <w:rFonts w:hint="eastAsia" w:ascii="宋体" w:hAnsi="宋体"/>
          <w:color w:val="auto"/>
          <w:sz w:val="24"/>
          <w:szCs w:val="24"/>
          <w:highlight w:val="none"/>
        </w:rPr>
        <w:t>　　　　　　　　</w:t>
      </w:r>
      <w:r>
        <w:rPr>
          <w:rFonts w:ascii="宋体" w:hAnsi="宋体"/>
          <w:color w:val="auto"/>
          <w:sz w:val="24"/>
          <w:szCs w:val="24"/>
          <w:highlight w:val="none"/>
        </w:rPr>
        <w:t xml:space="preserve">     </w:t>
      </w:r>
      <w:r>
        <w:rPr>
          <w:rFonts w:hint="eastAsia" w:ascii="宋体" w:hAnsi="宋体"/>
          <w:color w:val="auto"/>
          <w:sz w:val="24"/>
          <w:szCs w:val="24"/>
          <w:highlight w:val="none"/>
        </w:rPr>
        <w:t>邮　编：</w:t>
      </w:r>
    </w:p>
    <w:p>
      <w:pPr>
        <w:keepNext w:val="0"/>
        <w:keepLines w:val="0"/>
        <w:pageBreakBefore w:val="0"/>
        <w:widowControl w:val="0"/>
        <w:kinsoku/>
        <w:wordWrap/>
        <w:overflowPunct/>
        <w:topLinePunct w:val="0"/>
        <w:autoSpaceDE/>
        <w:autoSpaceDN/>
        <w:bidi w:val="0"/>
        <w:adjustRightInd/>
        <w:snapToGrid/>
        <w:spacing w:line="400" w:lineRule="exact"/>
        <w:ind w:left="420" w:leftChars="200" w:firstLine="0" w:firstLineChars="0"/>
        <w:textAlignment w:val="auto"/>
        <w:rPr>
          <w:rFonts w:ascii="宋体" w:hAnsi="宋体"/>
          <w:color w:val="auto"/>
          <w:sz w:val="24"/>
          <w:szCs w:val="24"/>
          <w:highlight w:val="none"/>
        </w:rPr>
      </w:pPr>
      <w:r>
        <w:rPr>
          <w:rFonts w:hint="eastAsia" w:ascii="宋体" w:hAnsi="宋体"/>
          <w:color w:val="auto"/>
          <w:sz w:val="24"/>
          <w:szCs w:val="24"/>
          <w:highlight w:val="none"/>
        </w:rPr>
        <w:t>电　话：</w:t>
      </w:r>
      <w:r>
        <w:rPr>
          <w:rFonts w:ascii="宋体" w:hAnsi="宋体"/>
          <w:color w:val="auto"/>
          <w:sz w:val="24"/>
          <w:szCs w:val="24"/>
          <w:highlight w:val="none"/>
        </w:rPr>
        <w:t xml:space="preserve">                  </w:t>
      </w:r>
      <w:r>
        <w:rPr>
          <w:rFonts w:hint="eastAsia" w:ascii="宋体" w:hAnsi="宋体"/>
          <w:color w:val="auto"/>
          <w:sz w:val="24"/>
          <w:szCs w:val="24"/>
          <w:highlight w:val="none"/>
        </w:rPr>
        <w:t>　　</w:t>
      </w:r>
      <w:r>
        <w:rPr>
          <w:rFonts w:ascii="宋体" w:hAnsi="宋体"/>
          <w:color w:val="auto"/>
          <w:sz w:val="24"/>
          <w:szCs w:val="24"/>
          <w:highlight w:val="none"/>
        </w:rPr>
        <w:t xml:space="preserve">     </w:t>
      </w:r>
      <w:r>
        <w:rPr>
          <w:rFonts w:hint="eastAsia" w:ascii="宋体" w:hAnsi="宋体"/>
          <w:color w:val="auto"/>
          <w:sz w:val="24"/>
          <w:szCs w:val="24"/>
          <w:highlight w:val="none"/>
        </w:rPr>
        <w:t>电　话：</w:t>
      </w:r>
    </w:p>
    <w:p>
      <w:pPr>
        <w:keepNext w:val="0"/>
        <w:keepLines w:val="0"/>
        <w:pageBreakBefore w:val="0"/>
        <w:widowControl w:val="0"/>
        <w:kinsoku/>
        <w:wordWrap/>
        <w:overflowPunct/>
        <w:topLinePunct w:val="0"/>
        <w:autoSpaceDE/>
        <w:autoSpaceDN/>
        <w:bidi w:val="0"/>
        <w:adjustRightInd/>
        <w:snapToGrid/>
        <w:ind w:left="420" w:leftChars="200" w:firstLine="0" w:firstLineChars="0"/>
        <w:textAlignment w:val="auto"/>
        <w:rPr>
          <w:color w:val="auto"/>
          <w:highlight w:val="none"/>
        </w:rPr>
      </w:pPr>
      <w:r>
        <w:rPr>
          <w:rFonts w:hint="eastAsia" w:ascii="宋体" w:hAnsi="宋体"/>
          <w:color w:val="auto"/>
          <w:sz w:val="24"/>
          <w:szCs w:val="24"/>
          <w:highlight w:val="none"/>
        </w:rPr>
        <w:t>日期：</w:t>
      </w:r>
      <w:r>
        <w:rPr>
          <w:rFonts w:ascii="宋体" w:hAnsi="宋体"/>
          <w:color w:val="auto"/>
          <w:sz w:val="24"/>
          <w:szCs w:val="24"/>
          <w:highlight w:val="none"/>
        </w:rPr>
        <w:t xml:space="preserve">                             </w:t>
      </w:r>
      <w:r>
        <w:rPr>
          <w:rFonts w:hint="eastAsia" w:ascii="宋体" w:hAnsi="宋体"/>
          <w:color w:val="auto"/>
          <w:sz w:val="24"/>
          <w:szCs w:val="24"/>
          <w:highlight w:val="none"/>
        </w:rPr>
        <w:t>日期：</w:t>
      </w:r>
    </w:p>
    <w:p>
      <w:pPr>
        <w:pStyle w:val="3"/>
        <w:snapToGrid w:val="0"/>
        <w:spacing w:before="0" w:after="0" w:line="360" w:lineRule="auto"/>
        <w:rPr>
          <w:rFonts w:hint="eastAsia" w:ascii="宋体" w:hAnsi="宋体" w:cs="宋体"/>
          <w:b/>
          <w:bCs/>
          <w:kern w:val="0"/>
          <w:sz w:val="36"/>
          <w:szCs w:val="36"/>
          <w:highlight w:val="none"/>
        </w:rPr>
      </w:pPr>
      <w:r>
        <w:rPr>
          <w:rFonts w:hint="eastAsia" w:ascii="宋体" w:hAnsi="宋体" w:cs="宋体"/>
          <w:b/>
          <w:bCs/>
          <w:kern w:val="0"/>
          <w:sz w:val="36"/>
          <w:szCs w:val="36"/>
          <w:highlight w:val="none"/>
        </w:rPr>
        <w:br w:type="page"/>
      </w:r>
      <w:bookmarkEnd w:id="217"/>
      <w:bookmarkEnd w:id="218"/>
      <w:bookmarkEnd w:id="219"/>
      <w:bookmarkStart w:id="221" w:name="_Toc26370"/>
      <w:bookmarkStart w:id="222" w:name="_Toc30168"/>
      <w:bookmarkStart w:id="223" w:name="_Toc14086"/>
      <w:bookmarkStart w:id="224" w:name="_Toc32327"/>
      <w:bookmarkStart w:id="225" w:name="_Toc30400"/>
      <w:bookmarkStart w:id="226" w:name="_Toc17829"/>
      <w:bookmarkStart w:id="227" w:name="_Toc29496"/>
      <w:r>
        <w:rPr>
          <w:rFonts w:hint="eastAsia" w:ascii="宋体" w:hAnsi="宋体" w:cs="宋体"/>
          <w:b/>
          <w:bCs/>
          <w:kern w:val="0"/>
          <w:sz w:val="36"/>
          <w:szCs w:val="36"/>
          <w:highlight w:val="none"/>
        </w:rPr>
        <w:t>第五章 项目需求</w:t>
      </w:r>
      <w:bookmarkEnd w:id="221"/>
      <w:bookmarkEnd w:id="222"/>
      <w:bookmarkEnd w:id="223"/>
      <w:bookmarkEnd w:id="224"/>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jc w:val="left"/>
        <w:textAlignment w:val="auto"/>
        <w:rPr>
          <w:sz w:val="21"/>
          <w:szCs w:val="21"/>
          <w:highlight w:val="none"/>
        </w:rPr>
      </w:pPr>
      <w:bookmarkStart w:id="228" w:name="_Toc28030"/>
      <w:r>
        <w:rPr>
          <w:rFonts w:hint="eastAsia"/>
          <w:sz w:val="21"/>
          <w:szCs w:val="21"/>
          <w:highlight w:val="none"/>
          <w:lang w:val="en-US" w:eastAsia="zh-CN"/>
        </w:rPr>
        <w:t>1.</w:t>
      </w:r>
      <w:r>
        <w:rPr>
          <w:rFonts w:hint="eastAsia"/>
          <w:sz w:val="21"/>
          <w:szCs w:val="21"/>
          <w:highlight w:val="none"/>
        </w:rPr>
        <w:t>总述</w:t>
      </w:r>
      <w:bookmarkEnd w:id="228"/>
    </w:p>
    <w:p>
      <w:pPr>
        <w:numPr>
          <w:ilvl w:val="0"/>
          <w:numId w:val="0"/>
        </w:numPr>
        <w:tabs>
          <w:tab w:val="left" w:pos="720"/>
          <w:tab w:val="left" w:pos="1260"/>
        </w:tabs>
        <w:spacing w:line="360" w:lineRule="auto"/>
        <w:ind w:firstLine="420" w:firstLineChars="200"/>
        <w:rPr>
          <w:rFonts w:hint="eastAsia" w:ascii="宋体" w:hAnsi="宋体"/>
          <w:b/>
          <w:spacing w:val="14"/>
          <w:szCs w:val="21"/>
          <w:highlight w:val="none"/>
        </w:rPr>
      </w:pPr>
      <w:r>
        <w:rPr>
          <w:rFonts w:hint="eastAsia" w:ascii="宋体" w:hAnsi="宋体" w:cs="宋体"/>
          <w:szCs w:val="21"/>
          <w:highlight w:val="none"/>
        </w:rPr>
        <w:t>本次招标的设备及服务是江苏长江水务股份有限公司</w:t>
      </w:r>
      <w:r>
        <w:rPr>
          <w:rFonts w:hint="eastAsia" w:ascii="宋体" w:hAnsi="宋体" w:cs="宋体"/>
          <w:szCs w:val="21"/>
          <w:highlight w:val="none"/>
          <w:lang w:val="en-US" w:eastAsia="zh-CN"/>
        </w:rPr>
        <w:t>聚乙烯供水管道成套生产设备</w:t>
      </w:r>
      <w:r>
        <w:rPr>
          <w:rFonts w:ascii="宋体" w:hAnsi="宋体" w:cs="宋体"/>
          <w:szCs w:val="21"/>
          <w:highlight w:val="none"/>
        </w:rPr>
        <w:t>，包括</w:t>
      </w:r>
      <w:r>
        <w:rPr>
          <w:rFonts w:hint="eastAsia" w:ascii="宋体" w:hAnsi="宋体" w:cs="宋体"/>
          <w:szCs w:val="21"/>
          <w:highlight w:val="none"/>
          <w:lang w:val="en-US" w:eastAsia="zh-CN"/>
        </w:rPr>
        <w:t>主机及配套设备</w:t>
      </w:r>
      <w:r>
        <w:rPr>
          <w:rFonts w:ascii="宋体" w:hAnsi="宋体" w:cs="宋体"/>
          <w:szCs w:val="21"/>
          <w:highlight w:val="none"/>
        </w:rPr>
        <w:t>（供应及其安装、试验、验收、联调投运及售后服务等内容，供货方产品型号、尺寸、颜色等方面需要满足要求</w:t>
      </w:r>
      <w:r>
        <w:rPr>
          <w:rFonts w:hint="eastAsia" w:ascii="宋体" w:hAnsi="宋体" w:cs="宋体"/>
          <w:szCs w:val="21"/>
          <w:highlight w:val="none"/>
          <w:lang w:eastAsia="zh-CN"/>
        </w:rPr>
        <w:t>）</w:t>
      </w:r>
      <w:r>
        <w:rPr>
          <w:rFonts w:hint="eastAsia" w:ascii="宋体" w:hAnsi="宋体" w:cs="宋体"/>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b/>
          <w:spacing w:val="14"/>
          <w:szCs w:val="21"/>
          <w:highlight w:val="none"/>
        </w:rPr>
      </w:pPr>
      <w:r>
        <w:rPr>
          <w:rFonts w:hint="eastAsia" w:ascii="宋体" w:hAnsi="宋体"/>
          <w:b/>
          <w:spacing w:val="14"/>
          <w:szCs w:val="21"/>
          <w:highlight w:val="none"/>
        </w:rPr>
        <w:t>1.</w:t>
      </w:r>
      <w:r>
        <w:rPr>
          <w:rFonts w:hint="eastAsia" w:ascii="宋体" w:hAnsi="宋体"/>
          <w:b/>
          <w:spacing w:val="14"/>
          <w:szCs w:val="21"/>
          <w:highlight w:val="none"/>
          <w:lang w:val="en-US" w:eastAsia="zh-CN"/>
        </w:rPr>
        <w:t>1</w:t>
      </w:r>
      <w:r>
        <w:rPr>
          <w:rFonts w:hint="eastAsia" w:ascii="宋体" w:hAnsi="宋体"/>
          <w:b/>
          <w:spacing w:val="14"/>
          <w:szCs w:val="21"/>
          <w:highlight w:val="none"/>
        </w:rPr>
        <w:t>管材规格表：</w:t>
      </w:r>
    </w:p>
    <w:p>
      <w:pPr>
        <w:spacing w:line="360" w:lineRule="auto"/>
        <w:rPr>
          <w:rFonts w:ascii="Arial Narrow" w:hAnsi="宋体" w:cs="Arial"/>
          <w:szCs w:val="21"/>
          <w:highlight w:val="none"/>
        </w:rPr>
      </w:pPr>
      <w:r>
        <w:rPr>
          <w:rFonts w:hint="eastAsia" w:ascii="Arial Narrow" w:hAnsi="宋体" w:cs="Arial"/>
          <w:szCs w:val="21"/>
          <w:highlight w:val="none"/>
        </w:rPr>
        <w:t>管材</w:t>
      </w:r>
      <w:r>
        <w:rPr>
          <w:rFonts w:ascii="Arial Narrow" w:hAnsi="宋体" w:cs="Arial"/>
          <w:szCs w:val="21"/>
          <w:highlight w:val="none"/>
        </w:rPr>
        <w:t>用途：给水管</w:t>
      </w:r>
    </w:p>
    <w:p>
      <w:pPr>
        <w:spacing w:line="360" w:lineRule="auto"/>
        <w:rPr>
          <w:rFonts w:ascii="Arial Narrow" w:hAnsi="宋体" w:cs="Arial"/>
          <w:szCs w:val="21"/>
          <w:highlight w:val="none"/>
        </w:rPr>
      </w:pPr>
      <w:r>
        <w:rPr>
          <w:rFonts w:hint="eastAsia" w:ascii="Arial Narrow" w:hAnsi="宋体" w:cs="Arial"/>
          <w:szCs w:val="21"/>
          <w:highlight w:val="none"/>
        </w:rPr>
        <w:t>原料成份：</w:t>
      </w:r>
      <w:r>
        <w:rPr>
          <w:rFonts w:ascii="Arial" w:hAnsi="Arial" w:eastAsia="Arial Unicode MS" w:cs="Arial"/>
          <w:b/>
          <w:bCs/>
          <w:kern w:val="0"/>
          <w:szCs w:val="21"/>
          <w:highlight w:val="none"/>
        </w:rPr>
        <w:t>P</w:t>
      </w:r>
      <w:r>
        <w:rPr>
          <w:rFonts w:hint="eastAsia" w:ascii="Arial" w:hAnsi="Arial" w:eastAsia="Arial Unicode MS" w:cs="Arial"/>
          <w:b/>
          <w:bCs/>
          <w:kern w:val="0"/>
          <w:szCs w:val="21"/>
          <w:highlight w:val="none"/>
        </w:rPr>
        <w:t>E100</w:t>
      </w:r>
      <w:r>
        <w:rPr>
          <w:rFonts w:ascii="Arial" w:hAnsi="Arial" w:eastAsia="Arial Unicode MS" w:cs="Arial"/>
          <w:b/>
          <w:bCs/>
          <w:kern w:val="0"/>
          <w:szCs w:val="21"/>
          <w:highlight w:val="none"/>
        </w:rPr>
        <w:t>/ P</w:t>
      </w:r>
      <w:r>
        <w:rPr>
          <w:rFonts w:hint="eastAsia" w:ascii="Arial" w:hAnsi="Arial" w:eastAsia="Arial Unicode MS" w:cs="Arial"/>
          <w:b/>
          <w:bCs/>
          <w:kern w:val="0"/>
          <w:szCs w:val="21"/>
          <w:highlight w:val="none"/>
        </w:rPr>
        <w:t>E80</w:t>
      </w:r>
      <w:r>
        <w:rPr>
          <w:rFonts w:hint="eastAsia" w:ascii="Arial Narrow" w:hAnsi="宋体" w:cs="Arial"/>
          <w:szCs w:val="21"/>
          <w:highlight w:val="none"/>
        </w:rPr>
        <w:t>管材</w:t>
      </w:r>
      <w:r>
        <w:rPr>
          <w:rFonts w:ascii="Arial Narrow" w:hAnsi="宋体" w:cs="Arial"/>
          <w:szCs w:val="21"/>
          <w:highlight w:val="none"/>
        </w:rPr>
        <w:t>料</w:t>
      </w:r>
      <w:r>
        <w:rPr>
          <w:rFonts w:hint="eastAsia" w:ascii="Arial Narrow" w:hAnsi="宋体" w:cs="Arial"/>
          <w:szCs w:val="21"/>
          <w:highlight w:val="none"/>
        </w:rPr>
        <w:t>，</w:t>
      </w:r>
    </w:p>
    <w:p>
      <w:pPr>
        <w:spacing w:line="360" w:lineRule="auto"/>
        <w:rPr>
          <w:rFonts w:ascii="Arial Narrow" w:hAnsi="宋体" w:cs="Arial"/>
          <w:szCs w:val="21"/>
          <w:highlight w:val="none"/>
        </w:rPr>
      </w:pPr>
      <w:r>
        <w:rPr>
          <w:rFonts w:hint="eastAsia" w:ascii="Arial Narrow" w:hAnsi="宋体" w:cs="Arial"/>
          <w:szCs w:val="21"/>
          <w:highlight w:val="none"/>
        </w:rPr>
        <w:t>管材颜色：黑色</w:t>
      </w:r>
    </w:p>
    <w:p>
      <w:pPr>
        <w:spacing w:line="360" w:lineRule="auto"/>
        <w:rPr>
          <w:rFonts w:ascii="Arial Narrow" w:hAnsi="宋体" w:cs="Arial"/>
          <w:szCs w:val="21"/>
          <w:highlight w:val="none"/>
        </w:rPr>
      </w:pPr>
      <w:r>
        <w:rPr>
          <w:rFonts w:ascii="Arial Narrow" w:hAnsi="宋体" w:cs="Arial"/>
          <w:szCs w:val="21"/>
          <w:highlight w:val="none"/>
        </w:rPr>
        <w:t>标识线数量</w:t>
      </w:r>
      <w:r>
        <w:rPr>
          <w:rFonts w:hint="eastAsia" w:ascii="Arial Narrow" w:hAnsi="宋体" w:cs="Arial"/>
          <w:szCs w:val="21"/>
          <w:highlight w:val="none"/>
        </w:rPr>
        <w:t>：</w:t>
      </w:r>
      <w:r>
        <w:rPr>
          <w:rFonts w:hint="eastAsia" w:ascii="Arial" w:hAnsi="Arial" w:eastAsia="Arial Unicode MS" w:cs="Arial"/>
          <w:b/>
          <w:szCs w:val="21"/>
          <w:highlight w:val="none"/>
        </w:rPr>
        <w:t>4</w:t>
      </w:r>
      <w:r>
        <w:rPr>
          <w:rFonts w:hint="eastAsia" w:ascii="Arial Narrow" w:hAnsi="宋体" w:cs="Arial"/>
          <w:szCs w:val="21"/>
          <w:highlight w:val="none"/>
        </w:rPr>
        <w:t>条</w:t>
      </w:r>
    </w:p>
    <w:p>
      <w:pPr>
        <w:spacing w:line="360" w:lineRule="auto"/>
        <w:rPr>
          <w:rFonts w:ascii="Arial Narrow" w:hAnsi="宋体" w:cs="Arial"/>
          <w:szCs w:val="21"/>
          <w:highlight w:val="none"/>
        </w:rPr>
      </w:pPr>
      <w:r>
        <w:rPr>
          <w:rFonts w:hint="eastAsia" w:ascii="Arial Narrow" w:hAnsi="宋体" w:cs="Arial"/>
          <w:szCs w:val="21"/>
          <w:highlight w:val="none"/>
        </w:rPr>
        <w:t>执行标准：</w:t>
      </w:r>
      <w:r>
        <w:rPr>
          <w:rFonts w:hint="eastAsia" w:ascii="Arial" w:hAnsi="Arial" w:eastAsia="Arial Unicode MS" w:cs="Arial"/>
          <w:b/>
          <w:bCs/>
          <w:kern w:val="0"/>
          <w:szCs w:val="21"/>
          <w:highlight w:val="none"/>
        </w:rPr>
        <w:t>GB/T13663</w:t>
      </w:r>
      <w:r>
        <w:rPr>
          <w:rFonts w:ascii="Arial" w:hAnsi="Arial" w:eastAsia="Arial Unicode MS" w:cs="Arial"/>
          <w:b/>
          <w:bCs/>
          <w:kern w:val="0"/>
          <w:szCs w:val="21"/>
          <w:highlight w:val="none"/>
        </w:rPr>
        <w:t>.2---</w:t>
      </w:r>
      <w:r>
        <w:rPr>
          <w:rFonts w:hint="eastAsia" w:ascii="Arial" w:hAnsi="Arial" w:eastAsia="Arial Unicode MS" w:cs="Arial"/>
          <w:b/>
          <w:bCs/>
          <w:kern w:val="0"/>
          <w:szCs w:val="21"/>
          <w:highlight w:val="none"/>
        </w:rPr>
        <w:t>20</w:t>
      </w:r>
      <w:r>
        <w:rPr>
          <w:rFonts w:ascii="Arial" w:hAnsi="Arial" w:eastAsia="Arial Unicode MS" w:cs="Arial"/>
          <w:b/>
          <w:bCs/>
          <w:kern w:val="0"/>
          <w:szCs w:val="21"/>
          <w:highlight w:val="none"/>
        </w:rPr>
        <w:t>18</w:t>
      </w:r>
      <w:r>
        <w:rPr>
          <w:rFonts w:hint="eastAsia" w:ascii="Arial Narrow" w:hAnsi="宋体" w:cs="Arial"/>
          <w:szCs w:val="21"/>
          <w:highlight w:val="none"/>
        </w:rPr>
        <w:t>或</w:t>
      </w:r>
      <w:r>
        <w:rPr>
          <w:rFonts w:hint="eastAsia" w:ascii="Arial" w:hAnsi="Arial" w:eastAsia="Arial Unicode MS" w:cs="Arial"/>
          <w:b/>
          <w:bCs/>
          <w:kern w:val="0"/>
          <w:szCs w:val="21"/>
          <w:highlight w:val="none"/>
        </w:rPr>
        <w:t>ISO4427</w:t>
      </w:r>
      <w:r>
        <w:rPr>
          <w:rFonts w:ascii="Arial" w:hAnsi="Arial" w:eastAsia="Arial Unicode MS" w:cs="Arial"/>
          <w:b/>
          <w:bCs/>
          <w:kern w:val="0"/>
          <w:szCs w:val="21"/>
          <w:highlight w:val="none"/>
        </w:rPr>
        <w:t xml:space="preserve"> - 2</w:t>
      </w:r>
      <w:r>
        <w:rPr>
          <w:rFonts w:hint="eastAsia" w:ascii="Arial" w:hAnsi="Arial" w:eastAsia="Arial Unicode MS" w:cs="Arial"/>
          <w:b/>
          <w:bCs/>
          <w:kern w:val="0"/>
          <w:szCs w:val="21"/>
          <w:highlight w:val="none"/>
        </w:rPr>
        <w:t>：</w:t>
      </w:r>
      <w:r>
        <w:rPr>
          <w:rFonts w:ascii="Arial" w:hAnsi="Arial" w:eastAsia="Arial Unicode MS" w:cs="Arial"/>
          <w:b/>
          <w:bCs/>
          <w:kern w:val="0"/>
          <w:szCs w:val="21"/>
          <w:highlight w:val="none"/>
        </w:rPr>
        <w:t>2007</w:t>
      </w:r>
    </w:p>
    <w:p>
      <w:pPr>
        <w:spacing w:line="360" w:lineRule="auto"/>
        <w:rPr>
          <w:rFonts w:ascii="宋体" w:hAnsi="宋体"/>
          <w:b/>
          <w:spacing w:val="14"/>
          <w:szCs w:val="21"/>
          <w:highlight w:val="none"/>
        </w:rPr>
      </w:pPr>
      <w:r>
        <w:rPr>
          <w:rFonts w:hint="eastAsia" w:ascii="Arial Narrow" w:hAnsi="宋体" w:cs="Arial"/>
          <w:szCs w:val="21"/>
          <w:highlight w:val="none"/>
        </w:rPr>
        <w:t>管材规格-</w:t>
      </w:r>
      <w:r>
        <w:rPr>
          <w:rFonts w:ascii="Arial Narrow" w:hAnsi="宋体" w:cs="Arial"/>
          <w:szCs w:val="21"/>
          <w:highlight w:val="none"/>
        </w:rPr>
        <w:t>-----公称</w:t>
      </w:r>
      <w:r>
        <w:rPr>
          <w:rFonts w:hint="eastAsia" w:ascii="Arial Narrow" w:hAnsi="宋体" w:cs="Arial"/>
          <w:szCs w:val="21"/>
          <w:highlight w:val="none"/>
        </w:rPr>
        <w:t>外径、</w:t>
      </w:r>
      <w:r>
        <w:rPr>
          <w:rFonts w:ascii="Arial Narrow" w:hAnsi="宋体" w:cs="Arial"/>
          <w:szCs w:val="21"/>
          <w:highlight w:val="none"/>
        </w:rPr>
        <w:t>公称壁厚</w:t>
      </w:r>
      <w:r>
        <w:rPr>
          <w:rFonts w:hint="eastAsia" w:ascii="Arial Narrow" w:hAnsi="宋体" w:cs="Arial"/>
          <w:szCs w:val="21"/>
          <w:highlight w:val="none"/>
        </w:rPr>
        <w:t>、标准</w:t>
      </w:r>
      <w:r>
        <w:rPr>
          <w:rFonts w:ascii="Arial Narrow" w:hAnsi="宋体" w:cs="Arial"/>
          <w:szCs w:val="21"/>
          <w:highlight w:val="none"/>
        </w:rPr>
        <w:t>尺寸比</w:t>
      </w:r>
      <w:r>
        <w:rPr>
          <w:rFonts w:hint="eastAsia" w:ascii="Arial" w:hAnsi="Arial" w:eastAsia="Arial Unicode MS" w:cs="Arial"/>
          <w:b/>
          <w:bCs/>
          <w:kern w:val="0"/>
          <w:szCs w:val="21"/>
          <w:highlight w:val="none"/>
        </w:rPr>
        <w:t>S</w:t>
      </w:r>
      <w:r>
        <w:rPr>
          <w:rFonts w:ascii="Arial" w:hAnsi="Arial" w:eastAsia="Arial Unicode MS" w:cs="Arial"/>
          <w:b/>
          <w:bCs/>
          <w:kern w:val="0"/>
          <w:szCs w:val="21"/>
          <w:highlight w:val="none"/>
        </w:rPr>
        <w:t>DR</w:t>
      </w:r>
      <w:r>
        <w:rPr>
          <w:rFonts w:hint="eastAsia" w:ascii="Arial Narrow" w:hAnsi="宋体" w:cs="Arial"/>
          <w:szCs w:val="21"/>
          <w:highlight w:val="none"/>
        </w:rPr>
        <w:t>：</w:t>
      </w:r>
    </w:p>
    <w:p>
      <w:pPr>
        <w:ind w:left="426"/>
        <w:rPr>
          <w:rFonts w:ascii="宋体" w:hAnsi="宋体"/>
          <w:b/>
          <w:spacing w:val="14"/>
          <w:sz w:val="24"/>
          <w:szCs w:val="24"/>
          <w:highlight w:val="none"/>
        </w:rPr>
      </w:pPr>
    </w:p>
    <w:tbl>
      <w:tblPr>
        <w:tblStyle w:val="31"/>
        <w:tblW w:w="90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831"/>
        <w:gridCol w:w="832"/>
        <w:gridCol w:w="970"/>
        <w:gridCol w:w="831"/>
        <w:gridCol w:w="833"/>
        <w:gridCol w:w="1109"/>
        <w:gridCol w:w="1109"/>
        <w:gridCol w:w="1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09" w:type="dxa"/>
            <w:vMerge w:val="restart"/>
            <w:tcBorders>
              <w:left w:val="single" w:color="auto" w:sz="4" w:space="0"/>
              <w:bottom w:val="single" w:color="auto" w:sz="4" w:space="0"/>
              <w:right w:val="single" w:color="auto" w:sz="4" w:space="0"/>
            </w:tcBorders>
            <w:noWrap w:val="0"/>
            <w:vAlign w:val="center"/>
          </w:tcPr>
          <w:p>
            <w:pPr>
              <w:widowControl/>
              <w:ind w:left="0" w:leftChars="0" w:firstLine="0" w:firstLineChars="0"/>
              <w:jc w:val="both"/>
              <w:rPr>
                <w:rFonts w:ascii="Arial" w:hAnsi="Arial" w:cs="Arial"/>
                <w:b/>
                <w:bCs/>
                <w:color w:val="000000"/>
                <w:kern w:val="0"/>
                <w:sz w:val="22"/>
                <w:highlight w:val="none"/>
              </w:rPr>
            </w:pPr>
            <w:r>
              <w:rPr>
                <w:rFonts w:ascii="Arial" w:hAnsi="Arial" w:cs="Arial"/>
                <w:bCs/>
                <w:kern w:val="0"/>
                <w:sz w:val="22"/>
                <w:highlight w:val="none"/>
                <w:lang w:val="en-CA"/>
              </w:rPr>
              <w:t>公称</w:t>
            </w:r>
            <w:r>
              <w:rPr>
                <w:rFonts w:hint="eastAsia" w:ascii="Arial" w:hAnsi="Arial" w:cs="Arial"/>
                <w:bCs/>
                <w:kern w:val="0"/>
                <w:sz w:val="22"/>
                <w:highlight w:val="none"/>
                <w:lang w:val="en-CA"/>
              </w:rPr>
              <w:t>外径</w:t>
            </w:r>
            <w:r>
              <w:rPr>
                <w:rFonts w:ascii="Arial" w:hAnsi="Arial" w:eastAsia="Arial Unicode MS" w:cs="Arial"/>
                <w:b/>
                <w:bCs/>
                <w:color w:val="000000"/>
                <w:kern w:val="0"/>
                <w:sz w:val="36"/>
                <w:szCs w:val="36"/>
                <w:highlight w:val="none"/>
              </w:rPr>
              <w:t>d</w:t>
            </w:r>
            <w:r>
              <w:rPr>
                <w:rFonts w:ascii="Arial" w:hAnsi="Arial" w:eastAsia="Arial Unicode MS" w:cs="Arial"/>
                <w:b/>
                <w:bCs/>
                <w:color w:val="000000"/>
                <w:kern w:val="0"/>
                <w:sz w:val="22"/>
                <w:highlight w:val="none"/>
              </w:rPr>
              <w:t>n(mm)</w:t>
            </w:r>
          </w:p>
        </w:tc>
        <w:tc>
          <w:tcPr>
            <w:tcW w:w="4297" w:type="dxa"/>
            <w:gridSpan w:val="5"/>
            <w:tcBorders>
              <w:left w:val="single" w:color="auto" w:sz="4" w:space="0"/>
              <w:bottom w:val="single" w:color="auto" w:sz="4" w:space="0"/>
              <w:right w:val="single" w:color="auto" w:sz="4" w:space="0"/>
            </w:tcBorders>
            <w:noWrap w:val="0"/>
            <w:vAlign w:val="center"/>
          </w:tcPr>
          <w:p>
            <w:pPr>
              <w:widowControl/>
              <w:jc w:val="center"/>
              <w:rPr>
                <w:rFonts w:ascii="Arial" w:hAnsi="宋体" w:cs="Arial"/>
                <w:b/>
                <w:bCs/>
                <w:color w:val="000000"/>
                <w:kern w:val="0"/>
                <w:sz w:val="22"/>
                <w:highlight w:val="none"/>
              </w:rPr>
            </w:pPr>
            <w:r>
              <w:rPr>
                <w:rFonts w:ascii="Arial" w:hAnsi="Arial" w:cs="Arial"/>
                <w:bCs/>
                <w:kern w:val="0"/>
                <w:sz w:val="22"/>
                <w:highlight w:val="none"/>
                <w:lang w:val="en-CA"/>
              </w:rPr>
              <w:t>公称壁厚</w:t>
            </w:r>
            <w:r>
              <w:rPr>
                <w:rFonts w:ascii="Arial" w:hAnsi="Arial" w:cs="Arial"/>
                <w:b/>
                <w:bCs/>
                <w:color w:val="000000"/>
                <w:kern w:val="0"/>
                <w:sz w:val="36"/>
                <w:szCs w:val="36"/>
                <w:highlight w:val="none"/>
              </w:rPr>
              <w:t>e</w:t>
            </w:r>
            <w:r>
              <w:rPr>
                <w:rFonts w:ascii="Arial" w:hAnsi="Arial" w:cs="Arial"/>
                <w:b/>
                <w:bCs/>
                <w:color w:val="000000"/>
                <w:kern w:val="0"/>
                <w:sz w:val="22"/>
                <w:highlight w:val="none"/>
              </w:rPr>
              <w:t>n(mm)</w:t>
            </w:r>
          </w:p>
        </w:tc>
        <w:tc>
          <w:tcPr>
            <w:tcW w:w="1109" w:type="dxa"/>
            <w:vMerge w:val="restart"/>
            <w:tcBorders>
              <w:left w:val="single" w:color="auto" w:sz="4" w:space="0"/>
              <w:bottom w:val="single" w:color="auto" w:sz="4" w:space="0"/>
              <w:right w:val="single" w:color="auto" w:sz="4" w:space="0"/>
            </w:tcBorders>
            <w:noWrap w:val="0"/>
            <w:vAlign w:val="center"/>
          </w:tcPr>
          <w:p>
            <w:pPr>
              <w:widowControl/>
              <w:jc w:val="center"/>
              <w:rPr>
                <w:rFonts w:ascii="Arial" w:hAnsi="Arial" w:cs="Arial"/>
                <w:bCs/>
                <w:kern w:val="0"/>
                <w:sz w:val="22"/>
                <w:highlight w:val="none"/>
                <w:lang w:val="en-CA"/>
              </w:rPr>
            </w:pPr>
          </w:p>
          <w:p>
            <w:pPr>
              <w:widowControl/>
              <w:ind w:left="0" w:leftChars="0" w:firstLine="0" w:firstLineChars="0"/>
              <w:jc w:val="both"/>
              <w:rPr>
                <w:rFonts w:ascii="Arial" w:hAnsi="Arial" w:cs="Arial"/>
                <w:bCs/>
                <w:kern w:val="0"/>
                <w:sz w:val="22"/>
                <w:highlight w:val="none"/>
                <w:lang w:val="en-CA"/>
              </w:rPr>
            </w:pPr>
            <w:r>
              <w:rPr>
                <w:rFonts w:ascii="Arial" w:hAnsi="Arial" w:cs="Arial"/>
                <w:bCs/>
                <w:kern w:val="0"/>
                <w:sz w:val="22"/>
                <w:highlight w:val="none"/>
                <w:lang w:val="en-CA"/>
              </w:rPr>
              <w:t>口模数量</w:t>
            </w:r>
          </w:p>
          <w:p>
            <w:pPr>
              <w:widowControl/>
              <w:jc w:val="center"/>
              <w:rPr>
                <w:rFonts w:ascii="Arial" w:hAnsi="Arial" w:cs="Arial"/>
                <w:bCs/>
                <w:kern w:val="0"/>
                <w:sz w:val="22"/>
                <w:highlight w:val="none"/>
                <w:lang w:val="en-CA"/>
              </w:rPr>
            </w:pPr>
          </w:p>
        </w:tc>
        <w:tc>
          <w:tcPr>
            <w:tcW w:w="1109" w:type="dxa"/>
            <w:vMerge w:val="restart"/>
            <w:tcBorders>
              <w:left w:val="single" w:color="auto" w:sz="4" w:space="0"/>
              <w:bottom w:val="single" w:color="auto" w:sz="4" w:space="0"/>
              <w:right w:val="single" w:color="auto" w:sz="4" w:space="0"/>
            </w:tcBorders>
            <w:noWrap w:val="0"/>
            <w:vAlign w:val="center"/>
          </w:tcPr>
          <w:p>
            <w:pPr>
              <w:widowControl/>
              <w:jc w:val="center"/>
              <w:rPr>
                <w:rFonts w:ascii="Arial" w:hAnsi="Arial" w:cs="Arial"/>
                <w:bCs/>
                <w:kern w:val="0"/>
                <w:sz w:val="22"/>
                <w:highlight w:val="none"/>
                <w:lang w:val="en-CA"/>
              </w:rPr>
            </w:pPr>
          </w:p>
          <w:p>
            <w:pPr>
              <w:widowControl/>
              <w:ind w:left="0" w:leftChars="0" w:firstLine="0" w:firstLineChars="0"/>
              <w:jc w:val="both"/>
              <w:rPr>
                <w:rFonts w:ascii="Arial" w:hAnsi="Arial" w:cs="Arial"/>
                <w:bCs/>
                <w:kern w:val="0"/>
                <w:sz w:val="22"/>
                <w:highlight w:val="none"/>
                <w:lang w:val="en-CA"/>
              </w:rPr>
            </w:pPr>
            <w:r>
              <w:rPr>
                <w:rFonts w:ascii="Arial" w:hAnsi="Arial" w:cs="Arial"/>
                <w:bCs/>
                <w:kern w:val="0"/>
                <w:sz w:val="22"/>
                <w:highlight w:val="none"/>
                <w:lang w:val="en-CA"/>
              </w:rPr>
              <w:t>芯模数量</w:t>
            </w:r>
          </w:p>
          <w:p>
            <w:pPr>
              <w:widowControl/>
              <w:jc w:val="center"/>
              <w:rPr>
                <w:rFonts w:ascii="Arial" w:hAnsi="Arial" w:cs="Arial"/>
                <w:bCs/>
                <w:kern w:val="0"/>
                <w:sz w:val="22"/>
                <w:highlight w:val="none"/>
                <w:lang w:val="en-CA"/>
              </w:rPr>
            </w:pPr>
          </w:p>
        </w:tc>
        <w:tc>
          <w:tcPr>
            <w:tcW w:w="1384" w:type="dxa"/>
            <w:vMerge w:val="restart"/>
            <w:tcBorders>
              <w:left w:val="single" w:color="auto" w:sz="4" w:space="0"/>
              <w:bottom w:val="single" w:color="auto" w:sz="4" w:space="0"/>
              <w:right w:val="single" w:color="auto" w:sz="4" w:space="0"/>
            </w:tcBorders>
            <w:noWrap w:val="0"/>
            <w:vAlign w:val="center"/>
          </w:tcPr>
          <w:p>
            <w:pPr>
              <w:widowControl/>
              <w:jc w:val="center"/>
              <w:rPr>
                <w:rFonts w:ascii="Arial" w:hAnsi="Arial" w:cs="Arial"/>
                <w:bCs/>
                <w:kern w:val="0"/>
                <w:sz w:val="22"/>
                <w:highlight w:val="none"/>
                <w:lang w:val="en-CA"/>
              </w:rPr>
            </w:pPr>
          </w:p>
          <w:p>
            <w:pPr>
              <w:widowControl/>
              <w:ind w:left="0" w:leftChars="0" w:firstLine="0" w:firstLineChars="0"/>
              <w:jc w:val="both"/>
              <w:rPr>
                <w:rFonts w:ascii="Arial" w:hAnsi="Arial" w:cs="Arial"/>
                <w:bCs/>
                <w:kern w:val="0"/>
                <w:sz w:val="22"/>
                <w:highlight w:val="none"/>
                <w:lang w:val="en-CA"/>
              </w:rPr>
            </w:pPr>
            <w:r>
              <w:rPr>
                <w:rFonts w:ascii="Arial" w:hAnsi="Arial" w:cs="Arial"/>
                <w:bCs/>
                <w:kern w:val="0"/>
                <w:sz w:val="22"/>
                <w:highlight w:val="none"/>
                <w:lang w:val="en-CA"/>
              </w:rPr>
              <w:t>定径套数量</w:t>
            </w:r>
          </w:p>
          <w:p>
            <w:pPr>
              <w:widowControl/>
              <w:jc w:val="center"/>
              <w:rPr>
                <w:rFonts w:ascii="Arial" w:hAnsi="Arial" w:cs="Arial"/>
                <w:bCs/>
                <w:kern w:val="0"/>
                <w:sz w:val="22"/>
                <w:highlight w:val="none"/>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10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2"/>
                <w:highlight w:val="none"/>
              </w:rPr>
            </w:pP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rPr>
              <w:t>SDR9</w:t>
            </w:r>
          </w:p>
        </w:tc>
        <w:tc>
          <w:tcPr>
            <w:tcW w:w="832"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rPr>
              <w:t>SDR11</w:t>
            </w:r>
          </w:p>
        </w:tc>
        <w:tc>
          <w:tcPr>
            <w:tcW w:w="970"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rPr>
              <w:t>SDR13.6</w:t>
            </w:r>
          </w:p>
        </w:tc>
        <w:tc>
          <w:tcPr>
            <w:tcW w:w="831"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rPr>
              <w:t>SDR17</w:t>
            </w:r>
          </w:p>
        </w:tc>
        <w:tc>
          <w:tcPr>
            <w:tcW w:w="833"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rPr>
                <w:rFonts w:ascii="Times New Roman" w:hAnsi="Times New Roman"/>
                <w:sz w:val="18"/>
                <w:szCs w:val="18"/>
                <w:highlight w:val="none"/>
              </w:rPr>
            </w:pPr>
            <w:r>
              <w:rPr>
                <w:rFonts w:hint="eastAsia" w:ascii="Arial Unicode MS" w:hAnsi="Arial Unicode MS" w:eastAsia="Arial Unicode MS" w:cs="Arial Unicode MS"/>
                <w:b/>
                <w:bCs/>
                <w:color w:val="000000"/>
                <w:kern w:val="0"/>
                <w:sz w:val="18"/>
                <w:szCs w:val="18"/>
                <w:highlight w:val="none"/>
              </w:rPr>
              <w:t>SDR21</w:t>
            </w:r>
          </w:p>
        </w:tc>
        <w:tc>
          <w:tcPr>
            <w:tcW w:w="110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2"/>
                <w:highlight w:val="none"/>
              </w:rPr>
            </w:pPr>
          </w:p>
        </w:tc>
        <w:tc>
          <w:tcPr>
            <w:tcW w:w="110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2"/>
                <w:highlight w:val="none"/>
              </w:rPr>
            </w:pPr>
          </w:p>
        </w:tc>
        <w:tc>
          <w:tcPr>
            <w:tcW w:w="13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w:hAnsi="Arial" w:eastAsia="Arial Unicode MS" w:cs="Arial"/>
                <w:b/>
                <w:bCs/>
                <w:kern w:val="0"/>
                <w:sz w:val="22"/>
                <w:highlight w:val="none"/>
              </w:rPr>
            </w:pPr>
            <w:r>
              <w:rPr>
                <w:rFonts w:hint="eastAsia" w:ascii="Arial" w:hAnsi="Arial" w:eastAsia="Arial Unicode MS" w:cs="Arial"/>
                <w:b/>
                <w:bCs/>
                <w:kern w:val="0"/>
                <w:sz w:val="22"/>
                <w:highlight w:val="none"/>
              </w:rPr>
              <w:t>200</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Arial Unicode MS" w:hAnsi="Arial Unicode MS" w:eastAsia="Arial Unicode MS" w:cs="Arial Unicode MS"/>
                <w:b/>
                <w:bCs/>
                <w:color w:val="000000"/>
                <w:kern w:val="0"/>
                <w:sz w:val="18"/>
                <w:szCs w:val="18"/>
                <w:highlight w:val="none"/>
                <w:lang w:eastAsia="zh-CN"/>
              </w:rPr>
            </w:pPr>
            <w:r>
              <w:rPr>
                <w:rFonts w:hint="eastAsia" w:ascii="Arial Unicode MS" w:hAnsi="Arial Unicode MS" w:eastAsia="Arial Unicode MS" w:cs="Arial Unicode MS"/>
                <w:b/>
                <w:bCs/>
                <w:color w:val="000000"/>
                <w:kern w:val="0"/>
                <w:sz w:val="18"/>
                <w:szCs w:val="18"/>
                <w:highlight w:val="none"/>
                <w:lang w:eastAsia="zh-CN"/>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Chars="0"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970" w:type="dxa"/>
            <w:tcBorders>
              <w:top w:val="single" w:color="auto" w:sz="4" w:space="0"/>
              <w:left w:val="single" w:color="auto" w:sz="4" w:space="0"/>
              <w:bottom w:val="single" w:color="auto" w:sz="4" w:space="0"/>
              <w:right w:val="single" w:color="auto" w:sz="4" w:space="0"/>
            </w:tcBorders>
            <w:noWrap w:val="0"/>
            <w:vAlign w:val="center"/>
          </w:tcPr>
          <w:p>
            <w:pPr>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Chars="0"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3" w:type="dxa"/>
            <w:tcBorders>
              <w:top w:val="single" w:color="auto" w:sz="4" w:space="0"/>
              <w:left w:val="single" w:color="auto" w:sz="4" w:space="0"/>
              <w:bottom w:val="single" w:color="auto" w:sz="4" w:space="0"/>
              <w:right w:val="single" w:color="auto" w:sz="4" w:space="0"/>
            </w:tcBorders>
            <w:noWrap w:val="0"/>
            <w:vAlign w:val="center"/>
          </w:tcPr>
          <w:p>
            <w:pPr>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Cs/>
                <w:kern w:val="0"/>
                <w:sz w:val="22"/>
                <w:highlight w:val="none"/>
              </w:rPr>
            </w:pPr>
            <w:r>
              <w:rPr>
                <w:rFonts w:hint="eastAsia" w:ascii="Arial Unicode MS" w:hAnsi="Arial Unicode MS" w:eastAsia="Arial Unicode MS" w:cs="Arial Unicode MS"/>
                <w:bCs/>
                <w:kern w:val="0"/>
                <w:sz w:val="22"/>
                <w:highlight w:val="none"/>
              </w:rPr>
              <w:t>0件</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Cs/>
                <w:kern w:val="0"/>
                <w:sz w:val="22"/>
                <w:highlight w:val="none"/>
              </w:rPr>
            </w:pPr>
            <w:r>
              <w:rPr>
                <w:rFonts w:hint="eastAsia" w:ascii="Arial Unicode MS" w:hAnsi="Arial Unicode MS" w:eastAsia="Arial Unicode MS" w:cs="Arial Unicode MS"/>
                <w:bCs/>
                <w:kern w:val="0"/>
                <w:sz w:val="22"/>
                <w:highlight w:val="none"/>
              </w:rPr>
              <w:t>0件</w:t>
            </w:r>
          </w:p>
        </w:tc>
        <w:tc>
          <w:tcPr>
            <w:tcW w:w="138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Cs/>
                <w:kern w:val="0"/>
                <w:sz w:val="22"/>
                <w:highlight w:val="none"/>
              </w:rPr>
            </w:pPr>
            <w:r>
              <w:rPr>
                <w:rFonts w:hint="eastAsia" w:ascii="Arial Unicode MS" w:hAnsi="Arial Unicode MS" w:eastAsia="Arial Unicode MS" w:cs="Arial Unicode MS"/>
                <w:bCs/>
                <w:kern w:val="0"/>
                <w:sz w:val="22"/>
                <w:highlight w:val="none"/>
              </w:rPr>
              <w:t>2件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w:hAnsi="Arial" w:eastAsia="Arial Unicode MS" w:cs="Arial"/>
                <w:b/>
                <w:bCs/>
                <w:kern w:val="0"/>
                <w:sz w:val="22"/>
                <w:highlight w:val="none"/>
              </w:rPr>
            </w:pPr>
            <w:r>
              <w:rPr>
                <w:rFonts w:hint="eastAsia" w:ascii="Arial" w:hAnsi="Arial" w:eastAsia="Arial Unicode MS" w:cs="Arial"/>
                <w:b/>
                <w:bCs/>
                <w:kern w:val="0"/>
                <w:sz w:val="22"/>
                <w:highlight w:val="none"/>
              </w:rPr>
              <w:t>225</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Chars="0"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970" w:type="dxa"/>
            <w:tcBorders>
              <w:top w:val="single" w:color="auto" w:sz="4" w:space="0"/>
              <w:left w:val="single" w:color="auto" w:sz="4" w:space="0"/>
              <w:bottom w:val="single" w:color="auto" w:sz="4" w:space="0"/>
              <w:right w:val="single" w:color="auto" w:sz="4" w:space="0"/>
            </w:tcBorders>
            <w:noWrap w:val="0"/>
            <w:vAlign w:val="center"/>
          </w:tcPr>
          <w:p>
            <w:pPr>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Chars="0"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3" w:type="dxa"/>
            <w:tcBorders>
              <w:top w:val="single" w:color="auto" w:sz="4" w:space="0"/>
              <w:left w:val="single" w:color="auto" w:sz="4" w:space="0"/>
              <w:bottom w:val="single" w:color="auto" w:sz="4" w:space="0"/>
              <w:right w:val="single" w:color="auto" w:sz="4" w:space="0"/>
            </w:tcBorders>
            <w:noWrap w:val="0"/>
            <w:vAlign w:val="center"/>
          </w:tcPr>
          <w:p>
            <w:pPr>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Cs/>
                <w:kern w:val="0"/>
                <w:sz w:val="22"/>
                <w:highlight w:val="none"/>
              </w:rPr>
            </w:pPr>
            <w:r>
              <w:rPr>
                <w:rFonts w:hint="eastAsia" w:ascii="Arial Unicode MS" w:hAnsi="Arial Unicode MS" w:eastAsia="Arial Unicode MS" w:cs="Arial Unicode MS"/>
                <w:bCs/>
                <w:kern w:val="0"/>
                <w:sz w:val="22"/>
                <w:highlight w:val="none"/>
              </w:rPr>
              <w:t>0件</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Cs/>
                <w:kern w:val="0"/>
                <w:sz w:val="22"/>
                <w:highlight w:val="none"/>
              </w:rPr>
            </w:pPr>
            <w:r>
              <w:rPr>
                <w:rFonts w:hint="eastAsia" w:ascii="Arial Unicode MS" w:hAnsi="Arial Unicode MS" w:eastAsia="Arial Unicode MS" w:cs="Arial Unicode MS"/>
                <w:bCs/>
                <w:kern w:val="0"/>
                <w:sz w:val="22"/>
                <w:highlight w:val="none"/>
              </w:rPr>
              <w:t>0件</w:t>
            </w:r>
          </w:p>
        </w:tc>
        <w:tc>
          <w:tcPr>
            <w:tcW w:w="138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Cs/>
                <w:kern w:val="0"/>
                <w:sz w:val="22"/>
                <w:highlight w:val="none"/>
              </w:rPr>
            </w:pPr>
            <w:r>
              <w:rPr>
                <w:rFonts w:hint="eastAsia" w:ascii="Arial Unicode MS" w:hAnsi="Arial Unicode MS" w:eastAsia="Arial Unicode MS" w:cs="Arial Unicode MS"/>
                <w:bCs/>
                <w:kern w:val="0"/>
                <w:sz w:val="22"/>
                <w:highlight w:val="none"/>
              </w:rPr>
              <w:t>2件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w:hAnsi="Arial" w:eastAsia="Arial Unicode MS" w:cs="Arial"/>
                <w:b/>
                <w:bCs/>
                <w:kern w:val="0"/>
                <w:sz w:val="22"/>
                <w:highlight w:val="none"/>
              </w:rPr>
            </w:pPr>
            <w:r>
              <w:rPr>
                <w:rFonts w:hint="eastAsia" w:ascii="Arial" w:hAnsi="Arial" w:eastAsia="Arial Unicode MS" w:cs="Arial"/>
                <w:b/>
                <w:bCs/>
                <w:kern w:val="0"/>
                <w:sz w:val="22"/>
                <w:highlight w:val="none"/>
              </w:rPr>
              <w:t>250</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Chars="0"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970" w:type="dxa"/>
            <w:tcBorders>
              <w:top w:val="single" w:color="auto" w:sz="4" w:space="0"/>
              <w:left w:val="single" w:color="auto" w:sz="4" w:space="0"/>
              <w:bottom w:val="single" w:color="auto" w:sz="4" w:space="0"/>
              <w:right w:val="single" w:color="auto" w:sz="4" w:space="0"/>
            </w:tcBorders>
            <w:noWrap w:val="0"/>
            <w:vAlign w:val="center"/>
          </w:tcPr>
          <w:p>
            <w:pPr>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Chars="0"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3" w:type="dxa"/>
            <w:tcBorders>
              <w:top w:val="single" w:color="auto" w:sz="4" w:space="0"/>
              <w:left w:val="single" w:color="auto" w:sz="4" w:space="0"/>
              <w:bottom w:val="single" w:color="auto" w:sz="4" w:space="0"/>
              <w:right w:val="single" w:color="auto" w:sz="4" w:space="0"/>
            </w:tcBorders>
            <w:noWrap w:val="0"/>
            <w:vAlign w:val="center"/>
          </w:tcPr>
          <w:p>
            <w:pPr>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Cs/>
                <w:kern w:val="0"/>
                <w:sz w:val="22"/>
                <w:highlight w:val="none"/>
              </w:rPr>
            </w:pPr>
            <w:r>
              <w:rPr>
                <w:rFonts w:hint="eastAsia" w:ascii="Arial Unicode MS" w:hAnsi="Arial Unicode MS" w:eastAsia="Arial Unicode MS" w:cs="Arial Unicode MS"/>
                <w:bCs/>
                <w:kern w:val="0"/>
                <w:sz w:val="22"/>
                <w:highlight w:val="none"/>
              </w:rPr>
              <w:t>1件</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Cs/>
                <w:kern w:val="0"/>
                <w:sz w:val="22"/>
                <w:highlight w:val="none"/>
              </w:rPr>
            </w:pPr>
            <w:r>
              <w:rPr>
                <w:rFonts w:hint="eastAsia" w:ascii="Arial Unicode MS" w:hAnsi="Arial Unicode MS" w:eastAsia="Arial Unicode MS" w:cs="Arial Unicode MS"/>
                <w:bCs/>
                <w:kern w:val="0"/>
                <w:sz w:val="22"/>
                <w:highlight w:val="none"/>
              </w:rPr>
              <w:t>2件</w:t>
            </w:r>
          </w:p>
        </w:tc>
        <w:tc>
          <w:tcPr>
            <w:tcW w:w="138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Cs/>
                <w:kern w:val="0"/>
                <w:sz w:val="22"/>
                <w:highlight w:val="none"/>
              </w:rPr>
            </w:pPr>
            <w:r>
              <w:rPr>
                <w:rFonts w:hint="eastAsia" w:ascii="Arial Unicode MS" w:hAnsi="Arial Unicode MS" w:eastAsia="Arial Unicode MS" w:cs="Arial Unicode MS"/>
                <w:bCs/>
                <w:kern w:val="0"/>
                <w:sz w:val="22"/>
                <w:highlight w:val="none"/>
              </w:rPr>
              <w:t>2件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000000"/>
                <w:kern w:val="0"/>
                <w:sz w:val="22"/>
                <w:highlight w:val="none"/>
              </w:rPr>
            </w:pPr>
            <w:r>
              <w:rPr>
                <w:rFonts w:hint="eastAsia" w:ascii="Arial" w:hAnsi="Arial" w:eastAsia="Arial Unicode MS" w:cs="Arial"/>
                <w:b/>
                <w:bCs/>
                <w:kern w:val="0"/>
                <w:sz w:val="22"/>
                <w:highlight w:val="none"/>
              </w:rPr>
              <w:t>315</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Chars="0"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970" w:type="dxa"/>
            <w:tcBorders>
              <w:top w:val="single" w:color="auto" w:sz="4" w:space="0"/>
              <w:left w:val="single" w:color="auto" w:sz="4" w:space="0"/>
              <w:bottom w:val="single" w:color="auto" w:sz="4" w:space="0"/>
              <w:right w:val="single" w:color="auto" w:sz="4" w:space="0"/>
            </w:tcBorders>
            <w:noWrap w:val="0"/>
            <w:vAlign w:val="center"/>
          </w:tcPr>
          <w:p>
            <w:pPr>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Chars="0"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3" w:type="dxa"/>
            <w:tcBorders>
              <w:top w:val="single" w:color="auto" w:sz="4" w:space="0"/>
              <w:left w:val="single" w:color="auto" w:sz="4" w:space="0"/>
              <w:bottom w:val="single" w:color="auto" w:sz="4" w:space="0"/>
              <w:right w:val="single" w:color="auto" w:sz="4" w:space="0"/>
            </w:tcBorders>
            <w:noWrap w:val="0"/>
            <w:vAlign w:val="center"/>
          </w:tcPr>
          <w:p>
            <w:pPr>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000000"/>
                <w:kern w:val="0"/>
                <w:sz w:val="22"/>
                <w:highlight w:val="none"/>
              </w:rPr>
            </w:pPr>
            <w:r>
              <w:rPr>
                <w:rFonts w:hint="eastAsia" w:ascii="Arial Unicode MS" w:hAnsi="Arial Unicode MS" w:eastAsia="Arial Unicode MS" w:cs="Arial Unicode MS"/>
                <w:b/>
                <w:bCs/>
                <w:kern w:val="0"/>
                <w:sz w:val="22"/>
                <w:highlight w:val="none"/>
              </w:rPr>
              <w:t>1</w:t>
            </w:r>
            <w:r>
              <w:rPr>
                <w:rFonts w:hint="eastAsia" w:ascii="宋体" w:hAnsi="宋体" w:cs="Arial Unicode MS"/>
                <w:bCs/>
                <w:kern w:val="0"/>
                <w:sz w:val="22"/>
                <w:highlight w:val="none"/>
              </w:rPr>
              <w:t>件</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000000"/>
                <w:kern w:val="0"/>
                <w:sz w:val="22"/>
                <w:highlight w:val="none"/>
              </w:rPr>
            </w:pPr>
            <w:r>
              <w:rPr>
                <w:rFonts w:hint="eastAsia" w:ascii="Arial Unicode MS" w:hAnsi="Arial Unicode MS" w:eastAsia="Arial Unicode MS" w:cs="Arial Unicode MS"/>
                <w:b/>
                <w:bCs/>
                <w:kern w:val="0"/>
                <w:sz w:val="22"/>
                <w:highlight w:val="none"/>
              </w:rPr>
              <w:t>2</w:t>
            </w:r>
            <w:r>
              <w:rPr>
                <w:rFonts w:hint="eastAsia" w:ascii="宋体" w:hAnsi="宋体" w:cs="Arial Unicode MS"/>
                <w:bCs/>
                <w:kern w:val="0"/>
                <w:sz w:val="22"/>
                <w:highlight w:val="none"/>
              </w:rPr>
              <w:t>件</w:t>
            </w:r>
          </w:p>
        </w:tc>
        <w:tc>
          <w:tcPr>
            <w:tcW w:w="138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000000"/>
                <w:kern w:val="0"/>
                <w:sz w:val="22"/>
                <w:highlight w:val="none"/>
              </w:rPr>
            </w:pPr>
            <w:r>
              <w:rPr>
                <w:rFonts w:hint="eastAsia" w:ascii="Arial Unicode MS" w:hAnsi="Arial Unicode MS" w:eastAsia="Arial Unicode MS" w:cs="Arial Unicode MS"/>
                <w:b/>
                <w:bCs/>
                <w:kern w:val="0"/>
                <w:sz w:val="22"/>
                <w:highlight w:val="none"/>
              </w:rPr>
              <w:t>2</w:t>
            </w:r>
            <w:r>
              <w:rPr>
                <w:rFonts w:hint="eastAsia" w:ascii="宋体" w:hAnsi="宋体" w:cs="Arial Unicode MS"/>
                <w:bCs/>
                <w:kern w:val="0"/>
                <w:sz w:val="22"/>
                <w:highlight w:val="none"/>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w:hAnsi="Arial" w:eastAsia="Arial Unicode MS" w:cs="Arial"/>
                <w:b/>
                <w:bCs/>
                <w:kern w:val="0"/>
                <w:sz w:val="22"/>
                <w:highlight w:val="none"/>
              </w:rPr>
            </w:pPr>
            <w:r>
              <w:rPr>
                <w:rFonts w:hint="eastAsia" w:ascii="Arial" w:hAnsi="Arial" w:eastAsia="Arial Unicode MS" w:cs="Arial"/>
                <w:b/>
                <w:bCs/>
                <w:kern w:val="0"/>
                <w:sz w:val="22"/>
                <w:highlight w:val="none"/>
              </w:rPr>
              <w:t>355</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Chars="0"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970" w:type="dxa"/>
            <w:tcBorders>
              <w:top w:val="single" w:color="auto" w:sz="4" w:space="0"/>
              <w:left w:val="single" w:color="auto" w:sz="4" w:space="0"/>
              <w:bottom w:val="single" w:color="auto" w:sz="4" w:space="0"/>
              <w:right w:val="single" w:color="auto" w:sz="4" w:space="0"/>
            </w:tcBorders>
            <w:noWrap w:val="0"/>
            <w:vAlign w:val="center"/>
          </w:tcPr>
          <w:p>
            <w:pPr>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Chars="0"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3" w:type="dxa"/>
            <w:tcBorders>
              <w:top w:val="single" w:color="auto" w:sz="4" w:space="0"/>
              <w:left w:val="single" w:color="auto" w:sz="4" w:space="0"/>
              <w:bottom w:val="single" w:color="auto" w:sz="4" w:space="0"/>
              <w:right w:val="single" w:color="auto" w:sz="4" w:space="0"/>
            </w:tcBorders>
            <w:noWrap w:val="0"/>
            <w:vAlign w:val="center"/>
          </w:tcPr>
          <w:p>
            <w:pPr>
              <w:ind w:firstLine="360" w:firstLineChars="200"/>
              <w:jc w:val="center"/>
              <w:rPr>
                <w:rFonts w:ascii="Arial Unicode MS" w:hAnsi="Arial Unicode MS" w:eastAsia="Arial Unicode MS" w:cs="Arial Unicode MS"/>
                <w:b/>
                <w:bCs/>
                <w:color w:val="000000"/>
                <w:kern w:val="0"/>
                <w:sz w:val="18"/>
                <w:szCs w:val="18"/>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
                <w:bCs/>
                <w:kern w:val="0"/>
                <w:sz w:val="22"/>
                <w:highlight w:val="none"/>
              </w:rPr>
            </w:pPr>
            <w:r>
              <w:rPr>
                <w:rFonts w:hint="eastAsia" w:ascii="Arial Unicode MS" w:hAnsi="Arial Unicode MS" w:eastAsia="Arial Unicode MS" w:cs="Arial Unicode MS"/>
                <w:b/>
                <w:bCs/>
                <w:kern w:val="0"/>
                <w:sz w:val="22"/>
                <w:highlight w:val="none"/>
              </w:rPr>
              <w:t>0件</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
                <w:bCs/>
                <w:kern w:val="0"/>
                <w:sz w:val="22"/>
                <w:highlight w:val="none"/>
              </w:rPr>
            </w:pPr>
            <w:r>
              <w:rPr>
                <w:rFonts w:hint="eastAsia" w:ascii="Arial Unicode MS" w:hAnsi="Arial Unicode MS" w:eastAsia="Arial Unicode MS" w:cs="Arial Unicode MS"/>
                <w:b/>
                <w:bCs/>
                <w:kern w:val="0"/>
                <w:sz w:val="22"/>
                <w:highlight w:val="none"/>
              </w:rPr>
              <w:t>0件</w:t>
            </w:r>
          </w:p>
        </w:tc>
        <w:tc>
          <w:tcPr>
            <w:tcW w:w="138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
                <w:bCs/>
                <w:kern w:val="0"/>
                <w:sz w:val="22"/>
                <w:highlight w:val="none"/>
              </w:rPr>
            </w:pPr>
            <w:r>
              <w:rPr>
                <w:rFonts w:hint="eastAsia" w:ascii="Arial Unicode MS" w:hAnsi="Arial Unicode MS" w:eastAsia="Arial Unicode MS" w:cs="Arial Unicode MS"/>
                <w:b/>
                <w:bCs/>
                <w:kern w:val="0"/>
                <w:sz w:val="22"/>
                <w:highlight w:val="none"/>
              </w:rPr>
              <w:t>2件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w:hAnsi="Arial" w:eastAsia="Arial Unicode MS" w:cs="Arial"/>
                <w:b/>
                <w:bCs/>
                <w:color w:val="000000"/>
                <w:kern w:val="0"/>
                <w:sz w:val="22"/>
                <w:highlight w:val="none"/>
              </w:rPr>
            </w:pPr>
            <w:r>
              <w:rPr>
                <w:rFonts w:hint="eastAsia" w:ascii="Arial" w:hAnsi="Arial" w:eastAsia="Arial Unicode MS" w:cs="Arial"/>
                <w:b/>
                <w:bCs/>
                <w:color w:val="000000"/>
                <w:kern w:val="0"/>
                <w:sz w:val="22"/>
                <w:highlight w:val="none"/>
              </w:rPr>
              <w:t>400</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Chars="0" w:firstLine="360" w:firstLineChars="200"/>
              <w:jc w:val="center"/>
              <w:rPr>
                <w:rFonts w:ascii="Arial" w:hAnsi="Arial" w:eastAsia="Arial Unicode MS" w:cs="Arial"/>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970"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Chars="0" w:firstLine="360" w:firstLineChars="200"/>
              <w:jc w:val="center"/>
              <w:rPr>
                <w:rFonts w:ascii="Arial" w:hAnsi="Arial" w:eastAsia="Arial Unicode MS" w:cs="Arial"/>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3"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1</w:t>
            </w:r>
            <w:r>
              <w:rPr>
                <w:rFonts w:hint="eastAsia" w:ascii="宋体" w:hAnsi="宋体" w:cs="Arial Unicode MS"/>
                <w:bCs/>
                <w:color w:val="000000"/>
                <w:kern w:val="0"/>
                <w:sz w:val="22"/>
                <w:highlight w:val="none"/>
              </w:rPr>
              <w:t>件</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2</w:t>
            </w:r>
            <w:r>
              <w:rPr>
                <w:rFonts w:hint="eastAsia" w:ascii="宋体" w:hAnsi="宋体" w:cs="Arial Unicode MS"/>
                <w:bCs/>
                <w:color w:val="000000"/>
                <w:kern w:val="0"/>
                <w:sz w:val="22"/>
                <w:highlight w:val="none"/>
              </w:rPr>
              <w:t>件</w:t>
            </w:r>
          </w:p>
        </w:tc>
        <w:tc>
          <w:tcPr>
            <w:tcW w:w="138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2</w:t>
            </w:r>
            <w:r>
              <w:rPr>
                <w:rFonts w:hint="eastAsia" w:ascii="宋体" w:hAnsi="宋体" w:cs="Arial Unicode MS"/>
                <w:bCs/>
                <w:color w:val="000000"/>
                <w:kern w:val="0"/>
                <w:sz w:val="22"/>
                <w:highlight w:val="none"/>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jc w:val="center"/>
        </w:trPr>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w:hAnsi="Arial" w:cs="Arial"/>
                <w:b/>
                <w:bCs/>
                <w:color w:val="000000"/>
                <w:kern w:val="0"/>
                <w:sz w:val="22"/>
                <w:highlight w:val="none"/>
              </w:rPr>
            </w:pPr>
            <w:r>
              <w:rPr>
                <w:rFonts w:hint="eastAsia" w:ascii="Arial" w:hAnsi="Arial" w:cs="Arial"/>
                <w:b/>
                <w:bCs/>
                <w:color w:val="000000"/>
                <w:kern w:val="0"/>
                <w:sz w:val="22"/>
                <w:highlight w:val="none"/>
              </w:rPr>
              <w:t>450</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Chars="0" w:firstLine="360" w:firstLineChars="200"/>
              <w:jc w:val="center"/>
              <w:rPr>
                <w:rFonts w:ascii="Arial" w:hAnsi="Arial" w:cs="Arial"/>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970"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Chars="0" w:firstLine="360" w:firstLineChars="200"/>
              <w:jc w:val="center"/>
              <w:rPr>
                <w:rFonts w:ascii="Arial" w:hAnsi="Arial" w:cs="Arial"/>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3"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1109"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0</w:t>
            </w:r>
            <w:r>
              <w:rPr>
                <w:rFonts w:hint="eastAsia" w:ascii="宋体" w:hAnsi="宋体" w:cs="Arial Unicode MS"/>
                <w:color w:val="000000"/>
                <w:kern w:val="0"/>
                <w:sz w:val="22"/>
                <w:highlight w:val="none"/>
              </w:rPr>
              <w:t>件</w:t>
            </w:r>
          </w:p>
        </w:tc>
        <w:tc>
          <w:tcPr>
            <w:tcW w:w="1109"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0</w:t>
            </w:r>
            <w:r>
              <w:rPr>
                <w:rFonts w:hint="eastAsia" w:ascii="宋体" w:hAnsi="宋体" w:cs="Arial Unicode MS"/>
                <w:color w:val="000000"/>
                <w:kern w:val="0"/>
                <w:sz w:val="22"/>
                <w:highlight w:val="none"/>
              </w:rPr>
              <w:t>件</w:t>
            </w:r>
          </w:p>
        </w:tc>
        <w:tc>
          <w:tcPr>
            <w:tcW w:w="138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2</w:t>
            </w:r>
            <w:r>
              <w:rPr>
                <w:rFonts w:hint="eastAsia" w:ascii="宋体" w:hAnsi="宋体" w:cs="Arial Unicode MS"/>
                <w:color w:val="000000"/>
                <w:kern w:val="0"/>
                <w:sz w:val="22"/>
                <w:highlight w:val="none"/>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w:hAnsi="Arial" w:cs="Arial"/>
                <w:b/>
                <w:bCs/>
                <w:color w:val="000000"/>
                <w:kern w:val="0"/>
                <w:sz w:val="22"/>
                <w:highlight w:val="none"/>
              </w:rPr>
            </w:pPr>
            <w:r>
              <w:rPr>
                <w:rFonts w:hint="eastAsia" w:ascii="Arial" w:hAnsi="Arial" w:cs="Arial"/>
                <w:b/>
                <w:bCs/>
                <w:color w:val="000000"/>
                <w:kern w:val="0"/>
                <w:sz w:val="22"/>
                <w:highlight w:val="none"/>
              </w:rPr>
              <w:t>500</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Chars="0" w:firstLine="360" w:firstLineChars="200"/>
              <w:jc w:val="center"/>
              <w:rPr>
                <w:rFonts w:ascii="Arial" w:hAnsi="Arial" w:cs="Arial"/>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970"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Chars="0" w:firstLine="360" w:firstLineChars="200"/>
              <w:jc w:val="center"/>
              <w:rPr>
                <w:rFonts w:ascii="Arial" w:hAnsi="Arial" w:cs="Arial"/>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3"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1109"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1</w:t>
            </w:r>
            <w:r>
              <w:rPr>
                <w:rFonts w:hint="eastAsia" w:ascii="宋体" w:hAnsi="宋体" w:cs="Arial Unicode MS"/>
                <w:color w:val="000000"/>
                <w:kern w:val="0"/>
                <w:sz w:val="22"/>
                <w:highlight w:val="none"/>
              </w:rPr>
              <w:t>件</w:t>
            </w:r>
          </w:p>
        </w:tc>
        <w:tc>
          <w:tcPr>
            <w:tcW w:w="1109"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2</w:t>
            </w:r>
            <w:r>
              <w:rPr>
                <w:rFonts w:hint="eastAsia" w:ascii="宋体" w:hAnsi="宋体" w:cs="Arial Unicode MS"/>
                <w:color w:val="000000"/>
                <w:kern w:val="0"/>
                <w:sz w:val="22"/>
                <w:highlight w:val="none"/>
              </w:rPr>
              <w:t>件</w:t>
            </w:r>
          </w:p>
        </w:tc>
        <w:tc>
          <w:tcPr>
            <w:tcW w:w="138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2</w:t>
            </w:r>
            <w:r>
              <w:rPr>
                <w:rFonts w:hint="eastAsia" w:ascii="宋体" w:hAnsi="宋体" w:cs="Arial Unicode MS"/>
                <w:color w:val="000000"/>
                <w:kern w:val="0"/>
                <w:sz w:val="22"/>
                <w:highlight w:val="none"/>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w:hAnsi="Arial" w:cs="Arial"/>
                <w:b/>
                <w:bCs/>
                <w:color w:val="000000"/>
                <w:kern w:val="0"/>
                <w:sz w:val="22"/>
                <w:highlight w:val="none"/>
              </w:rPr>
            </w:pPr>
            <w:r>
              <w:rPr>
                <w:rFonts w:hint="eastAsia" w:ascii="Arial" w:hAnsi="Arial" w:cs="Arial"/>
                <w:b/>
                <w:bCs/>
                <w:color w:val="000000"/>
                <w:kern w:val="0"/>
                <w:sz w:val="22"/>
                <w:highlight w:val="none"/>
              </w:rPr>
              <w:t>560</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Chars="0" w:firstLine="360" w:firstLineChars="200"/>
              <w:jc w:val="center"/>
              <w:rPr>
                <w:rFonts w:ascii="Arial" w:hAnsi="Arial" w:cs="Arial"/>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970"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Chars="0" w:firstLine="360" w:firstLineChars="200"/>
              <w:jc w:val="center"/>
              <w:rPr>
                <w:rFonts w:ascii="Arial" w:hAnsi="Arial" w:cs="Arial"/>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3"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1109"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0件</w:t>
            </w:r>
          </w:p>
        </w:tc>
        <w:tc>
          <w:tcPr>
            <w:tcW w:w="1109"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0件</w:t>
            </w:r>
          </w:p>
        </w:tc>
        <w:tc>
          <w:tcPr>
            <w:tcW w:w="138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2件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w:hAnsi="Arial" w:cs="Arial"/>
                <w:b/>
                <w:bCs/>
                <w:color w:val="000000"/>
                <w:kern w:val="0"/>
                <w:sz w:val="22"/>
                <w:highlight w:val="none"/>
              </w:rPr>
            </w:pPr>
            <w:r>
              <w:rPr>
                <w:rFonts w:hint="eastAsia" w:ascii="Arial" w:hAnsi="Arial" w:cs="Arial"/>
                <w:b/>
                <w:bCs/>
                <w:color w:val="000000"/>
                <w:kern w:val="0"/>
                <w:sz w:val="22"/>
                <w:highlight w:val="none"/>
              </w:rPr>
              <w:t>630</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Chars="0" w:firstLine="360" w:firstLineChars="200"/>
              <w:jc w:val="center"/>
              <w:rPr>
                <w:rFonts w:ascii="Arial" w:hAnsi="Arial" w:cs="Arial"/>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970"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Chars="0" w:firstLine="360" w:firstLineChars="200"/>
              <w:jc w:val="center"/>
              <w:rPr>
                <w:rFonts w:ascii="Arial" w:hAnsi="Arial" w:cs="Arial"/>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833" w:type="dxa"/>
            <w:tcBorders>
              <w:top w:val="single" w:color="auto" w:sz="4" w:space="0"/>
              <w:left w:val="single" w:color="auto" w:sz="4" w:space="0"/>
              <w:bottom w:val="single" w:color="auto" w:sz="4" w:space="0"/>
              <w:right w:val="single" w:color="auto" w:sz="4" w:space="0"/>
            </w:tcBorders>
            <w:noWrap w:val="0"/>
            <w:vAlign w:val="center"/>
          </w:tcPr>
          <w:p>
            <w:pPr>
              <w:widowControl/>
              <w:ind w:firstLine="360" w:firstLineChars="200"/>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18"/>
                <w:szCs w:val="18"/>
                <w:highlight w:val="none"/>
                <w:lang w:eastAsia="zh-CN"/>
              </w:rPr>
              <w:t>√</w:t>
            </w:r>
          </w:p>
        </w:tc>
        <w:tc>
          <w:tcPr>
            <w:tcW w:w="1109"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1</w:t>
            </w:r>
            <w:r>
              <w:rPr>
                <w:rFonts w:hint="eastAsia" w:ascii="宋体" w:hAnsi="宋体" w:cs="Arial Unicode MS"/>
                <w:color w:val="000000"/>
                <w:kern w:val="0"/>
                <w:sz w:val="22"/>
                <w:highlight w:val="none"/>
              </w:rPr>
              <w:t>件</w:t>
            </w:r>
          </w:p>
        </w:tc>
        <w:tc>
          <w:tcPr>
            <w:tcW w:w="1109"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2</w:t>
            </w:r>
            <w:r>
              <w:rPr>
                <w:rFonts w:hint="eastAsia" w:ascii="宋体" w:hAnsi="宋体" w:cs="Arial Unicode MS"/>
                <w:color w:val="000000"/>
                <w:kern w:val="0"/>
                <w:sz w:val="22"/>
                <w:highlight w:val="none"/>
              </w:rPr>
              <w:t>件</w:t>
            </w:r>
          </w:p>
        </w:tc>
        <w:tc>
          <w:tcPr>
            <w:tcW w:w="138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Arial Unicode MS" w:hAnsi="Arial Unicode MS" w:eastAsia="Arial Unicode MS" w:cs="Arial Unicode MS"/>
                <w:b/>
                <w:bCs/>
                <w:color w:val="000000"/>
                <w:kern w:val="0"/>
                <w:sz w:val="22"/>
                <w:highlight w:val="none"/>
              </w:rPr>
            </w:pPr>
            <w:r>
              <w:rPr>
                <w:rFonts w:hint="eastAsia" w:ascii="Arial Unicode MS" w:hAnsi="Arial Unicode MS" w:eastAsia="Arial Unicode MS" w:cs="Arial Unicode MS"/>
                <w:b/>
                <w:bCs/>
                <w:color w:val="000000"/>
                <w:kern w:val="0"/>
                <w:sz w:val="22"/>
                <w:highlight w:val="none"/>
              </w:rPr>
              <w:t>2</w:t>
            </w:r>
            <w:r>
              <w:rPr>
                <w:rFonts w:hint="eastAsia" w:ascii="宋体" w:hAnsi="宋体" w:cs="Arial Unicode MS"/>
                <w:color w:val="000000"/>
                <w:kern w:val="0"/>
                <w:sz w:val="22"/>
                <w:highlight w:val="none"/>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5406"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Arial Unicode MS" w:hAnsi="Arial Unicode MS" w:eastAsia="Arial Unicode MS" w:cs="Arial Unicode MS"/>
                <w:b/>
                <w:bCs/>
                <w:color w:val="000000"/>
                <w:kern w:val="0"/>
                <w:sz w:val="22"/>
                <w:highlight w:val="none"/>
              </w:rPr>
            </w:pPr>
            <w:r>
              <w:rPr>
                <w:rFonts w:hint="eastAsia" w:ascii="Arial" w:hAnsi="Arial" w:cs="Arial"/>
                <w:bCs/>
                <w:color w:val="000000"/>
                <w:kern w:val="0"/>
                <w:sz w:val="22"/>
                <w:highlight w:val="none"/>
                <w:lang w:val="en-CA"/>
              </w:rPr>
              <w:t>合计</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rPr>
                <w:rFonts w:ascii="宋体" w:hAnsi="宋体" w:cs="宋体"/>
                <w:b/>
                <w:bCs/>
                <w:color w:val="000000"/>
                <w:kern w:val="0"/>
                <w:sz w:val="22"/>
                <w:highlight w:val="none"/>
              </w:rPr>
            </w:pPr>
            <w:r>
              <w:rPr>
                <w:rFonts w:hint="eastAsia" w:ascii="宋体" w:hAnsi="宋体" w:cs="宋体"/>
                <w:b/>
                <w:bCs/>
                <w:color w:val="000000"/>
                <w:kern w:val="0"/>
                <w:sz w:val="22"/>
                <w:highlight w:val="none"/>
              </w:rPr>
              <w:t>口模</w:t>
            </w:r>
            <w:r>
              <w:rPr>
                <w:rFonts w:hint="eastAsia" w:ascii="宋体" w:hAnsi="宋体" w:cs="宋体"/>
                <w:b/>
                <w:bCs/>
                <w:color w:val="000000"/>
                <w:kern w:val="0"/>
                <w:sz w:val="22"/>
                <w:highlight w:val="none"/>
                <w:lang w:val="en-US" w:eastAsia="zh-CN"/>
              </w:rPr>
              <w:t>5</w:t>
            </w:r>
            <w:r>
              <w:rPr>
                <w:rFonts w:hint="eastAsia" w:ascii="宋体" w:hAnsi="宋体" w:cs="宋体"/>
                <w:b/>
                <w:bCs/>
                <w:color w:val="000000"/>
                <w:kern w:val="0"/>
                <w:sz w:val="22"/>
                <w:highlight w:val="none"/>
              </w:rPr>
              <w:t>件</w:t>
            </w:r>
          </w:p>
        </w:tc>
        <w:tc>
          <w:tcPr>
            <w:tcW w:w="1109"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芯模</w:t>
            </w:r>
            <w:r>
              <w:rPr>
                <w:rFonts w:hint="eastAsia" w:ascii="宋体" w:hAnsi="宋体" w:cs="宋体"/>
                <w:b/>
                <w:bCs/>
                <w:color w:val="000000"/>
                <w:kern w:val="0"/>
                <w:sz w:val="20"/>
                <w:szCs w:val="20"/>
                <w:highlight w:val="none"/>
                <w:lang w:val="en-US" w:eastAsia="zh-CN"/>
              </w:rPr>
              <w:t>10</w:t>
            </w:r>
            <w:r>
              <w:rPr>
                <w:rFonts w:hint="eastAsia" w:ascii="宋体" w:hAnsi="宋体" w:cs="宋体"/>
                <w:b/>
                <w:bCs/>
                <w:color w:val="000000"/>
                <w:kern w:val="0"/>
                <w:sz w:val="20"/>
                <w:szCs w:val="20"/>
                <w:highlight w:val="none"/>
              </w:rPr>
              <w:t>件</w:t>
            </w:r>
          </w:p>
        </w:tc>
        <w:tc>
          <w:tcPr>
            <w:tcW w:w="1384"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ascii="宋体" w:hAnsi="宋体" w:cs="宋体"/>
                <w:b/>
                <w:bCs/>
                <w:color w:val="000000"/>
                <w:kern w:val="0"/>
                <w:szCs w:val="21"/>
                <w:highlight w:val="none"/>
              </w:rPr>
            </w:pPr>
            <w:r>
              <w:rPr>
                <w:rFonts w:hint="eastAsia" w:ascii="宋体" w:hAnsi="宋体" w:cs="宋体"/>
                <w:b/>
                <w:bCs/>
                <w:color w:val="000000"/>
                <w:kern w:val="0"/>
                <w:szCs w:val="21"/>
                <w:highlight w:val="none"/>
              </w:rPr>
              <w:t>定径套20件</w:t>
            </w:r>
          </w:p>
        </w:tc>
      </w:tr>
    </w:tbl>
    <w:p>
      <w:pPr>
        <w:spacing w:line="300" w:lineRule="auto"/>
        <w:rPr>
          <w:rFonts w:ascii="宋体" w:hAnsi="宋体"/>
          <w:b/>
          <w:spacing w:val="14"/>
          <w:sz w:val="24"/>
          <w:szCs w:val="24"/>
          <w:highlight w:val="none"/>
        </w:rPr>
      </w:pPr>
    </w:p>
    <w:p>
      <w:pPr>
        <w:pStyle w:val="2"/>
        <w:rPr>
          <w:szCs w:val="21"/>
          <w:highlight w:val="none"/>
        </w:rPr>
      </w:pPr>
      <w:r>
        <w:rPr>
          <w:rFonts w:hint="eastAsia"/>
          <w:b/>
          <w:spacing w:val="14"/>
          <w:sz w:val="24"/>
          <w:szCs w:val="24"/>
          <w:highlight w:val="none"/>
          <w:lang w:val="en-US" w:eastAsia="zh-CN"/>
        </w:rPr>
        <w:t>1.2设备组成</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8"/>
        <w:gridCol w:w="2492"/>
        <w:gridCol w:w="1870"/>
        <w:gridCol w:w="1122"/>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序号</w:t>
            </w:r>
          </w:p>
        </w:tc>
        <w:tc>
          <w:tcPr>
            <w:tcW w:w="2492"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名称及代号</w:t>
            </w:r>
          </w:p>
        </w:tc>
        <w:tc>
          <w:tcPr>
            <w:tcW w:w="1870"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规格及型号</w:t>
            </w:r>
          </w:p>
        </w:tc>
        <w:tc>
          <w:tcPr>
            <w:tcW w:w="1122"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数量</w:t>
            </w:r>
          </w:p>
        </w:tc>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1</w:t>
            </w:r>
          </w:p>
        </w:tc>
        <w:tc>
          <w:tcPr>
            <w:tcW w:w="2492"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高效单螺杆挤出机</w:t>
            </w:r>
          </w:p>
        </w:tc>
        <w:tc>
          <w:tcPr>
            <w:tcW w:w="1870" w:type="dxa"/>
          </w:tcPr>
          <w:p>
            <w:pPr>
              <w:ind w:left="0" w:leftChars="0" w:firstLine="0" w:firstLineChars="0"/>
              <w:jc w:val="center"/>
              <w:rPr>
                <w:rFonts w:hint="eastAsia" w:cs="宋体"/>
                <w:kern w:val="0"/>
                <w:highlight w:val="none"/>
                <w:vertAlign w:val="baseline"/>
              </w:rPr>
            </w:pPr>
          </w:p>
        </w:tc>
        <w:tc>
          <w:tcPr>
            <w:tcW w:w="1122"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1台</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2</w:t>
            </w:r>
          </w:p>
        </w:tc>
        <w:tc>
          <w:tcPr>
            <w:tcW w:w="2492"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生产线控制系统</w:t>
            </w:r>
          </w:p>
        </w:tc>
        <w:tc>
          <w:tcPr>
            <w:tcW w:w="1870" w:type="dxa"/>
          </w:tcPr>
          <w:p>
            <w:pPr>
              <w:jc w:val="center"/>
              <w:rPr>
                <w:rFonts w:hint="eastAsia" w:cs="宋体"/>
                <w:kern w:val="0"/>
                <w:highlight w:val="none"/>
                <w:vertAlign w:val="baseline"/>
              </w:rPr>
            </w:pPr>
          </w:p>
        </w:tc>
        <w:tc>
          <w:tcPr>
            <w:tcW w:w="1122" w:type="dxa"/>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1套</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3</w:t>
            </w:r>
          </w:p>
        </w:tc>
        <w:tc>
          <w:tcPr>
            <w:tcW w:w="2492"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自动上料干燥系统</w:t>
            </w:r>
          </w:p>
        </w:tc>
        <w:tc>
          <w:tcPr>
            <w:tcW w:w="1870" w:type="dxa"/>
          </w:tcPr>
          <w:p>
            <w:pPr>
              <w:jc w:val="center"/>
              <w:rPr>
                <w:rFonts w:hint="eastAsia" w:cs="宋体"/>
                <w:kern w:val="0"/>
                <w:highlight w:val="none"/>
                <w:vertAlign w:val="baseline"/>
              </w:rPr>
            </w:pPr>
          </w:p>
        </w:tc>
        <w:tc>
          <w:tcPr>
            <w:tcW w:w="1122" w:type="dxa"/>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1台</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4</w:t>
            </w:r>
          </w:p>
        </w:tc>
        <w:tc>
          <w:tcPr>
            <w:tcW w:w="2492"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模具（含口模、芯棒、定径套、加热圈）</w:t>
            </w:r>
          </w:p>
        </w:tc>
        <w:tc>
          <w:tcPr>
            <w:tcW w:w="1870" w:type="dxa"/>
          </w:tcPr>
          <w:p>
            <w:pPr>
              <w:ind w:left="0" w:leftChars="0" w:firstLine="0" w:firstLineChars="0"/>
              <w:jc w:val="center"/>
              <w:rPr>
                <w:rFonts w:hint="eastAsia" w:cs="宋体"/>
                <w:kern w:val="0"/>
                <w:highlight w:val="none"/>
                <w:vertAlign w:val="baseline"/>
              </w:rPr>
            </w:pPr>
            <w:r>
              <w:rPr>
                <w:rFonts w:hint="eastAsia" w:cs="宋体"/>
                <w:kern w:val="0"/>
                <w:highlight w:val="none"/>
                <w:vertAlign w:val="baseline"/>
                <w:lang w:eastAsia="zh-CN"/>
              </w:rPr>
              <w:t>Φ</w:t>
            </w:r>
            <w:r>
              <w:rPr>
                <w:rFonts w:hint="eastAsia" w:cs="宋体"/>
                <w:kern w:val="0"/>
                <w:highlight w:val="none"/>
                <w:vertAlign w:val="baseline"/>
                <w:lang w:val="en-US" w:eastAsia="zh-CN"/>
              </w:rPr>
              <w:t>200—630</w:t>
            </w:r>
          </w:p>
        </w:tc>
        <w:tc>
          <w:tcPr>
            <w:tcW w:w="1122" w:type="dxa"/>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1套</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5</w:t>
            </w:r>
          </w:p>
        </w:tc>
        <w:tc>
          <w:tcPr>
            <w:tcW w:w="2492"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单螺杆标识线挤出机</w:t>
            </w:r>
          </w:p>
        </w:tc>
        <w:tc>
          <w:tcPr>
            <w:tcW w:w="1870" w:type="dxa"/>
          </w:tcPr>
          <w:p>
            <w:pPr>
              <w:jc w:val="center"/>
              <w:rPr>
                <w:rFonts w:hint="eastAsia" w:cs="宋体"/>
                <w:kern w:val="0"/>
                <w:highlight w:val="none"/>
                <w:vertAlign w:val="baseline"/>
              </w:rPr>
            </w:pPr>
          </w:p>
        </w:tc>
        <w:tc>
          <w:tcPr>
            <w:tcW w:w="1122" w:type="dxa"/>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1台</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6</w:t>
            </w:r>
          </w:p>
        </w:tc>
        <w:tc>
          <w:tcPr>
            <w:tcW w:w="2492" w:type="dxa"/>
            <w:vAlign w:val="top"/>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真空定径箱</w:t>
            </w:r>
          </w:p>
        </w:tc>
        <w:tc>
          <w:tcPr>
            <w:tcW w:w="1870" w:type="dxa"/>
            <w:vAlign w:val="top"/>
          </w:tcPr>
          <w:p>
            <w:pPr>
              <w:ind w:left="0" w:leftChars="0" w:firstLine="0" w:firstLineChars="0"/>
              <w:jc w:val="center"/>
              <w:rPr>
                <w:rFonts w:hint="default" w:eastAsia="宋体" w:cs="宋体"/>
                <w:kern w:val="0"/>
                <w:highlight w:val="none"/>
                <w:vertAlign w:val="baseline"/>
                <w:lang w:val="en-US" w:eastAsia="zh-CN"/>
              </w:rPr>
            </w:pPr>
          </w:p>
        </w:tc>
        <w:tc>
          <w:tcPr>
            <w:tcW w:w="1122" w:type="dxa"/>
            <w:vAlign w:val="top"/>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1台</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7</w:t>
            </w:r>
          </w:p>
        </w:tc>
        <w:tc>
          <w:tcPr>
            <w:tcW w:w="2492" w:type="dxa"/>
            <w:vAlign w:val="top"/>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喷淋冷却箱</w:t>
            </w:r>
          </w:p>
        </w:tc>
        <w:tc>
          <w:tcPr>
            <w:tcW w:w="1870" w:type="dxa"/>
            <w:vAlign w:val="top"/>
          </w:tcPr>
          <w:p>
            <w:pPr>
              <w:ind w:firstLine="420" w:firstLineChars="200"/>
              <w:jc w:val="center"/>
              <w:rPr>
                <w:rFonts w:hint="default" w:eastAsia="宋体" w:cs="宋体"/>
                <w:kern w:val="0"/>
                <w:highlight w:val="none"/>
                <w:vertAlign w:val="baseline"/>
                <w:lang w:val="en-US" w:eastAsia="zh-CN"/>
              </w:rPr>
            </w:pPr>
          </w:p>
        </w:tc>
        <w:tc>
          <w:tcPr>
            <w:tcW w:w="1122" w:type="dxa"/>
            <w:vAlign w:val="top"/>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1套</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8</w:t>
            </w:r>
          </w:p>
        </w:tc>
        <w:tc>
          <w:tcPr>
            <w:tcW w:w="2492" w:type="dxa"/>
            <w:vAlign w:val="top"/>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履带牵引机</w:t>
            </w:r>
          </w:p>
        </w:tc>
        <w:tc>
          <w:tcPr>
            <w:tcW w:w="1870" w:type="dxa"/>
            <w:vAlign w:val="top"/>
          </w:tcPr>
          <w:p>
            <w:pPr>
              <w:ind w:left="0" w:leftChars="0" w:firstLine="0" w:firstLineChars="0"/>
              <w:jc w:val="center"/>
              <w:rPr>
                <w:rFonts w:hint="eastAsia" w:cs="宋体"/>
                <w:kern w:val="0"/>
                <w:highlight w:val="none"/>
                <w:vertAlign w:val="baseline"/>
              </w:rPr>
            </w:pPr>
            <w:r>
              <w:rPr>
                <w:rFonts w:hint="eastAsia" w:cs="宋体"/>
                <w:kern w:val="0"/>
                <w:highlight w:val="none"/>
                <w:vertAlign w:val="baseline"/>
                <w:lang w:eastAsia="zh-CN"/>
              </w:rPr>
              <w:t>Φ</w:t>
            </w:r>
            <w:r>
              <w:rPr>
                <w:rFonts w:hint="eastAsia" w:cs="宋体"/>
                <w:kern w:val="0"/>
                <w:highlight w:val="none"/>
                <w:vertAlign w:val="baseline"/>
                <w:lang w:val="en-US" w:eastAsia="zh-CN"/>
              </w:rPr>
              <w:t>200-630</w:t>
            </w:r>
          </w:p>
        </w:tc>
        <w:tc>
          <w:tcPr>
            <w:tcW w:w="1122" w:type="dxa"/>
            <w:vAlign w:val="top"/>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1台</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eastAsia" w:eastAsia="宋体" w:cs="宋体"/>
                <w:kern w:val="0"/>
                <w:highlight w:val="none"/>
                <w:vertAlign w:val="baseline"/>
                <w:lang w:val="en-US" w:eastAsia="zh-CN"/>
              </w:rPr>
            </w:pPr>
            <w:r>
              <w:rPr>
                <w:rFonts w:hint="eastAsia" w:cs="宋体"/>
                <w:kern w:val="0"/>
                <w:highlight w:val="none"/>
                <w:vertAlign w:val="baseline"/>
                <w:lang w:val="en-US" w:eastAsia="zh-CN"/>
              </w:rPr>
              <w:t>9</w:t>
            </w:r>
          </w:p>
        </w:tc>
        <w:tc>
          <w:tcPr>
            <w:tcW w:w="2492" w:type="dxa"/>
            <w:vAlign w:val="top"/>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无屑切割机</w:t>
            </w:r>
          </w:p>
        </w:tc>
        <w:tc>
          <w:tcPr>
            <w:tcW w:w="1870" w:type="dxa"/>
            <w:vAlign w:val="top"/>
          </w:tcPr>
          <w:p>
            <w:pPr>
              <w:ind w:left="0" w:leftChars="0" w:firstLine="0" w:firstLineChars="0"/>
              <w:jc w:val="center"/>
              <w:rPr>
                <w:rFonts w:hint="eastAsia" w:cs="宋体"/>
                <w:kern w:val="0"/>
                <w:highlight w:val="none"/>
                <w:vertAlign w:val="baseline"/>
              </w:rPr>
            </w:pPr>
            <w:r>
              <w:rPr>
                <w:rFonts w:hint="eastAsia" w:cs="宋体"/>
                <w:kern w:val="0"/>
                <w:highlight w:val="none"/>
                <w:vertAlign w:val="baseline"/>
                <w:lang w:eastAsia="zh-CN"/>
              </w:rPr>
              <w:t>Φ</w:t>
            </w:r>
            <w:r>
              <w:rPr>
                <w:rFonts w:hint="eastAsia" w:cs="宋体"/>
                <w:kern w:val="0"/>
                <w:highlight w:val="none"/>
                <w:vertAlign w:val="baseline"/>
                <w:lang w:val="en-US" w:eastAsia="zh-CN"/>
              </w:rPr>
              <w:t>200-630</w:t>
            </w:r>
          </w:p>
        </w:tc>
        <w:tc>
          <w:tcPr>
            <w:tcW w:w="1122" w:type="dxa"/>
            <w:vAlign w:val="top"/>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1台</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10</w:t>
            </w:r>
          </w:p>
        </w:tc>
        <w:tc>
          <w:tcPr>
            <w:tcW w:w="2492" w:type="dxa"/>
            <w:vAlign w:val="top"/>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接管架</w:t>
            </w:r>
          </w:p>
        </w:tc>
        <w:tc>
          <w:tcPr>
            <w:tcW w:w="1870" w:type="dxa"/>
            <w:vAlign w:val="top"/>
          </w:tcPr>
          <w:p>
            <w:pPr>
              <w:ind w:firstLine="420" w:firstLineChars="200"/>
              <w:jc w:val="center"/>
              <w:rPr>
                <w:rFonts w:hint="eastAsia" w:cs="宋体"/>
                <w:kern w:val="0"/>
                <w:highlight w:val="none"/>
                <w:vertAlign w:val="baseline"/>
              </w:rPr>
            </w:pPr>
          </w:p>
        </w:tc>
        <w:tc>
          <w:tcPr>
            <w:tcW w:w="1122" w:type="dxa"/>
            <w:vAlign w:val="top"/>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2台</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11</w:t>
            </w:r>
          </w:p>
        </w:tc>
        <w:tc>
          <w:tcPr>
            <w:tcW w:w="2492" w:type="dxa"/>
            <w:vAlign w:val="top"/>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椭圆校正装置</w:t>
            </w:r>
          </w:p>
        </w:tc>
        <w:tc>
          <w:tcPr>
            <w:tcW w:w="1870" w:type="dxa"/>
            <w:vAlign w:val="top"/>
          </w:tcPr>
          <w:p>
            <w:pPr>
              <w:ind w:firstLine="420" w:firstLineChars="200"/>
              <w:jc w:val="center"/>
              <w:rPr>
                <w:rFonts w:hint="default" w:eastAsia="宋体" w:cs="宋体"/>
                <w:kern w:val="0"/>
                <w:highlight w:val="none"/>
                <w:vertAlign w:val="baseline"/>
                <w:lang w:val="en-US" w:eastAsia="zh-CN"/>
              </w:rPr>
            </w:pPr>
          </w:p>
        </w:tc>
        <w:tc>
          <w:tcPr>
            <w:tcW w:w="1122" w:type="dxa"/>
            <w:vAlign w:val="top"/>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1套</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12</w:t>
            </w:r>
          </w:p>
        </w:tc>
        <w:tc>
          <w:tcPr>
            <w:tcW w:w="2492" w:type="dxa"/>
            <w:vAlign w:val="top"/>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重力计量装置</w:t>
            </w:r>
          </w:p>
        </w:tc>
        <w:tc>
          <w:tcPr>
            <w:tcW w:w="1870" w:type="dxa"/>
            <w:vAlign w:val="top"/>
          </w:tcPr>
          <w:p>
            <w:pPr>
              <w:ind w:firstLine="420" w:firstLineChars="200"/>
              <w:jc w:val="center"/>
              <w:rPr>
                <w:rFonts w:hint="eastAsia" w:cs="宋体"/>
                <w:kern w:val="0"/>
                <w:highlight w:val="none"/>
                <w:vertAlign w:val="baseline"/>
              </w:rPr>
            </w:pPr>
          </w:p>
        </w:tc>
        <w:tc>
          <w:tcPr>
            <w:tcW w:w="1122" w:type="dxa"/>
            <w:vAlign w:val="top"/>
          </w:tcPr>
          <w:p>
            <w:pPr>
              <w:ind w:left="0" w:leftChars="0" w:firstLine="0" w:firstLineChars="0"/>
              <w:jc w:val="center"/>
              <w:rPr>
                <w:rFonts w:hint="eastAsia" w:cs="宋体"/>
                <w:kern w:val="0"/>
                <w:highlight w:val="none"/>
                <w:vertAlign w:val="baseline"/>
                <w:lang w:val="en-US" w:eastAsia="zh-CN"/>
              </w:rPr>
            </w:pPr>
            <w:r>
              <w:rPr>
                <w:rFonts w:hint="eastAsia" w:cs="宋体"/>
                <w:kern w:val="0"/>
                <w:highlight w:val="none"/>
                <w:vertAlign w:val="baseline"/>
                <w:lang w:val="en-US" w:eastAsia="zh-CN"/>
              </w:rPr>
              <w:t>1台</w:t>
            </w: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13</w:t>
            </w:r>
          </w:p>
        </w:tc>
        <w:tc>
          <w:tcPr>
            <w:tcW w:w="2492" w:type="dxa"/>
            <w:vAlign w:val="top"/>
          </w:tcPr>
          <w:p>
            <w:pPr>
              <w:ind w:left="0" w:leftChars="0" w:firstLine="0" w:firstLineChars="0"/>
              <w:jc w:val="center"/>
              <w:rPr>
                <w:rFonts w:hint="default" w:eastAsia="宋体" w:cs="宋体"/>
                <w:kern w:val="0"/>
                <w:highlight w:val="none"/>
                <w:vertAlign w:val="baseline"/>
                <w:lang w:val="en-US" w:eastAsia="zh-CN"/>
              </w:rPr>
            </w:pPr>
            <w:r>
              <w:rPr>
                <w:rFonts w:hint="eastAsia" w:cs="宋体"/>
                <w:kern w:val="0"/>
                <w:highlight w:val="none"/>
                <w:vertAlign w:val="baseline"/>
                <w:lang w:val="en-US" w:eastAsia="zh-CN"/>
              </w:rPr>
              <w:t>随机备品配件</w:t>
            </w:r>
          </w:p>
        </w:tc>
        <w:tc>
          <w:tcPr>
            <w:tcW w:w="1870" w:type="dxa"/>
            <w:vAlign w:val="top"/>
          </w:tcPr>
          <w:p>
            <w:pPr>
              <w:ind w:left="0" w:leftChars="0" w:firstLine="0" w:firstLineChars="0"/>
              <w:jc w:val="center"/>
              <w:rPr>
                <w:rFonts w:hint="eastAsia" w:cs="宋体"/>
                <w:kern w:val="0"/>
                <w:highlight w:val="none"/>
                <w:vertAlign w:val="baseline"/>
              </w:rPr>
            </w:pPr>
          </w:p>
        </w:tc>
        <w:tc>
          <w:tcPr>
            <w:tcW w:w="1122" w:type="dxa"/>
            <w:vAlign w:val="top"/>
          </w:tcPr>
          <w:p>
            <w:pPr>
              <w:ind w:left="0" w:leftChars="0" w:firstLine="0" w:firstLineChars="0"/>
              <w:jc w:val="center"/>
              <w:rPr>
                <w:rFonts w:hint="eastAsia" w:cs="宋体"/>
                <w:kern w:val="0"/>
                <w:highlight w:val="none"/>
                <w:vertAlign w:val="baseline"/>
                <w:lang w:val="en-US" w:eastAsia="zh-CN"/>
              </w:rPr>
            </w:pPr>
          </w:p>
        </w:tc>
        <w:tc>
          <w:tcPr>
            <w:tcW w:w="1828" w:type="dxa"/>
            <w:vAlign w:val="top"/>
          </w:tcPr>
          <w:p>
            <w:pPr>
              <w:ind w:left="0" w:leftChars="0" w:firstLine="0" w:firstLineChars="0"/>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8" w:type="dxa"/>
          </w:tcPr>
          <w:p>
            <w:pPr>
              <w:ind w:left="0" w:leftChars="0" w:firstLine="0" w:firstLineChars="0"/>
              <w:jc w:val="center"/>
              <w:rPr>
                <w:rFonts w:hint="default" w:eastAsia="宋体" w:cs="宋体"/>
                <w:kern w:val="0"/>
                <w:highlight w:val="none"/>
                <w:vertAlign w:val="baseline"/>
                <w:lang w:val="en-US" w:eastAsia="zh-CN"/>
              </w:rPr>
            </w:pPr>
          </w:p>
        </w:tc>
        <w:tc>
          <w:tcPr>
            <w:tcW w:w="2492" w:type="dxa"/>
            <w:vAlign w:val="top"/>
          </w:tcPr>
          <w:p>
            <w:pPr>
              <w:ind w:left="0" w:leftChars="0" w:firstLine="0" w:firstLineChars="0"/>
              <w:jc w:val="center"/>
              <w:rPr>
                <w:rFonts w:hint="default" w:eastAsia="宋体" w:cs="宋体"/>
                <w:kern w:val="0"/>
                <w:highlight w:val="none"/>
                <w:vertAlign w:val="baseline"/>
                <w:lang w:val="en-US" w:eastAsia="zh-CN"/>
              </w:rPr>
            </w:pPr>
          </w:p>
        </w:tc>
        <w:tc>
          <w:tcPr>
            <w:tcW w:w="1870" w:type="dxa"/>
            <w:vAlign w:val="top"/>
          </w:tcPr>
          <w:p>
            <w:pPr>
              <w:ind w:left="0" w:leftChars="0" w:firstLine="0" w:firstLineChars="0"/>
              <w:jc w:val="center"/>
              <w:rPr>
                <w:rFonts w:hint="eastAsia" w:cs="宋体"/>
                <w:kern w:val="0"/>
                <w:highlight w:val="none"/>
                <w:vertAlign w:val="baseline"/>
              </w:rPr>
            </w:pPr>
          </w:p>
        </w:tc>
        <w:tc>
          <w:tcPr>
            <w:tcW w:w="1122" w:type="dxa"/>
            <w:vAlign w:val="top"/>
          </w:tcPr>
          <w:p>
            <w:pPr>
              <w:ind w:left="0" w:leftChars="0" w:firstLine="0" w:firstLineChars="0"/>
              <w:jc w:val="center"/>
              <w:rPr>
                <w:rFonts w:hint="eastAsia" w:cs="宋体"/>
                <w:kern w:val="0"/>
                <w:highlight w:val="none"/>
                <w:vertAlign w:val="baseline"/>
                <w:lang w:val="en-US" w:eastAsia="zh-CN"/>
              </w:rPr>
            </w:pPr>
          </w:p>
        </w:tc>
        <w:tc>
          <w:tcPr>
            <w:tcW w:w="1828" w:type="dxa"/>
          </w:tcPr>
          <w:p>
            <w:pPr>
              <w:jc w:val="center"/>
              <w:rPr>
                <w:rFonts w:hint="eastAsia" w:cs="宋体"/>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1828" w:type="dxa"/>
          </w:tcPr>
          <w:p>
            <w:pPr>
              <w:ind w:left="0" w:leftChars="0" w:firstLine="0" w:firstLineChars="0"/>
              <w:jc w:val="center"/>
              <w:rPr>
                <w:rFonts w:hint="default" w:eastAsia="宋体" w:cs="宋体"/>
                <w:kern w:val="0"/>
                <w:highlight w:val="none"/>
                <w:vertAlign w:val="baseline"/>
                <w:lang w:val="en-US" w:eastAsia="zh-CN"/>
              </w:rPr>
            </w:pPr>
          </w:p>
        </w:tc>
        <w:tc>
          <w:tcPr>
            <w:tcW w:w="2492" w:type="dxa"/>
            <w:vAlign w:val="top"/>
          </w:tcPr>
          <w:p>
            <w:pPr>
              <w:ind w:left="0" w:leftChars="0" w:firstLine="0" w:firstLineChars="0"/>
              <w:jc w:val="center"/>
              <w:rPr>
                <w:rFonts w:hint="default" w:eastAsia="宋体" w:cs="宋体"/>
                <w:kern w:val="0"/>
                <w:highlight w:val="none"/>
                <w:vertAlign w:val="baseline"/>
                <w:lang w:val="en-US" w:eastAsia="zh-CN"/>
              </w:rPr>
            </w:pPr>
          </w:p>
        </w:tc>
        <w:tc>
          <w:tcPr>
            <w:tcW w:w="1870" w:type="dxa"/>
            <w:vAlign w:val="top"/>
          </w:tcPr>
          <w:p>
            <w:pPr>
              <w:ind w:left="0" w:leftChars="0" w:firstLine="0" w:firstLineChars="0"/>
              <w:jc w:val="center"/>
              <w:rPr>
                <w:rFonts w:hint="eastAsia" w:cs="宋体"/>
                <w:kern w:val="0"/>
                <w:highlight w:val="none"/>
                <w:vertAlign w:val="baseline"/>
              </w:rPr>
            </w:pPr>
          </w:p>
        </w:tc>
        <w:tc>
          <w:tcPr>
            <w:tcW w:w="1122" w:type="dxa"/>
            <w:vAlign w:val="top"/>
          </w:tcPr>
          <w:p>
            <w:pPr>
              <w:ind w:left="0" w:leftChars="0" w:firstLine="0" w:firstLineChars="0"/>
              <w:jc w:val="center"/>
              <w:rPr>
                <w:rFonts w:hint="eastAsia" w:cs="宋体"/>
                <w:kern w:val="0"/>
                <w:highlight w:val="none"/>
                <w:vertAlign w:val="baseline"/>
                <w:lang w:val="en-US" w:eastAsia="zh-CN"/>
              </w:rPr>
            </w:pPr>
          </w:p>
        </w:tc>
        <w:tc>
          <w:tcPr>
            <w:tcW w:w="1828" w:type="dxa"/>
          </w:tcPr>
          <w:p>
            <w:pPr>
              <w:jc w:val="center"/>
              <w:rPr>
                <w:rFonts w:hint="eastAsia" w:cs="宋体"/>
                <w:kern w:val="0"/>
                <w:highlight w:val="none"/>
                <w:vertAlign w:val="baseline"/>
              </w:rPr>
            </w:pPr>
          </w:p>
        </w:tc>
      </w:tr>
    </w:tbl>
    <w:p>
      <w:pPr>
        <w:rPr>
          <w:rFonts w:hint="eastAsia" w:cs="宋体"/>
          <w:kern w:val="0"/>
          <w:highlight w:val="none"/>
        </w:rPr>
      </w:pPr>
    </w:p>
    <w:p>
      <w:pPr>
        <w:pStyle w:val="2"/>
        <w:rPr>
          <w:rFonts w:hint="default"/>
          <w:b/>
          <w:spacing w:val="14"/>
          <w:sz w:val="24"/>
          <w:szCs w:val="24"/>
          <w:highlight w:val="none"/>
          <w:lang w:val="en-US" w:eastAsia="zh-CN"/>
        </w:rPr>
      </w:pPr>
    </w:p>
    <w:p>
      <w:pPr>
        <w:pStyle w:val="2"/>
        <w:numPr>
          <w:ilvl w:val="0"/>
          <w:numId w:val="29"/>
        </w:numPr>
        <w:rPr>
          <w:rFonts w:hint="eastAsia"/>
          <w:b/>
          <w:spacing w:val="14"/>
          <w:sz w:val="24"/>
          <w:szCs w:val="24"/>
          <w:highlight w:val="none"/>
          <w:lang w:val="en-US" w:eastAsia="zh-CN"/>
        </w:rPr>
      </w:pPr>
      <w:r>
        <w:rPr>
          <w:rFonts w:hint="eastAsia"/>
          <w:b/>
          <w:spacing w:val="14"/>
          <w:sz w:val="24"/>
          <w:szCs w:val="24"/>
          <w:highlight w:val="none"/>
          <w:lang w:val="en-US" w:eastAsia="zh-CN"/>
        </w:rPr>
        <w:t>设备详细配置说明</w:t>
      </w:r>
    </w:p>
    <w:p>
      <w:pPr>
        <w:keepNext w:val="0"/>
        <w:keepLines w:val="0"/>
        <w:pageBreakBefore w:val="0"/>
        <w:widowControl w:val="0"/>
        <w:kinsoku/>
        <w:wordWrap/>
        <w:overflowPunct/>
        <w:topLinePunct w:val="0"/>
        <w:autoSpaceDE/>
        <w:autoSpaceDN/>
        <w:bidi w:val="0"/>
        <w:adjustRightInd/>
        <w:snapToGrid/>
        <w:spacing w:line="360" w:lineRule="auto"/>
        <w:ind w:left="0" w:firstLine="476" w:firstLineChars="200"/>
        <w:textAlignment w:val="auto"/>
        <w:rPr>
          <w:rFonts w:ascii="Arial" w:hAnsi="Arial" w:cs="Arial"/>
          <w:b/>
          <w:spacing w:val="14"/>
          <w:kern w:val="0"/>
          <w:szCs w:val="21"/>
          <w:highlight w:val="none"/>
        </w:rPr>
      </w:pPr>
      <w:r>
        <w:rPr>
          <w:rFonts w:hint="eastAsia" w:ascii="Arial" w:hAnsi="宋体" w:cs="Arial"/>
          <w:spacing w:val="14"/>
          <w:szCs w:val="21"/>
          <w:highlight w:val="none"/>
        </w:rPr>
        <w:t>2.1</w:t>
      </w:r>
      <w:r>
        <w:rPr>
          <w:rFonts w:ascii="Arial" w:hAnsi="宋体" w:cs="Arial"/>
          <w:spacing w:val="14"/>
          <w:szCs w:val="21"/>
          <w:highlight w:val="none"/>
        </w:rPr>
        <w:t>单螺杆挤出机</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ascii="Arial" w:hAnsi="宋体" w:cs="Arial"/>
          <w:spacing w:val="14"/>
          <w:szCs w:val="21"/>
          <w:highlight w:val="none"/>
        </w:rPr>
      </w:pPr>
      <w:r>
        <w:rPr>
          <w:rFonts w:ascii="Arial" w:hAnsi="宋体" w:cs="Arial"/>
          <w:spacing w:val="14"/>
          <w:szCs w:val="21"/>
          <w:highlight w:val="none"/>
        </w:rPr>
        <w:t>螺杆、机筒引进最新德国技术制造（超长径比螺杆结构、带螺旋槽机筒）</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default" w:ascii="Arial" w:hAnsi="宋体" w:eastAsia="宋体" w:cs="Arial"/>
          <w:spacing w:val="14"/>
          <w:szCs w:val="21"/>
          <w:highlight w:val="none"/>
          <w:lang w:val="en-US" w:eastAsia="zh-CN"/>
        </w:rPr>
      </w:pPr>
      <w:r>
        <w:rPr>
          <w:rFonts w:hint="eastAsia" w:ascii="Arial" w:hAnsi="宋体" w:cs="Arial"/>
          <w:spacing w:val="14"/>
          <w:szCs w:val="21"/>
          <w:highlight w:val="none"/>
          <w:lang w:val="en-US" w:eastAsia="zh-CN"/>
        </w:rPr>
        <w:t>电机品牌：选配进口品牌</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ascii="Arial" w:hAnsi="宋体" w:cs="Arial"/>
          <w:spacing w:val="14"/>
          <w:szCs w:val="21"/>
          <w:highlight w:val="none"/>
        </w:rPr>
      </w:pPr>
      <w:r>
        <w:rPr>
          <w:rFonts w:hint="eastAsia" w:ascii="Arial" w:hAnsi="宋体" w:cs="Arial"/>
          <w:spacing w:val="14"/>
          <w:szCs w:val="21"/>
          <w:highlight w:val="none"/>
        </w:rPr>
        <w:t>ABB变频</w:t>
      </w:r>
      <w:r>
        <w:rPr>
          <w:rFonts w:ascii="Arial" w:hAnsi="宋体" w:cs="Arial"/>
          <w:spacing w:val="14"/>
          <w:szCs w:val="21"/>
          <w:highlight w:val="none"/>
        </w:rPr>
        <w:t>调速器</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ascii="Arial" w:hAnsi="宋体" w:cs="Arial"/>
          <w:spacing w:val="14"/>
          <w:sz w:val="22"/>
          <w:highlight w:val="none"/>
        </w:rPr>
      </w:pPr>
      <w:r>
        <w:rPr>
          <w:rFonts w:ascii="Arial" w:hAnsi="宋体" w:cs="Arial"/>
          <w:spacing w:val="14"/>
          <w:sz w:val="22"/>
          <w:highlight w:val="none"/>
        </w:rPr>
        <w:t>螺杆：</w:t>
      </w:r>
      <w:r>
        <w:rPr>
          <w:rFonts w:ascii="Arial" w:hAnsi="宋体" w:cs="Arial"/>
          <w:b/>
          <w:spacing w:val="14"/>
          <w:sz w:val="22"/>
          <w:highlight w:val="none"/>
        </w:rPr>
        <w:t>38CrMoAlA</w:t>
      </w:r>
      <w:r>
        <w:rPr>
          <w:rFonts w:ascii="Arial" w:hAnsi="宋体" w:cs="Arial"/>
          <w:spacing w:val="14"/>
          <w:sz w:val="22"/>
          <w:highlight w:val="none"/>
        </w:rPr>
        <w:t>，氮化处理，全新结构保证超强塑化能力</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ascii="Arial" w:hAnsi="宋体" w:cs="Arial"/>
          <w:spacing w:val="14"/>
          <w:sz w:val="22"/>
          <w:highlight w:val="none"/>
        </w:rPr>
      </w:pPr>
      <w:r>
        <w:rPr>
          <w:rFonts w:ascii="Arial" w:hAnsi="宋体" w:cs="Arial"/>
          <w:spacing w:val="14"/>
          <w:sz w:val="22"/>
          <w:highlight w:val="none"/>
        </w:rPr>
        <w:t>机筒：</w:t>
      </w:r>
      <w:r>
        <w:rPr>
          <w:rFonts w:ascii="Arial" w:hAnsi="宋体" w:cs="Arial"/>
          <w:b/>
          <w:spacing w:val="14"/>
          <w:sz w:val="22"/>
          <w:highlight w:val="none"/>
        </w:rPr>
        <w:t>38CrMoAlA</w:t>
      </w:r>
      <w:r>
        <w:rPr>
          <w:rFonts w:ascii="Arial" w:hAnsi="宋体" w:cs="Arial"/>
          <w:spacing w:val="14"/>
          <w:sz w:val="22"/>
          <w:highlight w:val="none"/>
        </w:rPr>
        <w:t>，氮化处理，螺旋槽强制喂料段，环形槽风冷系统</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eastAsia="宋体" w:cs="Arial"/>
          <w:spacing w:val="14"/>
          <w:sz w:val="22"/>
          <w:highlight w:val="none"/>
          <w:lang w:eastAsia="zh-CN"/>
        </w:rPr>
      </w:pPr>
      <w:r>
        <w:rPr>
          <w:rFonts w:ascii="Arial" w:hAnsi="宋体" w:cs="Arial"/>
          <w:spacing w:val="14"/>
          <w:sz w:val="22"/>
          <w:highlight w:val="none"/>
        </w:rPr>
        <w:t>齿轮箱：高扭矩、低噪声、硬齿面</w:t>
      </w:r>
      <w:r>
        <w:rPr>
          <w:rFonts w:hint="eastAsia" w:ascii="Arial" w:hAnsi="宋体" w:cs="Arial"/>
          <w:spacing w:val="14"/>
          <w:sz w:val="22"/>
          <w:highlight w:val="none"/>
        </w:rPr>
        <w:t>，高性能</w:t>
      </w:r>
      <w:r>
        <w:rPr>
          <w:rFonts w:ascii="Arial" w:hAnsi="宋体" w:cs="Arial"/>
          <w:spacing w:val="14"/>
          <w:sz w:val="22"/>
          <w:highlight w:val="none"/>
        </w:rPr>
        <w:t>齿轮箱</w:t>
      </w:r>
      <w:r>
        <w:rPr>
          <w:rFonts w:hint="eastAsia" w:ascii="Arial" w:hAnsi="宋体" w:cs="Arial"/>
          <w:spacing w:val="14"/>
          <w:sz w:val="22"/>
          <w:highlight w:val="none"/>
          <w:lang w:eastAsia="zh-CN"/>
        </w:rPr>
        <w:t>（</w:t>
      </w:r>
      <w:r>
        <w:rPr>
          <w:rFonts w:hint="eastAsia" w:ascii="Arial" w:hAnsi="宋体" w:cs="Arial"/>
          <w:spacing w:val="14"/>
          <w:sz w:val="22"/>
          <w:highlight w:val="none"/>
          <w:lang w:val="en-US" w:eastAsia="zh-CN"/>
        </w:rPr>
        <w:t>选配进口品牌</w:t>
      </w:r>
      <w:r>
        <w:rPr>
          <w:rFonts w:hint="eastAsia" w:ascii="Arial" w:hAnsi="宋体" w:cs="Arial"/>
          <w:spacing w:val="14"/>
          <w:sz w:val="22"/>
          <w:highlight w:val="none"/>
          <w:lang w:eastAsia="zh-CN"/>
        </w:rPr>
        <w:t>）</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default" w:eastAsia="宋体"/>
          <w:highlight w:val="none"/>
          <w:lang w:val="en-US" w:eastAsia="zh-CN"/>
        </w:rPr>
      </w:pPr>
      <w:r>
        <w:rPr>
          <w:rFonts w:ascii="Arial" w:hAnsi="宋体" w:cs="Arial"/>
          <w:spacing w:val="14"/>
          <w:sz w:val="22"/>
          <w:highlight w:val="none"/>
        </w:rPr>
        <w:t>喂料段温度检测</w:t>
      </w:r>
    </w:p>
    <w:p>
      <w:pPr>
        <w:keepNext w:val="0"/>
        <w:keepLines w:val="0"/>
        <w:pageBreakBefore w:val="0"/>
        <w:widowControl w:val="0"/>
        <w:kinsoku/>
        <w:wordWrap/>
        <w:overflowPunct/>
        <w:topLinePunct w:val="0"/>
        <w:autoSpaceDE/>
        <w:autoSpaceDN/>
        <w:bidi w:val="0"/>
        <w:adjustRightInd/>
        <w:snapToGrid/>
        <w:spacing w:line="360" w:lineRule="auto"/>
        <w:ind w:left="0" w:firstLine="478" w:firstLineChars="200"/>
        <w:textAlignment w:val="auto"/>
        <w:rPr>
          <w:rFonts w:ascii="Arial" w:hAnsi="Arial" w:cs="Arial"/>
          <w:b/>
          <w:spacing w:val="14"/>
          <w:szCs w:val="21"/>
          <w:highlight w:val="none"/>
        </w:rPr>
      </w:pPr>
      <w:r>
        <w:rPr>
          <w:rFonts w:hint="eastAsia" w:ascii="Arial" w:hAnsi="Arial" w:cs="Arial"/>
          <w:b/>
          <w:spacing w:val="14"/>
          <w:szCs w:val="21"/>
          <w:highlight w:val="none"/>
        </w:rPr>
        <w:t>2.</w:t>
      </w:r>
      <w:r>
        <w:rPr>
          <w:rFonts w:hint="eastAsia" w:ascii="Arial" w:hAnsi="Arial" w:cs="Arial"/>
          <w:b/>
          <w:spacing w:val="14"/>
          <w:szCs w:val="21"/>
          <w:highlight w:val="none"/>
          <w:lang w:val="en-US" w:eastAsia="zh-CN"/>
        </w:rPr>
        <w:t>2</w:t>
      </w:r>
      <w:r>
        <w:rPr>
          <w:rFonts w:ascii="Arial" w:hAnsi="Arial" w:cs="Arial"/>
          <w:b/>
          <w:spacing w:val="14"/>
          <w:szCs w:val="21"/>
          <w:highlight w:val="none"/>
        </w:rPr>
        <w:t xml:space="preserve">  </w:t>
      </w:r>
      <w:r>
        <w:rPr>
          <w:rFonts w:hint="eastAsia" w:cs="宋体"/>
          <w:kern w:val="0"/>
          <w:highlight w:val="none"/>
          <w:vertAlign w:val="baseline"/>
          <w:lang w:val="en-US" w:eastAsia="zh-CN"/>
        </w:rPr>
        <w:t>生产线控制系统</w:t>
      </w:r>
      <w:r>
        <w:rPr>
          <w:rFonts w:ascii="Arial" w:hAnsi="Arial" w:cs="Arial"/>
          <w:b/>
          <w:spacing w:val="14"/>
          <w:szCs w:val="21"/>
          <w:highlight w:val="none"/>
        </w:rPr>
        <w:t xml:space="preserve">                                                               </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default" w:ascii="Arial" w:hAnsi="宋体" w:cs="Arial"/>
          <w:spacing w:val="14"/>
          <w:szCs w:val="21"/>
          <w:highlight w:val="none"/>
          <w:lang w:val="en-US" w:eastAsia="zh-CN"/>
        </w:rPr>
      </w:pPr>
      <w:r>
        <w:rPr>
          <w:rFonts w:hint="eastAsia" w:ascii="Arial" w:hAnsi="宋体" w:cs="Arial"/>
          <w:spacing w:val="14"/>
          <w:szCs w:val="21"/>
          <w:highlight w:val="none"/>
          <w:lang w:val="en-US" w:eastAsia="zh-CN"/>
        </w:rPr>
        <w:t>专业塑料机械控制系统</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ascii="Arial" w:hAnsi="宋体" w:cs="Arial"/>
          <w:spacing w:val="14"/>
          <w:szCs w:val="21"/>
          <w:highlight w:val="none"/>
        </w:rPr>
      </w:pPr>
      <w:r>
        <w:rPr>
          <w:rFonts w:ascii="Arial" w:hAnsi="宋体" w:cs="Arial"/>
          <w:spacing w:val="14"/>
          <w:szCs w:val="21"/>
          <w:highlight w:val="none"/>
        </w:rPr>
        <w:t>西门子（SIEMENS）硬件</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default" w:ascii="Arial" w:hAnsi="宋体" w:cs="Arial"/>
          <w:spacing w:val="14"/>
          <w:szCs w:val="21"/>
          <w:highlight w:val="none"/>
          <w:lang w:val="en-US" w:eastAsia="zh-CN"/>
        </w:rPr>
      </w:pPr>
      <w:r>
        <w:rPr>
          <w:rFonts w:ascii="Arial" w:hAnsi="宋体" w:cs="Arial"/>
          <w:spacing w:val="14"/>
          <w:szCs w:val="21"/>
          <w:highlight w:val="none"/>
        </w:rPr>
        <w:t>人机界面</w:t>
      </w:r>
      <w:r>
        <w:rPr>
          <w:rFonts w:hint="eastAsia" w:ascii="Arial" w:hAnsi="宋体" w:cs="Arial"/>
          <w:spacing w:val="14"/>
          <w:szCs w:val="21"/>
          <w:highlight w:val="none"/>
          <w:lang w:eastAsia="zh-CN"/>
        </w:rPr>
        <w:t>，</w:t>
      </w:r>
      <w:r>
        <w:rPr>
          <w:rFonts w:hint="eastAsia" w:ascii="Arial" w:hAnsi="宋体" w:cs="Arial"/>
          <w:spacing w:val="14"/>
          <w:szCs w:val="21"/>
          <w:highlight w:val="none"/>
          <w:lang w:val="en-US" w:eastAsia="zh-CN"/>
        </w:rPr>
        <w:t>既可点动，也可全线联动</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eastAsia" w:ascii="Arial" w:hAnsi="宋体" w:cs="Arial"/>
          <w:spacing w:val="14"/>
          <w:szCs w:val="21"/>
          <w:highlight w:val="none"/>
          <w:lang w:val="en-US" w:eastAsia="zh-CN"/>
        </w:rPr>
      </w:pPr>
      <w:r>
        <w:rPr>
          <w:rFonts w:hint="eastAsia" w:ascii="Arial" w:hAnsi="宋体" w:cs="Arial"/>
          <w:spacing w:val="14"/>
          <w:szCs w:val="21"/>
          <w:highlight w:val="none"/>
          <w:lang w:val="en-US" w:eastAsia="zh-CN"/>
        </w:rPr>
        <w:t>主机、辅机、牵引机同步控制</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ascii="Arial" w:hAnsi="宋体" w:cs="Arial"/>
          <w:spacing w:val="14"/>
          <w:szCs w:val="21"/>
          <w:highlight w:val="none"/>
        </w:rPr>
      </w:pPr>
      <w:r>
        <w:rPr>
          <w:rFonts w:ascii="Arial" w:hAnsi="宋体" w:cs="Arial"/>
          <w:spacing w:val="14"/>
          <w:szCs w:val="21"/>
          <w:highlight w:val="none"/>
        </w:rPr>
        <w:t>新一代可编程计算机控制系统</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ascii="Arial" w:hAnsi="宋体" w:cs="Arial"/>
          <w:spacing w:val="14"/>
          <w:szCs w:val="21"/>
          <w:highlight w:val="none"/>
        </w:rPr>
      </w:pPr>
      <w:r>
        <w:rPr>
          <w:rFonts w:ascii="Arial" w:hAnsi="宋体" w:cs="Arial"/>
          <w:spacing w:val="14"/>
          <w:szCs w:val="21"/>
          <w:highlight w:val="none"/>
        </w:rPr>
        <w:t>温度控制模块化</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ascii="Arial" w:hAnsi="宋体" w:cs="Arial"/>
          <w:spacing w:val="14"/>
          <w:szCs w:val="21"/>
          <w:highlight w:val="none"/>
        </w:rPr>
      </w:pPr>
      <w:r>
        <w:rPr>
          <w:rFonts w:ascii="Arial" w:hAnsi="宋体" w:cs="Arial"/>
          <w:spacing w:val="14"/>
          <w:szCs w:val="21"/>
          <w:highlight w:val="none"/>
        </w:rPr>
        <w:t>带熔体压力、熔体温度测量装置</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default" w:ascii="Arial" w:hAnsi="宋体" w:cs="Arial"/>
          <w:spacing w:val="14"/>
          <w:szCs w:val="21"/>
          <w:highlight w:val="none"/>
          <w:lang w:val="en-US" w:eastAsia="zh-CN"/>
        </w:rPr>
      </w:pPr>
      <w:r>
        <w:rPr>
          <w:rFonts w:hint="eastAsia" w:ascii="Arial" w:hAnsi="宋体" w:cs="Arial"/>
          <w:spacing w:val="14"/>
          <w:szCs w:val="21"/>
          <w:highlight w:val="none"/>
        </w:rPr>
        <w:t>预约加热功能</w:t>
      </w:r>
    </w:p>
    <w:p>
      <w:pPr>
        <w:keepNext w:val="0"/>
        <w:keepLines w:val="0"/>
        <w:pageBreakBefore w:val="0"/>
        <w:widowControl w:val="0"/>
        <w:kinsoku/>
        <w:wordWrap/>
        <w:overflowPunct/>
        <w:topLinePunct w:val="0"/>
        <w:autoSpaceDE/>
        <w:autoSpaceDN/>
        <w:bidi w:val="0"/>
        <w:adjustRightInd/>
        <w:snapToGrid/>
        <w:spacing w:line="360" w:lineRule="auto"/>
        <w:ind w:left="0" w:firstLine="478" w:firstLineChars="200"/>
        <w:textAlignment w:val="auto"/>
        <w:rPr>
          <w:rFonts w:hint="eastAsia" w:ascii="Arial" w:hAnsi="Arial" w:cs="Arial"/>
          <w:b/>
          <w:spacing w:val="14"/>
          <w:szCs w:val="21"/>
          <w:highlight w:val="none"/>
        </w:rPr>
      </w:pPr>
      <w:r>
        <w:rPr>
          <w:rFonts w:hint="eastAsia" w:ascii="Arial" w:hAnsi="Arial" w:cs="Arial"/>
          <w:b/>
          <w:spacing w:val="14"/>
          <w:szCs w:val="21"/>
          <w:highlight w:val="none"/>
        </w:rPr>
        <w:t>2.</w:t>
      </w:r>
      <w:r>
        <w:rPr>
          <w:rFonts w:hint="eastAsia" w:ascii="Arial" w:hAnsi="Arial" w:cs="Arial"/>
          <w:b/>
          <w:spacing w:val="14"/>
          <w:szCs w:val="21"/>
          <w:highlight w:val="none"/>
          <w:lang w:val="en-US" w:eastAsia="zh-CN"/>
        </w:rPr>
        <w:t>3</w:t>
      </w:r>
      <w:r>
        <w:rPr>
          <w:rFonts w:ascii="Arial" w:hAnsi="Arial" w:cs="Arial"/>
          <w:b/>
          <w:spacing w:val="14"/>
          <w:szCs w:val="21"/>
          <w:highlight w:val="none"/>
        </w:rPr>
        <w:t xml:space="preserve">  </w:t>
      </w:r>
      <w:r>
        <w:rPr>
          <w:rFonts w:hint="eastAsia" w:cs="宋体"/>
          <w:kern w:val="0"/>
          <w:highlight w:val="none"/>
          <w:vertAlign w:val="baseline"/>
          <w:lang w:val="en-US" w:eastAsia="zh-CN"/>
        </w:rPr>
        <w:t>自动上料干燥系统</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eastAsia" w:ascii="Arial" w:hAnsi="宋体" w:cs="Arial"/>
          <w:spacing w:val="14"/>
          <w:szCs w:val="21"/>
          <w:highlight w:val="none"/>
          <w:lang w:val="en-US" w:eastAsia="zh-CN"/>
        </w:rPr>
      </w:pPr>
      <w:r>
        <w:rPr>
          <w:rFonts w:hint="eastAsia" w:ascii="Arial" w:hAnsi="宋体" w:cs="Arial"/>
          <w:spacing w:val="14"/>
          <w:szCs w:val="21"/>
          <w:highlight w:val="none"/>
          <w:lang w:val="en-US" w:eastAsia="zh-CN"/>
        </w:rPr>
        <w:t>微电脑控制，缺料过载报警</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eastAsia" w:ascii="Arial" w:hAnsi="宋体" w:cs="Arial"/>
          <w:spacing w:val="14"/>
          <w:szCs w:val="21"/>
          <w:highlight w:val="none"/>
          <w:lang w:val="en-US" w:eastAsia="zh-CN"/>
        </w:rPr>
      </w:pPr>
      <w:r>
        <w:rPr>
          <w:rFonts w:hint="eastAsia" w:ascii="Arial" w:hAnsi="宋体" w:cs="Arial"/>
          <w:spacing w:val="14"/>
          <w:szCs w:val="21"/>
          <w:highlight w:val="none"/>
          <w:lang w:val="en-US" w:eastAsia="zh-CN"/>
        </w:rPr>
        <w:t>内置过滤器，可有效过滤粉尘</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eastAsia" w:ascii="Arial" w:hAnsi="宋体" w:cs="Arial"/>
          <w:spacing w:val="14"/>
          <w:szCs w:val="21"/>
          <w:highlight w:val="none"/>
          <w:lang w:val="en-US" w:eastAsia="zh-CN"/>
        </w:rPr>
      </w:pPr>
      <w:r>
        <w:rPr>
          <w:rFonts w:hint="eastAsia" w:ascii="Arial" w:hAnsi="宋体" w:cs="Arial"/>
          <w:spacing w:val="14"/>
          <w:szCs w:val="21"/>
          <w:highlight w:val="none"/>
          <w:lang w:val="en-US" w:eastAsia="zh-CN"/>
        </w:rPr>
        <w:t>不锈钢材质制作</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eastAsia" w:ascii="Arial" w:hAnsi="宋体" w:cs="Arial"/>
          <w:spacing w:val="14"/>
          <w:szCs w:val="21"/>
          <w:highlight w:val="none"/>
          <w:lang w:val="en-US" w:eastAsia="zh-CN"/>
        </w:rPr>
      </w:pPr>
      <w:r>
        <w:rPr>
          <w:rFonts w:hint="eastAsia" w:ascii="Arial" w:hAnsi="宋体" w:cs="Arial"/>
          <w:spacing w:val="14"/>
          <w:szCs w:val="21"/>
          <w:highlight w:val="none"/>
          <w:lang w:val="en-US" w:eastAsia="zh-CN"/>
        </w:rPr>
        <w:t>配置视料窗</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eastAsia" w:ascii="Arial" w:hAnsi="宋体" w:cs="Arial"/>
          <w:spacing w:val="14"/>
          <w:szCs w:val="21"/>
          <w:highlight w:val="none"/>
          <w:lang w:val="en-US" w:eastAsia="zh-CN"/>
        </w:rPr>
      </w:pPr>
      <w:r>
        <w:rPr>
          <w:rFonts w:hint="eastAsia" w:ascii="Arial" w:hAnsi="宋体" w:cs="Arial"/>
          <w:spacing w:val="14"/>
          <w:szCs w:val="21"/>
          <w:highlight w:val="none"/>
          <w:lang w:val="en-US" w:eastAsia="zh-CN"/>
        </w:rPr>
        <w:t>静音风机</w:t>
      </w:r>
    </w:p>
    <w:p>
      <w:pPr>
        <w:keepNext w:val="0"/>
        <w:keepLines w:val="0"/>
        <w:pageBreakBefore w:val="0"/>
        <w:widowControl w:val="0"/>
        <w:kinsoku/>
        <w:wordWrap/>
        <w:overflowPunct/>
        <w:topLinePunct w:val="0"/>
        <w:autoSpaceDE/>
        <w:autoSpaceDN/>
        <w:bidi w:val="0"/>
        <w:spacing w:line="360" w:lineRule="auto"/>
        <w:ind w:left="0" w:leftChars="0" w:firstLine="476" w:firstLineChars="200"/>
        <w:textAlignment w:val="auto"/>
        <w:rPr>
          <w:rFonts w:hint="eastAsia" w:ascii="Arial" w:hAnsi="宋体" w:cs="Arial"/>
          <w:spacing w:val="14"/>
          <w:kern w:val="0"/>
          <w:szCs w:val="21"/>
          <w:highlight w:val="none"/>
        </w:rPr>
      </w:pPr>
      <w:r>
        <w:rPr>
          <w:rFonts w:hint="eastAsia" w:ascii="Arial" w:hAnsi="宋体" w:cs="Arial"/>
          <w:spacing w:val="14"/>
          <w:kern w:val="0"/>
          <w:szCs w:val="21"/>
          <w:highlight w:val="none"/>
        </w:rPr>
        <w:t>2.</w:t>
      </w:r>
      <w:r>
        <w:rPr>
          <w:rFonts w:hint="eastAsia" w:ascii="Arial" w:hAnsi="宋体" w:cs="Arial"/>
          <w:spacing w:val="14"/>
          <w:kern w:val="0"/>
          <w:szCs w:val="21"/>
          <w:highlight w:val="none"/>
          <w:lang w:val="en-US" w:eastAsia="zh-CN"/>
        </w:rPr>
        <w:t>4</w:t>
      </w:r>
      <w:r>
        <w:rPr>
          <w:rFonts w:hint="eastAsia" w:cs="宋体"/>
          <w:kern w:val="0"/>
          <w:highlight w:val="none"/>
          <w:vertAlign w:val="baseline"/>
          <w:lang w:val="en-US" w:eastAsia="zh-CN"/>
        </w:rPr>
        <w:t>模具（含口模、芯棒、定径套、加热圈）</w:t>
      </w:r>
    </w:p>
    <w:p>
      <w:pPr>
        <w:keepNext w:val="0"/>
        <w:keepLines w:val="0"/>
        <w:pageBreakBefore w:val="0"/>
        <w:widowControl w:val="0"/>
        <w:kinsoku/>
        <w:wordWrap/>
        <w:overflowPunct/>
        <w:topLinePunct w:val="0"/>
        <w:autoSpaceDE/>
        <w:autoSpaceDN/>
        <w:bidi w:val="0"/>
        <w:spacing w:line="360" w:lineRule="auto"/>
        <w:ind w:left="0" w:leftChars="0" w:firstLine="952" w:firstLineChars="400"/>
        <w:textAlignment w:val="auto"/>
        <w:rPr>
          <w:rFonts w:hint="default" w:ascii="Arial" w:hAnsi="宋体" w:cs="Arial"/>
          <w:spacing w:val="14"/>
          <w:kern w:val="0"/>
          <w:szCs w:val="21"/>
          <w:highlight w:val="none"/>
          <w:lang w:val="en-US" w:eastAsia="zh-CN"/>
        </w:rPr>
      </w:pPr>
      <w:r>
        <w:rPr>
          <w:rFonts w:hint="eastAsia" w:ascii="Arial" w:hAnsi="宋体" w:cs="Arial"/>
          <w:spacing w:val="14"/>
          <w:kern w:val="0"/>
          <w:szCs w:val="21"/>
          <w:highlight w:val="none"/>
          <w:lang w:val="en-US" w:eastAsia="zh-CN"/>
        </w:rPr>
        <w:t>口模、芯棒</w:t>
      </w:r>
      <w:r>
        <w:rPr>
          <w:rFonts w:hint="eastAsia" w:ascii="Arial" w:hAnsi="宋体" w:cs="Arial"/>
          <w:spacing w:val="14"/>
          <w:szCs w:val="21"/>
          <w:highlight w:val="none"/>
          <w:lang w:val="en-US" w:eastAsia="zh-CN"/>
        </w:rPr>
        <w:t>流道表面抛光、</w:t>
      </w:r>
      <w:r>
        <w:rPr>
          <w:rFonts w:hint="eastAsia" w:ascii="Arial" w:hAnsi="宋体" w:cs="Arial"/>
          <w:spacing w:val="14"/>
          <w:kern w:val="0"/>
          <w:szCs w:val="21"/>
          <w:highlight w:val="none"/>
          <w:lang w:val="en-US" w:eastAsia="zh-CN"/>
        </w:rPr>
        <w:t>电镀处理</w:t>
      </w:r>
    </w:p>
    <w:p>
      <w:pPr>
        <w:keepNext w:val="0"/>
        <w:keepLines w:val="0"/>
        <w:pageBreakBefore w:val="0"/>
        <w:widowControl w:val="0"/>
        <w:kinsoku/>
        <w:wordWrap/>
        <w:overflowPunct/>
        <w:topLinePunct w:val="0"/>
        <w:autoSpaceDE/>
        <w:autoSpaceDN/>
        <w:bidi w:val="0"/>
        <w:spacing w:line="360" w:lineRule="auto"/>
        <w:ind w:left="0" w:leftChars="0" w:firstLine="952" w:firstLineChars="400"/>
        <w:textAlignment w:val="auto"/>
        <w:rPr>
          <w:rFonts w:hint="default" w:ascii="Arial" w:hAnsi="宋体" w:cs="Arial"/>
          <w:spacing w:val="14"/>
          <w:kern w:val="0"/>
          <w:szCs w:val="21"/>
          <w:highlight w:val="none"/>
          <w:lang w:val="en-US" w:eastAsia="zh-CN"/>
        </w:rPr>
      </w:pPr>
      <w:r>
        <w:rPr>
          <w:rFonts w:hint="eastAsia" w:ascii="Arial" w:hAnsi="宋体" w:cs="Arial"/>
          <w:spacing w:val="14"/>
          <w:kern w:val="0"/>
          <w:szCs w:val="21"/>
          <w:highlight w:val="none"/>
          <w:lang w:val="en-US" w:eastAsia="zh-CN"/>
        </w:rPr>
        <w:t>芯部配备温度控制系统</w:t>
      </w:r>
    </w:p>
    <w:p>
      <w:pPr>
        <w:keepNext w:val="0"/>
        <w:keepLines w:val="0"/>
        <w:pageBreakBefore w:val="0"/>
        <w:widowControl w:val="0"/>
        <w:kinsoku/>
        <w:wordWrap/>
        <w:overflowPunct/>
        <w:topLinePunct w:val="0"/>
        <w:autoSpaceDE/>
        <w:autoSpaceDN/>
        <w:bidi w:val="0"/>
        <w:spacing w:line="360" w:lineRule="auto"/>
        <w:ind w:left="0" w:leftChars="0" w:firstLine="476" w:firstLineChars="200"/>
        <w:textAlignment w:val="auto"/>
        <w:rPr>
          <w:rFonts w:ascii="Arial" w:hAnsi="Arial" w:cs="Arial"/>
          <w:b/>
          <w:spacing w:val="14"/>
          <w:szCs w:val="21"/>
          <w:highlight w:val="none"/>
        </w:rPr>
      </w:pPr>
      <w:r>
        <w:rPr>
          <w:rFonts w:hint="eastAsia" w:ascii="Arial" w:hAnsi="宋体" w:cs="Arial"/>
          <w:spacing w:val="14"/>
          <w:kern w:val="0"/>
          <w:szCs w:val="21"/>
          <w:highlight w:val="none"/>
        </w:rPr>
        <w:t>2.</w:t>
      </w:r>
      <w:r>
        <w:rPr>
          <w:rFonts w:hint="eastAsia" w:ascii="Arial" w:hAnsi="宋体" w:cs="Arial"/>
          <w:spacing w:val="14"/>
          <w:kern w:val="0"/>
          <w:szCs w:val="21"/>
          <w:highlight w:val="none"/>
          <w:lang w:val="en-US" w:eastAsia="zh-CN"/>
        </w:rPr>
        <w:t>5</w:t>
      </w:r>
      <w:r>
        <w:rPr>
          <w:rFonts w:ascii="Arial" w:hAnsi="宋体" w:cs="Arial"/>
          <w:spacing w:val="14"/>
          <w:kern w:val="0"/>
          <w:szCs w:val="21"/>
          <w:highlight w:val="none"/>
        </w:rPr>
        <w:t>单螺杆共挤标识线挤出机</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eastAsia" w:ascii="Arial" w:hAnsi="宋体" w:cs="Arial"/>
          <w:spacing w:val="14"/>
          <w:szCs w:val="21"/>
          <w:highlight w:val="none"/>
          <w:lang w:val="en-US" w:eastAsia="zh-CN"/>
        </w:rPr>
      </w:pPr>
      <w:r>
        <w:rPr>
          <w:rFonts w:hint="eastAsia" w:ascii="Arial" w:hAnsi="宋体" w:cs="Arial"/>
          <w:spacing w:val="14"/>
          <w:szCs w:val="21"/>
          <w:highlight w:val="none"/>
          <w:lang w:val="en-US" w:eastAsia="zh-CN"/>
        </w:rPr>
        <w:t>引进最新德国技术制造</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default" w:ascii="Arial" w:hAnsi="宋体" w:cs="Arial"/>
          <w:spacing w:val="14"/>
          <w:szCs w:val="21"/>
          <w:highlight w:val="none"/>
          <w:lang w:val="en-US" w:eastAsia="zh-CN"/>
        </w:rPr>
      </w:pPr>
      <w:r>
        <w:rPr>
          <w:rFonts w:hint="eastAsia" w:ascii="Arial" w:hAnsi="宋体" w:cs="Arial"/>
          <w:spacing w:val="14"/>
          <w:szCs w:val="21"/>
          <w:highlight w:val="none"/>
          <w:lang w:val="en-US" w:eastAsia="zh-CN"/>
        </w:rPr>
        <w:t>配置带止推轴承齿轮减速机，不锈钢料斗</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76" w:firstLineChars="200"/>
        <w:textAlignment w:val="auto"/>
        <w:rPr>
          <w:rFonts w:hint="default" w:ascii="Arial" w:hAnsi="宋体" w:cs="Arial"/>
          <w:spacing w:val="14"/>
          <w:szCs w:val="21"/>
          <w:highlight w:val="none"/>
          <w:lang w:val="en-US" w:eastAsia="zh-CN"/>
        </w:rPr>
      </w:pPr>
      <w:r>
        <w:rPr>
          <w:rFonts w:hint="eastAsia" w:ascii="Arial" w:hAnsi="宋体" w:cs="Arial"/>
          <w:spacing w:val="14"/>
          <w:szCs w:val="21"/>
          <w:highlight w:val="none"/>
          <w:lang w:val="en-US" w:eastAsia="zh-CN"/>
        </w:rPr>
        <w:t>进口变频调试器</w:t>
      </w:r>
    </w:p>
    <w:p>
      <w:pPr>
        <w:keepNext w:val="0"/>
        <w:keepLines w:val="0"/>
        <w:pageBreakBefore w:val="0"/>
        <w:widowControl w:val="0"/>
        <w:kinsoku/>
        <w:wordWrap/>
        <w:overflowPunct/>
        <w:topLinePunct w:val="0"/>
        <w:autoSpaceDE/>
        <w:autoSpaceDN/>
        <w:bidi w:val="0"/>
        <w:spacing w:line="360" w:lineRule="auto"/>
        <w:ind w:left="0" w:leftChars="0" w:firstLine="478" w:firstLineChars="200"/>
        <w:textAlignment w:val="auto"/>
        <w:rPr>
          <w:rFonts w:ascii="Arial" w:hAnsi="Arial" w:cs="Arial"/>
          <w:b/>
          <w:spacing w:val="14"/>
          <w:kern w:val="0"/>
          <w:szCs w:val="21"/>
          <w:highlight w:val="none"/>
        </w:rPr>
      </w:pPr>
      <w:r>
        <w:rPr>
          <w:rFonts w:hint="eastAsia" w:ascii="Arial" w:hAnsi="Arial" w:cs="Arial"/>
          <w:b/>
          <w:spacing w:val="14"/>
          <w:szCs w:val="21"/>
          <w:highlight w:val="none"/>
        </w:rPr>
        <w:t>2.</w:t>
      </w:r>
      <w:r>
        <w:rPr>
          <w:rFonts w:hint="eastAsia" w:ascii="Arial" w:hAnsi="Arial" w:cs="Arial"/>
          <w:b/>
          <w:spacing w:val="14"/>
          <w:szCs w:val="21"/>
          <w:highlight w:val="none"/>
          <w:lang w:val="en-US" w:eastAsia="zh-CN"/>
        </w:rPr>
        <w:t>6</w:t>
      </w:r>
      <w:r>
        <w:rPr>
          <w:rFonts w:hint="eastAsia" w:cs="宋体"/>
          <w:kern w:val="0"/>
          <w:highlight w:val="none"/>
          <w:vertAlign w:val="baseline"/>
          <w:lang w:val="en-US" w:eastAsia="zh-CN"/>
        </w:rPr>
        <w:t>真空定径箱</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ascii="Arial" w:hAnsi="宋体" w:cs="Arial"/>
          <w:spacing w:val="14"/>
          <w:sz w:val="22"/>
          <w:highlight w:val="none"/>
        </w:rPr>
      </w:pPr>
      <w:r>
        <w:rPr>
          <w:rFonts w:hint="eastAsia" w:ascii="Arial" w:hAnsi="宋体" w:cs="Arial"/>
          <w:spacing w:val="14"/>
          <w:sz w:val="22"/>
          <w:highlight w:val="none"/>
        </w:rPr>
        <w:t>真</w:t>
      </w:r>
      <w:r>
        <w:rPr>
          <w:rFonts w:ascii="Arial" w:hAnsi="宋体" w:cs="Arial"/>
          <w:spacing w:val="14"/>
          <w:sz w:val="22"/>
          <w:highlight w:val="none"/>
        </w:rPr>
        <w:t>空自动设定及控制装置</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真空泵变频控制</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高精度数显真空表</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rPr>
      </w:pPr>
      <w:r>
        <w:rPr>
          <w:rFonts w:hint="eastAsia" w:ascii="Arial" w:hAnsi="宋体" w:cs="Arial"/>
          <w:spacing w:val="14"/>
          <w:sz w:val="22"/>
          <w:highlight w:val="none"/>
        </w:rPr>
        <w:t>两室定型</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rPr>
      </w:pPr>
      <w:r>
        <w:rPr>
          <w:rFonts w:hint="eastAsia" w:ascii="Arial" w:hAnsi="宋体" w:cs="Arial"/>
          <w:spacing w:val="14"/>
          <w:sz w:val="22"/>
          <w:highlight w:val="none"/>
        </w:rPr>
        <w:t>304不锈钢箱体</w:t>
      </w:r>
      <w:r>
        <w:rPr>
          <w:rFonts w:hint="eastAsia" w:ascii="Arial" w:hAnsi="宋体" w:cs="Arial"/>
          <w:spacing w:val="14"/>
          <w:sz w:val="22"/>
          <w:highlight w:val="none"/>
          <w:lang w:eastAsia="zh-CN"/>
        </w:rPr>
        <w:t>、</w:t>
      </w:r>
      <w:r>
        <w:rPr>
          <w:rFonts w:hint="eastAsia" w:ascii="Arial" w:hAnsi="宋体" w:cs="Arial"/>
          <w:spacing w:val="14"/>
          <w:sz w:val="22"/>
          <w:highlight w:val="none"/>
          <w:lang w:val="en-US" w:eastAsia="zh-CN"/>
        </w:rPr>
        <w:t>不锈钢法兰</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default" w:ascii="Arial" w:hAnsi="宋体" w:eastAsia="宋体" w:cs="Arial"/>
          <w:spacing w:val="14"/>
          <w:sz w:val="22"/>
          <w:highlight w:val="none"/>
          <w:lang w:val="en-US" w:eastAsia="zh-CN"/>
        </w:rPr>
      </w:pPr>
      <w:r>
        <w:rPr>
          <w:rFonts w:hint="eastAsia" w:ascii="Arial" w:hAnsi="宋体" w:cs="Arial"/>
          <w:spacing w:val="14"/>
          <w:sz w:val="22"/>
          <w:highlight w:val="none"/>
        </w:rPr>
        <w:t>双回路不锈钢管供水管路</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rPr>
      </w:pPr>
      <w:r>
        <w:rPr>
          <w:rFonts w:hint="eastAsia" w:ascii="Arial" w:hAnsi="宋体" w:cs="Arial"/>
          <w:spacing w:val="14"/>
          <w:sz w:val="22"/>
          <w:highlight w:val="none"/>
        </w:rPr>
        <w:t>采用大口径塑料过滤器保证过滤效果</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rPr>
        <w:t>采用</w:t>
      </w:r>
      <w:r>
        <w:rPr>
          <w:rFonts w:hint="eastAsia" w:ascii="Arial" w:hAnsi="宋体" w:cs="Arial"/>
          <w:spacing w:val="14"/>
          <w:sz w:val="22"/>
          <w:highlight w:val="none"/>
          <w:lang w:val="en-US" w:eastAsia="zh-CN"/>
        </w:rPr>
        <w:t>优化设计冷却管路和真空系统</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default" w:ascii="Arial" w:hAnsi="宋体" w:cs="Arial"/>
          <w:spacing w:val="14"/>
          <w:sz w:val="22"/>
          <w:highlight w:val="none"/>
          <w:lang w:val="en-US" w:eastAsia="zh-CN"/>
        </w:rPr>
      </w:pPr>
      <w:r>
        <w:rPr>
          <w:rFonts w:hint="eastAsia" w:ascii="Arial" w:hAnsi="宋体" w:cs="Arial"/>
          <w:spacing w:val="14"/>
          <w:sz w:val="22"/>
          <w:highlight w:val="none"/>
          <w:lang w:val="en-US" w:eastAsia="zh-CN"/>
        </w:rPr>
        <w:t>自动温控排水系统</w:t>
      </w:r>
    </w:p>
    <w:p>
      <w:pPr>
        <w:keepNext w:val="0"/>
        <w:keepLines w:val="0"/>
        <w:pageBreakBefore w:val="0"/>
        <w:widowControl w:val="0"/>
        <w:kinsoku/>
        <w:wordWrap/>
        <w:overflowPunct/>
        <w:topLinePunct w:val="0"/>
        <w:autoSpaceDE/>
        <w:autoSpaceDN/>
        <w:bidi w:val="0"/>
        <w:spacing w:line="360" w:lineRule="auto"/>
        <w:ind w:left="0" w:leftChars="0" w:firstLine="478" w:firstLineChars="200"/>
        <w:textAlignment w:val="auto"/>
        <w:rPr>
          <w:rFonts w:ascii="Arial" w:hAnsi="Arial" w:cs="Arial"/>
          <w:b/>
          <w:spacing w:val="14"/>
          <w:szCs w:val="21"/>
          <w:highlight w:val="none"/>
        </w:rPr>
      </w:pPr>
      <w:r>
        <w:rPr>
          <w:rFonts w:hint="eastAsia" w:ascii="Arial" w:hAnsi="Arial" w:cs="Arial"/>
          <w:b/>
          <w:spacing w:val="14"/>
          <w:szCs w:val="21"/>
          <w:highlight w:val="none"/>
        </w:rPr>
        <w:t>2.</w:t>
      </w:r>
      <w:r>
        <w:rPr>
          <w:rFonts w:hint="eastAsia" w:ascii="Arial" w:hAnsi="Arial" w:cs="Arial"/>
          <w:b/>
          <w:spacing w:val="14"/>
          <w:szCs w:val="21"/>
          <w:highlight w:val="none"/>
          <w:lang w:val="en-US" w:eastAsia="zh-CN"/>
        </w:rPr>
        <w:t>7</w:t>
      </w:r>
      <w:r>
        <w:rPr>
          <w:rFonts w:ascii="Arial" w:hAnsi="宋体" w:cs="Arial"/>
          <w:spacing w:val="14"/>
          <w:szCs w:val="21"/>
          <w:highlight w:val="none"/>
        </w:rPr>
        <w:t>喷淋冷却箱</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强力喷淋冷却</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优化设计冷却管路</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304不锈钢箱体、不锈钢法兰</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采用大口径塑料过滤器保证过滤效果</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单</w:t>
      </w:r>
      <w:r>
        <w:rPr>
          <w:rFonts w:hint="eastAsia" w:ascii="Arial" w:hAnsi="宋体" w:cs="Arial"/>
          <w:spacing w:val="14"/>
          <w:sz w:val="22"/>
          <w:highlight w:val="none"/>
        </w:rPr>
        <w:t>回路不锈钢管供水管路</w:t>
      </w:r>
    </w:p>
    <w:p>
      <w:pPr>
        <w:keepNext w:val="0"/>
        <w:keepLines w:val="0"/>
        <w:pageBreakBefore w:val="0"/>
        <w:widowControl w:val="0"/>
        <w:tabs>
          <w:tab w:val="left" w:pos="7140"/>
        </w:tabs>
        <w:kinsoku/>
        <w:wordWrap/>
        <w:overflowPunct/>
        <w:topLinePunct w:val="0"/>
        <w:autoSpaceDE/>
        <w:autoSpaceDN/>
        <w:bidi w:val="0"/>
        <w:adjustRightInd w:val="0"/>
        <w:snapToGrid w:val="0"/>
        <w:spacing w:line="360" w:lineRule="auto"/>
        <w:ind w:left="0" w:right="720" w:firstLine="478" w:firstLineChars="200"/>
        <w:textAlignment w:val="auto"/>
        <w:rPr>
          <w:rFonts w:ascii="Arial" w:hAnsi="Arial" w:cs="Arial"/>
          <w:spacing w:val="14"/>
          <w:szCs w:val="21"/>
          <w:highlight w:val="none"/>
        </w:rPr>
      </w:pPr>
      <w:r>
        <w:rPr>
          <w:rFonts w:hint="eastAsia" w:ascii="Arial" w:hAnsi="Arial" w:cs="Arial"/>
          <w:b/>
          <w:spacing w:val="14"/>
          <w:szCs w:val="21"/>
          <w:highlight w:val="none"/>
        </w:rPr>
        <w:t>2.</w:t>
      </w:r>
      <w:r>
        <w:rPr>
          <w:rFonts w:hint="eastAsia" w:ascii="Arial" w:hAnsi="Arial" w:cs="Arial"/>
          <w:b/>
          <w:spacing w:val="14"/>
          <w:szCs w:val="21"/>
          <w:highlight w:val="none"/>
          <w:lang w:val="en-US" w:eastAsia="zh-CN"/>
        </w:rPr>
        <w:t>8</w:t>
      </w:r>
      <w:r>
        <w:rPr>
          <w:rFonts w:hint="eastAsia" w:ascii="Arial" w:hAnsi="宋体" w:cs="Arial"/>
          <w:spacing w:val="14"/>
          <w:kern w:val="0"/>
          <w:szCs w:val="21"/>
          <w:highlight w:val="none"/>
        </w:rPr>
        <w:t>履</w:t>
      </w:r>
      <w:r>
        <w:rPr>
          <w:rFonts w:ascii="Arial" w:hAnsi="宋体" w:cs="Arial"/>
          <w:spacing w:val="14"/>
          <w:kern w:val="0"/>
          <w:szCs w:val="21"/>
          <w:highlight w:val="none"/>
        </w:rPr>
        <w:t>带牵引机</w:t>
      </w:r>
      <w:r>
        <w:rPr>
          <w:rFonts w:hint="eastAsia" w:ascii="Arial" w:hAnsi="Arial" w:cs="Arial"/>
          <w:b/>
          <w:spacing w:val="14"/>
          <w:szCs w:val="21"/>
          <w:highlight w:val="none"/>
        </w:rPr>
        <w:t xml:space="preserve"> </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加宽型六履带式牵引</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default" w:ascii="Arial" w:hAnsi="宋体" w:cs="Arial"/>
          <w:spacing w:val="14"/>
          <w:sz w:val="22"/>
          <w:highlight w:val="none"/>
          <w:lang w:val="en-US" w:eastAsia="zh-CN"/>
        </w:rPr>
      </w:pPr>
      <w:r>
        <w:rPr>
          <w:rFonts w:hint="eastAsia" w:ascii="Arial" w:hAnsi="宋体" w:cs="Arial"/>
          <w:spacing w:val="14"/>
          <w:sz w:val="22"/>
          <w:highlight w:val="none"/>
          <w:lang w:val="en-US" w:eastAsia="zh-CN"/>
        </w:rPr>
        <w:t>伺服电机独立驱动</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配备进口伺服调速器</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6/3履带可转换机构，增加牵引管材范围</w:t>
      </w:r>
    </w:p>
    <w:p>
      <w:pPr>
        <w:keepNext w:val="0"/>
        <w:keepLines w:val="0"/>
        <w:pageBreakBefore w:val="0"/>
        <w:widowControl w:val="0"/>
        <w:tabs>
          <w:tab w:val="left" w:pos="7140"/>
        </w:tabs>
        <w:kinsoku/>
        <w:wordWrap/>
        <w:overflowPunct/>
        <w:topLinePunct w:val="0"/>
        <w:autoSpaceDE/>
        <w:autoSpaceDN/>
        <w:bidi w:val="0"/>
        <w:adjustRightInd w:val="0"/>
        <w:snapToGrid w:val="0"/>
        <w:spacing w:line="360" w:lineRule="auto"/>
        <w:ind w:left="0" w:right="720" w:firstLine="478" w:firstLineChars="200"/>
        <w:textAlignment w:val="auto"/>
        <w:rPr>
          <w:rFonts w:ascii="Arial" w:hAnsi="Arial" w:cs="Arial"/>
          <w:b/>
          <w:spacing w:val="14"/>
          <w:szCs w:val="21"/>
          <w:highlight w:val="none"/>
        </w:rPr>
      </w:pPr>
      <w:r>
        <w:rPr>
          <w:rFonts w:hint="eastAsia" w:ascii="Arial" w:hAnsi="Arial" w:cs="Arial"/>
          <w:b/>
          <w:spacing w:val="14"/>
          <w:szCs w:val="21"/>
          <w:highlight w:val="none"/>
        </w:rPr>
        <w:t>2.</w:t>
      </w:r>
      <w:r>
        <w:rPr>
          <w:rFonts w:hint="eastAsia" w:ascii="Arial" w:hAnsi="Arial" w:cs="Arial"/>
          <w:b/>
          <w:spacing w:val="14"/>
          <w:szCs w:val="21"/>
          <w:highlight w:val="none"/>
          <w:lang w:val="en-US" w:eastAsia="zh-CN"/>
        </w:rPr>
        <w:t>9</w:t>
      </w:r>
      <w:r>
        <w:rPr>
          <w:rFonts w:ascii="Arial" w:hAnsi="宋体" w:cs="Arial"/>
          <w:spacing w:val="14"/>
          <w:kern w:val="0"/>
          <w:szCs w:val="21"/>
          <w:highlight w:val="none"/>
        </w:rPr>
        <w:t>无屑切割机</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刀片无屑环形切割</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液压进刀切割</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气动随动</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超长寿命锋钢刀片</w:t>
      </w:r>
    </w:p>
    <w:p>
      <w:pPr>
        <w:keepNext w:val="0"/>
        <w:keepLines w:val="0"/>
        <w:pageBreakBefore w:val="0"/>
        <w:widowControl w:val="0"/>
        <w:kinsoku/>
        <w:wordWrap/>
        <w:overflowPunct/>
        <w:topLinePunct w:val="0"/>
        <w:autoSpaceDE/>
        <w:autoSpaceDN/>
        <w:bidi w:val="0"/>
        <w:spacing w:line="360" w:lineRule="auto"/>
        <w:ind w:left="0" w:firstLine="476" w:firstLineChars="200"/>
        <w:textAlignment w:val="auto"/>
        <w:rPr>
          <w:rFonts w:hint="eastAsia" w:ascii="Arial" w:hAnsi="宋体" w:eastAsia="宋体" w:cs="Arial"/>
          <w:bCs/>
          <w:spacing w:val="14"/>
          <w:kern w:val="0"/>
          <w:szCs w:val="21"/>
          <w:highlight w:val="none"/>
          <w:lang w:eastAsia="zh-CN"/>
        </w:rPr>
      </w:pPr>
      <w:r>
        <w:rPr>
          <w:rFonts w:hint="eastAsia" w:ascii="Arial" w:hAnsi="宋体" w:cs="Arial"/>
          <w:bCs/>
          <w:spacing w:val="14"/>
          <w:kern w:val="0"/>
          <w:szCs w:val="21"/>
          <w:highlight w:val="none"/>
        </w:rPr>
        <w:t>2.</w:t>
      </w:r>
      <w:r>
        <w:rPr>
          <w:rFonts w:hint="eastAsia" w:ascii="Arial" w:hAnsi="宋体" w:cs="Arial"/>
          <w:bCs/>
          <w:spacing w:val="14"/>
          <w:kern w:val="0"/>
          <w:szCs w:val="21"/>
          <w:highlight w:val="none"/>
          <w:lang w:val="en-US" w:eastAsia="zh-CN"/>
        </w:rPr>
        <w:t>10</w:t>
      </w:r>
      <w:r>
        <w:rPr>
          <w:rFonts w:hint="eastAsia" w:ascii="Arial" w:hAnsi="宋体" w:cs="Arial"/>
          <w:bCs/>
          <w:spacing w:val="14"/>
          <w:kern w:val="0"/>
          <w:szCs w:val="21"/>
          <w:highlight w:val="none"/>
        </w:rPr>
        <w:t>重力计量装置</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default" w:ascii="Arial" w:hAnsi="宋体" w:cs="Arial"/>
          <w:spacing w:val="14"/>
          <w:sz w:val="22"/>
          <w:highlight w:val="none"/>
          <w:lang w:val="en-US" w:eastAsia="zh-CN"/>
        </w:rPr>
      </w:pPr>
      <w:r>
        <w:rPr>
          <w:rFonts w:hint="eastAsia" w:ascii="Arial" w:hAnsi="宋体" w:cs="Arial"/>
          <w:spacing w:val="14"/>
          <w:sz w:val="22"/>
          <w:highlight w:val="none"/>
          <w:lang w:val="en-US" w:eastAsia="zh-CN"/>
        </w:rPr>
        <w:t>配备进口品牌</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精确控制喂料量以保证挤出产量的稳定</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精确测量螺杆转速及单位转速的喂料量</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实时显示螺杆转速、挤出产量、管材米重</w:t>
      </w:r>
    </w:p>
    <w:p>
      <w:pPr>
        <w:keepNext w:val="0"/>
        <w:keepLines w:val="0"/>
        <w:pageBreakBefore w:val="0"/>
        <w:widowControl w:val="0"/>
        <w:tabs>
          <w:tab w:val="left" w:pos="709"/>
        </w:tabs>
        <w:kinsoku/>
        <w:wordWrap/>
        <w:overflowPunct/>
        <w:topLinePunct w:val="0"/>
        <w:autoSpaceDE/>
        <w:autoSpaceDN/>
        <w:bidi w:val="0"/>
        <w:adjustRightInd/>
        <w:snapToGrid/>
        <w:spacing w:line="360" w:lineRule="auto"/>
        <w:ind w:left="420" w:leftChars="200" w:firstLine="496" w:firstLineChars="200"/>
        <w:textAlignment w:val="auto"/>
        <w:rPr>
          <w:rFonts w:hint="eastAsia" w:ascii="Arial" w:hAnsi="宋体" w:cs="Arial"/>
          <w:spacing w:val="14"/>
          <w:sz w:val="22"/>
          <w:highlight w:val="none"/>
          <w:lang w:val="en-US" w:eastAsia="zh-CN"/>
        </w:rPr>
      </w:pPr>
      <w:r>
        <w:rPr>
          <w:rFonts w:hint="eastAsia" w:ascii="Arial" w:hAnsi="宋体" w:cs="Arial"/>
          <w:spacing w:val="14"/>
          <w:sz w:val="22"/>
          <w:highlight w:val="none"/>
          <w:lang w:val="en-US" w:eastAsia="zh-CN"/>
        </w:rPr>
        <w:t>配置计量系统支架、储料料斗、计长轮支架等相关件</w:t>
      </w:r>
    </w:p>
    <w:p>
      <w:pPr>
        <w:pageBreakBefore w:val="0"/>
        <w:kinsoku/>
        <w:wordWrap/>
        <w:overflowPunct/>
        <w:topLinePunct w:val="0"/>
        <w:autoSpaceDE/>
        <w:autoSpaceDN/>
        <w:bidi w:val="0"/>
        <w:adjustRightInd/>
        <w:spacing w:line="360" w:lineRule="auto"/>
        <w:textAlignment w:val="auto"/>
        <w:rPr>
          <w:b/>
          <w:szCs w:val="21"/>
          <w:highlight w:val="none"/>
        </w:rPr>
      </w:pPr>
      <w:r>
        <w:rPr>
          <w:rFonts w:hint="eastAsia"/>
          <w:b/>
          <w:szCs w:val="21"/>
          <w:highlight w:val="none"/>
        </w:rPr>
        <w:t>投标人需根据以上清单进行细化设计，保证系统的完整性</w:t>
      </w:r>
      <w:r>
        <w:rPr>
          <w:rFonts w:hint="eastAsia"/>
          <w:b/>
          <w:szCs w:val="21"/>
          <w:highlight w:val="none"/>
          <w:lang w:eastAsia="zh-CN"/>
        </w:rPr>
        <w:t>、</w:t>
      </w:r>
      <w:r>
        <w:rPr>
          <w:rFonts w:hint="eastAsia"/>
          <w:b/>
          <w:szCs w:val="21"/>
          <w:highlight w:val="none"/>
        </w:rPr>
        <w:t>合理性</w:t>
      </w:r>
      <w:r>
        <w:rPr>
          <w:rFonts w:hint="eastAsia"/>
          <w:b/>
          <w:szCs w:val="21"/>
          <w:highlight w:val="none"/>
          <w:lang w:val="en-US" w:eastAsia="zh-CN"/>
        </w:rPr>
        <w:t>和先进性</w:t>
      </w:r>
      <w:r>
        <w:rPr>
          <w:rFonts w:hint="eastAsia"/>
          <w:b/>
          <w:szCs w:val="21"/>
          <w:highlight w:val="none"/>
        </w:rPr>
        <w:t>，提供合理、完整的详细设计方案；并且，投标人需提出合理的、操作性强的施工方案。如果需要，投标人可以到现场进行踏勘。</w:t>
      </w:r>
    </w:p>
    <w:p>
      <w:pPr>
        <w:pStyle w:val="5"/>
        <w:keepNext/>
        <w:keepLines/>
        <w:pageBreakBefore w:val="0"/>
        <w:widowControl w:val="0"/>
        <w:kinsoku/>
        <w:wordWrap/>
        <w:overflowPunct/>
        <w:topLinePunct w:val="0"/>
        <w:autoSpaceDE/>
        <w:autoSpaceDN/>
        <w:bidi w:val="0"/>
        <w:adjustRightInd/>
        <w:snapToGrid/>
        <w:spacing w:before="0" w:after="0" w:line="360" w:lineRule="auto"/>
        <w:jc w:val="left"/>
        <w:textAlignment w:val="auto"/>
        <w:rPr>
          <w:rFonts w:hint="eastAsia" w:eastAsia="宋体"/>
          <w:sz w:val="21"/>
          <w:szCs w:val="21"/>
          <w:highlight w:val="none"/>
          <w:lang w:eastAsia="zh-CN"/>
        </w:rPr>
      </w:pPr>
      <w:r>
        <w:rPr>
          <w:rFonts w:hint="eastAsia"/>
          <w:sz w:val="21"/>
          <w:szCs w:val="21"/>
          <w:highlight w:val="none"/>
        </w:rPr>
        <w:t>资料提交</w:t>
      </w:r>
      <w:r>
        <w:rPr>
          <w:rFonts w:hint="eastAsia"/>
          <w:sz w:val="21"/>
          <w:szCs w:val="21"/>
          <w:highlight w:val="none"/>
          <w:lang w:eastAsia="zh-CN"/>
        </w:rPr>
        <w:t>：</w:t>
      </w:r>
    </w:p>
    <w:p>
      <w:pPr>
        <w:pageBreakBefore w:val="0"/>
        <w:widowControl/>
        <w:kinsoku/>
        <w:wordWrap/>
        <w:overflowPunct/>
        <w:topLinePunct w:val="0"/>
        <w:autoSpaceDE/>
        <w:autoSpaceDN/>
        <w:bidi w:val="0"/>
        <w:adjustRightInd/>
        <w:snapToGrid w:val="0"/>
        <w:spacing w:line="360" w:lineRule="auto"/>
        <w:ind w:firstLine="210" w:firstLineChars="100"/>
        <w:textAlignment w:val="auto"/>
        <w:rPr>
          <w:szCs w:val="21"/>
          <w:highlight w:val="none"/>
        </w:rPr>
      </w:pPr>
      <w:r>
        <w:rPr>
          <w:rFonts w:hint="eastAsia"/>
          <w:szCs w:val="21"/>
          <w:highlight w:val="none"/>
        </w:rPr>
        <w:t>承包商应提供成套设备的技术文件和图纸资料，</w:t>
      </w:r>
      <w:r>
        <w:rPr>
          <w:rFonts w:hint="eastAsia"/>
          <w:szCs w:val="21"/>
          <w:highlight w:val="none"/>
          <w:lang w:val="en-US" w:eastAsia="zh-CN"/>
        </w:rPr>
        <w:t>所</w:t>
      </w:r>
      <w:r>
        <w:rPr>
          <w:rFonts w:hint="eastAsia"/>
          <w:szCs w:val="21"/>
          <w:highlight w:val="none"/>
        </w:rPr>
        <w:t>提交资料</w:t>
      </w:r>
      <w:r>
        <w:rPr>
          <w:rFonts w:hint="eastAsia"/>
          <w:szCs w:val="21"/>
          <w:highlight w:val="none"/>
          <w:lang w:val="en-US" w:eastAsia="zh-CN"/>
        </w:rPr>
        <w:t>包括</w:t>
      </w:r>
      <w:r>
        <w:rPr>
          <w:rFonts w:hint="eastAsia"/>
          <w:szCs w:val="21"/>
          <w:highlight w:val="none"/>
        </w:rPr>
        <w:t>但不限于以下内容：</w:t>
      </w:r>
    </w:p>
    <w:p>
      <w:pPr>
        <w:pageBreakBefore w:val="0"/>
        <w:widowControl/>
        <w:kinsoku/>
        <w:wordWrap/>
        <w:overflowPunct/>
        <w:topLinePunct w:val="0"/>
        <w:autoSpaceDE/>
        <w:autoSpaceDN/>
        <w:bidi w:val="0"/>
        <w:adjustRightInd/>
        <w:snapToGrid w:val="0"/>
        <w:spacing w:line="360" w:lineRule="auto"/>
        <w:ind w:firstLine="210" w:firstLineChars="100"/>
        <w:textAlignment w:val="auto"/>
        <w:rPr>
          <w:szCs w:val="21"/>
          <w:highlight w:val="none"/>
        </w:rPr>
      </w:pPr>
      <w:r>
        <w:rPr>
          <w:rFonts w:hint="eastAsia"/>
          <w:szCs w:val="21"/>
          <w:highlight w:val="none"/>
          <w:lang w:val="en-US" w:eastAsia="zh-CN"/>
        </w:rPr>
        <w:t>1、</w:t>
      </w:r>
      <w:r>
        <w:rPr>
          <w:rFonts w:hint="eastAsia"/>
          <w:szCs w:val="21"/>
          <w:highlight w:val="none"/>
        </w:rPr>
        <w:t>成套设备外形尺寸图。图中需表明详细的部件尺寸，以及安装、维修、运行所需的空间要求；</w:t>
      </w:r>
    </w:p>
    <w:p>
      <w:pPr>
        <w:pageBreakBefore w:val="0"/>
        <w:widowControl/>
        <w:kinsoku/>
        <w:wordWrap/>
        <w:overflowPunct/>
        <w:topLinePunct w:val="0"/>
        <w:autoSpaceDE/>
        <w:autoSpaceDN/>
        <w:bidi w:val="0"/>
        <w:adjustRightInd/>
        <w:snapToGrid w:val="0"/>
        <w:spacing w:line="360" w:lineRule="auto"/>
        <w:ind w:firstLine="210" w:firstLineChars="100"/>
        <w:textAlignment w:val="auto"/>
        <w:rPr>
          <w:szCs w:val="21"/>
          <w:highlight w:val="none"/>
        </w:rPr>
      </w:pPr>
      <w:r>
        <w:rPr>
          <w:rFonts w:hint="eastAsia"/>
          <w:szCs w:val="21"/>
          <w:highlight w:val="none"/>
          <w:lang w:val="en-US" w:eastAsia="zh-CN"/>
        </w:rPr>
        <w:t>2、</w:t>
      </w:r>
      <w:r>
        <w:rPr>
          <w:rFonts w:hint="eastAsia"/>
          <w:szCs w:val="21"/>
          <w:highlight w:val="none"/>
        </w:rPr>
        <w:t>生产车间改造设计相关资料；</w:t>
      </w:r>
    </w:p>
    <w:p>
      <w:pPr>
        <w:pageBreakBefore w:val="0"/>
        <w:widowControl/>
        <w:kinsoku/>
        <w:wordWrap/>
        <w:overflowPunct/>
        <w:topLinePunct w:val="0"/>
        <w:autoSpaceDE/>
        <w:autoSpaceDN/>
        <w:bidi w:val="0"/>
        <w:adjustRightInd/>
        <w:snapToGrid w:val="0"/>
        <w:spacing w:line="360" w:lineRule="auto"/>
        <w:ind w:firstLine="210" w:firstLineChars="100"/>
        <w:textAlignment w:val="auto"/>
        <w:rPr>
          <w:szCs w:val="21"/>
          <w:highlight w:val="none"/>
        </w:rPr>
      </w:pPr>
      <w:r>
        <w:rPr>
          <w:rFonts w:hint="eastAsia"/>
          <w:szCs w:val="21"/>
          <w:highlight w:val="none"/>
          <w:lang w:val="en-US" w:eastAsia="zh-CN"/>
        </w:rPr>
        <w:t>3、</w:t>
      </w:r>
      <w:r>
        <w:rPr>
          <w:rFonts w:hint="eastAsia"/>
          <w:szCs w:val="21"/>
          <w:highlight w:val="none"/>
        </w:rPr>
        <w:t>电机及电气控制的图纸资料；</w:t>
      </w:r>
    </w:p>
    <w:p>
      <w:pPr>
        <w:pageBreakBefore w:val="0"/>
        <w:widowControl/>
        <w:kinsoku/>
        <w:wordWrap/>
        <w:overflowPunct/>
        <w:topLinePunct w:val="0"/>
        <w:autoSpaceDE/>
        <w:autoSpaceDN/>
        <w:bidi w:val="0"/>
        <w:adjustRightInd/>
        <w:snapToGrid w:val="0"/>
        <w:spacing w:line="360" w:lineRule="auto"/>
        <w:ind w:firstLine="210" w:firstLineChars="100"/>
        <w:textAlignment w:val="auto"/>
        <w:rPr>
          <w:szCs w:val="21"/>
          <w:highlight w:val="none"/>
        </w:rPr>
      </w:pPr>
      <w:r>
        <w:rPr>
          <w:rFonts w:hint="eastAsia"/>
          <w:szCs w:val="21"/>
          <w:highlight w:val="none"/>
          <w:lang w:val="en-US" w:eastAsia="zh-CN"/>
        </w:rPr>
        <w:t>4、</w:t>
      </w:r>
      <w:r>
        <w:rPr>
          <w:rFonts w:hint="eastAsia"/>
          <w:szCs w:val="21"/>
          <w:highlight w:val="none"/>
        </w:rPr>
        <w:t>土建载荷；</w:t>
      </w:r>
    </w:p>
    <w:p>
      <w:pPr>
        <w:pageBreakBefore w:val="0"/>
        <w:widowControl/>
        <w:kinsoku/>
        <w:wordWrap/>
        <w:overflowPunct/>
        <w:topLinePunct w:val="0"/>
        <w:autoSpaceDE/>
        <w:autoSpaceDN/>
        <w:bidi w:val="0"/>
        <w:adjustRightInd/>
        <w:snapToGrid w:val="0"/>
        <w:spacing w:line="360" w:lineRule="auto"/>
        <w:ind w:firstLine="210" w:firstLineChars="100"/>
        <w:textAlignment w:val="auto"/>
        <w:rPr>
          <w:szCs w:val="21"/>
          <w:highlight w:val="none"/>
        </w:rPr>
      </w:pPr>
      <w:r>
        <w:rPr>
          <w:rFonts w:hint="eastAsia"/>
          <w:szCs w:val="21"/>
          <w:highlight w:val="none"/>
          <w:lang w:val="en-US" w:eastAsia="zh-CN"/>
        </w:rPr>
        <w:t>5、</w:t>
      </w:r>
      <w:r>
        <w:rPr>
          <w:rFonts w:hint="eastAsia"/>
          <w:szCs w:val="21"/>
          <w:highlight w:val="none"/>
        </w:rPr>
        <w:t>设备基础图，基础要求和锚固螺栓位置；</w:t>
      </w:r>
    </w:p>
    <w:p>
      <w:pPr>
        <w:pageBreakBefore w:val="0"/>
        <w:widowControl/>
        <w:kinsoku/>
        <w:wordWrap/>
        <w:overflowPunct/>
        <w:topLinePunct w:val="0"/>
        <w:autoSpaceDE/>
        <w:autoSpaceDN/>
        <w:bidi w:val="0"/>
        <w:adjustRightInd/>
        <w:snapToGrid w:val="0"/>
        <w:spacing w:line="360" w:lineRule="auto"/>
        <w:ind w:firstLine="210" w:firstLineChars="100"/>
        <w:textAlignment w:val="auto"/>
        <w:rPr>
          <w:rFonts w:hint="eastAsia" w:eastAsia="宋体"/>
          <w:szCs w:val="21"/>
          <w:highlight w:val="none"/>
          <w:lang w:val="en-US" w:eastAsia="zh-CN"/>
        </w:rPr>
      </w:pPr>
      <w:r>
        <w:rPr>
          <w:rFonts w:hint="eastAsia"/>
          <w:szCs w:val="21"/>
          <w:highlight w:val="none"/>
          <w:lang w:val="en-US" w:eastAsia="zh-CN"/>
        </w:rPr>
        <w:t>6、</w:t>
      </w:r>
      <w:r>
        <w:rPr>
          <w:rFonts w:hint="eastAsia"/>
          <w:szCs w:val="21"/>
          <w:highlight w:val="none"/>
        </w:rPr>
        <w:t>制造商授权书</w:t>
      </w:r>
      <w:r>
        <w:rPr>
          <w:rFonts w:hint="eastAsia"/>
          <w:szCs w:val="21"/>
          <w:highlight w:val="none"/>
          <w:lang w:eastAsia="zh-CN"/>
        </w:rPr>
        <w:t>。</w:t>
      </w:r>
    </w:p>
    <w:p>
      <w:pPr>
        <w:pStyle w:val="51"/>
        <w:keepNext w:val="0"/>
        <w:keepLines w:val="0"/>
        <w:pageBreakBefore w:val="0"/>
        <w:widowControl w:val="0"/>
        <w:kinsoku/>
        <w:wordWrap/>
        <w:overflowPunct/>
        <w:topLinePunct w:val="0"/>
        <w:autoSpaceDE/>
        <w:autoSpaceDN/>
        <w:bidi w:val="0"/>
        <w:adjustRightInd/>
        <w:snapToGrid/>
        <w:spacing w:line="360" w:lineRule="auto"/>
        <w:ind w:firstLine="536" w:firstLineChars="200"/>
        <w:textAlignment w:val="auto"/>
        <w:rPr>
          <w:rFonts w:ascii="Arial" w:hAnsi="宋体" w:cs="Arial"/>
          <w:bCs/>
          <w:spacing w:val="14"/>
          <w:kern w:val="0"/>
          <w:sz w:val="24"/>
          <w:szCs w:val="24"/>
          <w:highlight w:val="none"/>
        </w:rPr>
      </w:pPr>
    </w:p>
    <w:p>
      <w:pPr>
        <w:pStyle w:val="2"/>
        <w:keepNext w:val="0"/>
        <w:keepLines w:val="0"/>
        <w:pageBreakBefore w:val="0"/>
        <w:widowControl w:val="0"/>
        <w:numPr>
          <w:ilvl w:val="0"/>
          <w:numId w:val="29"/>
        </w:numPr>
        <w:kinsoku/>
        <w:wordWrap/>
        <w:overflowPunct/>
        <w:topLinePunct w:val="0"/>
        <w:autoSpaceDE/>
        <w:autoSpaceDN/>
        <w:bidi w:val="0"/>
        <w:adjustRightInd/>
        <w:snapToGrid/>
        <w:spacing w:line="360" w:lineRule="auto"/>
        <w:ind w:firstLine="538" w:firstLineChars="200"/>
        <w:textAlignment w:val="auto"/>
        <w:rPr>
          <w:rFonts w:hint="eastAsia"/>
          <w:b/>
          <w:spacing w:val="14"/>
          <w:sz w:val="24"/>
          <w:szCs w:val="24"/>
          <w:highlight w:val="none"/>
          <w:lang w:val="en-US" w:eastAsia="zh-CN"/>
        </w:rPr>
      </w:pPr>
      <w:r>
        <w:rPr>
          <w:rFonts w:hint="eastAsia"/>
          <w:b/>
          <w:spacing w:val="14"/>
          <w:sz w:val="24"/>
          <w:szCs w:val="24"/>
          <w:highlight w:val="none"/>
          <w:lang w:val="en-US" w:eastAsia="zh-CN"/>
        </w:rPr>
        <w:t>备品配件（易损件）及专用工具清单</w:t>
      </w:r>
    </w:p>
    <w:p>
      <w:pPr>
        <w:tabs>
          <w:tab w:val="left" w:pos="1080"/>
          <w:tab w:val="left" w:pos="1260"/>
        </w:tabs>
        <w:spacing w:line="360" w:lineRule="auto"/>
        <w:ind w:left="2" w:leftChars="1" w:firstLine="367" w:firstLineChars="175"/>
        <w:rPr>
          <w:rFonts w:hint="eastAsia" w:ascii="宋体" w:hAnsi="宋体" w:cs="宋体"/>
          <w:szCs w:val="21"/>
          <w:highlight w:val="none"/>
        </w:rPr>
      </w:pPr>
      <w:r>
        <w:rPr>
          <w:rFonts w:hint="eastAsia" w:ascii="宋体" w:hAnsi="宋体" w:cs="宋体"/>
          <w:szCs w:val="21"/>
          <w:highlight w:val="none"/>
        </w:rPr>
        <w:t>提供成套设备连续运行</w:t>
      </w:r>
      <w:r>
        <w:rPr>
          <w:rFonts w:hint="eastAsia" w:ascii="宋体" w:hAnsi="宋体" w:cs="宋体"/>
          <w:szCs w:val="21"/>
          <w:highlight w:val="none"/>
          <w:lang w:val="en-US" w:eastAsia="zh-CN"/>
        </w:rPr>
        <w:t>5</w:t>
      </w:r>
      <w:r>
        <w:rPr>
          <w:rFonts w:hint="eastAsia" w:ascii="宋体" w:hAnsi="宋体" w:cs="宋体"/>
          <w:szCs w:val="21"/>
          <w:highlight w:val="none"/>
        </w:rPr>
        <w:t>年所需备品配件的推荐表，在备件表上要列出单价和确切的数量，备品配件包含但不限于下列内容</w:t>
      </w: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如有超出以下内容外的备品配件需单独列出并备注说明</w:t>
      </w:r>
      <w:r>
        <w:rPr>
          <w:rFonts w:hint="eastAsia" w:ascii="宋体" w:hAnsi="宋体" w:cs="宋体"/>
          <w:b/>
          <w:bCs/>
          <w:szCs w:val="21"/>
          <w:highlight w:val="none"/>
          <w:lang w:eastAsia="zh-CN"/>
        </w:rPr>
        <w:t>）</w:t>
      </w:r>
      <w:r>
        <w:rPr>
          <w:rFonts w:hint="eastAsia" w:ascii="宋体" w:hAnsi="宋体" w:cs="宋体"/>
          <w:szCs w:val="21"/>
          <w:highlight w:val="none"/>
        </w:rPr>
        <w:t>：</w:t>
      </w:r>
    </w:p>
    <w:p>
      <w:pPr>
        <w:pStyle w:val="51"/>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1、塑料喷嘴：20只/条</w:t>
      </w:r>
    </w:p>
    <w:p>
      <w:pPr>
        <w:pStyle w:val="51"/>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2、喷淋管调节扳手：1件/条</w:t>
      </w:r>
    </w:p>
    <w:p>
      <w:pPr>
        <w:pStyle w:val="51"/>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3、内六角扳手：1件/条</w:t>
      </w:r>
    </w:p>
    <w:p>
      <w:pPr>
        <w:pStyle w:val="51"/>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4、箱体密封垫：各3件（不带孔）/条</w:t>
      </w:r>
    </w:p>
    <w:p>
      <w:pPr>
        <w:pStyle w:val="51"/>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5、水泵、真空泵机械密封：各1套/条</w:t>
      </w:r>
    </w:p>
    <w:p>
      <w:pPr>
        <w:pStyle w:val="51"/>
        <w:tabs>
          <w:tab w:val="left" w:pos="4470"/>
        </w:tabs>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6、螺杆拆卸装置：1套/条</w:t>
      </w:r>
    </w:p>
    <w:p>
      <w:pPr>
        <w:pStyle w:val="51"/>
        <w:tabs>
          <w:tab w:val="left" w:pos="4470"/>
        </w:tabs>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7、K型热电偶及模具高温导线：2套/条</w:t>
      </w:r>
    </w:p>
    <w:p>
      <w:pPr>
        <w:pStyle w:val="51"/>
        <w:tabs>
          <w:tab w:val="left" w:pos="4470"/>
        </w:tabs>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8、牵引机履带橡胶块：20件/条</w:t>
      </w:r>
    </w:p>
    <w:p>
      <w:pPr>
        <w:pStyle w:val="51"/>
        <w:tabs>
          <w:tab w:val="left" w:pos="4470"/>
        </w:tabs>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9、十二寸活动板手：1件/条</w:t>
      </w:r>
    </w:p>
    <w:p>
      <w:pPr>
        <w:pStyle w:val="51"/>
        <w:tabs>
          <w:tab w:val="left" w:pos="4470"/>
        </w:tabs>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10、口模加热圈：1套(630)</w:t>
      </w:r>
    </w:p>
    <w:p>
      <w:pPr>
        <w:pStyle w:val="51"/>
        <w:tabs>
          <w:tab w:val="left" w:pos="4470"/>
        </w:tabs>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11、一字螺丝刀和十字螺丝刀：各1件</w:t>
      </w:r>
    </w:p>
    <w:p>
      <w:pPr>
        <w:pStyle w:val="51"/>
        <w:tabs>
          <w:tab w:val="left" w:pos="4470"/>
        </w:tabs>
        <w:snapToGrid w:val="0"/>
        <w:spacing w:line="360" w:lineRule="auto"/>
        <w:ind w:left="425" w:firstLine="0" w:firstLineChars="0"/>
        <w:rPr>
          <w:rFonts w:ascii="宋体" w:hAnsi="宋体"/>
          <w:bCs/>
          <w:szCs w:val="21"/>
          <w:highlight w:val="none"/>
        </w:rPr>
      </w:pPr>
      <w:r>
        <w:rPr>
          <w:rFonts w:hint="eastAsia" w:ascii="宋体" w:hAnsi="宋体"/>
          <w:bCs/>
          <w:szCs w:val="21"/>
          <w:highlight w:val="none"/>
        </w:rPr>
        <w:t>12、刀片：2片/条（630切割机）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spacing w:val="14"/>
          <w:sz w:val="24"/>
          <w:szCs w:val="24"/>
          <w:highlight w:val="none"/>
          <w:lang w:val="en-US" w:eastAsia="zh-CN"/>
        </w:rPr>
      </w:pPr>
    </w:p>
    <w:p>
      <w:pPr>
        <w:pStyle w:val="2"/>
        <w:keepNext w:val="0"/>
        <w:keepLines w:val="0"/>
        <w:pageBreakBefore w:val="0"/>
        <w:widowControl w:val="0"/>
        <w:numPr>
          <w:ilvl w:val="0"/>
          <w:numId w:val="29"/>
        </w:numPr>
        <w:kinsoku/>
        <w:wordWrap/>
        <w:overflowPunct/>
        <w:topLinePunct w:val="0"/>
        <w:autoSpaceDE/>
        <w:autoSpaceDN/>
        <w:bidi w:val="0"/>
        <w:adjustRightInd/>
        <w:snapToGrid/>
        <w:spacing w:line="360" w:lineRule="auto"/>
        <w:ind w:firstLine="538" w:firstLineChars="200"/>
        <w:textAlignment w:val="auto"/>
        <w:rPr>
          <w:rFonts w:hint="eastAsia"/>
          <w:b/>
          <w:spacing w:val="14"/>
          <w:sz w:val="24"/>
          <w:szCs w:val="24"/>
          <w:highlight w:val="none"/>
          <w:lang w:val="en-US" w:eastAsia="zh-CN"/>
        </w:rPr>
      </w:pPr>
      <w:r>
        <w:rPr>
          <w:rFonts w:hint="eastAsia"/>
          <w:b/>
          <w:spacing w:val="14"/>
          <w:sz w:val="24"/>
          <w:szCs w:val="24"/>
          <w:highlight w:val="none"/>
          <w:lang w:val="en-US" w:eastAsia="zh-CN"/>
        </w:rPr>
        <w:t>防腐保护</w:t>
      </w:r>
    </w:p>
    <w:p>
      <w:pPr>
        <w:keepNext w:val="0"/>
        <w:keepLines w:val="0"/>
        <w:pageBreakBefore w:val="0"/>
        <w:widowControl w:val="0"/>
        <w:kinsoku/>
        <w:wordWrap/>
        <w:overflowPunct/>
        <w:topLinePunct w:val="0"/>
        <w:bidi w:val="0"/>
        <w:spacing w:line="360" w:lineRule="auto"/>
        <w:ind w:firstLine="420" w:firstLineChars="200"/>
        <w:textAlignment w:val="auto"/>
        <w:rPr>
          <w:szCs w:val="21"/>
          <w:highlight w:val="none"/>
        </w:rPr>
      </w:pPr>
      <w:r>
        <w:rPr>
          <w:rFonts w:hint="eastAsia"/>
          <w:szCs w:val="21"/>
          <w:highlight w:val="none"/>
        </w:rPr>
        <w:t>制造商应根据设备出厂要求，对暴露于空气中的设备及备品备件中的金属表面做防腐喷涂。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spacing w:val="14"/>
          <w:sz w:val="24"/>
          <w:szCs w:val="24"/>
          <w:highlight w:val="none"/>
          <w:lang w:val="en-US" w:eastAsia="zh-CN"/>
        </w:rPr>
      </w:pPr>
    </w:p>
    <w:p>
      <w:pPr>
        <w:pStyle w:val="2"/>
        <w:keepNext w:val="0"/>
        <w:keepLines w:val="0"/>
        <w:pageBreakBefore w:val="0"/>
        <w:widowControl w:val="0"/>
        <w:numPr>
          <w:ilvl w:val="0"/>
          <w:numId w:val="29"/>
        </w:numPr>
        <w:kinsoku/>
        <w:wordWrap/>
        <w:overflowPunct/>
        <w:topLinePunct w:val="0"/>
        <w:autoSpaceDE/>
        <w:autoSpaceDN/>
        <w:bidi w:val="0"/>
        <w:adjustRightInd/>
        <w:snapToGrid/>
        <w:spacing w:line="360" w:lineRule="auto"/>
        <w:ind w:firstLine="538" w:firstLineChars="200"/>
        <w:textAlignment w:val="auto"/>
        <w:rPr>
          <w:rFonts w:hint="eastAsia"/>
          <w:b/>
          <w:spacing w:val="14"/>
          <w:sz w:val="24"/>
          <w:szCs w:val="24"/>
          <w:highlight w:val="none"/>
          <w:lang w:val="en-US" w:eastAsia="zh-CN"/>
        </w:rPr>
      </w:pPr>
      <w:r>
        <w:rPr>
          <w:rFonts w:hint="eastAsia"/>
          <w:b/>
          <w:spacing w:val="14"/>
          <w:sz w:val="24"/>
          <w:szCs w:val="24"/>
          <w:highlight w:val="none"/>
          <w:lang w:val="en-US" w:eastAsia="zh-CN"/>
        </w:rPr>
        <w:t>包装和运输要求</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zCs w:val="21"/>
          <w:highlight w:val="none"/>
        </w:rPr>
      </w:pPr>
      <w:r>
        <w:rPr>
          <w:rFonts w:hint="eastAsia"/>
          <w:szCs w:val="21"/>
          <w:highlight w:val="none"/>
        </w:rPr>
        <w:t>为避免运输中的机械损伤，所有设备和附件应用木箱和防震材料包装。</w:t>
      </w:r>
      <w:r>
        <w:rPr>
          <w:rFonts w:hint="eastAsia" w:ascii="宋体" w:hAnsi="宋体"/>
          <w:szCs w:val="21"/>
          <w:highlight w:val="none"/>
        </w:rPr>
        <w:t>所有包装必须经得起陆上</w:t>
      </w:r>
      <w:r>
        <w:rPr>
          <w:rFonts w:ascii="宋体" w:hAnsi="宋体"/>
          <w:szCs w:val="21"/>
          <w:highlight w:val="none"/>
        </w:rPr>
        <w:t>,水上的运输，卖方应对包装的所供货物负责，使其到达目的地后完整无缺，卖方负责提供所有的包装（注明免费）。</w:t>
      </w:r>
    </w:p>
    <w:p>
      <w:pPr>
        <w:ind w:left="0" w:leftChars="0" w:firstLine="0" w:firstLineChars="0"/>
      </w:pPr>
    </w:p>
    <w:p>
      <w:pPr>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pStyle w:val="3"/>
        <w:snapToGrid w:val="0"/>
        <w:spacing w:before="0" w:after="0" w:line="360" w:lineRule="auto"/>
        <w:rPr>
          <w:rFonts w:hint="eastAsia" w:cs="宋体"/>
          <w:kern w:val="0"/>
          <w:highlight w:val="none"/>
        </w:rPr>
      </w:pPr>
    </w:p>
    <w:p>
      <w:pPr>
        <w:rPr>
          <w:rFonts w:hint="eastAsia" w:cs="宋体"/>
          <w:kern w:val="0"/>
          <w:highlight w:val="none"/>
        </w:rPr>
      </w:pPr>
    </w:p>
    <w:p>
      <w:pPr>
        <w:pStyle w:val="2"/>
        <w:rPr>
          <w:rFonts w:hint="eastAsia"/>
        </w:rPr>
      </w:pPr>
    </w:p>
    <w:p>
      <w:pPr>
        <w:pStyle w:val="3"/>
        <w:snapToGrid w:val="0"/>
        <w:spacing w:before="0" w:after="0" w:line="360" w:lineRule="auto"/>
        <w:rPr>
          <w:rFonts w:hint="eastAsia" w:cs="宋体"/>
          <w:kern w:val="0"/>
          <w:highlight w:val="none"/>
        </w:rPr>
      </w:pPr>
      <w:bookmarkStart w:id="229" w:name="_Toc11683"/>
      <w:r>
        <w:rPr>
          <w:rFonts w:hint="eastAsia" w:cs="宋体"/>
          <w:kern w:val="0"/>
          <w:highlight w:val="none"/>
        </w:rPr>
        <w:t>第六章 投标文件格式</w:t>
      </w:r>
      <w:bookmarkEnd w:id="225"/>
      <w:bookmarkEnd w:id="226"/>
      <w:bookmarkEnd w:id="227"/>
      <w:bookmarkEnd w:id="229"/>
    </w:p>
    <w:p>
      <w:pPr>
        <w:pStyle w:val="7"/>
        <w:snapToGrid w:val="0"/>
        <w:spacing w:before="0" w:after="0" w:line="360" w:lineRule="auto"/>
        <w:jc w:val="center"/>
        <w:rPr>
          <w:rFonts w:hint="eastAsia" w:cs="宋体"/>
          <w:kern w:val="0"/>
          <w:highlight w:val="none"/>
        </w:rPr>
      </w:pPr>
      <w:bookmarkStart w:id="230" w:name="_Toc12926"/>
      <w:r>
        <w:rPr>
          <w:rFonts w:hint="eastAsia" w:cs="宋体"/>
          <w:kern w:val="0"/>
          <w:highlight w:val="none"/>
        </w:rPr>
        <w:t>封面</w:t>
      </w:r>
      <w:bookmarkEnd w:id="230"/>
    </w:p>
    <w:p>
      <w:pPr>
        <w:snapToGrid w:val="0"/>
        <w:spacing w:line="360" w:lineRule="auto"/>
        <w:jc w:val="right"/>
        <w:rPr>
          <w:rFonts w:hint="eastAsia" w:ascii="宋体" w:hAnsi="宋体" w:cs="宋体"/>
          <w:kern w:val="0"/>
          <w:highlight w:val="none"/>
        </w:rPr>
      </w:pPr>
      <w:r>
        <w:rPr>
          <w:rFonts w:hint="eastAsia" w:ascii="宋体" w:hAnsi="宋体" w:cs="宋体"/>
          <w:kern w:val="0"/>
          <w:highlight w:val="none"/>
        </w:rPr>
        <w:t>正本/副本</w:t>
      </w:r>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ind w:firstLine="0" w:firstLineChars="0"/>
        <w:jc w:val="center"/>
        <w:rPr>
          <w:rFonts w:hint="eastAsia" w:ascii="宋体" w:hAnsi="宋体" w:eastAsia="宋体" w:cs="宋体"/>
          <w:kern w:val="0"/>
          <w:sz w:val="36"/>
          <w:szCs w:val="36"/>
          <w:highlight w:val="none"/>
          <w:u w:val="single"/>
          <w:lang w:eastAsia="zh-CN"/>
        </w:rPr>
      </w:pPr>
      <w:r>
        <w:rPr>
          <w:rFonts w:hint="eastAsia" w:ascii="宋体" w:hAnsi="宋体" w:cs="宋体"/>
          <w:b/>
          <w:kern w:val="0"/>
          <w:sz w:val="36"/>
          <w:szCs w:val="36"/>
          <w:highlight w:val="none"/>
          <w:lang w:eastAsia="zh-CN"/>
        </w:rPr>
        <w:t>江苏长江水务股份有限公司聚乙烯供水管道成套生产设备采购及安装项目</w:t>
      </w:r>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ind w:left="560" w:firstLine="0" w:firstLineChars="0"/>
        <w:jc w:val="center"/>
        <w:rPr>
          <w:rFonts w:hint="eastAsia" w:ascii="宋体" w:hAnsi="宋体" w:cs="宋体"/>
          <w:b/>
          <w:kern w:val="0"/>
          <w:sz w:val="56"/>
          <w:szCs w:val="56"/>
          <w:highlight w:val="none"/>
        </w:rPr>
      </w:pPr>
      <w:r>
        <w:rPr>
          <w:rFonts w:hint="eastAsia" w:ascii="宋体" w:hAnsi="宋体" w:cs="宋体"/>
          <w:b/>
          <w:kern w:val="0"/>
          <w:sz w:val="56"/>
          <w:szCs w:val="56"/>
          <w:highlight w:val="none"/>
        </w:rPr>
        <w:t>投标文件</w:t>
      </w:r>
    </w:p>
    <w:p>
      <w:pPr>
        <w:snapToGrid w:val="0"/>
        <w:spacing w:line="360" w:lineRule="auto"/>
        <w:ind w:firstLine="0" w:firstLineChars="0"/>
        <w:jc w:val="center"/>
        <w:rPr>
          <w:rFonts w:hint="eastAsia" w:ascii="宋体" w:hAnsi="宋体" w:eastAsia="宋体" w:cs="宋体"/>
          <w:color w:val="auto"/>
          <w:kern w:val="0"/>
          <w:highlight w:val="none"/>
          <w:lang w:eastAsia="zh-CN"/>
        </w:rPr>
      </w:pPr>
      <w:r>
        <w:rPr>
          <w:rFonts w:hint="eastAsia" w:ascii="宋体" w:hAnsi="宋体" w:cs="宋体"/>
          <w:color w:val="auto"/>
          <w:kern w:val="0"/>
          <w:sz w:val="36"/>
          <w:szCs w:val="36"/>
          <w:highlight w:val="none"/>
        </w:rPr>
        <w:t>编号：066020530498</w:t>
      </w:r>
      <w:ins w:id="0" w:author="思念" w:date="2021-11-02T17:29:44Z">
        <w:r>
          <w:rPr>
            <w:rFonts w:hint="eastAsia" w:ascii="宋体" w:hAnsi="宋体" w:cs="宋体"/>
            <w:color w:val="auto"/>
            <w:kern w:val="0"/>
            <w:sz w:val="36"/>
            <w:szCs w:val="36"/>
            <w:highlight w:val="none"/>
            <w:lang w:eastAsia="zh-CN"/>
          </w:rPr>
          <w:t>0660</w:t>
        </w:r>
      </w:ins>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pStyle w:val="2"/>
        <w:snapToGrid w:val="0"/>
        <w:rPr>
          <w:rFonts w:hint="eastAsia"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rPr>
          <w:rFonts w:hint="eastAsia" w:ascii="宋体" w:hAnsi="宋体" w:cs="宋体"/>
          <w:kern w:val="0"/>
          <w:highlight w:val="none"/>
        </w:rPr>
      </w:pPr>
    </w:p>
    <w:p>
      <w:pPr>
        <w:snapToGrid w:val="0"/>
        <w:spacing w:line="360" w:lineRule="auto"/>
        <w:ind w:firstLine="0" w:firstLineChars="0"/>
        <w:jc w:val="center"/>
        <w:rPr>
          <w:rFonts w:hint="eastAsia" w:ascii="宋体" w:hAnsi="宋体" w:cs="宋体"/>
          <w:kern w:val="0"/>
          <w:highlight w:val="none"/>
        </w:rPr>
      </w:pPr>
      <w:r>
        <w:rPr>
          <w:rFonts w:hint="eastAsia" w:ascii="宋体" w:hAnsi="宋体" w:cs="宋体"/>
          <w:kern w:val="0"/>
          <w:highlight w:val="none"/>
        </w:rPr>
        <w:t>投标人：</w:t>
      </w:r>
      <w:r>
        <w:rPr>
          <w:rFonts w:hint="eastAsia" w:ascii="宋体" w:hAnsi="宋体" w:cs="宋体"/>
          <w:kern w:val="0"/>
          <w:highlight w:val="none"/>
          <w:u w:val="single"/>
        </w:rPr>
        <w:tab/>
      </w:r>
      <w:r>
        <w:rPr>
          <w:rFonts w:hint="eastAsia" w:ascii="宋体" w:hAnsi="宋体" w:cs="宋体"/>
          <w:kern w:val="0"/>
          <w:highlight w:val="none"/>
        </w:rPr>
        <w:t>（盖单位章）</w:t>
      </w:r>
    </w:p>
    <w:p>
      <w:pPr>
        <w:snapToGrid w:val="0"/>
        <w:spacing w:line="360" w:lineRule="auto"/>
        <w:ind w:firstLine="0" w:firstLineChars="0"/>
        <w:jc w:val="center"/>
        <w:rPr>
          <w:rFonts w:hint="eastAsia" w:ascii="宋体" w:hAnsi="宋体" w:cs="宋体"/>
          <w:kern w:val="0"/>
          <w:highlight w:val="none"/>
        </w:rPr>
      </w:pPr>
      <w:r>
        <w:rPr>
          <w:rFonts w:hint="eastAsia" w:ascii="宋体" w:hAnsi="宋体" w:cs="宋体"/>
          <w:kern w:val="0"/>
          <w:highlight w:val="none"/>
        </w:rPr>
        <w:t>法定代表人（单位负责人）或其委托代理人：</w:t>
      </w:r>
      <w:r>
        <w:rPr>
          <w:rFonts w:hint="eastAsia" w:ascii="宋体" w:hAnsi="宋体" w:cs="宋体"/>
          <w:kern w:val="0"/>
          <w:highlight w:val="none"/>
          <w:u w:val="single"/>
        </w:rPr>
        <w:tab/>
      </w:r>
      <w:r>
        <w:rPr>
          <w:rFonts w:hint="eastAsia" w:ascii="宋体" w:hAnsi="宋体" w:cs="宋体"/>
          <w:kern w:val="0"/>
          <w:highlight w:val="none"/>
          <w:u w:val="single"/>
        </w:rPr>
        <w:tab/>
      </w:r>
      <w:r>
        <w:rPr>
          <w:rFonts w:hint="eastAsia" w:ascii="宋体" w:hAnsi="宋体" w:cs="宋体"/>
          <w:kern w:val="0"/>
          <w:highlight w:val="none"/>
        </w:rPr>
        <w:t>（签字）</w:t>
      </w:r>
    </w:p>
    <w:p>
      <w:pPr>
        <w:snapToGrid w:val="0"/>
        <w:spacing w:line="360" w:lineRule="auto"/>
        <w:jc w:val="center"/>
        <w:rPr>
          <w:rFonts w:hint="eastAsia" w:ascii="宋体" w:hAnsi="宋体" w:cs="宋体"/>
          <w:kern w:val="0"/>
          <w:highlight w:val="none"/>
        </w:rPr>
      </w:pPr>
      <w:r>
        <w:rPr>
          <w:rFonts w:hint="eastAsia" w:ascii="宋体" w:hAnsi="宋体" w:cs="宋体"/>
          <w:kern w:val="0"/>
          <w:highlight w:val="none"/>
        </w:rPr>
        <w:t>年</w:t>
      </w:r>
      <w:r>
        <w:rPr>
          <w:rFonts w:hint="eastAsia" w:ascii="宋体" w:hAnsi="宋体" w:cs="宋体"/>
          <w:kern w:val="0"/>
          <w:highlight w:val="none"/>
        </w:rPr>
        <w:tab/>
      </w:r>
      <w:r>
        <w:rPr>
          <w:rFonts w:hint="eastAsia" w:ascii="宋体" w:hAnsi="宋体" w:cs="宋体"/>
          <w:kern w:val="0"/>
          <w:highlight w:val="none"/>
        </w:rPr>
        <w:t>月</w:t>
      </w:r>
      <w:r>
        <w:rPr>
          <w:rFonts w:hint="eastAsia" w:ascii="宋体" w:hAnsi="宋体" w:cs="宋体"/>
          <w:kern w:val="0"/>
          <w:highlight w:val="none"/>
        </w:rPr>
        <w:tab/>
      </w:r>
      <w:r>
        <w:rPr>
          <w:rFonts w:hint="eastAsia" w:ascii="宋体" w:hAnsi="宋体" w:cs="宋体"/>
          <w:kern w:val="0"/>
          <w:highlight w:val="none"/>
        </w:rPr>
        <w:t>日</w:t>
      </w:r>
    </w:p>
    <w:p>
      <w:pPr>
        <w:spacing w:line="980" w:lineRule="exact"/>
        <w:jc w:val="center"/>
        <w:rPr>
          <w:rFonts w:ascii="黑体" w:eastAsia="黑体"/>
          <w:sz w:val="30"/>
          <w:highlight w:val="none"/>
        </w:rPr>
      </w:pPr>
      <w:r>
        <w:rPr>
          <w:rFonts w:hint="eastAsia" w:ascii="宋体" w:hAnsi="宋体" w:cs="宋体"/>
          <w:kern w:val="0"/>
          <w:highlight w:val="none"/>
        </w:rPr>
        <w:br w:type="page"/>
      </w:r>
      <w:r>
        <w:rPr>
          <w:rFonts w:hint="eastAsia" w:ascii="黑体" w:eastAsia="黑体"/>
          <w:sz w:val="30"/>
          <w:highlight w:val="none"/>
        </w:rPr>
        <w:t>目   录</w:t>
      </w:r>
    </w:p>
    <w:p>
      <w:pPr>
        <w:spacing w:line="460" w:lineRule="exact"/>
        <w:ind w:firstLine="480"/>
        <w:rPr>
          <w:rFonts w:ascii="宋体" w:hAnsi="宋体"/>
          <w:sz w:val="24"/>
          <w:highlight w:val="none"/>
        </w:rPr>
      </w:pPr>
      <w:r>
        <w:rPr>
          <w:rFonts w:hint="eastAsia" w:ascii="宋体" w:hAnsi="宋体"/>
          <w:sz w:val="24"/>
          <w:highlight w:val="none"/>
        </w:rPr>
        <w:t>一、投标书及其附件</w:t>
      </w:r>
    </w:p>
    <w:p>
      <w:pPr>
        <w:spacing w:line="460" w:lineRule="exact"/>
        <w:ind w:firstLine="480"/>
        <w:rPr>
          <w:rFonts w:ascii="宋体" w:hAnsi="宋体"/>
          <w:sz w:val="24"/>
          <w:highlight w:val="none"/>
        </w:rPr>
      </w:pPr>
      <w:r>
        <w:rPr>
          <w:rFonts w:hint="eastAsia" w:ascii="宋体" w:hAnsi="宋体"/>
          <w:sz w:val="24"/>
          <w:highlight w:val="none"/>
        </w:rPr>
        <w:t xml:space="preserve">      1.投标书格式</w:t>
      </w:r>
    </w:p>
    <w:p>
      <w:pPr>
        <w:spacing w:line="460" w:lineRule="exact"/>
        <w:ind w:firstLine="480"/>
        <w:rPr>
          <w:rFonts w:ascii="宋体" w:hAnsi="宋体"/>
          <w:sz w:val="24"/>
          <w:highlight w:val="none"/>
        </w:rPr>
      </w:pPr>
      <w:r>
        <w:rPr>
          <w:rFonts w:hint="eastAsia" w:ascii="宋体" w:hAnsi="宋体"/>
          <w:sz w:val="24"/>
          <w:highlight w:val="none"/>
        </w:rPr>
        <w:t xml:space="preserve">      2.开标一览表</w:t>
      </w:r>
    </w:p>
    <w:p>
      <w:pPr>
        <w:spacing w:line="460" w:lineRule="exact"/>
        <w:ind w:firstLine="480"/>
        <w:rPr>
          <w:rFonts w:ascii="宋体" w:hAnsi="宋体"/>
          <w:sz w:val="24"/>
          <w:highlight w:val="none"/>
        </w:rPr>
      </w:pPr>
      <w:r>
        <w:rPr>
          <w:rFonts w:hint="eastAsia" w:ascii="宋体" w:hAnsi="宋体"/>
          <w:sz w:val="24"/>
          <w:highlight w:val="none"/>
        </w:rPr>
        <w:t xml:space="preserve">      3.投标分项报价表</w:t>
      </w:r>
    </w:p>
    <w:p>
      <w:pPr>
        <w:spacing w:line="460" w:lineRule="exact"/>
        <w:ind w:firstLine="480"/>
        <w:rPr>
          <w:rFonts w:ascii="宋体" w:hAnsi="宋体"/>
          <w:sz w:val="24"/>
          <w:highlight w:val="none"/>
        </w:rPr>
      </w:pPr>
      <w:r>
        <w:rPr>
          <w:rFonts w:hint="eastAsia" w:ascii="宋体" w:hAnsi="宋体"/>
          <w:sz w:val="24"/>
          <w:highlight w:val="none"/>
        </w:rPr>
        <w:t>二、投标人资格证明文件</w:t>
      </w:r>
    </w:p>
    <w:p>
      <w:pPr>
        <w:spacing w:line="460" w:lineRule="exact"/>
        <w:ind w:firstLine="480"/>
        <w:rPr>
          <w:rFonts w:ascii="宋体" w:hAnsi="宋体"/>
          <w:sz w:val="24"/>
          <w:highlight w:val="none"/>
        </w:rPr>
      </w:pPr>
      <w:r>
        <w:rPr>
          <w:rFonts w:hint="eastAsia" w:ascii="宋体" w:hAnsi="宋体"/>
          <w:sz w:val="24"/>
          <w:highlight w:val="none"/>
        </w:rPr>
        <w:t xml:space="preserve">      1.投标人概况</w:t>
      </w:r>
    </w:p>
    <w:p>
      <w:pPr>
        <w:spacing w:line="460" w:lineRule="exact"/>
        <w:ind w:firstLine="480"/>
        <w:rPr>
          <w:rFonts w:ascii="宋体" w:hAnsi="宋体"/>
          <w:sz w:val="24"/>
          <w:highlight w:val="none"/>
        </w:rPr>
      </w:pPr>
      <w:r>
        <w:rPr>
          <w:rFonts w:hint="eastAsia" w:ascii="宋体" w:hAnsi="宋体"/>
          <w:sz w:val="24"/>
          <w:highlight w:val="none"/>
        </w:rPr>
        <w:t xml:space="preserve">      2.投标人技术能力</w:t>
      </w:r>
    </w:p>
    <w:p>
      <w:pPr>
        <w:spacing w:line="460" w:lineRule="exact"/>
        <w:ind w:firstLine="480"/>
        <w:rPr>
          <w:rFonts w:ascii="宋体" w:hAnsi="宋体"/>
          <w:sz w:val="24"/>
          <w:highlight w:val="none"/>
        </w:rPr>
      </w:pPr>
      <w:r>
        <w:rPr>
          <w:rFonts w:hint="eastAsia" w:ascii="宋体" w:hAnsi="宋体"/>
          <w:sz w:val="24"/>
          <w:highlight w:val="none"/>
        </w:rPr>
        <w:t xml:space="preserve">      3.投标人财务状况</w:t>
      </w:r>
    </w:p>
    <w:p>
      <w:pPr>
        <w:spacing w:line="460" w:lineRule="exact"/>
        <w:ind w:firstLine="480"/>
        <w:rPr>
          <w:rFonts w:ascii="宋体" w:hAnsi="宋体"/>
          <w:sz w:val="24"/>
          <w:highlight w:val="none"/>
        </w:rPr>
      </w:pPr>
      <w:r>
        <w:rPr>
          <w:rFonts w:hint="eastAsia" w:ascii="宋体" w:hAnsi="宋体"/>
          <w:sz w:val="24"/>
          <w:highlight w:val="none"/>
        </w:rPr>
        <w:t xml:space="preserve">      4.营业执照副本、资质证书副本</w:t>
      </w:r>
    </w:p>
    <w:p>
      <w:pPr>
        <w:spacing w:line="460" w:lineRule="exact"/>
        <w:ind w:firstLine="480"/>
        <w:rPr>
          <w:rFonts w:ascii="宋体" w:hAnsi="宋体"/>
          <w:sz w:val="24"/>
          <w:highlight w:val="none"/>
        </w:rPr>
      </w:pPr>
      <w:r>
        <w:rPr>
          <w:rFonts w:hint="eastAsia" w:ascii="宋体" w:hAnsi="宋体"/>
          <w:sz w:val="24"/>
          <w:highlight w:val="none"/>
        </w:rPr>
        <w:t xml:space="preserve">      5.法人代表授权委托书</w:t>
      </w:r>
    </w:p>
    <w:p>
      <w:pPr>
        <w:spacing w:line="460" w:lineRule="exact"/>
        <w:ind w:firstLine="480"/>
        <w:rPr>
          <w:rFonts w:ascii="宋体" w:hAnsi="宋体"/>
          <w:sz w:val="24"/>
          <w:highlight w:val="none"/>
        </w:rPr>
      </w:pPr>
      <w:r>
        <w:rPr>
          <w:rFonts w:hint="eastAsia" w:ascii="宋体" w:hAnsi="宋体"/>
          <w:sz w:val="24"/>
          <w:highlight w:val="none"/>
        </w:rPr>
        <w:t xml:space="preserve">      6.制造商授权书格式    </w:t>
      </w:r>
    </w:p>
    <w:p>
      <w:pPr>
        <w:spacing w:line="460" w:lineRule="exact"/>
        <w:ind w:firstLine="480"/>
        <w:rPr>
          <w:rFonts w:ascii="宋体" w:hAnsi="宋体"/>
          <w:sz w:val="24"/>
          <w:highlight w:val="none"/>
        </w:rPr>
      </w:pPr>
      <w:r>
        <w:rPr>
          <w:rFonts w:hint="eastAsia" w:ascii="宋体" w:hAnsi="宋体"/>
          <w:sz w:val="24"/>
          <w:highlight w:val="none"/>
        </w:rPr>
        <w:t>三、证明货物的合格性和符合招标文件规定的文件</w:t>
      </w:r>
    </w:p>
    <w:p>
      <w:pPr>
        <w:spacing w:line="460" w:lineRule="exact"/>
        <w:ind w:left="1145" w:firstLine="480"/>
        <w:rPr>
          <w:rFonts w:ascii="宋体" w:hAnsi="宋体"/>
          <w:sz w:val="24"/>
          <w:highlight w:val="none"/>
        </w:rPr>
      </w:pPr>
      <w:r>
        <w:rPr>
          <w:rFonts w:hint="eastAsia" w:ascii="宋体" w:hAnsi="宋体"/>
          <w:sz w:val="24"/>
          <w:highlight w:val="none"/>
        </w:rPr>
        <w:t>1. 质量保证书</w:t>
      </w:r>
    </w:p>
    <w:p>
      <w:pPr>
        <w:spacing w:line="460" w:lineRule="exact"/>
        <w:ind w:left="1145" w:firstLine="480"/>
        <w:rPr>
          <w:rFonts w:ascii="宋体" w:hAnsi="宋体"/>
          <w:sz w:val="24"/>
          <w:highlight w:val="none"/>
        </w:rPr>
      </w:pPr>
      <w:r>
        <w:rPr>
          <w:rFonts w:hint="eastAsia" w:ascii="宋体" w:hAnsi="宋体"/>
          <w:sz w:val="24"/>
          <w:highlight w:val="none"/>
        </w:rPr>
        <w:t>2. 有关部门的检测报告（如有）</w:t>
      </w:r>
    </w:p>
    <w:p>
      <w:pPr>
        <w:spacing w:line="460" w:lineRule="exact"/>
        <w:ind w:firstLine="480"/>
        <w:rPr>
          <w:rFonts w:ascii="宋体" w:hAnsi="宋体"/>
          <w:sz w:val="24"/>
          <w:highlight w:val="none"/>
        </w:rPr>
      </w:pPr>
      <w:r>
        <w:rPr>
          <w:rFonts w:hint="eastAsia" w:ascii="宋体" w:hAnsi="宋体"/>
          <w:sz w:val="24"/>
          <w:highlight w:val="none"/>
        </w:rPr>
        <w:t xml:space="preserve">      3. 货物组成（供货范围表）</w:t>
      </w:r>
    </w:p>
    <w:p>
      <w:pPr>
        <w:spacing w:line="460" w:lineRule="exact"/>
        <w:ind w:firstLine="720" w:firstLineChars="300"/>
        <w:rPr>
          <w:rFonts w:ascii="宋体" w:hAnsi="宋体"/>
          <w:sz w:val="24"/>
          <w:highlight w:val="none"/>
        </w:rPr>
      </w:pPr>
      <w:r>
        <w:rPr>
          <w:rFonts w:hint="eastAsia" w:ascii="宋体" w:hAnsi="宋体"/>
          <w:sz w:val="24"/>
          <w:highlight w:val="none"/>
        </w:rPr>
        <w:t>4. 货物技术资料</w:t>
      </w:r>
    </w:p>
    <w:p>
      <w:pPr>
        <w:spacing w:line="460" w:lineRule="exact"/>
        <w:ind w:firstLine="480"/>
        <w:rPr>
          <w:rFonts w:ascii="宋体" w:hAnsi="宋体"/>
          <w:sz w:val="24"/>
          <w:highlight w:val="none"/>
        </w:rPr>
      </w:pPr>
      <w:r>
        <w:rPr>
          <w:rFonts w:hint="eastAsia" w:ascii="宋体" w:hAnsi="宋体"/>
          <w:sz w:val="24"/>
          <w:highlight w:val="none"/>
        </w:rPr>
        <w:t xml:space="preserve">      5. 投标货物规格偏离表</w:t>
      </w:r>
    </w:p>
    <w:p>
      <w:pPr>
        <w:spacing w:line="460" w:lineRule="exact"/>
        <w:ind w:firstLine="480"/>
        <w:rPr>
          <w:rFonts w:ascii="宋体" w:hAnsi="宋体"/>
          <w:sz w:val="24"/>
          <w:highlight w:val="none"/>
        </w:rPr>
      </w:pPr>
      <w:r>
        <w:rPr>
          <w:rFonts w:hint="eastAsia" w:ascii="宋体" w:hAnsi="宋体"/>
          <w:sz w:val="24"/>
          <w:highlight w:val="none"/>
        </w:rPr>
        <w:t xml:space="preserve">      6. 商务条款偏离表</w:t>
      </w:r>
    </w:p>
    <w:p>
      <w:pPr>
        <w:spacing w:line="460" w:lineRule="exact"/>
        <w:ind w:firstLine="480"/>
        <w:rPr>
          <w:rFonts w:ascii="宋体" w:hAnsi="宋体"/>
          <w:sz w:val="24"/>
          <w:highlight w:val="none"/>
        </w:rPr>
      </w:pPr>
      <w:r>
        <w:rPr>
          <w:rFonts w:hint="eastAsia" w:ascii="宋体" w:hAnsi="宋体"/>
          <w:sz w:val="24"/>
          <w:highlight w:val="none"/>
        </w:rPr>
        <w:t xml:space="preserve">      7. 施工组织设计（包括含安装、调试、测试、验收、试验、试运行、培训、售后服务等）</w:t>
      </w:r>
    </w:p>
    <w:p>
      <w:pPr>
        <w:spacing w:line="460" w:lineRule="exact"/>
        <w:ind w:firstLine="480"/>
        <w:rPr>
          <w:rFonts w:ascii="宋体" w:hAnsi="宋体"/>
          <w:sz w:val="24"/>
          <w:highlight w:val="none"/>
        </w:rPr>
      </w:pPr>
      <w:r>
        <w:rPr>
          <w:rFonts w:hint="eastAsia" w:ascii="宋体" w:hAnsi="宋体"/>
          <w:sz w:val="24"/>
          <w:highlight w:val="none"/>
        </w:rPr>
        <w:t xml:space="preserve">      8. 经营业绩</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r>
        <w:rPr>
          <w:rFonts w:hint="eastAsia" w:ascii="楷体_GB2312" w:eastAsia="楷体_GB2312"/>
          <w:sz w:val="24"/>
          <w:highlight w:val="none"/>
        </w:rPr>
        <w:t xml:space="preserve"> </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tabs>
          <w:tab w:val="left" w:pos="885"/>
        </w:tabs>
        <w:spacing w:line="560" w:lineRule="exact"/>
        <w:ind w:left="0" w:leftChars="0" w:firstLine="0" w:firstLineChars="0"/>
        <w:jc w:val="center"/>
        <w:rPr>
          <w:rFonts w:ascii="楷体_GB2312" w:eastAsia="楷体_GB2312"/>
          <w:b/>
          <w:sz w:val="44"/>
          <w:highlight w:val="none"/>
        </w:rPr>
      </w:pPr>
      <w:r>
        <w:rPr>
          <w:rFonts w:hint="eastAsia" w:ascii="楷体_GB2312" w:eastAsia="楷体_GB2312"/>
          <w:b/>
          <w:sz w:val="44"/>
          <w:highlight w:val="none"/>
        </w:rPr>
        <w:t>一、投标书及其附件</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widowControl/>
        <w:ind w:firstLine="480"/>
        <w:jc w:val="left"/>
        <w:rPr>
          <w:rFonts w:ascii="楷体_GB2312" w:eastAsia="楷体_GB2312"/>
          <w:sz w:val="24"/>
          <w:highlight w:val="none"/>
        </w:rPr>
        <w:sectPr>
          <w:pgSz w:w="11906" w:h="16838"/>
          <w:pgMar w:top="1440" w:right="1406" w:bottom="1089" w:left="1576" w:header="851" w:footer="992" w:gutter="0"/>
          <w:pgBorders>
            <w:top w:val="none" w:sz="0" w:space="0"/>
            <w:left w:val="none" w:sz="0" w:space="0"/>
            <w:bottom w:val="none" w:sz="0" w:space="0"/>
            <w:right w:val="none" w:sz="0" w:space="0"/>
          </w:pgBorders>
          <w:pgNumType w:start="0"/>
          <w:cols w:space="720" w:num="1"/>
        </w:sectPr>
      </w:pPr>
    </w:p>
    <w:p>
      <w:pPr>
        <w:tabs>
          <w:tab w:val="left" w:pos="1200"/>
        </w:tabs>
        <w:spacing w:line="560" w:lineRule="exact"/>
        <w:ind w:left="0" w:leftChars="0" w:firstLine="0" w:firstLineChars="0"/>
        <w:jc w:val="center"/>
        <w:rPr>
          <w:rFonts w:ascii="黑体" w:eastAsia="黑体"/>
          <w:sz w:val="36"/>
          <w:highlight w:val="none"/>
        </w:rPr>
      </w:pPr>
      <w:r>
        <w:rPr>
          <w:rFonts w:hint="eastAsia" w:ascii="黑体" w:eastAsia="黑体"/>
          <w:sz w:val="36"/>
          <w:highlight w:val="none"/>
        </w:rPr>
        <w:t>1、投标书格式</w:t>
      </w:r>
    </w:p>
    <w:p>
      <w:pPr>
        <w:spacing w:line="720" w:lineRule="exact"/>
        <w:ind w:left="0" w:leftChars="0" w:firstLine="0" w:firstLineChars="0"/>
        <w:jc w:val="center"/>
        <w:rPr>
          <w:rFonts w:ascii="宋体" w:hAnsi="宋体"/>
          <w:b/>
          <w:sz w:val="30"/>
          <w:highlight w:val="none"/>
        </w:rPr>
      </w:pPr>
      <w:r>
        <w:rPr>
          <w:rFonts w:hint="eastAsia" w:ascii="宋体" w:hAnsi="宋体"/>
          <w:b/>
          <w:sz w:val="30"/>
          <w:highlight w:val="none"/>
        </w:rPr>
        <w:t>投标书</w:t>
      </w:r>
    </w:p>
    <w:p>
      <w:pPr>
        <w:spacing w:line="480" w:lineRule="exact"/>
        <w:ind w:firstLine="480"/>
        <w:rPr>
          <w:rFonts w:ascii="宋体" w:hAnsi="宋体"/>
          <w:sz w:val="24"/>
          <w:highlight w:val="none"/>
        </w:rPr>
      </w:pPr>
      <w:r>
        <w:rPr>
          <w:rFonts w:hint="eastAsia" w:ascii="宋体" w:hAnsi="宋体"/>
          <w:sz w:val="24"/>
          <w:highlight w:val="none"/>
          <w:lang w:eastAsia="zh-CN"/>
        </w:rPr>
        <w:t>江苏长江水务股份有限公司</w:t>
      </w:r>
      <w:r>
        <w:rPr>
          <w:rFonts w:hint="eastAsia" w:ascii="宋体" w:hAnsi="宋体"/>
          <w:sz w:val="24"/>
          <w:highlight w:val="none"/>
        </w:rPr>
        <w:t>：</w:t>
      </w:r>
    </w:p>
    <w:p>
      <w:pPr>
        <w:spacing w:line="480" w:lineRule="exact"/>
        <w:ind w:firstLine="480"/>
        <w:rPr>
          <w:rFonts w:ascii="宋体" w:hAnsi="宋体"/>
          <w:sz w:val="24"/>
          <w:highlight w:val="none"/>
        </w:rPr>
      </w:pPr>
      <w:r>
        <w:rPr>
          <w:rFonts w:hint="eastAsia" w:ascii="宋体" w:hAnsi="宋体"/>
          <w:sz w:val="24"/>
          <w:highlight w:val="none"/>
        </w:rPr>
        <w:t>你们招标文件（包括补充文件，如果有的话）收悉，我们经详细审阅和研究，现决定参加投标。</w:t>
      </w:r>
    </w:p>
    <w:p>
      <w:pPr>
        <w:spacing w:line="480" w:lineRule="exact"/>
        <w:ind w:firstLine="480"/>
        <w:rPr>
          <w:rFonts w:ascii="宋体" w:hAnsi="宋体"/>
          <w:sz w:val="24"/>
          <w:highlight w:val="none"/>
        </w:rPr>
      </w:pPr>
      <w:r>
        <w:rPr>
          <w:rFonts w:hint="eastAsia" w:ascii="宋体" w:hAnsi="宋体"/>
          <w:sz w:val="24"/>
          <w:highlight w:val="none"/>
        </w:rPr>
        <w:t xml:space="preserve">    1.我们愿按照招标文件中的条款、要求，提供所需的招标货物及一切与之相关的服务，投标总价为</w:t>
      </w:r>
      <w:r>
        <w:rPr>
          <w:rFonts w:hint="eastAsia" w:ascii="宋体" w:hAnsi="宋体"/>
          <w:sz w:val="24"/>
          <w:highlight w:val="none"/>
          <w:u w:val="single"/>
        </w:rPr>
        <w:t xml:space="preserve">（币种及金额） </w:t>
      </w:r>
      <w:r>
        <w:rPr>
          <w:rFonts w:hint="eastAsia" w:ascii="宋体" w:hAnsi="宋体"/>
          <w:sz w:val="24"/>
          <w:highlight w:val="none"/>
        </w:rPr>
        <w:t>。</w:t>
      </w:r>
    </w:p>
    <w:p>
      <w:pPr>
        <w:spacing w:line="480" w:lineRule="exact"/>
        <w:ind w:firstLine="480"/>
        <w:rPr>
          <w:rFonts w:ascii="宋体" w:hAnsi="宋体"/>
          <w:sz w:val="24"/>
          <w:highlight w:val="none"/>
        </w:rPr>
      </w:pPr>
      <w:r>
        <w:rPr>
          <w:rFonts w:hint="eastAsia" w:ascii="宋体" w:hAnsi="宋体"/>
          <w:sz w:val="24"/>
          <w:highlight w:val="none"/>
        </w:rPr>
        <w:t>2.如果我们中标，我们承诺工期</w:t>
      </w:r>
      <w:r>
        <w:rPr>
          <w:rFonts w:hint="eastAsia" w:ascii="宋体" w:hAnsi="宋体"/>
          <w:sz w:val="24"/>
          <w:highlight w:val="none"/>
          <w:lang w:val="en-US" w:eastAsia="zh-CN"/>
        </w:rPr>
        <w:t>/交货期</w:t>
      </w:r>
      <w:r>
        <w:rPr>
          <w:rFonts w:hint="eastAsia" w:ascii="宋体" w:hAnsi="宋体"/>
          <w:sz w:val="24"/>
          <w:highlight w:val="none"/>
        </w:rPr>
        <w:t>为</w:t>
      </w:r>
      <w:r>
        <w:rPr>
          <w:rFonts w:hint="eastAsia" w:ascii="宋体" w:hAnsi="宋体"/>
          <w:sz w:val="24"/>
          <w:highlight w:val="none"/>
          <w:u w:val="single"/>
        </w:rPr>
        <w:t xml:space="preserve">                     </w:t>
      </w:r>
      <w:r>
        <w:rPr>
          <w:rFonts w:hint="eastAsia" w:ascii="宋体" w:hAnsi="宋体"/>
          <w:sz w:val="24"/>
          <w:highlight w:val="none"/>
        </w:rPr>
        <w:t>。</w:t>
      </w:r>
    </w:p>
    <w:p>
      <w:pPr>
        <w:spacing w:line="480" w:lineRule="exact"/>
        <w:ind w:firstLine="480"/>
        <w:rPr>
          <w:rFonts w:ascii="宋体" w:hAnsi="宋体"/>
          <w:sz w:val="24"/>
          <w:highlight w:val="none"/>
        </w:rPr>
      </w:pPr>
      <w:r>
        <w:rPr>
          <w:rFonts w:hint="eastAsia" w:ascii="宋体" w:hAnsi="宋体"/>
          <w:sz w:val="24"/>
          <w:highlight w:val="none"/>
        </w:rPr>
        <w:t>3.我们同意按照招标文件投标人须知的规定，本投标文件的有效期为从开标日期起计算的九十天，在此期间，本投标文件将始终对我们具有约束力，并可随时被接受。如果我们中标，本投标文件在此期间之后将继续保持有效，直至合同生效。</w:t>
      </w:r>
    </w:p>
    <w:p>
      <w:pPr>
        <w:spacing w:line="480" w:lineRule="exact"/>
        <w:ind w:firstLine="480"/>
        <w:rPr>
          <w:rFonts w:ascii="宋体" w:hAnsi="宋体"/>
          <w:sz w:val="24"/>
          <w:highlight w:val="none"/>
        </w:rPr>
      </w:pPr>
      <w:r>
        <w:rPr>
          <w:rFonts w:hint="eastAsia" w:ascii="宋体" w:hAnsi="宋体"/>
          <w:sz w:val="24"/>
          <w:highlight w:val="none"/>
        </w:rPr>
        <w:t xml:space="preserve">    4.我们同意提供招标人要求的有关本次招标的所有资料。</w:t>
      </w:r>
    </w:p>
    <w:p>
      <w:pPr>
        <w:spacing w:line="480" w:lineRule="exact"/>
        <w:ind w:firstLine="480"/>
        <w:rPr>
          <w:rFonts w:ascii="宋体" w:hAnsi="宋体"/>
          <w:sz w:val="24"/>
          <w:highlight w:val="none"/>
        </w:rPr>
      </w:pPr>
      <w:r>
        <w:rPr>
          <w:rFonts w:hint="eastAsia" w:ascii="宋体" w:hAnsi="宋体"/>
          <w:sz w:val="24"/>
          <w:highlight w:val="none"/>
        </w:rPr>
        <w:t>5.我们理解，你们无义务必须接受投标价最低的投标，并有权拒绝所有的投标。</w:t>
      </w:r>
    </w:p>
    <w:p>
      <w:pPr>
        <w:spacing w:line="480" w:lineRule="exact"/>
        <w:ind w:firstLine="480"/>
        <w:rPr>
          <w:rFonts w:ascii="宋体" w:hAnsi="宋体"/>
          <w:sz w:val="24"/>
          <w:highlight w:val="none"/>
        </w:rPr>
      </w:pPr>
      <w:r>
        <w:rPr>
          <w:rFonts w:hint="eastAsia" w:ascii="宋体" w:hAnsi="宋体"/>
          <w:sz w:val="24"/>
          <w:highlight w:val="none"/>
        </w:rPr>
        <w:t>6.如果我们中标，为执行合同，我们将按招标文件要求提供必要的履约保证。</w:t>
      </w:r>
    </w:p>
    <w:p>
      <w:pPr>
        <w:spacing w:line="480" w:lineRule="exact"/>
        <w:ind w:firstLine="480"/>
        <w:rPr>
          <w:rFonts w:ascii="宋体" w:hAnsi="宋体"/>
          <w:sz w:val="24"/>
          <w:highlight w:val="none"/>
        </w:rPr>
      </w:pPr>
    </w:p>
    <w:p>
      <w:pPr>
        <w:spacing w:line="480" w:lineRule="exact"/>
        <w:ind w:firstLine="480"/>
        <w:rPr>
          <w:rFonts w:ascii="宋体" w:hAnsi="宋体"/>
          <w:sz w:val="24"/>
          <w:highlight w:val="none"/>
        </w:rPr>
      </w:pPr>
    </w:p>
    <w:p>
      <w:pPr>
        <w:spacing w:line="480" w:lineRule="exact"/>
        <w:ind w:firstLine="480"/>
        <w:rPr>
          <w:rFonts w:ascii="宋体" w:hAnsi="宋体"/>
          <w:sz w:val="24"/>
          <w:highlight w:val="none"/>
        </w:rPr>
      </w:pPr>
      <w:r>
        <w:rPr>
          <w:rFonts w:hint="eastAsia" w:ascii="宋体" w:hAnsi="宋体"/>
          <w:sz w:val="24"/>
          <w:highlight w:val="none"/>
        </w:rPr>
        <w:t xml:space="preserve">                     </w:t>
      </w:r>
    </w:p>
    <w:p>
      <w:pPr>
        <w:spacing w:line="480" w:lineRule="exact"/>
        <w:ind w:firstLine="3600" w:firstLineChars="1500"/>
        <w:rPr>
          <w:rFonts w:ascii="宋体" w:hAnsi="宋体"/>
          <w:sz w:val="24"/>
          <w:highlight w:val="none"/>
        </w:rPr>
      </w:pPr>
      <w:r>
        <w:rPr>
          <w:rFonts w:hint="eastAsia" w:ascii="宋体" w:hAnsi="宋体"/>
          <w:sz w:val="24"/>
          <w:highlight w:val="none"/>
        </w:rPr>
        <w:t>投标人名称：</w:t>
      </w:r>
    </w:p>
    <w:p>
      <w:pPr>
        <w:spacing w:line="480" w:lineRule="exact"/>
        <w:ind w:firstLine="480"/>
        <w:rPr>
          <w:rFonts w:ascii="宋体" w:hAnsi="宋体"/>
          <w:sz w:val="24"/>
          <w:highlight w:val="none"/>
        </w:rPr>
      </w:pPr>
      <w:r>
        <w:rPr>
          <w:rFonts w:hint="eastAsia" w:ascii="宋体" w:hAnsi="宋体"/>
          <w:sz w:val="24"/>
          <w:highlight w:val="none"/>
        </w:rPr>
        <w:t xml:space="preserve">                             （盖章）</w:t>
      </w:r>
    </w:p>
    <w:p>
      <w:pPr>
        <w:spacing w:line="480" w:lineRule="exact"/>
        <w:ind w:firstLine="480"/>
        <w:rPr>
          <w:rFonts w:ascii="宋体" w:hAnsi="宋体"/>
          <w:sz w:val="24"/>
          <w:highlight w:val="none"/>
        </w:rPr>
      </w:pPr>
      <w:r>
        <w:rPr>
          <w:rFonts w:hint="eastAsia" w:ascii="宋体" w:hAnsi="宋体"/>
          <w:sz w:val="24"/>
          <w:highlight w:val="none"/>
        </w:rPr>
        <w:t xml:space="preserve">                              地址：               邮编：</w:t>
      </w:r>
    </w:p>
    <w:p>
      <w:pPr>
        <w:spacing w:line="480" w:lineRule="exact"/>
        <w:ind w:firstLine="480"/>
        <w:rPr>
          <w:rFonts w:ascii="宋体" w:hAnsi="宋体"/>
          <w:sz w:val="24"/>
          <w:highlight w:val="none"/>
        </w:rPr>
      </w:pPr>
      <w:r>
        <w:rPr>
          <w:rFonts w:hint="eastAsia" w:ascii="宋体" w:hAnsi="宋体"/>
          <w:sz w:val="24"/>
          <w:highlight w:val="none"/>
        </w:rPr>
        <w:t xml:space="preserve">                              电话：               传真：</w:t>
      </w:r>
    </w:p>
    <w:p>
      <w:pPr>
        <w:spacing w:line="480" w:lineRule="exact"/>
        <w:ind w:firstLine="480"/>
        <w:rPr>
          <w:rFonts w:ascii="宋体" w:hAnsi="宋体"/>
          <w:sz w:val="24"/>
          <w:highlight w:val="none"/>
        </w:rPr>
      </w:pPr>
      <w:r>
        <w:rPr>
          <w:rFonts w:hint="eastAsia" w:ascii="宋体" w:hAnsi="宋体"/>
          <w:sz w:val="24"/>
          <w:highlight w:val="none"/>
        </w:rPr>
        <w:t xml:space="preserve">                              授权代表签字：</w:t>
      </w:r>
    </w:p>
    <w:p>
      <w:pPr>
        <w:spacing w:line="480" w:lineRule="exact"/>
        <w:ind w:firstLine="480"/>
        <w:rPr>
          <w:rFonts w:ascii="宋体" w:hAnsi="宋体"/>
          <w:sz w:val="24"/>
          <w:highlight w:val="none"/>
        </w:rPr>
      </w:pPr>
      <w:r>
        <w:rPr>
          <w:rFonts w:hint="eastAsia" w:ascii="宋体" w:hAnsi="宋体"/>
          <w:sz w:val="24"/>
          <w:highlight w:val="none"/>
        </w:rPr>
        <w:t xml:space="preserve">                              职务：</w:t>
      </w:r>
    </w:p>
    <w:p>
      <w:pPr>
        <w:spacing w:line="480" w:lineRule="exact"/>
        <w:ind w:firstLine="480"/>
        <w:rPr>
          <w:rFonts w:ascii="宋体" w:hAnsi="宋体"/>
          <w:sz w:val="24"/>
          <w:highlight w:val="none"/>
        </w:rPr>
      </w:pPr>
      <w:r>
        <w:rPr>
          <w:rFonts w:hint="eastAsia" w:ascii="宋体" w:hAnsi="宋体"/>
          <w:sz w:val="24"/>
          <w:highlight w:val="none"/>
        </w:rPr>
        <w:t xml:space="preserve">                              日期：</w:t>
      </w:r>
    </w:p>
    <w:p>
      <w:pPr>
        <w:spacing w:line="560" w:lineRule="exact"/>
        <w:ind w:firstLine="720"/>
        <w:jc w:val="center"/>
        <w:rPr>
          <w:rFonts w:ascii="黑体" w:eastAsia="黑体"/>
          <w:sz w:val="36"/>
          <w:highlight w:val="none"/>
        </w:rPr>
      </w:pPr>
      <w:r>
        <w:rPr>
          <w:rFonts w:hint="eastAsia" w:ascii="宋体" w:hAnsi="宋体"/>
          <w:sz w:val="36"/>
          <w:highlight w:val="none"/>
        </w:rPr>
        <w:br w:type="page"/>
      </w:r>
      <w:r>
        <w:rPr>
          <w:rFonts w:hint="eastAsia" w:ascii="黑体" w:eastAsia="黑体"/>
          <w:sz w:val="36"/>
          <w:highlight w:val="none"/>
        </w:rPr>
        <w:t>2、开标一览表</w:t>
      </w:r>
    </w:p>
    <w:p>
      <w:pPr>
        <w:spacing w:line="560" w:lineRule="exact"/>
        <w:ind w:firstLine="720"/>
        <w:rPr>
          <w:rFonts w:ascii="黑体" w:eastAsia="黑体"/>
          <w:sz w:val="36"/>
          <w:highlight w:val="none"/>
        </w:rPr>
      </w:pPr>
    </w:p>
    <w:tbl>
      <w:tblPr>
        <w:tblStyle w:val="31"/>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6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228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hint="default" w:ascii="宋体" w:hAnsi="宋体" w:eastAsia="宋体"/>
                <w:sz w:val="28"/>
                <w:highlight w:val="none"/>
                <w:lang w:val="en-US" w:eastAsia="zh-CN"/>
              </w:rPr>
            </w:pPr>
            <w:r>
              <w:rPr>
                <w:rFonts w:hint="eastAsia" w:ascii="宋体" w:hAnsi="宋体"/>
                <w:sz w:val="28"/>
                <w:highlight w:val="none"/>
                <w:lang w:val="en-US" w:eastAsia="zh-CN"/>
              </w:rPr>
              <w:t>项目名称</w:t>
            </w:r>
          </w:p>
        </w:tc>
        <w:tc>
          <w:tcPr>
            <w:tcW w:w="65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ascii="宋体" w:hAnsi="宋体"/>
                <w:sz w:val="28"/>
                <w:highlight w:val="none"/>
              </w:rPr>
            </w:pPr>
            <w:r>
              <w:rPr>
                <w:rFonts w:hint="eastAsia" w:ascii="宋体" w:hAnsi="宋体"/>
                <w:sz w:val="2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228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hint="eastAsia" w:ascii="宋体" w:hAnsi="宋体"/>
                <w:sz w:val="28"/>
                <w:highlight w:val="none"/>
              </w:rPr>
            </w:pPr>
            <w:r>
              <w:rPr>
                <w:rFonts w:hint="eastAsia" w:ascii="宋体" w:hAnsi="宋体"/>
                <w:sz w:val="28"/>
                <w:highlight w:val="none"/>
                <w:lang w:val="en-US" w:eastAsia="zh-CN"/>
              </w:rPr>
              <w:t>项目</w:t>
            </w:r>
            <w:r>
              <w:rPr>
                <w:rFonts w:hint="eastAsia" w:ascii="宋体" w:hAnsi="宋体"/>
                <w:sz w:val="28"/>
                <w:highlight w:val="none"/>
              </w:rPr>
              <w:t>编号</w:t>
            </w:r>
          </w:p>
        </w:tc>
        <w:tc>
          <w:tcPr>
            <w:tcW w:w="65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宋体" w:hAnsi="宋体"/>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228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8"/>
                <w:highlight w:val="none"/>
              </w:rPr>
            </w:pPr>
            <w:r>
              <w:rPr>
                <w:rFonts w:hint="eastAsia" w:ascii="宋体" w:hAnsi="宋体"/>
                <w:sz w:val="28"/>
                <w:highlight w:val="none"/>
              </w:rPr>
              <w:t>投标总价</w:t>
            </w:r>
          </w:p>
        </w:tc>
        <w:tc>
          <w:tcPr>
            <w:tcW w:w="65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ascii="宋体" w:hAnsi="宋体"/>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228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hint="default" w:ascii="宋体" w:hAnsi="宋体" w:eastAsia="宋体"/>
                <w:sz w:val="28"/>
                <w:highlight w:val="none"/>
                <w:lang w:val="en-US" w:eastAsia="zh-CN"/>
              </w:rPr>
            </w:pPr>
            <w:r>
              <w:rPr>
                <w:rFonts w:hint="eastAsia" w:ascii="宋体" w:hAnsi="宋体"/>
                <w:sz w:val="28"/>
                <w:highlight w:val="none"/>
              </w:rPr>
              <w:t>工   期</w:t>
            </w:r>
            <w:r>
              <w:rPr>
                <w:rFonts w:hint="eastAsia" w:ascii="宋体" w:hAnsi="宋体"/>
                <w:sz w:val="28"/>
                <w:highlight w:val="none"/>
                <w:lang w:val="en-US" w:eastAsia="zh-CN"/>
              </w:rPr>
              <w:t>/交货期</w:t>
            </w:r>
          </w:p>
        </w:tc>
        <w:tc>
          <w:tcPr>
            <w:tcW w:w="65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default" w:ascii="宋体" w:hAnsi="宋体" w:eastAsia="宋体"/>
                <w:sz w:val="28"/>
                <w:highlight w:val="none"/>
                <w:lang w:val="en-US" w:eastAsia="zh-CN"/>
              </w:rPr>
            </w:pPr>
            <w:r>
              <w:rPr>
                <w:rFonts w:hint="eastAsia" w:ascii="宋体" w:hAnsi="宋体"/>
                <w:sz w:val="28"/>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228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8"/>
                <w:highlight w:val="none"/>
              </w:rPr>
            </w:pPr>
            <w:r>
              <w:rPr>
                <w:rFonts w:hint="eastAsia" w:ascii="宋体" w:hAnsi="宋体"/>
                <w:sz w:val="28"/>
                <w:highlight w:val="none"/>
              </w:rPr>
              <w:t>保证金</w:t>
            </w:r>
          </w:p>
        </w:tc>
        <w:tc>
          <w:tcPr>
            <w:tcW w:w="65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rPr>
                <w:rFonts w:ascii="宋体" w:hAnsi="宋体"/>
                <w:sz w:val="28"/>
                <w:highlight w:val="none"/>
              </w:rPr>
            </w:pPr>
            <w:r>
              <w:rPr>
                <w:rFonts w:hint="eastAsia" w:ascii="宋体" w:hAnsi="宋体"/>
                <w:sz w:val="28"/>
                <w:highlight w:val="none"/>
              </w:rPr>
              <w:t>有/无</w:t>
            </w:r>
          </w:p>
        </w:tc>
      </w:tr>
    </w:tbl>
    <w:p>
      <w:pPr>
        <w:spacing w:line="560" w:lineRule="exact"/>
        <w:ind w:firstLine="560"/>
        <w:rPr>
          <w:rFonts w:ascii="楷体_GB2312" w:eastAsia="楷体_GB2312"/>
          <w:sz w:val="28"/>
          <w:highlight w:val="none"/>
        </w:rPr>
      </w:pPr>
    </w:p>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投标人（盖单位公章）：</w:t>
      </w:r>
      <w:r>
        <w:rPr>
          <w:rFonts w:ascii="Arial" w:hAnsi="Arial" w:cs="Arial"/>
          <w:color w:val="000000"/>
          <w:sz w:val="24"/>
          <w:szCs w:val="24"/>
          <w:highlight w:val="none"/>
        </w:rPr>
        <w:tab/>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法定代表人或其委托代理人：（签名）</w:t>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560" w:lineRule="exact"/>
        <w:ind w:firstLine="480"/>
        <w:rPr>
          <w:rFonts w:ascii="Arial" w:hAnsi="宋体" w:cs="Arial"/>
          <w:color w:val="000000"/>
          <w:sz w:val="24"/>
          <w:szCs w:val="24"/>
          <w:highlight w:val="none"/>
        </w:rPr>
      </w:pPr>
      <w:r>
        <w:rPr>
          <w:rFonts w:hint="eastAsia" w:ascii="Arial" w:hAnsi="宋体" w:cs="Arial"/>
          <w:color w:val="000000"/>
          <w:sz w:val="24"/>
          <w:szCs w:val="24"/>
          <w:highlight w:val="none"/>
        </w:rPr>
        <w:t>年</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月</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日</w:t>
      </w:r>
    </w:p>
    <w:p>
      <w:pPr>
        <w:spacing w:line="560" w:lineRule="exact"/>
        <w:ind w:firstLine="560"/>
        <w:rPr>
          <w:rFonts w:ascii="宋体" w:hAnsi="宋体"/>
          <w:sz w:val="28"/>
          <w:highlight w:val="none"/>
        </w:rPr>
      </w:pPr>
    </w:p>
    <w:p>
      <w:pPr>
        <w:spacing w:line="560" w:lineRule="exact"/>
        <w:ind w:firstLine="480"/>
        <w:rPr>
          <w:rFonts w:ascii="宋体" w:hAnsi="宋体"/>
          <w:sz w:val="24"/>
          <w:highlight w:val="none"/>
        </w:rPr>
      </w:pPr>
      <w:r>
        <w:rPr>
          <w:rFonts w:hint="eastAsia" w:ascii="宋体" w:hAnsi="宋体"/>
          <w:sz w:val="24"/>
          <w:highlight w:val="none"/>
        </w:rPr>
        <w:t>说明：1、不得填报选择性报价方案；</w:t>
      </w:r>
    </w:p>
    <w:p>
      <w:pPr>
        <w:spacing w:line="560" w:lineRule="exact"/>
        <w:ind w:firstLine="480"/>
        <w:rPr>
          <w:rFonts w:ascii="宋体" w:hAnsi="宋体"/>
          <w:sz w:val="24"/>
          <w:highlight w:val="none"/>
        </w:rPr>
      </w:pPr>
      <w:r>
        <w:rPr>
          <w:rFonts w:hint="eastAsia" w:ascii="宋体" w:hAnsi="宋体"/>
          <w:sz w:val="24"/>
          <w:highlight w:val="none"/>
        </w:rPr>
        <w:t xml:space="preserve">      2、此表一式两份拿个小信封单独封装后，装入正本袋中或单独密封递交。</w:t>
      </w:r>
    </w:p>
    <w:p>
      <w:pPr>
        <w:spacing w:line="560" w:lineRule="exact"/>
        <w:ind w:firstLine="480"/>
        <w:rPr>
          <w:rFonts w:ascii="宋体" w:hAnsi="宋体"/>
          <w:sz w:val="24"/>
          <w:highlight w:val="none"/>
        </w:rPr>
      </w:pPr>
      <w:r>
        <w:rPr>
          <w:rFonts w:hint="eastAsia" w:ascii="宋体" w:hAnsi="宋体"/>
          <w:sz w:val="24"/>
          <w:highlight w:val="none"/>
        </w:rPr>
        <w:t xml:space="preserve">      3、如因投标人填写有误，导致无法唱标，责任由投标人自负。</w:t>
      </w:r>
    </w:p>
    <w:p>
      <w:pPr>
        <w:spacing w:line="560" w:lineRule="exact"/>
        <w:ind w:firstLine="720"/>
        <w:jc w:val="center"/>
        <w:rPr>
          <w:rFonts w:ascii="宋体" w:hAnsi="宋体"/>
          <w:sz w:val="36"/>
          <w:highlight w:val="none"/>
        </w:rPr>
      </w:pPr>
    </w:p>
    <w:p>
      <w:pPr>
        <w:spacing w:line="560" w:lineRule="exact"/>
        <w:ind w:firstLine="720"/>
        <w:jc w:val="center"/>
        <w:rPr>
          <w:rFonts w:ascii="黑体" w:eastAsia="黑体"/>
          <w:sz w:val="36"/>
          <w:highlight w:val="none"/>
        </w:rPr>
      </w:pPr>
    </w:p>
    <w:p>
      <w:pPr>
        <w:spacing w:line="560" w:lineRule="exact"/>
        <w:ind w:firstLine="720"/>
        <w:jc w:val="center"/>
        <w:rPr>
          <w:rFonts w:ascii="黑体" w:eastAsia="黑体"/>
          <w:sz w:val="36"/>
          <w:highlight w:val="none"/>
        </w:rPr>
      </w:pPr>
    </w:p>
    <w:p>
      <w:pPr>
        <w:spacing w:line="560" w:lineRule="exact"/>
        <w:ind w:firstLine="720"/>
        <w:jc w:val="center"/>
        <w:rPr>
          <w:rFonts w:ascii="黑体" w:eastAsia="黑体"/>
          <w:sz w:val="36"/>
          <w:highlight w:val="none"/>
        </w:rPr>
      </w:pPr>
      <w:r>
        <w:rPr>
          <w:rFonts w:hint="eastAsia" w:ascii="黑体" w:eastAsia="黑体"/>
          <w:sz w:val="36"/>
          <w:highlight w:val="none"/>
        </w:rPr>
        <w:br w:type="page"/>
      </w:r>
      <w:r>
        <w:rPr>
          <w:rFonts w:hint="eastAsia" w:ascii="黑体" w:eastAsia="黑体"/>
          <w:sz w:val="36"/>
          <w:highlight w:val="none"/>
        </w:rPr>
        <w:t>3、投标分项报价表</w:t>
      </w:r>
    </w:p>
    <w:p>
      <w:pPr>
        <w:spacing w:line="560" w:lineRule="exact"/>
        <w:ind w:firstLine="480"/>
        <w:rPr>
          <w:rFonts w:hint="eastAsia" w:ascii="宋体" w:hAnsi="宋体"/>
          <w:sz w:val="24"/>
          <w:highlight w:val="none"/>
        </w:rPr>
      </w:pPr>
      <w:r>
        <w:rPr>
          <w:rFonts w:hint="eastAsia" w:ascii="宋体" w:hAnsi="宋体"/>
          <w:sz w:val="24"/>
          <w:highlight w:val="none"/>
        </w:rPr>
        <w:t>招标编号：</w:t>
      </w:r>
      <w:r>
        <w:rPr>
          <w:rFonts w:hint="eastAsia" w:ascii="宋体" w:hAnsi="宋体"/>
          <w:sz w:val="24"/>
          <w:highlight w:val="none"/>
          <w:u w:val="single"/>
        </w:rPr>
        <w:t xml:space="preserve">             </w:t>
      </w:r>
      <w:r>
        <w:rPr>
          <w:rFonts w:hint="eastAsia" w:ascii="宋体" w:hAnsi="宋体"/>
          <w:sz w:val="24"/>
          <w:highlight w:val="none"/>
        </w:rPr>
        <w:t xml:space="preserve"> </w:t>
      </w:r>
    </w:p>
    <w:tbl>
      <w:tblPr>
        <w:tblStyle w:val="31"/>
        <w:tblpPr w:leftFromText="180" w:rightFromText="180" w:vertAnchor="text" w:horzAnchor="page" w:tblpX="1187" w:tblpY="970"/>
        <w:tblOverlap w:val="never"/>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317"/>
        <w:gridCol w:w="1550"/>
        <w:gridCol w:w="1299"/>
        <w:gridCol w:w="985"/>
        <w:gridCol w:w="933"/>
        <w:gridCol w:w="917"/>
        <w:gridCol w:w="1066"/>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ascii="宋体" w:hAnsi="宋体"/>
                <w:sz w:val="24"/>
                <w:highlight w:val="none"/>
              </w:rPr>
            </w:pPr>
            <w:r>
              <w:rPr>
                <w:rFonts w:hint="eastAsia" w:ascii="宋体" w:hAnsi="宋体"/>
                <w:sz w:val="24"/>
                <w:highlight w:val="none"/>
                <w:lang w:val="en-US" w:eastAsia="zh-CN"/>
              </w:rPr>
              <w:t>序号</w:t>
            </w:r>
          </w:p>
        </w:tc>
        <w:tc>
          <w:tcPr>
            <w:tcW w:w="13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b/>
                <w:bCs/>
                <w:sz w:val="24"/>
                <w:highlight w:val="none"/>
                <w:lang w:eastAsia="zh-CN"/>
              </w:rPr>
            </w:pPr>
            <w:r>
              <w:rPr>
                <w:rFonts w:hint="eastAsia" w:ascii="宋体" w:hAnsi="宋体"/>
                <w:b/>
                <w:bCs/>
                <w:sz w:val="24"/>
                <w:highlight w:val="none"/>
              </w:rPr>
              <w:t>投标货物品</w:t>
            </w:r>
            <w:r>
              <w:rPr>
                <w:rFonts w:hint="eastAsia" w:ascii="宋体" w:hAnsi="宋体"/>
                <w:b/>
                <w:bCs/>
                <w:sz w:val="24"/>
                <w:highlight w:val="none"/>
                <w:lang w:val="en-US" w:eastAsia="zh-CN"/>
              </w:rPr>
              <w:t>种</w:t>
            </w: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ascii="宋体" w:hAnsi="宋体"/>
                <w:b/>
                <w:bCs/>
                <w:sz w:val="24"/>
                <w:highlight w:val="none"/>
              </w:rPr>
            </w:pPr>
            <w:r>
              <w:rPr>
                <w:rFonts w:hint="eastAsia" w:ascii="宋体" w:hAnsi="宋体"/>
                <w:b/>
                <w:bCs/>
                <w:sz w:val="24"/>
                <w:highlight w:val="none"/>
              </w:rPr>
              <w:t>货物名称</w:t>
            </w: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宋体" w:hAnsi="宋体" w:eastAsia="宋体"/>
                <w:b/>
                <w:bCs/>
                <w:sz w:val="24"/>
                <w:highlight w:val="none"/>
                <w:lang w:val="en-US" w:eastAsia="zh-CN"/>
              </w:rPr>
            </w:pPr>
            <w:r>
              <w:rPr>
                <w:rFonts w:hint="eastAsia" w:ascii="宋体" w:hAnsi="宋体"/>
                <w:b/>
                <w:bCs/>
                <w:sz w:val="24"/>
                <w:highlight w:val="none"/>
                <w:lang w:val="en-US" w:eastAsia="zh-CN"/>
              </w:rPr>
              <w:t>规格型号</w:t>
            </w: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宋体" w:hAnsi="宋体" w:eastAsia="宋体"/>
                <w:b/>
                <w:bCs/>
                <w:sz w:val="24"/>
                <w:highlight w:val="none"/>
                <w:lang w:val="en-US" w:eastAsia="zh-CN"/>
              </w:rPr>
            </w:pPr>
            <w:r>
              <w:rPr>
                <w:rFonts w:hint="eastAsia" w:ascii="宋体" w:hAnsi="宋体"/>
                <w:b/>
                <w:bCs/>
                <w:sz w:val="24"/>
                <w:highlight w:val="none"/>
              </w:rPr>
              <w:t>原产地</w:t>
            </w:r>
            <w:r>
              <w:rPr>
                <w:rFonts w:hint="eastAsia" w:ascii="宋体" w:hAnsi="宋体"/>
                <w:b/>
                <w:bCs/>
                <w:sz w:val="24"/>
                <w:highlight w:val="none"/>
                <w:lang w:val="en-US" w:eastAsia="zh-CN"/>
              </w:rPr>
              <w:t>/品牌</w:t>
            </w: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ascii="宋体" w:hAnsi="宋体"/>
                <w:b/>
                <w:bCs/>
                <w:sz w:val="24"/>
                <w:highlight w:val="none"/>
              </w:rPr>
            </w:pPr>
            <w:r>
              <w:rPr>
                <w:rFonts w:hint="eastAsia" w:ascii="宋体" w:hAnsi="宋体"/>
                <w:b/>
                <w:bCs/>
                <w:sz w:val="24"/>
                <w:highlight w:val="none"/>
              </w:rPr>
              <w:t>数量</w:t>
            </w: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highlight w:val="none"/>
                <w:lang w:val="en-US" w:eastAsia="zh-CN"/>
              </w:rPr>
            </w:pPr>
            <w:r>
              <w:rPr>
                <w:rFonts w:hint="eastAsia" w:ascii="宋体" w:hAnsi="宋体"/>
                <w:b/>
                <w:bCs/>
                <w:sz w:val="24"/>
                <w:highlight w:val="none"/>
                <w:lang w:val="en-US" w:eastAsia="zh-CN"/>
              </w:rPr>
              <w:t>税率</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b/>
                <w:bCs/>
                <w:sz w:val="24"/>
                <w:highlight w:val="none"/>
                <w:lang w:val="en-US" w:eastAsia="zh-CN"/>
              </w:rPr>
            </w:pPr>
            <w:r>
              <w:rPr>
                <w:rFonts w:hint="eastAsia" w:ascii="宋体" w:hAnsi="宋体"/>
                <w:b/>
                <w:bCs/>
                <w:sz w:val="24"/>
                <w:highlight w:val="none"/>
                <w:lang w:val="en-US" w:eastAsia="zh-CN"/>
              </w:rPr>
              <w:t>单价</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宋体" w:hAnsi="宋体" w:eastAsia="宋体"/>
                <w:b/>
                <w:bCs/>
                <w:sz w:val="24"/>
                <w:highlight w:val="none"/>
                <w:lang w:val="en-US" w:eastAsia="zh-CN"/>
              </w:rPr>
            </w:pPr>
            <w:r>
              <w:rPr>
                <w:rFonts w:hint="eastAsia" w:ascii="宋体" w:hAnsi="宋体"/>
                <w:b/>
                <w:bCs/>
                <w:sz w:val="24"/>
                <w:highlight w:val="none"/>
                <w:lang w:val="en-US" w:eastAsia="zh-CN"/>
              </w:rPr>
              <w:t>（含税）</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b/>
                <w:bCs/>
                <w:sz w:val="24"/>
                <w:highlight w:val="none"/>
                <w:lang w:val="en-US" w:eastAsia="zh-CN"/>
              </w:rPr>
            </w:pPr>
            <w:r>
              <w:rPr>
                <w:rFonts w:hint="eastAsia" w:ascii="宋体" w:hAnsi="宋体"/>
                <w:b/>
                <w:bCs/>
                <w:sz w:val="24"/>
                <w:highlight w:val="none"/>
                <w:lang w:val="en-US" w:eastAsia="zh-CN"/>
              </w:rPr>
              <w:t>总价</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highlight w:val="none"/>
                <w:lang w:val="en-US" w:eastAsia="zh-CN"/>
              </w:rPr>
            </w:pPr>
            <w:r>
              <w:rPr>
                <w:rFonts w:hint="eastAsia" w:ascii="宋体" w:hAnsi="宋体"/>
                <w:b/>
                <w:bCs/>
                <w:sz w:val="24"/>
                <w:highlight w:val="none"/>
                <w:lang w:val="en-US" w:eastAsia="zh-CN"/>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sz w:val="24"/>
                <w:highlight w:val="none"/>
                <w:lang w:eastAsia="zh-CN"/>
              </w:rPr>
            </w:pPr>
            <w:r>
              <w:rPr>
                <w:rFonts w:hint="eastAsia" w:ascii="宋体" w:hAnsi="宋体"/>
                <w:sz w:val="24"/>
                <w:highlight w:val="none"/>
                <w:lang w:val="en-US" w:eastAsia="zh-CN"/>
              </w:rPr>
              <w:t>1</w:t>
            </w:r>
          </w:p>
        </w:tc>
        <w:tc>
          <w:tcPr>
            <w:tcW w:w="1317"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r>
              <w:rPr>
                <w:rFonts w:hint="eastAsia" w:ascii="宋体" w:hAnsi="宋体"/>
                <w:sz w:val="24"/>
                <w:highlight w:val="none"/>
              </w:rPr>
              <w:t>主机和标准附件</w:t>
            </w: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gridSpan w:val="2"/>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ascii="宋体" w:hAnsi="宋体" w:eastAsia="宋体"/>
                <w:sz w:val="24"/>
                <w:highlight w:val="none"/>
                <w:lang w:val="en-US" w:eastAsia="zh-CN"/>
              </w:rPr>
            </w:pPr>
            <w:r>
              <w:rPr>
                <w:rFonts w:hint="eastAsia" w:ascii="宋体" w:hAnsi="宋体"/>
                <w:b/>
                <w:bCs/>
                <w:sz w:val="24"/>
                <w:highlight w:val="none"/>
                <w:lang w:val="en-US" w:eastAsia="zh-CN"/>
              </w:rPr>
              <w:t>以上费用小计</w:t>
            </w:r>
          </w:p>
        </w:tc>
        <w:tc>
          <w:tcPr>
            <w:tcW w:w="7817"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sz w:val="24"/>
                <w:highlight w:val="none"/>
                <w:lang w:eastAsia="zh-CN"/>
              </w:rPr>
            </w:pPr>
            <w:r>
              <w:rPr>
                <w:rFonts w:hint="eastAsia" w:ascii="宋体" w:hAnsi="宋体"/>
                <w:sz w:val="24"/>
                <w:highlight w:val="none"/>
                <w:lang w:val="en-US" w:eastAsia="zh-CN"/>
              </w:rPr>
              <w:t>2</w:t>
            </w:r>
          </w:p>
        </w:tc>
        <w:tc>
          <w:tcPr>
            <w:tcW w:w="1317"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r>
              <w:rPr>
                <w:rFonts w:hint="eastAsia" w:ascii="宋体" w:hAnsi="宋体"/>
                <w:sz w:val="24"/>
                <w:highlight w:val="none"/>
              </w:rPr>
              <w:t>备品备件价</w:t>
            </w: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gridSpan w:val="2"/>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r>
              <w:rPr>
                <w:rFonts w:hint="eastAsia" w:ascii="宋体" w:hAnsi="宋体"/>
                <w:b/>
                <w:bCs/>
                <w:sz w:val="24"/>
                <w:highlight w:val="none"/>
                <w:lang w:val="en-US" w:eastAsia="zh-CN"/>
              </w:rPr>
              <w:t>以上费用小计</w:t>
            </w:r>
          </w:p>
        </w:tc>
        <w:tc>
          <w:tcPr>
            <w:tcW w:w="7817"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sz w:val="24"/>
                <w:highlight w:val="none"/>
                <w:lang w:eastAsia="zh-CN"/>
              </w:rPr>
            </w:pPr>
            <w:r>
              <w:rPr>
                <w:rFonts w:hint="eastAsia" w:ascii="宋体" w:hAnsi="宋体"/>
                <w:sz w:val="24"/>
                <w:highlight w:val="none"/>
                <w:lang w:val="en-US" w:eastAsia="zh-CN"/>
              </w:rPr>
              <w:t>3</w:t>
            </w:r>
          </w:p>
        </w:tc>
        <w:tc>
          <w:tcPr>
            <w:tcW w:w="1317"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r>
              <w:rPr>
                <w:rFonts w:hint="eastAsia" w:ascii="宋体" w:hAnsi="宋体"/>
                <w:sz w:val="24"/>
                <w:highlight w:val="none"/>
              </w:rPr>
              <w:t>专用工具价</w:t>
            </w: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gridSpan w:val="2"/>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ascii="宋体" w:hAnsi="宋体" w:eastAsia="宋体"/>
                <w:sz w:val="24"/>
                <w:highlight w:val="none"/>
                <w:lang w:val="en-US" w:eastAsia="zh-CN"/>
              </w:rPr>
            </w:pPr>
            <w:r>
              <w:rPr>
                <w:rFonts w:hint="eastAsia" w:ascii="宋体" w:hAnsi="宋体"/>
                <w:b/>
                <w:bCs/>
                <w:sz w:val="24"/>
                <w:highlight w:val="none"/>
                <w:lang w:val="en-US" w:eastAsia="zh-CN"/>
              </w:rPr>
              <w:t>以上费用小计</w:t>
            </w:r>
          </w:p>
        </w:tc>
        <w:tc>
          <w:tcPr>
            <w:tcW w:w="7817"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sz w:val="24"/>
                <w:highlight w:val="none"/>
                <w:lang w:val="en-US" w:eastAsia="zh-CN"/>
              </w:rPr>
            </w:pPr>
            <w:r>
              <w:rPr>
                <w:rFonts w:hint="eastAsia" w:ascii="宋体" w:hAnsi="宋体"/>
                <w:sz w:val="24"/>
                <w:highlight w:val="none"/>
                <w:lang w:val="en-US" w:eastAsia="zh-CN"/>
              </w:rPr>
              <w:t>4</w:t>
            </w:r>
          </w:p>
        </w:tc>
        <w:tc>
          <w:tcPr>
            <w:tcW w:w="1317"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ascii="宋体" w:hAnsi="宋体" w:eastAsia="宋体" w:cs="Times New Roman"/>
                <w:kern w:val="2"/>
                <w:sz w:val="24"/>
                <w:szCs w:val="22"/>
                <w:highlight w:val="none"/>
                <w:lang w:val="en-US" w:eastAsia="zh-CN" w:bidi="ar-SA"/>
              </w:rPr>
            </w:pPr>
            <w:r>
              <w:rPr>
                <w:rFonts w:hint="eastAsia" w:ascii="宋体" w:hAnsi="宋体" w:cs="Times New Roman"/>
                <w:kern w:val="2"/>
                <w:sz w:val="24"/>
                <w:szCs w:val="22"/>
                <w:highlight w:val="none"/>
                <w:lang w:val="en-US" w:eastAsia="zh-CN" w:bidi="ar-SA"/>
              </w:rPr>
              <w:t>安装、调试等费用</w:t>
            </w: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ascii="宋体" w:hAnsi="宋体" w:eastAsia="宋体" w:cs="Times New Roman"/>
                <w:b/>
                <w:bCs/>
                <w:kern w:val="2"/>
                <w:sz w:val="24"/>
                <w:szCs w:val="22"/>
                <w:highlight w:val="none"/>
                <w:lang w:val="en-US" w:eastAsia="zh-CN" w:bidi="ar-SA"/>
              </w:rPr>
            </w:pPr>
            <w:r>
              <w:rPr>
                <w:rFonts w:hint="eastAsia" w:ascii="宋体" w:hAnsi="宋体" w:cs="Times New Roman"/>
                <w:b/>
                <w:bCs/>
                <w:kern w:val="2"/>
                <w:sz w:val="24"/>
                <w:szCs w:val="22"/>
                <w:highlight w:val="none"/>
                <w:lang w:val="en-US" w:eastAsia="zh-CN" w:bidi="ar-SA"/>
              </w:rPr>
              <w:t>类别</w:t>
            </w: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b/>
                <w:bCs/>
                <w:sz w:val="24"/>
                <w:highlight w:val="none"/>
                <w:lang w:val="en-US" w:eastAsia="zh-CN"/>
              </w:rPr>
            </w:pPr>
            <w:r>
              <w:rPr>
                <w:rFonts w:hint="eastAsia" w:ascii="宋体" w:hAnsi="宋体"/>
                <w:b/>
                <w:bCs/>
                <w:sz w:val="24"/>
                <w:highlight w:val="none"/>
                <w:lang w:val="en-US" w:eastAsia="zh-CN"/>
              </w:rPr>
              <w:t>税率</w:t>
            </w: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b/>
                <w:bCs/>
                <w:sz w:val="24"/>
                <w:highlight w:val="none"/>
                <w:lang w:val="en-US" w:eastAsia="zh-CN"/>
              </w:rPr>
            </w:pPr>
          </w:p>
        </w:tc>
        <w:tc>
          <w:tcPr>
            <w:tcW w:w="398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r>
              <w:rPr>
                <w:rFonts w:hint="eastAsia" w:ascii="宋体" w:hAnsi="宋体"/>
                <w:b/>
                <w:bCs/>
                <w:sz w:val="24"/>
                <w:highlight w:val="none"/>
                <w:lang w:val="en-US" w:eastAsia="zh-CN"/>
              </w:rPr>
              <w:t>费用（含税总价）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lang w:val="en-US"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cs="Times New Roman"/>
                <w:kern w:val="2"/>
                <w:sz w:val="24"/>
                <w:szCs w:val="22"/>
                <w:highlight w:val="none"/>
                <w:lang w:val="en-US" w:eastAsia="zh-CN" w:bidi="ar-SA"/>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sz w:val="24"/>
                <w:highlight w:val="none"/>
              </w:rPr>
            </w:pPr>
            <w:r>
              <w:rPr>
                <w:rFonts w:hint="eastAsia" w:ascii="宋体" w:hAnsi="宋体"/>
                <w:sz w:val="24"/>
                <w:highlight w:val="none"/>
              </w:rPr>
              <w:t>安装费</w:t>
            </w: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398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sz w:val="24"/>
                <w:highlight w:val="none"/>
                <w:lang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r>
              <w:rPr>
                <w:rFonts w:hint="eastAsia" w:ascii="宋体" w:hAnsi="宋体"/>
                <w:sz w:val="24"/>
                <w:highlight w:val="none"/>
              </w:rPr>
              <w:t>调试费</w:t>
            </w: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398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sz w:val="24"/>
                <w:highlight w:val="none"/>
                <w:lang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r>
              <w:rPr>
                <w:rFonts w:hint="eastAsia" w:ascii="宋体" w:hAnsi="宋体"/>
                <w:sz w:val="24"/>
                <w:highlight w:val="none"/>
              </w:rPr>
              <w:t>试验费</w:t>
            </w: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398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sz w:val="24"/>
                <w:highlight w:val="none"/>
                <w:lang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r>
              <w:rPr>
                <w:rFonts w:hint="eastAsia" w:ascii="宋体" w:hAnsi="宋体"/>
                <w:sz w:val="24"/>
                <w:highlight w:val="none"/>
              </w:rPr>
              <w:t>运输费用</w:t>
            </w: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398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sz w:val="24"/>
                <w:highlight w:val="none"/>
                <w:lang w:eastAsia="zh-CN"/>
              </w:rPr>
            </w:pPr>
          </w:p>
        </w:tc>
        <w:tc>
          <w:tcPr>
            <w:tcW w:w="1317"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r>
              <w:rPr>
                <w:rFonts w:hint="eastAsia" w:ascii="宋体" w:hAnsi="宋体"/>
                <w:sz w:val="24"/>
                <w:highlight w:val="none"/>
              </w:rPr>
              <w:t>保险费用</w:t>
            </w: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398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sz w:val="24"/>
                <w:highlight w:val="none"/>
                <w:lang w:val="en-US" w:eastAsia="zh-CN"/>
              </w:rPr>
            </w:pPr>
          </w:p>
        </w:tc>
        <w:tc>
          <w:tcPr>
            <w:tcW w:w="1317"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r>
              <w:rPr>
                <w:rFonts w:hint="eastAsia" w:ascii="宋体" w:hAnsi="宋体"/>
                <w:sz w:val="24"/>
                <w:highlight w:val="none"/>
              </w:rPr>
              <w:t>其它费用</w:t>
            </w:r>
          </w:p>
        </w:tc>
        <w:tc>
          <w:tcPr>
            <w:tcW w:w="12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c>
          <w:tcPr>
            <w:tcW w:w="398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0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eastAsia="宋体" w:cs="Times New Roman"/>
                <w:kern w:val="2"/>
                <w:sz w:val="24"/>
                <w:szCs w:val="22"/>
                <w:highlight w:val="none"/>
                <w:lang w:val="en-US" w:eastAsia="zh-CN" w:bidi="ar-SA"/>
              </w:rPr>
            </w:pPr>
            <w:r>
              <w:rPr>
                <w:rFonts w:hint="eastAsia" w:ascii="宋体" w:hAnsi="宋体"/>
                <w:b/>
                <w:bCs/>
                <w:sz w:val="24"/>
                <w:highlight w:val="none"/>
              </w:rPr>
              <w:t>上述费用小计</w:t>
            </w:r>
          </w:p>
        </w:tc>
        <w:tc>
          <w:tcPr>
            <w:tcW w:w="7817"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r>
              <w:rPr>
                <w:rFonts w:hint="eastAsia" w:ascii="宋体" w:hAnsi="宋体"/>
                <w:b/>
                <w:bCs/>
                <w:sz w:val="24"/>
                <w:highlight w:val="none"/>
              </w:rPr>
              <w:t>投标总价</w:t>
            </w:r>
          </w:p>
        </w:tc>
        <w:tc>
          <w:tcPr>
            <w:tcW w:w="7817"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宋体" w:hAnsi="宋体"/>
                <w:sz w:val="24"/>
                <w:highlight w:val="none"/>
              </w:rPr>
            </w:pPr>
          </w:p>
        </w:tc>
      </w:tr>
    </w:tbl>
    <w:p>
      <w:pPr>
        <w:spacing w:line="560" w:lineRule="exact"/>
        <w:ind w:firstLine="480"/>
        <w:rPr>
          <w:rFonts w:ascii="宋体" w:hAnsi="宋体"/>
          <w:sz w:val="24"/>
          <w:highlight w:val="none"/>
          <w:u w:val="single"/>
        </w:rPr>
      </w:pPr>
      <w:r>
        <w:rPr>
          <w:rFonts w:hint="eastAsia" w:ascii="宋体" w:hAnsi="宋体"/>
          <w:sz w:val="24"/>
          <w:highlight w:val="none"/>
        </w:rPr>
        <w:t>货币单位：</w:t>
      </w:r>
      <w:r>
        <w:rPr>
          <w:rFonts w:hint="eastAsia" w:ascii="宋体" w:hAnsi="宋体"/>
          <w:sz w:val="24"/>
          <w:highlight w:val="none"/>
          <w:u w:val="single"/>
        </w:rPr>
        <w:t xml:space="preserve">  万元 </w:t>
      </w:r>
    </w:p>
    <w:p>
      <w:pPr>
        <w:spacing w:line="560" w:lineRule="exact"/>
        <w:ind w:firstLine="480"/>
        <w:rPr>
          <w:rFonts w:ascii="宋体" w:hAnsi="宋体"/>
          <w:sz w:val="24"/>
          <w:highlight w:val="none"/>
        </w:rPr>
      </w:pPr>
    </w:p>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投标人（盖单位公章）：</w:t>
      </w:r>
      <w:r>
        <w:rPr>
          <w:rFonts w:ascii="Arial" w:hAnsi="Arial" w:cs="Arial"/>
          <w:color w:val="000000"/>
          <w:sz w:val="24"/>
          <w:szCs w:val="24"/>
          <w:highlight w:val="none"/>
        </w:rPr>
        <w:tab/>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法定代表人或其委托代理人：（签名）</w:t>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560" w:lineRule="exact"/>
        <w:ind w:firstLine="480"/>
        <w:rPr>
          <w:rFonts w:ascii="宋体" w:hAnsi="宋体"/>
          <w:sz w:val="24"/>
          <w:highlight w:val="none"/>
          <w:u w:val="single"/>
        </w:rPr>
      </w:pPr>
      <w:r>
        <w:rPr>
          <w:rFonts w:hint="eastAsia" w:ascii="Arial" w:hAnsi="宋体" w:cs="Arial"/>
          <w:color w:val="000000"/>
          <w:sz w:val="24"/>
          <w:szCs w:val="24"/>
          <w:highlight w:val="none"/>
        </w:rPr>
        <w:t>年</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月</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日</w:t>
      </w:r>
    </w:p>
    <w:p>
      <w:pPr>
        <w:rPr>
          <w:rFonts w:hint="eastAsia" w:ascii="楷体_GB2312" w:eastAsia="楷体_GB2312"/>
          <w:b/>
          <w:sz w:val="44"/>
          <w:highlight w:val="none"/>
        </w:rPr>
      </w:pPr>
      <w:r>
        <w:rPr>
          <w:rFonts w:hint="eastAsia" w:ascii="楷体_GB2312" w:eastAsia="楷体_GB2312"/>
          <w:b/>
          <w:sz w:val="44"/>
          <w:highlight w:val="none"/>
        </w:rPr>
        <w:br w:type="page"/>
      </w:r>
    </w:p>
    <w:p>
      <w:pPr>
        <w:spacing w:line="560" w:lineRule="exact"/>
        <w:ind w:firstLine="480"/>
        <w:rPr>
          <w:rFonts w:ascii="宋体" w:hAnsi="宋体"/>
          <w:sz w:val="24"/>
          <w:highlight w:val="none"/>
          <w:u w:val="single"/>
        </w:rPr>
      </w:pPr>
    </w:p>
    <w:p>
      <w:pPr>
        <w:spacing w:line="560" w:lineRule="exact"/>
        <w:ind w:firstLine="560"/>
        <w:rPr>
          <w:rFonts w:ascii="宋体" w:hAnsi="宋体"/>
          <w:sz w:val="28"/>
          <w:highlight w:val="none"/>
        </w:rPr>
      </w:pPr>
    </w:p>
    <w:p>
      <w:pPr>
        <w:spacing w:line="560" w:lineRule="exact"/>
        <w:ind w:firstLine="720"/>
        <w:jc w:val="center"/>
        <w:rPr>
          <w:rFonts w:ascii="宋体" w:hAnsi="宋体"/>
          <w:sz w:val="36"/>
          <w:highlight w:val="none"/>
        </w:rPr>
      </w:pPr>
    </w:p>
    <w:p>
      <w:pPr>
        <w:spacing w:line="560" w:lineRule="exact"/>
        <w:ind w:firstLine="720"/>
        <w:jc w:val="center"/>
        <w:rPr>
          <w:rFonts w:ascii="黑体" w:eastAsia="黑体"/>
          <w:sz w:val="36"/>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left="420" w:firstLine="480"/>
        <w:rPr>
          <w:rFonts w:ascii="楷体_GB2312" w:eastAsia="楷体_GB2312"/>
          <w:sz w:val="24"/>
          <w:highlight w:val="none"/>
        </w:rPr>
      </w:pPr>
    </w:p>
    <w:p>
      <w:pPr>
        <w:spacing w:line="560" w:lineRule="exact"/>
        <w:ind w:firstLine="883"/>
        <w:jc w:val="center"/>
        <w:rPr>
          <w:rFonts w:ascii="楷体_GB2312" w:eastAsia="楷体_GB2312"/>
          <w:b/>
          <w:sz w:val="44"/>
          <w:highlight w:val="none"/>
        </w:rPr>
      </w:pPr>
      <w:r>
        <w:rPr>
          <w:rFonts w:hint="eastAsia" w:ascii="楷体_GB2312" w:eastAsia="楷体_GB2312"/>
          <w:b/>
          <w:sz w:val="44"/>
          <w:highlight w:val="none"/>
        </w:rPr>
        <w:t>二、投标人资格证明文件</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720"/>
        <w:jc w:val="center"/>
        <w:rPr>
          <w:rFonts w:ascii="楷体_GB2312" w:eastAsia="楷体_GB2312"/>
          <w:sz w:val="24"/>
          <w:highlight w:val="none"/>
        </w:rPr>
      </w:pPr>
      <w:r>
        <w:rPr>
          <w:rFonts w:hint="eastAsia" w:ascii="黑体" w:eastAsia="黑体"/>
          <w:sz w:val="36"/>
          <w:highlight w:val="none"/>
        </w:rPr>
        <w:br w:type="page"/>
      </w:r>
      <w:r>
        <w:rPr>
          <w:rFonts w:hint="eastAsia" w:ascii="黑体" w:eastAsia="黑体"/>
          <w:sz w:val="36"/>
          <w:highlight w:val="none"/>
        </w:rPr>
        <w:t>1.投标人概况</w:t>
      </w:r>
    </w:p>
    <w:p>
      <w:pPr>
        <w:spacing w:line="560" w:lineRule="exact"/>
        <w:rPr>
          <w:rFonts w:ascii="宋体" w:hAnsi="宋体"/>
          <w:highlight w:val="none"/>
        </w:rPr>
      </w:pPr>
      <w:r>
        <w:rPr>
          <w:rFonts w:hint="eastAsia" w:ascii="宋体" w:hAnsi="宋体"/>
          <w:highlight w:val="none"/>
        </w:rPr>
        <w:t>（注：投标人简要历史、生产的主要产品或经营业务范围；组织机构、所属集（财）团、资质条件、类似产品工程的业绩[附合同及验收证书]等）</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880"/>
        <w:jc w:val="center"/>
        <w:rPr>
          <w:rFonts w:ascii="黑体" w:eastAsia="黑体"/>
          <w:sz w:val="44"/>
          <w:highlight w:val="none"/>
        </w:rPr>
      </w:pPr>
    </w:p>
    <w:p>
      <w:pPr>
        <w:spacing w:line="560" w:lineRule="exact"/>
        <w:ind w:firstLine="720"/>
        <w:jc w:val="center"/>
        <w:rPr>
          <w:rFonts w:ascii="黑体" w:eastAsia="黑体"/>
          <w:sz w:val="36"/>
          <w:highlight w:val="none"/>
        </w:rPr>
      </w:pPr>
      <w:r>
        <w:rPr>
          <w:rFonts w:hint="eastAsia" w:ascii="黑体" w:eastAsia="黑体"/>
          <w:sz w:val="36"/>
          <w:highlight w:val="none"/>
        </w:rPr>
        <w:t>2.投标人技术能力</w:t>
      </w:r>
    </w:p>
    <w:p>
      <w:pPr>
        <w:spacing w:line="560" w:lineRule="exact"/>
        <w:jc w:val="center"/>
        <w:rPr>
          <w:rFonts w:ascii="宋体" w:hAnsi="宋体"/>
          <w:highlight w:val="none"/>
        </w:rPr>
      </w:pPr>
      <w:r>
        <w:rPr>
          <w:rFonts w:hint="eastAsia" w:ascii="宋体" w:hAnsi="宋体"/>
          <w:highlight w:val="none"/>
        </w:rPr>
        <w:t>（注：简要介绍投标人的生产水平、技术力量、装备水平及生产能力等）</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720"/>
        <w:jc w:val="center"/>
        <w:rPr>
          <w:rFonts w:ascii="黑体" w:eastAsia="黑体"/>
          <w:sz w:val="36"/>
          <w:highlight w:val="none"/>
        </w:rPr>
      </w:pPr>
    </w:p>
    <w:p>
      <w:pPr>
        <w:spacing w:line="560" w:lineRule="exact"/>
        <w:ind w:firstLine="720"/>
        <w:jc w:val="center"/>
        <w:rPr>
          <w:rFonts w:ascii="黑体" w:eastAsia="黑体"/>
          <w:sz w:val="36"/>
          <w:highlight w:val="none"/>
        </w:rPr>
      </w:pPr>
      <w:r>
        <w:rPr>
          <w:rFonts w:hint="eastAsia" w:ascii="黑体" w:eastAsia="黑体"/>
          <w:sz w:val="36"/>
          <w:highlight w:val="none"/>
        </w:rPr>
        <w:t>3.投标人财务状况</w:t>
      </w:r>
    </w:p>
    <w:p>
      <w:pPr>
        <w:spacing w:line="400" w:lineRule="exact"/>
        <w:rPr>
          <w:rFonts w:ascii="宋体" w:hAnsi="宋体"/>
          <w:highlight w:val="none"/>
        </w:rPr>
      </w:pPr>
      <w:r>
        <w:rPr>
          <w:rFonts w:hint="eastAsia" w:ascii="宋体" w:hAnsi="宋体"/>
          <w:highlight w:val="none"/>
        </w:rPr>
        <w:t>（注：请提供开户行名称及由其开具的资信证明；固定资产原值、净值、流动资金、最近三年年产值、销售额或贸易额和利润额）</w:t>
      </w:r>
    </w:p>
    <w:p>
      <w:pPr>
        <w:spacing w:line="560" w:lineRule="exact"/>
        <w:ind w:firstLine="480"/>
        <w:rPr>
          <w:rFonts w:ascii="宋体" w:hAnsi="宋体"/>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720"/>
        <w:jc w:val="center"/>
        <w:rPr>
          <w:rFonts w:ascii="黑体" w:eastAsia="黑体"/>
          <w:sz w:val="36"/>
          <w:highlight w:val="none"/>
        </w:rPr>
      </w:pPr>
      <w:r>
        <w:rPr>
          <w:rFonts w:hint="eastAsia" w:ascii="黑体" w:eastAsia="黑体"/>
          <w:sz w:val="36"/>
          <w:highlight w:val="none"/>
        </w:rPr>
        <w:t>4.营业执照副本、资质证书副本复印件</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left="420"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720"/>
        <w:jc w:val="center"/>
        <w:rPr>
          <w:rFonts w:ascii="黑体" w:eastAsia="黑体"/>
          <w:sz w:val="36"/>
          <w:highlight w:val="none"/>
        </w:rPr>
      </w:pPr>
      <w:r>
        <w:rPr>
          <w:rFonts w:hint="eastAsia" w:ascii="黑体" w:eastAsia="黑体"/>
          <w:sz w:val="36"/>
          <w:highlight w:val="none"/>
        </w:rPr>
        <w:t>5.法人代表授权委托书</w:t>
      </w:r>
    </w:p>
    <w:p>
      <w:pPr>
        <w:spacing w:line="560" w:lineRule="exact"/>
        <w:ind w:firstLine="480"/>
        <w:rPr>
          <w:rFonts w:ascii="楷体_GB2312" w:eastAsia="楷体_GB2312"/>
          <w:sz w:val="24"/>
          <w:highlight w:val="none"/>
        </w:rPr>
      </w:pPr>
    </w:p>
    <w:p>
      <w:pPr>
        <w:spacing w:line="440" w:lineRule="exact"/>
        <w:ind w:firstLine="482"/>
        <w:jc w:val="center"/>
        <w:rPr>
          <w:rFonts w:ascii="宋体" w:hAnsi="宋体"/>
          <w:b/>
          <w:sz w:val="24"/>
          <w:szCs w:val="24"/>
          <w:highlight w:val="none"/>
        </w:rPr>
      </w:pPr>
      <w:r>
        <w:rPr>
          <w:rFonts w:hint="eastAsia" w:ascii="宋体" w:hAnsi="宋体"/>
          <w:b/>
          <w:sz w:val="24"/>
          <w:szCs w:val="24"/>
          <w:highlight w:val="none"/>
        </w:rPr>
        <w:t>法定代表人授权书</w:t>
      </w:r>
    </w:p>
    <w:p>
      <w:pPr>
        <w:spacing w:line="440" w:lineRule="exact"/>
        <w:ind w:right="71" w:firstLine="600"/>
        <w:jc w:val="center"/>
        <w:rPr>
          <w:rFonts w:ascii="宋体" w:hAnsi="宋体"/>
          <w:spacing w:val="30"/>
          <w:sz w:val="24"/>
          <w:szCs w:val="24"/>
          <w:highlight w:val="none"/>
        </w:rPr>
      </w:pPr>
    </w:p>
    <w:p>
      <w:pPr>
        <w:spacing w:line="440" w:lineRule="exact"/>
        <w:ind w:right="71" w:firstLine="600"/>
        <w:rPr>
          <w:rFonts w:ascii="宋体" w:hAnsi="宋体"/>
          <w:sz w:val="24"/>
          <w:szCs w:val="24"/>
          <w:highlight w:val="none"/>
        </w:rPr>
      </w:pPr>
      <w:r>
        <w:rPr>
          <w:rFonts w:hint="eastAsia" w:ascii="宋体" w:hAnsi="宋体"/>
          <w:spacing w:val="30"/>
          <w:sz w:val="24"/>
          <w:szCs w:val="24"/>
          <w:highlight w:val="none"/>
        </w:rPr>
        <w:t xml:space="preserve">    </w:t>
      </w:r>
      <w:r>
        <w:rPr>
          <w:rFonts w:hint="eastAsia" w:ascii="宋体" w:hAnsi="宋体"/>
          <w:sz w:val="24"/>
          <w:szCs w:val="24"/>
          <w:highlight w:val="none"/>
        </w:rPr>
        <w:t>本授权书声明：注册于</w:t>
      </w:r>
      <w:r>
        <w:rPr>
          <w:rFonts w:hint="eastAsia" w:ascii="宋体" w:hAnsi="宋体"/>
          <w:sz w:val="24"/>
          <w:szCs w:val="24"/>
          <w:highlight w:val="none"/>
          <w:u w:val="single"/>
        </w:rPr>
        <w:t>（地址）</w:t>
      </w:r>
      <w:r>
        <w:rPr>
          <w:rFonts w:hint="eastAsia" w:ascii="宋体" w:hAnsi="宋体"/>
          <w:sz w:val="24"/>
          <w:szCs w:val="24"/>
          <w:highlight w:val="none"/>
        </w:rPr>
        <w:t>的</w:t>
      </w:r>
      <w:r>
        <w:rPr>
          <w:rFonts w:hint="eastAsia" w:ascii="宋体" w:hAnsi="宋体"/>
          <w:sz w:val="24"/>
          <w:szCs w:val="24"/>
          <w:highlight w:val="none"/>
          <w:u w:val="single"/>
        </w:rPr>
        <w:t>（公司名称）</w:t>
      </w:r>
      <w:r>
        <w:rPr>
          <w:rFonts w:hint="eastAsia" w:ascii="宋体" w:hAnsi="宋体"/>
          <w:sz w:val="24"/>
          <w:szCs w:val="24"/>
          <w:highlight w:val="none"/>
        </w:rPr>
        <w:t>的在下面签字的</w:t>
      </w:r>
      <w:r>
        <w:rPr>
          <w:rFonts w:hint="eastAsia" w:ascii="宋体" w:hAnsi="宋体"/>
          <w:sz w:val="24"/>
          <w:szCs w:val="24"/>
          <w:highlight w:val="none"/>
          <w:u w:val="single"/>
        </w:rPr>
        <w:t>（法定代表人姓名、职务）</w:t>
      </w:r>
      <w:r>
        <w:rPr>
          <w:rFonts w:hint="eastAsia" w:ascii="宋体" w:hAnsi="宋体"/>
          <w:sz w:val="24"/>
          <w:szCs w:val="24"/>
          <w:highlight w:val="none"/>
        </w:rPr>
        <w:t>代表本公司授权</w:t>
      </w:r>
      <w:r>
        <w:rPr>
          <w:rFonts w:hint="eastAsia" w:ascii="宋体" w:hAnsi="宋体"/>
          <w:sz w:val="24"/>
          <w:szCs w:val="24"/>
          <w:highlight w:val="none"/>
          <w:u w:val="single"/>
        </w:rPr>
        <w:t>（单位名称）</w:t>
      </w:r>
      <w:r>
        <w:rPr>
          <w:rFonts w:hint="eastAsia" w:ascii="宋体" w:hAnsi="宋体"/>
          <w:sz w:val="24"/>
          <w:szCs w:val="24"/>
          <w:highlight w:val="none"/>
        </w:rPr>
        <w:t>的在下面签字的（</w:t>
      </w:r>
      <w:r>
        <w:rPr>
          <w:rFonts w:hint="eastAsia" w:ascii="宋体" w:hAnsi="宋体"/>
          <w:sz w:val="24"/>
          <w:szCs w:val="24"/>
          <w:highlight w:val="none"/>
          <w:u w:val="single"/>
        </w:rPr>
        <w:t>被授权人的姓名、职务）</w:t>
      </w:r>
      <w:r>
        <w:rPr>
          <w:rFonts w:hint="eastAsia" w:ascii="宋体" w:hAnsi="宋体"/>
          <w:sz w:val="24"/>
          <w:szCs w:val="24"/>
          <w:highlight w:val="none"/>
        </w:rPr>
        <w:t>为本公司的合法代理人，参加</w:t>
      </w:r>
      <w:r>
        <w:rPr>
          <w:rFonts w:hint="eastAsia" w:ascii="宋体" w:hAnsi="宋体"/>
          <w:sz w:val="24"/>
          <w:szCs w:val="24"/>
          <w:highlight w:val="none"/>
          <w:u w:val="single"/>
        </w:rPr>
        <w:t>（项目名称）</w:t>
      </w:r>
      <w:r>
        <w:rPr>
          <w:rFonts w:hint="eastAsia" w:ascii="宋体" w:hAnsi="宋体"/>
          <w:sz w:val="24"/>
          <w:szCs w:val="24"/>
          <w:highlight w:val="none"/>
        </w:rPr>
        <w:t>的投标，以本公司名义处理一切与之有关的事务。</w:t>
      </w:r>
    </w:p>
    <w:p>
      <w:pPr>
        <w:spacing w:line="440" w:lineRule="exact"/>
        <w:ind w:right="71" w:firstLine="480"/>
        <w:rPr>
          <w:rFonts w:ascii="宋体" w:hAnsi="宋体"/>
          <w:sz w:val="24"/>
          <w:szCs w:val="24"/>
          <w:highlight w:val="none"/>
        </w:rPr>
      </w:pPr>
      <w:r>
        <w:rPr>
          <w:rFonts w:hint="eastAsia" w:ascii="宋体" w:hAnsi="宋体"/>
          <w:sz w:val="24"/>
          <w:szCs w:val="24"/>
          <w:highlight w:val="none"/>
        </w:rPr>
        <w:t xml:space="preserve">    本授权书于</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日签字生效，至</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日失效。特此声明。</w:t>
      </w:r>
    </w:p>
    <w:p>
      <w:pPr>
        <w:spacing w:line="440" w:lineRule="exact"/>
        <w:ind w:right="71" w:firstLine="480"/>
        <w:rPr>
          <w:rFonts w:ascii="宋体" w:hAnsi="宋体"/>
          <w:sz w:val="24"/>
          <w:szCs w:val="24"/>
          <w:highlight w:val="none"/>
        </w:rPr>
      </w:pPr>
    </w:p>
    <w:p>
      <w:pPr>
        <w:spacing w:line="480" w:lineRule="exact"/>
        <w:ind w:left="105" w:firstLine="480"/>
        <w:rPr>
          <w:rFonts w:ascii="宋体"/>
          <w:sz w:val="24"/>
          <w:szCs w:val="24"/>
          <w:highlight w:val="none"/>
        </w:rPr>
      </w:pPr>
      <w:r>
        <w:rPr>
          <w:rFonts w:hint="eastAsia" w:ascii="宋体"/>
          <w:sz w:val="24"/>
          <w:szCs w:val="24"/>
          <w:highlight w:val="none"/>
        </w:rPr>
        <w:t>法定代表人（授权人）签字或盖章：</w:t>
      </w:r>
      <w:r>
        <w:rPr>
          <w:rFonts w:hint="eastAsia" w:ascii="宋体"/>
          <w:sz w:val="24"/>
          <w:szCs w:val="24"/>
          <w:highlight w:val="none"/>
        </w:rPr>
        <w:tab/>
      </w:r>
      <w:r>
        <w:rPr>
          <w:rFonts w:hint="eastAsia" w:ascii="宋体"/>
          <w:sz w:val="24"/>
          <w:szCs w:val="24"/>
          <w:highlight w:val="none"/>
        </w:rPr>
        <w:t xml:space="preserve">                   </w:t>
      </w:r>
    </w:p>
    <w:p>
      <w:pPr>
        <w:spacing w:line="480" w:lineRule="exact"/>
        <w:ind w:left="105" w:firstLine="480"/>
        <w:rPr>
          <w:rFonts w:ascii="宋体"/>
          <w:sz w:val="24"/>
          <w:szCs w:val="24"/>
          <w:highlight w:val="none"/>
        </w:rPr>
      </w:pPr>
      <w:r>
        <w:rPr>
          <w:rFonts w:hint="eastAsia" w:ascii="宋体"/>
          <w:sz w:val="24"/>
          <w:szCs w:val="24"/>
          <w:highlight w:val="none"/>
        </w:rPr>
        <w:t>职                        务：</w:t>
      </w:r>
      <w:r>
        <w:rPr>
          <w:rFonts w:hint="eastAsia" w:ascii="宋体"/>
          <w:sz w:val="24"/>
          <w:szCs w:val="24"/>
          <w:highlight w:val="none"/>
        </w:rPr>
        <w:tab/>
      </w:r>
      <w:r>
        <w:rPr>
          <w:rFonts w:hint="eastAsia" w:ascii="宋体"/>
          <w:sz w:val="24"/>
          <w:szCs w:val="24"/>
          <w:highlight w:val="none"/>
        </w:rPr>
        <w:t xml:space="preserve">                </w:t>
      </w:r>
    </w:p>
    <w:p>
      <w:pPr>
        <w:spacing w:line="480" w:lineRule="exact"/>
        <w:ind w:left="105" w:firstLine="480"/>
        <w:rPr>
          <w:rFonts w:ascii="宋体"/>
          <w:sz w:val="24"/>
          <w:szCs w:val="24"/>
          <w:highlight w:val="none"/>
        </w:rPr>
      </w:pPr>
      <w:r>
        <w:rPr>
          <w:rFonts w:hint="eastAsia" w:ascii="宋体"/>
          <w:sz w:val="24"/>
          <w:szCs w:val="24"/>
          <w:highlight w:val="none"/>
        </w:rPr>
        <w:t>单     位     名    称（公章）：</w:t>
      </w:r>
      <w:r>
        <w:rPr>
          <w:rFonts w:hint="eastAsia" w:ascii="宋体"/>
          <w:sz w:val="24"/>
          <w:szCs w:val="24"/>
          <w:highlight w:val="none"/>
        </w:rPr>
        <w:tab/>
      </w:r>
    </w:p>
    <w:p>
      <w:pPr>
        <w:spacing w:line="480" w:lineRule="exact"/>
        <w:ind w:left="105" w:firstLine="480"/>
        <w:rPr>
          <w:rFonts w:ascii="宋体"/>
          <w:sz w:val="24"/>
          <w:szCs w:val="24"/>
          <w:highlight w:val="none"/>
        </w:rPr>
      </w:pPr>
      <w:r>
        <w:rPr>
          <w:rFonts w:hint="eastAsia" w:ascii="宋体"/>
          <w:sz w:val="24"/>
          <w:szCs w:val="24"/>
          <w:highlight w:val="none"/>
        </w:rPr>
        <w:t>地                        址：</w:t>
      </w:r>
      <w:r>
        <w:rPr>
          <w:rFonts w:hint="eastAsia" w:ascii="宋体"/>
          <w:sz w:val="24"/>
          <w:szCs w:val="24"/>
          <w:highlight w:val="none"/>
        </w:rPr>
        <w:tab/>
      </w:r>
      <w:r>
        <w:rPr>
          <w:rFonts w:hint="eastAsia" w:ascii="宋体"/>
          <w:sz w:val="24"/>
          <w:szCs w:val="24"/>
          <w:highlight w:val="none"/>
        </w:rPr>
        <w:t xml:space="preserve">                </w:t>
      </w:r>
    </w:p>
    <w:p>
      <w:pPr>
        <w:spacing w:line="480" w:lineRule="exact"/>
        <w:ind w:left="105" w:firstLine="480"/>
        <w:rPr>
          <w:rFonts w:ascii="宋体"/>
          <w:sz w:val="24"/>
          <w:szCs w:val="24"/>
          <w:highlight w:val="none"/>
        </w:rPr>
      </w:pPr>
      <w:r>
        <w:rPr>
          <w:rFonts w:hint="eastAsia" w:ascii="宋体"/>
          <w:sz w:val="24"/>
          <w:szCs w:val="24"/>
          <w:highlight w:val="none"/>
        </w:rPr>
        <w:tab/>
      </w:r>
      <w:r>
        <w:rPr>
          <w:rFonts w:hint="eastAsia" w:ascii="宋体"/>
          <w:sz w:val="24"/>
          <w:szCs w:val="24"/>
          <w:highlight w:val="none"/>
        </w:rPr>
        <w:t xml:space="preserve">                </w:t>
      </w:r>
    </w:p>
    <w:p>
      <w:pPr>
        <w:spacing w:line="480" w:lineRule="exact"/>
        <w:ind w:left="105" w:firstLine="480"/>
        <w:rPr>
          <w:rFonts w:ascii="宋体"/>
          <w:sz w:val="24"/>
          <w:szCs w:val="24"/>
          <w:highlight w:val="none"/>
        </w:rPr>
      </w:pPr>
      <w:r>
        <w:rPr>
          <w:rFonts w:hint="eastAsia" w:ascii="宋体"/>
          <w:sz w:val="24"/>
          <w:szCs w:val="24"/>
          <w:highlight w:val="none"/>
        </w:rPr>
        <w:t>投标人代表（被授权人）签字或盖章：</w:t>
      </w:r>
      <w:r>
        <w:rPr>
          <w:rFonts w:hint="eastAsia" w:ascii="宋体"/>
          <w:sz w:val="24"/>
          <w:szCs w:val="24"/>
          <w:highlight w:val="none"/>
        </w:rPr>
        <w:tab/>
      </w:r>
      <w:r>
        <w:rPr>
          <w:rFonts w:hint="eastAsia" w:ascii="宋体"/>
          <w:sz w:val="24"/>
          <w:szCs w:val="24"/>
          <w:highlight w:val="none"/>
        </w:rPr>
        <w:t xml:space="preserve">                </w:t>
      </w:r>
    </w:p>
    <w:p>
      <w:pPr>
        <w:spacing w:line="480" w:lineRule="exact"/>
        <w:ind w:left="105" w:firstLine="480"/>
        <w:rPr>
          <w:rFonts w:ascii="宋体"/>
          <w:sz w:val="24"/>
          <w:szCs w:val="24"/>
          <w:highlight w:val="none"/>
        </w:rPr>
      </w:pPr>
      <w:r>
        <w:rPr>
          <w:rFonts w:hint="eastAsia" w:ascii="宋体"/>
          <w:sz w:val="24"/>
          <w:szCs w:val="24"/>
          <w:highlight w:val="none"/>
        </w:rPr>
        <w:t>职                        务：</w:t>
      </w:r>
      <w:r>
        <w:rPr>
          <w:rFonts w:hint="eastAsia" w:ascii="宋体"/>
          <w:sz w:val="24"/>
          <w:szCs w:val="24"/>
          <w:highlight w:val="none"/>
        </w:rPr>
        <w:tab/>
      </w:r>
      <w:r>
        <w:rPr>
          <w:rFonts w:hint="eastAsia" w:ascii="宋体"/>
          <w:sz w:val="24"/>
          <w:szCs w:val="24"/>
          <w:highlight w:val="none"/>
        </w:rPr>
        <w:t xml:space="preserve">                </w:t>
      </w:r>
    </w:p>
    <w:p>
      <w:pPr>
        <w:spacing w:line="480" w:lineRule="exact"/>
        <w:ind w:left="105" w:firstLine="480"/>
        <w:rPr>
          <w:rFonts w:ascii="宋体"/>
          <w:sz w:val="24"/>
          <w:szCs w:val="24"/>
          <w:highlight w:val="none"/>
        </w:rPr>
      </w:pPr>
      <w:r>
        <w:rPr>
          <w:rFonts w:hint="eastAsia" w:ascii="宋体"/>
          <w:sz w:val="24"/>
          <w:szCs w:val="24"/>
          <w:highlight w:val="none"/>
        </w:rPr>
        <w:t>单       位       名      称：</w:t>
      </w:r>
      <w:r>
        <w:rPr>
          <w:rFonts w:hint="eastAsia" w:ascii="宋体"/>
          <w:sz w:val="24"/>
          <w:szCs w:val="24"/>
          <w:highlight w:val="none"/>
        </w:rPr>
        <w:tab/>
      </w:r>
      <w:r>
        <w:rPr>
          <w:rFonts w:hint="eastAsia" w:ascii="宋体"/>
          <w:sz w:val="24"/>
          <w:szCs w:val="24"/>
          <w:highlight w:val="none"/>
        </w:rPr>
        <w:t xml:space="preserve">                </w:t>
      </w:r>
    </w:p>
    <w:p>
      <w:pPr>
        <w:spacing w:line="560" w:lineRule="exact"/>
        <w:ind w:firstLine="480"/>
        <w:rPr>
          <w:rFonts w:ascii="楷体_GB2312" w:eastAsia="楷体_GB2312"/>
          <w:sz w:val="24"/>
          <w:highlight w:val="none"/>
        </w:rPr>
      </w:pPr>
      <w:r>
        <w:rPr>
          <w:rFonts w:hint="eastAsia" w:ascii="宋体"/>
          <w:sz w:val="24"/>
          <w:szCs w:val="24"/>
          <w:highlight w:val="none"/>
        </w:rPr>
        <w:t>地                        址：</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720" w:lineRule="exact"/>
        <w:ind w:firstLine="720"/>
        <w:jc w:val="center"/>
        <w:rPr>
          <w:rFonts w:ascii="楷体_GB2312" w:eastAsia="楷体_GB2312"/>
          <w:sz w:val="36"/>
          <w:highlight w:val="none"/>
        </w:rPr>
      </w:pPr>
      <w:r>
        <w:rPr>
          <w:rFonts w:hint="eastAsia" w:ascii="黑体" w:eastAsia="黑体"/>
          <w:sz w:val="36"/>
          <w:highlight w:val="none"/>
        </w:rPr>
        <w:t>6.主要设备制造商授权书格式</w:t>
      </w:r>
    </w:p>
    <w:p>
      <w:pPr>
        <w:spacing w:line="720" w:lineRule="exact"/>
        <w:ind w:firstLine="602"/>
        <w:jc w:val="center"/>
        <w:rPr>
          <w:rFonts w:ascii="宋体" w:hAnsi="宋体"/>
          <w:b/>
          <w:sz w:val="30"/>
          <w:highlight w:val="none"/>
        </w:rPr>
      </w:pPr>
      <w:r>
        <w:rPr>
          <w:rFonts w:hint="eastAsia" w:ascii="宋体" w:hAnsi="宋体"/>
          <w:b/>
          <w:sz w:val="30"/>
          <w:highlight w:val="none"/>
        </w:rPr>
        <w:t>制造商授权书</w:t>
      </w:r>
    </w:p>
    <w:p>
      <w:pPr>
        <w:spacing w:line="560" w:lineRule="exact"/>
        <w:ind w:firstLine="480"/>
        <w:rPr>
          <w:rFonts w:ascii="宋体" w:hAnsi="宋体"/>
          <w:sz w:val="24"/>
          <w:highlight w:val="none"/>
        </w:rPr>
      </w:pPr>
      <w:r>
        <w:rPr>
          <w:rFonts w:hint="eastAsia" w:ascii="宋体" w:hAnsi="宋体"/>
          <w:sz w:val="24"/>
          <w:highlight w:val="none"/>
        </w:rPr>
        <w:t>致：</w:t>
      </w:r>
      <w:r>
        <w:rPr>
          <w:rFonts w:hint="eastAsia" w:ascii="宋体" w:hAnsi="宋体"/>
          <w:sz w:val="24"/>
          <w:highlight w:val="none"/>
          <w:u w:val="single"/>
        </w:rPr>
        <w:t xml:space="preserve">   （ 买方名称 ）   </w:t>
      </w:r>
    </w:p>
    <w:p>
      <w:pPr>
        <w:spacing w:line="560" w:lineRule="exact"/>
        <w:ind w:firstLine="480"/>
        <w:rPr>
          <w:rFonts w:ascii="宋体" w:hAnsi="宋体"/>
          <w:sz w:val="24"/>
          <w:highlight w:val="none"/>
        </w:rPr>
      </w:pPr>
      <w:r>
        <w:rPr>
          <w:rFonts w:hint="eastAsia" w:ascii="宋体" w:hAnsi="宋体"/>
          <w:sz w:val="24"/>
          <w:highlight w:val="none"/>
        </w:rPr>
        <w:t xml:space="preserve">    位于</w:t>
      </w:r>
      <w:r>
        <w:rPr>
          <w:rFonts w:hint="eastAsia" w:ascii="宋体" w:hAnsi="宋体"/>
          <w:sz w:val="24"/>
          <w:highlight w:val="none"/>
          <w:u w:val="single"/>
        </w:rPr>
        <w:t>（制造厂家地址）</w:t>
      </w:r>
      <w:r>
        <w:rPr>
          <w:rFonts w:hint="eastAsia" w:ascii="宋体" w:hAnsi="宋体"/>
          <w:sz w:val="24"/>
          <w:highlight w:val="none"/>
        </w:rPr>
        <w:t>的</w:t>
      </w:r>
      <w:r>
        <w:rPr>
          <w:rFonts w:hint="eastAsia" w:ascii="宋体" w:hAnsi="宋体"/>
          <w:sz w:val="24"/>
          <w:highlight w:val="none"/>
          <w:u w:val="single"/>
        </w:rPr>
        <w:t>（制造厂家名称）</w:t>
      </w:r>
      <w:r>
        <w:rPr>
          <w:rFonts w:hint="eastAsia" w:ascii="宋体" w:hAnsi="宋体"/>
          <w:sz w:val="24"/>
          <w:highlight w:val="none"/>
        </w:rPr>
        <w:t>是有声望的制造（货物名称和描述）的制造者，在此授权</w:t>
      </w:r>
      <w:r>
        <w:rPr>
          <w:rFonts w:hint="eastAsia" w:ascii="宋体" w:hAnsi="宋体"/>
          <w:sz w:val="24"/>
          <w:highlight w:val="none"/>
          <w:u w:val="single"/>
        </w:rPr>
        <w:t>（代理机构名称和地址）</w:t>
      </w:r>
      <w:r>
        <w:rPr>
          <w:rFonts w:hint="eastAsia" w:ascii="宋体" w:hAnsi="宋体"/>
          <w:sz w:val="24"/>
          <w:highlight w:val="none"/>
        </w:rPr>
        <w:t>就</w:t>
      </w:r>
      <w:r>
        <w:rPr>
          <w:rFonts w:hint="eastAsia" w:ascii="宋体" w:hAnsi="宋体"/>
          <w:sz w:val="24"/>
          <w:highlight w:val="none"/>
          <w:u w:val="single"/>
        </w:rPr>
        <w:t xml:space="preserve"> （招标编号）          </w:t>
      </w:r>
      <w:r>
        <w:rPr>
          <w:rFonts w:hint="eastAsia" w:ascii="宋体" w:hAnsi="宋体"/>
          <w:sz w:val="24"/>
          <w:highlight w:val="none"/>
        </w:rPr>
        <w:t xml:space="preserve"> 号招标用我厂制造的货物递交投标文件，并与买方进行后续合同谈判和签订合同。</w:t>
      </w:r>
    </w:p>
    <w:p>
      <w:pPr>
        <w:spacing w:line="560" w:lineRule="exact"/>
        <w:ind w:firstLine="480"/>
        <w:rPr>
          <w:rFonts w:ascii="宋体" w:hAnsi="宋体"/>
          <w:sz w:val="24"/>
          <w:highlight w:val="none"/>
        </w:rPr>
      </w:pPr>
      <w:r>
        <w:rPr>
          <w:rFonts w:hint="eastAsia" w:ascii="宋体" w:hAnsi="宋体"/>
          <w:sz w:val="24"/>
          <w:highlight w:val="none"/>
        </w:rPr>
        <w:t xml:space="preserve">    我方在此保证为上述公司响应本次招标而提供的货物按照招标文件第二章合同主要条款的有关规定提供全部质量保证。</w:t>
      </w:r>
    </w:p>
    <w:p>
      <w:pPr>
        <w:spacing w:line="560" w:lineRule="exact"/>
        <w:ind w:firstLine="480"/>
        <w:rPr>
          <w:rFonts w:ascii="宋体" w:hAnsi="宋体"/>
          <w:sz w:val="24"/>
          <w:highlight w:val="none"/>
        </w:rPr>
      </w:pPr>
      <w:r>
        <w:rPr>
          <w:rFonts w:hint="eastAsia" w:ascii="宋体" w:hAnsi="宋体"/>
          <w:sz w:val="24"/>
          <w:highlight w:val="none"/>
        </w:rPr>
        <w:t xml:space="preserve">   </w:t>
      </w: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r>
        <w:rPr>
          <w:rFonts w:hint="eastAsia" w:ascii="宋体" w:hAnsi="宋体"/>
          <w:sz w:val="24"/>
          <w:highlight w:val="none"/>
        </w:rPr>
        <w:t xml:space="preserve">                                         制造厂家：</w:t>
      </w:r>
    </w:p>
    <w:p>
      <w:pPr>
        <w:spacing w:line="560" w:lineRule="exact"/>
        <w:ind w:firstLine="480"/>
        <w:rPr>
          <w:rFonts w:ascii="宋体" w:hAnsi="宋体"/>
          <w:sz w:val="24"/>
          <w:highlight w:val="none"/>
        </w:rPr>
      </w:pPr>
      <w:r>
        <w:rPr>
          <w:rFonts w:hint="eastAsia" w:ascii="宋体" w:hAnsi="宋体"/>
          <w:sz w:val="24"/>
          <w:highlight w:val="none"/>
        </w:rPr>
        <w:t xml:space="preserve">                                     授权代表签字：</w:t>
      </w:r>
    </w:p>
    <w:p>
      <w:pPr>
        <w:spacing w:line="560" w:lineRule="exact"/>
        <w:ind w:firstLine="480"/>
        <w:rPr>
          <w:rFonts w:ascii="宋体" w:hAnsi="宋体"/>
          <w:sz w:val="24"/>
          <w:highlight w:val="none"/>
        </w:rPr>
      </w:pPr>
      <w:r>
        <w:rPr>
          <w:rFonts w:hint="eastAsia" w:ascii="宋体" w:hAnsi="宋体"/>
          <w:sz w:val="24"/>
          <w:highlight w:val="none"/>
        </w:rPr>
        <w:t xml:space="preserve">                                             职务：</w:t>
      </w:r>
    </w:p>
    <w:p>
      <w:pPr>
        <w:spacing w:line="560" w:lineRule="exact"/>
        <w:ind w:firstLine="480"/>
        <w:jc w:val="center"/>
        <w:rPr>
          <w:rFonts w:ascii="楷体_GB2312" w:eastAsia="楷体_GB2312"/>
          <w:sz w:val="24"/>
          <w:highlight w:val="none"/>
        </w:rPr>
      </w:pPr>
      <w:r>
        <w:rPr>
          <w:rFonts w:hint="eastAsia" w:ascii="宋体" w:hAnsi="宋体"/>
          <w:sz w:val="24"/>
          <w:highlight w:val="none"/>
        </w:rPr>
        <w:t xml:space="preserve">                     日期：</w:t>
      </w:r>
    </w:p>
    <w:p>
      <w:pPr>
        <w:spacing w:line="560" w:lineRule="exact"/>
        <w:ind w:firstLine="480"/>
        <w:jc w:val="center"/>
        <w:rPr>
          <w:rFonts w:ascii="楷体_GB2312" w:eastAsia="楷体_GB2312"/>
          <w:sz w:val="24"/>
          <w:highlight w:val="none"/>
        </w:rPr>
      </w:pPr>
      <w:r>
        <w:rPr>
          <w:rFonts w:hint="eastAsia" w:ascii="楷体_GB2312" w:eastAsia="楷体_GB2312"/>
          <w:sz w:val="24"/>
          <w:highlight w:val="none"/>
        </w:rPr>
        <w:br w:type="page"/>
      </w:r>
    </w:p>
    <w:p>
      <w:pPr>
        <w:spacing w:line="560" w:lineRule="exact"/>
        <w:ind w:firstLine="480"/>
        <w:jc w:val="center"/>
        <w:rPr>
          <w:rFonts w:ascii="楷体_GB2312" w:eastAsia="楷体_GB2312"/>
          <w:sz w:val="24"/>
          <w:highlight w:val="none"/>
        </w:rPr>
      </w:pPr>
    </w:p>
    <w:p>
      <w:pPr>
        <w:spacing w:line="560" w:lineRule="exact"/>
        <w:ind w:firstLine="480"/>
        <w:jc w:val="center"/>
        <w:rPr>
          <w:rFonts w:ascii="楷体_GB2312" w:eastAsia="楷体_GB2312"/>
          <w:sz w:val="24"/>
          <w:highlight w:val="none"/>
        </w:rPr>
      </w:pPr>
    </w:p>
    <w:p>
      <w:pPr>
        <w:spacing w:line="560" w:lineRule="exact"/>
        <w:ind w:firstLine="480"/>
        <w:jc w:val="center"/>
        <w:rPr>
          <w:rFonts w:ascii="楷体_GB2312" w:eastAsia="楷体_GB2312"/>
          <w:sz w:val="24"/>
          <w:highlight w:val="none"/>
        </w:rPr>
      </w:pPr>
    </w:p>
    <w:p>
      <w:pPr>
        <w:spacing w:line="560" w:lineRule="exact"/>
        <w:ind w:firstLine="480"/>
        <w:jc w:val="center"/>
        <w:rPr>
          <w:rFonts w:ascii="楷体_GB2312" w:eastAsia="楷体_GB2312"/>
          <w:sz w:val="24"/>
          <w:highlight w:val="none"/>
        </w:rPr>
      </w:pPr>
    </w:p>
    <w:p>
      <w:pPr>
        <w:spacing w:line="560" w:lineRule="exact"/>
        <w:ind w:firstLine="480"/>
        <w:jc w:val="center"/>
        <w:rPr>
          <w:rFonts w:ascii="楷体_GB2312" w:eastAsia="楷体_GB2312"/>
          <w:sz w:val="24"/>
          <w:highlight w:val="none"/>
        </w:rPr>
      </w:pPr>
    </w:p>
    <w:p>
      <w:pPr>
        <w:spacing w:line="560" w:lineRule="exact"/>
        <w:ind w:firstLine="480"/>
        <w:jc w:val="center"/>
        <w:rPr>
          <w:rFonts w:ascii="楷体_GB2312" w:eastAsia="楷体_GB2312"/>
          <w:sz w:val="24"/>
          <w:highlight w:val="none"/>
        </w:rPr>
      </w:pPr>
    </w:p>
    <w:p>
      <w:pPr>
        <w:spacing w:line="560" w:lineRule="exact"/>
        <w:ind w:firstLine="480"/>
        <w:jc w:val="center"/>
        <w:rPr>
          <w:rFonts w:ascii="楷体_GB2312" w:eastAsia="楷体_GB2312"/>
          <w:sz w:val="24"/>
          <w:highlight w:val="none"/>
        </w:rPr>
      </w:pPr>
    </w:p>
    <w:p>
      <w:pPr>
        <w:spacing w:line="560" w:lineRule="exact"/>
        <w:ind w:firstLine="723"/>
        <w:jc w:val="center"/>
        <w:rPr>
          <w:rFonts w:ascii="楷体_GB2312" w:eastAsia="楷体_GB2312"/>
          <w:b/>
          <w:sz w:val="36"/>
          <w:highlight w:val="none"/>
        </w:rPr>
      </w:pPr>
    </w:p>
    <w:p>
      <w:pPr>
        <w:spacing w:line="560" w:lineRule="exact"/>
        <w:ind w:firstLine="723"/>
        <w:jc w:val="center"/>
        <w:rPr>
          <w:rFonts w:ascii="楷体_GB2312" w:eastAsia="楷体_GB2312"/>
          <w:b/>
          <w:sz w:val="36"/>
          <w:highlight w:val="none"/>
        </w:rPr>
      </w:pPr>
      <w:r>
        <w:rPr>
          <w:rFonts w:hint="eastAsia" w:ascii="楷体_GB2312" w:eastAsia="楷体_GB2312"/>
          <w:b/>
          <w:sz w:val="36"/>
          <w:highlight w:val="none"/>
        </w:rPr>
        <w:t>三、证明货物的合格性和符合招标文件规定的文件</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r>
        <w:rPr>
          <w:rFonts w:hint="eastAsia" w:ascii="楷体_GB2312" w:eastAsia="楷体_GB2312"/>
          <w:sz w:val="24"/>
          <w:highlight w:val="none"/>
        </w:rPr>
        <w:br w:type="page"/>
      </w:r>
    </w:p>
    <w:p>
      <w:pPr>
        <w:spacing w:line="560" w:lineRule="exact"/>
        <w:ind w:left="905" w:firstLine="720"/>
        <w:jc w:val="center"/>
        <w:rPr>
          <w:rFonts w:ascii="黑体" w:eastAsia="黑体"/>
          <w:sz w:val="36"/>
          <w:highlight w:val="none"/>
        </w:rPr>
      </w:pPr>
      <w:r>
        <w:rPr>
          <w:rFonts w:hint="eastAsia" w:ascii="黑体" w:eastAsia="黑体"/>
          <w:sz w:val="36"/>
          <w:highlight w:val="none"/>
        </w:rPr>
        <w:t>1、质量保证书</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left="905" w:firstLine="480"/>
        <w:jc w:val="center"/>
        <w:rPr>
          <w:rFonts w:ascii="黑体" w:eastAsia="黑体"/>
          <w:sz w:val="36"/>
          <w:highlight w:val="none"/>
        </w:rPr>
      </w:pPr>
      <w:r>
        <w:rPr>
          <w:rFonts w:hint="eastAsia" w:ascii="楷体_GB2312" w:eastAsia="楷体_GB2312"/>
          <w:sz w:val="24"/>
          <w:highlight w:val="none"/>
        </w:rPr>
        <w:br w:type="page"/>
      </w:r>
      <w:r>
        <w:rPr>
          <w:rFonts w:hint="eastAsia" w:ascii="黑体" w:eastAsia="黑体"/>
          <w:sz w:val="36"/>
          <w:highlight w:val="none"/>
        </w:rPr>
        <w:t>2、有关部门的检测报告</w:t>
      </w:r>
    </w:p>
    <w:p>
      <w:pPr>
        <w:spacing w:line="560" w:lineRule="exact"/>
        <w:ind w:firstLine="600"/>
        <w:jc w:val="center"/>
        <w:rPr>
          <w:rFonts w:ascii="黑体" w:eastAsia="黑体"/>
          <w:sz w:val="36"/>
          <w:highlight w:val="none"/>
        </w:rPr>
      </w:pPr>
      <w:r>
        <w:rPr>
          <w:rFonts w:hint="eastAsia" w:ascii="宋体"/>
          <w:sz w:val="30"/>
          <w:highlight w:val="none"/>
        </w:rPr>
        <w:t>(如有)</w:t>
      </w:r>
      <w:r>
        <w:rPr>
          <w:rFonts w:hint="eastAsia" w:ascii="宋体"/>
          <w:sz w:val="24"/>
          <w:highlight w:val="none"/>
        </w:rPr>
        <w:br w:type="page"/>
      </w:r>
      <w:r>
        <w:rPr>
          <w:rFonts w:hint="eastAsia" w:ascii="黑体" w:eastAsia="黑体"/>
          <w:sz w:val="36"/>
          <w:highlight w:val="none"/>
        </w:rPr>
        <w:t>3.货物组成</w:t>
      </w:r>
    </w:p>
    <w:p>
      <w:pPr>
        <w:spacing w:line="560" w:lineRule="exact"/>
        <w:ind w:firstLine="480"/>
        <w:jc w:val="center"/>
        <w:rPr>
          <w:rFonts w:ascii="宋体" w:hAnsi="宋体"/>
          <w:sz w:val="24"/>
          <w:highlight w:val="none"/>
        </w:rPr>
      </w:pPr>
      <w:r>
        <w:rPr>
          <w:rFonts w:hint="eastAsia" w:ascii="宋体" w:hAnsi="宋体"/>
          <w:sz w:val="24"/>
          <w:highlight w:val="none"/>
        </w:rPr>
        <w:t>3-1主机和标准附件清单</w:t>
      </w:r>
    </w:p>
    <w:p>
      <w:pPr>
        <w:spacing w:line="560" w:lineRule="exact"/>
        <w:ind w:firstLine="480"/>
        <w:rPr>
          <w:rFonts w:ascii="宋体" w:hAnsi="宋体"/>
          <w:sz w:val="24"/>
          <w:highlight w:val="none"/>
        </w:rPr>
      </w:pPr>
      <w:r>
        <w:rPr>
          <w:rFonts w:hint="eastAsia" w:ascii="宋体" w:hAnsi="宋体"/>
          <w:sz w:val="24"/>
          <w:highlight w:val="none"/>
        </w:rPr>
        <w:t xml:space="preserve">招标编号：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045"/>
        <w:gridCol w:w="840"/>
        <w:gridCol w:w="1470"/>
        <w:gridCol w:w="1012"/>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序号</w:t>
            </w: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组成主机整件、附件名称</w:t>
            </w: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数量</w:t>
            </w: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原产地</w:t>
            </w: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单  价</w:t>
            </w: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合  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6" w:type="dxa"/>
            <w:gridSpan w:val="6"/>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r>
              <w:rPr>
                <w:rFonts w:hint="eastAsia" w:ascii="宋体" w:hAnsi="宋体"/>
                <w:sz w:val="24"/>
                <w:highlight w:val="none"/>
              </w:rPr>
              <w:t>本设备累计合价：</w:t>
            </w:r>
          </w:p>
        </w:tc>
      </w:tr>
    </w:tbl>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投标人（盖单位公章）：</w:t>
      </w:r>
      <w:r>
        <w:rPr>
          <w:rFonts w:ascii="Arial" w:hAnsi="Arial" w:cs="Arial"/>
          <w:color w:val="000000"/>
          <w:sz w:val="24"/>
          <w:szCs w:val="24"/>
          <w:highlight w:val="none"/>
        </w:rPr>
        <w:tab/>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法定代表人或其委托代理人：（签名）</w:t>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560" w:lineRule="exact"/>
        <w:ind w:firstLine="480"/>
        <w:rPr>
          <w:rFonts w:ascii="宋体" w:hAnsi="宋体"/>
          <w:sz w:val="24"/>
          <w:highlight w:val="none"/>
        </w:rPr>
      </w:pPr>
      <w:r>
        <w:rPr>
          <w:rFonts w:hint="eastAsia" w:ascii="Arial" w:hAnsi="宋体" w:cs="Arial"/>
          <w:color w:val="000000"/>
          <w:sz w:val="24"/>
          <w:szCs w:val="24"/>
          <w:highlight w:val="none"/>
        </w:rPr>
        <w:t>年</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月</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日</w:t>
      </w:r>
    </w:p>
    <w:p>
      <w:pPr>
        <w:spacing w:line="560" w:lineRule="exact"/>
        <w:ind w:firstLine="480"/>
        <w:jc w:val="center"/>
        <w:rPr>
          <w:rFonts w:ascii="黑体" w:eastAsia="黑体"/>
          <w:sz w:val="36"/>
          <w:highlight w:val="none"/>
        </w:rPr>
      </w:pPr>
      <w:r>
        <w:rPr>
          <w:rFonts w:hint="eastAsia" w:ascii="宋体" w:hAnsi="宋体"/>
          <w:sz w:val="24"/>
          <w:highlight w:val="none"/>
        </w:rPr>
        <w:br w:type="page"/>
      </w:r>
      <w:r>
        <w:rPr>
          <w:rFonts w:hint="eastAsia" w:ascii="黑体" w:eastAsia="黑体"/>
          <w:sz w:val="36"/>
          <w:highlight w:val="none"/>
        </w:rPr>
        <w:t>货物组成</w:t>
      </w:r>
    </w:p>
    <w:p>
      <w:pPr>
        <w:spacing w:line="560" w:lineRule="exact"/>
        <w:ind w:firstLine="480"/>
        <w:jc w:val="center"/>
        <w:rPr>
          <w:rFonts w:ascii="宋体" w:hAnsi="宋体"/>
          <w:sz w:val="24"/>
          <w:highlight w:val="none"/>
        </w:rPr>
      </w:pPr>
      <w:r>
        <w:rPr>
          <w:rFonts w:hint="eastAsia" w:ascii="宋体" w:hAnsi="宋体"/>
          <w:sz w:val="24"/>
          <w:highlight w:val="none"/>
        </w:rPr>
        <w:t>3-2  备品备件清单</w:t>
      </w:r>
    </w:p>
    <w:p>
      <w:pPr>
        <w:spacing w:line="560" w:lineRule="exact"/>
        <w:ind w:firstLine="480"/>
        <w:rPr>
          <w:rFonts w:ascii="宋体" w:hAnsi="宋体"/>
          <w:sz w:val="24"/>
          <w:highlight w:val="none"/>
        </w:rPr>
      </w:pPr>
      <w:r>
        <w:rPr>
          <w:rFonts w:hint="eastAsia" w:ascii="宋体" w:hAnsi="宋体"/>
          <w:sz w:val="24"/>
          <w:highlight w:val="none"/>
        </w:rPr>
        <w:t xml:space="preserve">招标编号：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785"/>
        <w:gridCol w:w="1260"/>
        <w:gridCol w:w="984"/>
        <w:gridCol w:w="1536"/>
        <w:gridCol w:w="1080"/>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序 号</w:t>
            </w:r>
          </w:p>
        </w:tc>
        <w:tc>
          <w:tcPr>
            <w:tcW w:w="178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备品备件名称</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型号规格</w:t>
            </w:r>
          </w:p>
        </w:tc>
        <w:tc>
          <w:tcPr>
            <w:tcW w:w="984"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数  量</w:t>
            </w:r>
          </w:p>
        </w:tc>
        <w:tc>
          <w:tcPr>
            <w:tcW w:w="1536"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原产地及制造商名称</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单  价</w:t>
            </w:r>
          </w:p>
        </w:tc>
        <w:tc>
          <w:tcPr>
            <w:tcW w:w="1038"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合  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98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536"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6" w:type="dxa"/>
            <w:gridSpan w:val="7"/>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r>
              <w:rPr>
                <w:rFonts w:hint="eastAsia" w:ascii="宋体" w:hAnsi="宋体"/>
                <w:sz w:val="24"/>
                <w:highlight w:val="none"/>
              </w:rPr>
              <w:t>本项累计合价：</w:t>
            </w:r>
          </w:p>
        </w:tc>
      </w:tr>
    </w:tbl>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投标人（盖单位公章）：</w:t>
      </w:r>
      <w:r>
        <w:rPr>
          <w:rFonts w:ascii="Arial" w:hAnsi="Arial" w:cs="Arial"/>
          <w:color w:val="000000"/>
          <w:sz w:val="24"/>
          <w:szCs w:val="24"/>
          <w:highlight w:val="none"/>
        </w:rPr>
        <w:tab/>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法定代表人或其委托代理人：（签名）</w:t>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560" w:lineRule="exact"/>
        <w:ind w:firstLine="480"/>
        <w:rPr>
          <w:rFonts w:ascii="宋体" w:hAnsi="宋体"/>
          <w:sz w:val="24"/>
          <w:highlight w:val="none"/>
          <w:u w:val="single"/>
        </w:rPr>
      </w:pPr>
      <w:r>
        <w:rPr>
          <w:rFonts w:hint="eastAsia" w:ascii="Arial" w:hAnsi="宋体" w:cs="Arial"/>
          <w:color w:val="000000"/>
          <w:sz w:val="24"/>
          <w:szCs w:val="24"/>
          <w:highlight w:val="none"/>
        </w:rPr>
        <w:t>年</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月</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日</w:t>
      </w:r>
    </w:p>
    <w:p>
      <w:pPr>
        <w:spacing w:line="560" w:lineRule="exact"/>
        <w:ind w:firstLine="480"/>
        <w:rPr>
          <w:rFonts w:ascii="宋体" w:hAnsi="宋体"/>
          <w:sz w:val="24"/>
          <w:highlight w:val="none"/>
        </w:rPr>
      </w:pPr>
    </w:p>
    <w:p>
      <w:pPr>
        <w:spacing w:line="560" w:lineRule="exact"/>
        <w:ind w:firstLine="720"/>
        <w:jc w:val="center"/>
        <w:rPr>
          <w:rFonts w:ascii="黑体" w:eastAsia="黑体"/>
          <w:sz w:val="36"/>
          <w:highlight w:val="none"/>
        </w:rPr>
      </w:pPr>
      <w:r>
        <w:rPr>
          <w:rFonts w:hint="eastAsia" w:ascii="黑体" w:eastAsia="黑体"/>
          <w:sz w:val="36"/>
          <w:highlight w:val="none"/>
        </w:rPr>
        <w:br w:type="page"/>
      </w:r>
      <w:r>
        <w:rPr>
          <w:rFonts w:hint="eastAsia" w:ascii="黑体" w:eastAsia="黑体"/>
          <w:sz w:val="36"/>
          <w:highlight w:val="none"/>
        </w:rPr>
        <w:t>货物组成</w:t>
      </w:r>
    </w:p>
    <w:p>
      <w:pPr>
        <w:spacing w:line="560" w:lineRule="exact"/>
        <w:ind w:firstLine="480"/>
        <w:jc w:val="center"/>
        <w:rPr>
          <w:rFonts w:ascii="宋体" w:hAnsi="宋体"/>
          <w:sz w:val="24"/>
          <w:highlight w:val="none"/>
        </w:rPr>
      </w:pPr>
      <w:r>
        <w:rPr>
          <w:rFonts w:hint="eastAsia" w:ascii="宋体" w:hAnsi="宋体"/>
          <w:sz w:val="24"/>
          <w:highlight w:val="none"/>
        </w:rPr>
        <w:t>3-3  专用工具清单</w:t>
      </w:r>
    </w:p>
    <w:p>
      <w:pPr>
        <w:spacing w:line="560" w:lineRule="exact"/>
        <w:ind w:firstLine="480"/>
        <w:rPr>
          <w:rFonts w:ascii="宋体" w:hAnsi="宋体"/>
          <w:sz w:val="24"/>
          <w:highlight w:val="none"/>
        </w:rPr>
      </w:pPr>
      <w:r>
        <w:rPr>
          <w:rFonts w:hint="eastAsia" w:ascii="宋体" w:hAnsi="宋体"/>
          <w:sz w:val="24"/>
          <w:highlight w:val="none"/>
        </w:rPr>
        <w:t xml:space="preserve">招标编号：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785"/>
        <w:gridCol w:w="1260"/>
        <w:gridCol w:w="1089"/>
        <w:gridCol w:w="1431"/>
        <w:gridCol w:w="1005"/>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序号</w:t>
            </w:r>
          </w:p>
        </w:tc>
        <w:tc>
          <w:tcPr>
            <w:tcW w:w="178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专用工具名称</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型号规格</w:t>
            </w:r>
          </w:p>
        </w:tc>
        <w:tc>
          <w:tcPr>
            <w:tcW w:w="1089"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数  量</w:t>
            </w:r>
          </w:p>
        </w:tc>
        <w:tc>
          <w:tcPr>
            <w:tcW w:w="143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原产地及制造商名称</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单  价</w:t>
            </w:r>
          </w:p>
        </w:tc>
        <w:tc>
          <w:tcPr>
            <w:tcW w:w="1218"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合  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89"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c>
          <w:tcPr>
            <w:tcW w:w="1218"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6" w:type="dxa"/>
            <w:gridSpan w:val="7"/>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r>
              <w:rPr>
                <w:rFonts w:hint="eastAsia" w:ascii="宋体" w:hAnsi="宋体"/>
                <w:sz w:val="24"/>
                <w:highlight w:val="none"/>
              </w:rPr>
              <w:t>本项累计合价：</w:t>
            </w:r>
          </w:p>
        </w:tc>
      </w:tr>
    </w:tbl>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投标人（盖单位公章）：</w:t>
      </w:r>
      <w:r>
        <w:rPr>
          <w:rFonts w:ascii="Arial" w:hAnsi="Arial" w:cs="Arial"/>
          <w:color w:val="000000"/>
          <w:sz w:val="24"/>
          <w:szCs w:val="24"/>
          <w:highlight w:val="none"/>
        </w:rPr>
        <w:tab/>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法定代表人或其委托代理人：（签名）</w:t>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560" w:lineRule="exact"/>
        <w:ind w:firstLine="480"/>
        <w:rPr>
          <w:rFonts w:ascii="宋体" w:hAnsi="宋体"/>
          <w:sz w:val="24"/>
          <w:highlight w:val="none"/>
          <w:u w:val="single"/>
        </w:rPr>
      </w:pPr>
      <w:r>
        <w:rPr>
          <w:rFonts w:hint="eastAsia" w:ascii="Arial" w:hAnsi="宋体" w:cs="Arial"/>
          <w:color w:val="000000"/>
          <w:sz w:val="24"/>
          <w:szCs w:val="24"/>
          <w:highlight w:val="none"/>
        </w:rPr>
        <w:t>年</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月</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日</w:t>
      </w:r>
    </w:p>
    <w:p>
      <w:pPr>
        <w:spacing w:line="560" w:lineRule="exact"/>
        <w:ind w:firstLine="480"/>
        <w:jc w:val="center"/>
        <w:rPr>
          <w:rFonts w:ascii="黑体" w:eastAsia="黑体"/>
          <w:sz w:val="36"/>
          <w:highlight w:val="none"/>
        </w:rPr>
      </w:pPr>
      <w:r>
        <w:rPr>
          <w:rFonts w:hint="eastAsia" w:ascii="宋体" w:hAnsi="宋体"/>
          <w:sz w:val="24"/>
          <w:highlight w:val="none"/>
        </w:rPr>
        <w:br w:type="page"/>
      </w:r>
      <w:r>
        <w:rPr>
          <w:rFonts w:hint="eastAsia" w:ascii="黑体" w:eastAsia="黑体"/>
          <w:sz w:val="36"/>
          <w:highlight w:val="none"/>
        </w:rPr>
        <w:t>4.货物技术资料</w:t>
      </w:r>
    </w:p>
    <w:p>
      <w:pPr>
        <w:spacing w:line="560" w:lineRule="exact"/>
        <w:ind w:firstLine="480"/>
        <w:jc w:val="center"/>
        <w:rPr>
          <w:rFonts w:ascii="宋体" w:hAnsi="宋体"/>
          <w:sz w:val="24"/>
          <w:highlight w:val="none"/>
        </w:rPr>
      </w:pPr>
      <w:r>
        <w:rPr>
          <w:rFonts w:hint="eastAsia" w:ascii="宋体" w:hAnsi="宋体"/>
          <w:sz w:val="24"/>
          <w:highlight w:val="none"/>
        </w:rPr>
        <w:t>对投标货物主要性能特征、技术参数进行详细描述。</w:t>
      </w:r>
    </w:p>
    <w:p>
      <w:pPr>
        <w:spacing w:line="560" w:lineRule="exact"/>
        <w:ind w:firstLine="480"/>
        <w:jc w:val="center"/>
        <w:rPr>
          <w:rFonts w:ascii="黑体" w:eastAsia="黑体"/>
          <w:sz w:val="36"/>
          <w:highlight w:val="none"/>
        </w:rPr>
      </w:pPr>
      <w:r>
        <w:rPr>
          <w:rFonts w:hint="eastAsia" w:ascii="宋体" w:hAnsi="宋体"/>
          <w:sz w:val="24"/>
          <w:highlight w:val="none"/>
        </w:rPr>
        <w:br w:type="page"/>
      </w:r>
      <w:r>
        <w:rPr>
          <w:rFonts w:hint="eastAsia" w:ascii="黑体" w:eastAsia="黑体"/>
          <w:sz w:val="36"/>
          <w:highlight w:val="none"/>
        </w:rPr>
        <w:t>5. 投标货物规格偏离表</w:t>
      </w:r>
    </w:p>
    <w:p>
      <w:pPr>
        <w:spacing w:line="560" w:lineRule="exact"/>
        <w:ind w:firstLine="480"/>
        <w:rPr>
          <w:rFonts w:ascii="宋体" w:hAnsi="宋体"/>
          <w:sz w:val="24"/>
          <w:highlight w:val="none"/>
        </w:rPr>
      </w:pPr>
      <w:r>
        <w:rPr>
          <w:rFonts w:hint="eastAsia" w:ascii="宋体" w:hAnsi="宋体"/>
          <w:sz w:val="24"/>
          <w:highlight w:val="none"/>
        </w:rPr>
        <w:t xml:space="preserve">招标编号：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890"/>
        <w:gridCol w:w="1890"/>
        <w:gridCol w:w="1605"/>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序号</w:t>
            </w:r>
          </w:p>
        </w:tc>
        <w:tc>
          <w:tcPr>
            <w:tcW w:w="189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标书规格</w:t>
            </w:r>
          </w:p>
        </w:tc>
        <w:tc>
          <w:tcPr>
            <w:tcW w:w="189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投标规格</w:t>
            </w:r>
          </w:p>
        </w:tc>
        <w:tc>
          <w:tcPr>
            <w:tcW w:w="16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偏离与否</w:t>
            </w:r>
          </w:p>
        </w:tc>
        <w:tc>
          <w:tcPr>
            <w:tcW w:w="230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tc>
        <w:tc>
          <w:tcPr>
            <w:tcW w:w="16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p>
            <w:pPr>
              <w:spacing w:line="560" w:lineRule="exact"/>
              <w:ind w:firstLine="480"/>
              <w:rPr>
                <w:rFonts w:ascii="宋体" w:hAnsi="宋体"/>
                <w:sz w:val="24"/>
                <w:highlight w:val="none"/>
              </w:rPr>
            </w:pPr>
          </w:p>
        </w:tc>
        <w:tc>
          <w:tcPr>
            <w:tcW w:w="2300" w:type="dxa"/>
            <w:tcBorders>
              <w:top w:val="single" w:color="auto" w:sz="4" w:space="0"/>
              <w:left w:val="single" w:color="auto" w:sz="4" w:space="0"/>
              <w:bottom w:val="single" w:color="auto" w:sz="4" w:space="0"/>
              <w:right w:val="single" w:color="auto" w:sz="4" w:space="0"/>
            </w:tcBorders>
            <w:noWrap w:val="0"/>
            <w:vAlign w:val="top"/>
          </w:tcPr>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widowControl/>
              <w:ind w:firstLine="480"/>
              <w:jc w:val="left"/>
              <w:rPr>
                <w:rFonts w:ascii="宋体" w:hAnsi="宋体"/>
                <w:sz w:val="24"/>
                <w:highlight w:val="none"/>
              </w:rPr>
            </w:pPr>
          </w:p>
          <w:p>
            <w:pPr>
              <w:spacing w:line="560" w:lineRule="exact"/>
              <w:ind w:firstLine="480"/>
              <w:rPr>
                <w:rFonts w:ascii="宋体" w:hAnsi="宋体"/>
                <w:sz w:val="24"/>
                <w:highlight w:val="none"/>
              </w:rPr>
            </w:pPr>
          </w:p>
        </w:tc>
      </w:tr>
    </w:tbl>
    <w:p>
      <w:pPr>
        <w:spacing w:line="480" w:lineRule="exact"/>
        <w:ind w:firstLine="480"/>
        <w:rPr>
          <w:rFonts w:ascii="宋体" w:hAnsi="宋体"/>
          <w:sz w:val="24"/>
          <w:szCs w:val="24"/>
          <w:highlight w:val="none"/>
        </w:rPr>
      </w:pPr>
      <w:r>
        <w:rPr>
          <w:rFonts w:hint="eastAsia" w:ascii="宋体" w:hAnsi="宋体"/>
          <w:sz w:val="24"/>
          <w:szCs w:val="24"/>
          <w:highlight w:val="none"/>
        </w:rPr>
        <w:t>注：1、如有偏离，则必须在本偏离表中体现。</w:t>
      </w:r>
    </w:p>
    <w:p>
      <w:pPr>
        <w:spacing w:line="560" w:lineRule="exact"/>
        <w:ind w:firstLine="480"/>
        <w:jc w:val="center"/>
        <w:rPr>
          <w:rFonts w:ascii="宋体" w:hAnsi="宋体"/>
          <w:sz w:val="24"/>
          <w:szCs w:val="24"/>
          <w:highlight w:val="none"/>
        </w:rPr>
      </w:pPr>
      <w:r>
        <w:rPr>
          <w:rFonts w:hint="eastAsia" w:ascii="宋体" w:hAnsi="宋体"/>
          <w:sz w:val="24"/>
          <w:szCs w:val="24"/>
          <w:highlight w:val="none"/>
        </w:rPr>
        <w:t>2、投标人承诺：除上表中的偏差外，完全响应招标文件的其他条款。</w:t>
      </w:r>
    </w:p>
    <w:p>
      <w:pPr>
        <w:spacing w:line="560" w:lineRule="exact"/>
        <w:ind w:firstLine="720"/>
        <w:jc w:val="center"/>
        <w:rPr>
          <w:rFonts w:ascii="宋体" w:hAnsi="宋体"/>
          <w:sz w:val="36"/>
          <w:highlight w:val="none"/>
        </w:rPr>
      </w:pPr>
    </w:p>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投标人（盖单位公章）：</w:t>
      </w:r>
      <w:r>
        <w:rPr>
          <w:rFonts w:ascii="Arial" w:hAnsi="Arial" w:cs="Arial"/>
          <w:color w:val="000000"/>
          <w:sz w:val="24"/>
          <w:szCs w:val="24"/>
          <w:highlight w:val="none"/>
        </w:rPr>
        <w:tab/>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法定代表人或其委托代理人：（签名）</w:t>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560" w:lineRule="exact"/>
        <w:ind w:firstLine="480"/>
        <w:rPr>
          <w:rFonts w:ascii="楷体_GB2312" w:eastAsia="楷体_GB2312"/>
          <w:sz w:val="24"/>
          <w:highlight w:val="none"/>
          <w:u w:val="single"/>
        </w:rPr>
      </w:pPr>
      <w:r>
        <w:rPr>
          <w:rFonts w:hint="eastAsia" w:ascii="Arial" w:hAnsi="宋体" w:cs="Arial"/>
          <w:color w:val="000000"/>
          <w:sz w:val="24"/>
          <w:szCs w:val="24"/>
          <w:highlight w:val="none"/>
        </w:rPr>
        <w:t>年</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月</w:t>
      </w:r>
      <w:r>
        <w:rPr>
          <w:rFonts w:ascii="Arial" w:hAnsi="Arial" w:cs="Arial"/>
          <w:color w:val="000000"/>
          <w:sz w:val="24"/>
          <w:szCs w:val="24"/>
          <w:highlight w:val="none"/>
        </w:rPr>
        <w:tab/>
      </w:r>
      <w:r>
        <w:rPr>
          <w:rFonts w:ascii="Arial" w:hAnsi="Arial" w:cs="Arial"/>
          <w:color w:val="000000"/>
          <w:sz w:val="24"/>
          <w:szCs w:val="24"/>
          <w:highlight w:val="none"/>
        </w:rPr>
        <w:tab/>
      </w:r>
      <w:r>
        <w:rPr>
          <w:rFonts w:hint="eastAsia" w:ascii="Arial" w:hAnsi="宋体" w:cs="Arial"/>
          <w:color w:val="000000"/>
          <w:sz w:val="24"/>
          <w:szCs w:val="24"/>
          <w:highlight w:val="none"/>
        </w:rPr>
        <w:t>日</w:t>
      </w:r>
    </w:p>
    <w:p>
      <w:pPr>
        <w:spacing w:line="560" w:lineRule="exact"/>
        <w:ind w:firstLine="720"/>
        <w:jc w:val="center"/>
        <w:rPr>
          <w:rFonts w:ascii="黑体" w:eastAsia="黑体"/>
          <w:sz w:val="36"/>
          <w:highlight w:val="none"/>
        </w:rPr>
      </w:pPr>
      <w:r>
        <w:rPr>
          <w:rFonts w:hint="eastAsia" w:ascii="黑体" w:eastAsia="黑体"/>
          <w:sz w:val="36"/>
          <w:highlight w:val="none"/>
        </w:rPr>
        <w:br w:type="page"/>
      </w:r>
      <w:r>
        <w:rPr>
          <w:rFonts w:hint="eastAsia" w:ascii="黑体" w:eastAsia="黑体"/>
          <w:sz w:val="36"/>
          <w:highlight w:val="none"/>
        </w:rPr>
        <w:t>6.商务条款偏离表</w:t>
      </w:r>
    </w:p>
    <w:p>
      <w:pPr>
        <w:spacing w:line="560" w:lineRule="exact"/>
        <w:ind w:firstLine="480"/>
        <w:rPr>
          <w:rFonts w:ascii="宋体" w:hAnsi="宋体"/>
          <w:sz w:val="24"/>
          <w:highlight w:val="none"/>
          <w:u w:val="single"/>
        </w:rPr>
      </w:pPr>
      <w:r>
        <w:rPr>
          <w:rFonts w:hint="eastAsia" w:ascii="宋体" w:hAnsi="宋体"/>
          <w:sz w:val="24"/>
          <w:highlight w:val="none"/>
        </w:rPr>
        <w:t>招标编号：</w:t>
      </w:r>
      <w:r>
        <w:rPr>
          <w:rFonts w:hint="eastAsia" w:ascii="宋体" w:hAnsi="宋体"/>
          <w:sz w:val="24"/>
          <w:highlight w:val="none"/>
          <w:u w:val="single"/>
        </w:rPr>
        <w:t xml:space="preserve">           </w:t>
      </w:r>
      <w:r>
        <w:rPr>
          <w:rFonts w:hint="eastAsia" w:ascii="宋体" w:hAnsi="宋体"/>
          <w:sz w:val="24"/>
          <w:highlight w:val="none"/>
        </w:rPr>
        <w:t xml:space="preserve">  </w:t>
      </w:r>
    </w:p>
    <w:tbl>
      <w:tblPr>
        <w:tblStyle w:val="31"/>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5"/>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序  号</w:t>
            </w: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标书要求的商务条款</w:t>
            </w: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投标文件的商务条款</w:t>
            </w: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偏离与否</w:t>
            </w: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left="0" w:leftChars="0" w:firstLine="0" w:firstLineChars="0"/>
              <w:jc w:val="both"/>
              <w:rPr>
                <w:rFonts w:ascii="宋体" w:hAnsi="宋体"/>
                <w:sz w:val="24"/>
                <w:highlight w:val="none"/>
              </w:rPr>
            </w:pPr>
            <w:r>
              <w:rPr>
                <w:rFonts w:hint="eastAsia" w:ascii="宋体" w:hAnsi="宋体"/>
                <w:sz w:val="24"/>
                <w:highlight w:val="none"/>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c>
          <w:tcPr>
            <w:tcW w:w="1705"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720"/>
              <w:rPr>
                <w:rFonts w:ascii="宋体" w:hAnsi="宋体"/>
                <w:sz w:val="36"/>
                <w:highlight w:val="none"/>
              </w:rPr>
            </w:pPr>
          </w:p>
        </w:tc>
      </w:tr>
    </w:tbl>
    <w:p>
      <w:pPr>
        <w:spacing w:line="480" w:lineRule="exact"/>
        <w:ind w:firstLine="480"/>
        <w:rPr>
          <w:rFonts w:ascii="宋体" w:hAnsi="宋体"/>
          <w:sz w:val="24"/>
          <w:szCs w:val="24"/>
          <w:highlight w:val="none"/>
        </w:rPr>
      </w:pPr>
      <w:r>
        <w:rPr>
          <w:rFonts w:hint="eastAsia" w:ascii="宋体" w:hAnsi="宋体"/>
          <w:sz w:val="24"/>
          <w:szCs w:val="24"/>
          <w:highlight w:val="none"/>
        </w:rPr>
        <w:t>注：1、如有偏离，则必须在本偏离表中体现。</w:t>
      </w:r>
    </w:p>
    <w:p>
      <w:pPr>
        <w:pStyle w:val="11"/>
        <w:ind w:firstLine="420" w:firstLineChars="200"/>
        <w:rPr>
          <w:szCs w:val="24"/>
          <w:highlight w:val="none"/>
          <w:lang w:eastAsia="zh-CN"/>
        </w:rPr>
      </w:pPr>
      <w:r>
        <w:rPr>
          <w:rFonts w:hint="eastAsia"/>
          <w:szCs w:val="24"/>
          <w:highlight w:val="none"/>
          <w:lang w:eastAsia="zh-CN"/>
        </w:rPr>
        <w:t>2、投标人承诺：除上表中的偏差外，完全响应招标文件的其他条款。</w:t>
      </w:r>
    </w:p>
    <w:p>
      <w:pPr>
        <w:pStyle w:val="11"/>
        <w:rPr>
          <w:highlight w:val="none"/>
          <w:lang w:eastAsia="zh-CN"/>
        </w:rPr>
      </w:pPr>
    </w:p>
    <w:p>
      <w:pPr>
        <w:spacing w:line="360" w:lineRule="auto"/>
        <w:ind w:firstLine="480"/>
        <w:rPr>
          <w:rFonts w:ascii="Arial" w:hAnsi="Arial" w:cs="Arial"/>
          <w:color w:val="000000"/>
          <w:sz w:val="24"/>
          <w:szCs w:val="24"/>
          <w:highlight w:val="none"/>
        </w:rPr>
      </w:pPr>
      <w:r>
        <w:rPr>
          <w:rFonts w:hint="eastAsia" w:ascii="Arial" w:hAnsi="宋体" w:cs="Arial"/>
          <w:color w:val="000000"/>
          <w:sz w:val="24"/>
          <w:szCs w:val="24"/>
          <w:highlight w:val="none"/>
        </w:rPr>
        <w:t>投标人（盖单位公章）：</w:t>
      </w:r>
      <w:r>
        <w:rPr>
          <w:rFonts w:ascii="Arial" w:hAnsi="Arial" w:cs="Arial"/>
          <w:color w:val="000000"/>
          <w:sz w:val="24"/>
          <w:szCs w:val="24"/>
          <w:highlight w:val="none"/>
        </w:rPr>
        <w:tab/>
      </w:r>
      <w:r>
        <w:rPr>
          <w:rFonts w:ascii="Arial" w:hAnsi="Arial" w:cs="Arial"/>
          <w:color w:val="000000"/>
          <w:sz w:val="24"/>
          <w:szCs w:val="24"/>
          <w:highlight w:val="non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r>
        <w:rPr>
          <w:rFonts w:ascii="Arial" w:hAnsi="Arial" w:cs="Arial"/>
          <w:color w:val="000000"/>
          <w:sz w:val="24"/>
          <w:szCs w:val="24"/>
          <w:highlight w:val="none"/>
          <w:u w:val="single"/>
        </w:rPr>
        <w:tab/>
      </w:r>
    </w:p>
    <w:p>
      <w:pPr>
        <w:spacing w:line="360" w:lineRule="auto"/>
        <w:ind w:firstLine="480"/>
        <w:rPr>
          <w:rFonts w:ascii="Arial" w:hAnsi="宋体" w:cs="Arial"/>
          <w:color w:val="000000"/>
          <w:sz w:val="24"/>
          <w:szCs w:val="24"/>
          <w:highlight w:val="none"/>
        </w:rPr>
      </w:pPr>
      <w:r>
        <w:rPr>
          <w:rFonts w:hint="eastAsia" w:ascii="Arial" w:hAnsi="宋体" w:cs="Arial"/>
          <w:color w:val="000000"/>
          <w:sz w:val="24"/>
          <w:szCs w:val="24"/>
          <w:highlight w:val="none"/>
        </w:rPr>
        <w:t>法定代表人或其委托代理人：（签名）</w:t>
      </w:r>
      <w:r>
        <w:rPr>
          <w:rFonts w:ascii="Arial" w:hAnsi="宋体" w:cs="Arial"/>
          <w:color w:val="000000"/>
          <w:sz w:val="24"/>
          <w:szCs w:val="24"/>
          <w:highlight w:val="none"/>
        </w:rPr>
        <w:tab/>
      </w:r>
      <w:r>
        <w:rPr>
          <w:rFonts w:ascii="Arial" w:hAnsi="宋体" w:cs="Arial"/>
          <w:color w:val="000000"/>
          <w:sz w:val="24"/>
          <w:szCs w:val="24"/>
          <w:highlight w:val="none"/>
        </w:rPr>
        <w:tab/>
      </w:r>
      <w:r>
        <w:rPr>
          <w:rFonts w:ascii="Arial" w:hAnsi="宋体" w:cs="Arial"/>
          <w:color w:val="000000"/>
          <w:sz w:val="24"/>
          <w:szCs w:val="24"/>
          <w:highlight w:val="none"/>
        </w:rPr>
        <w:tab/>
      </w:r>
      <w:r>
        <w:rPr>
          <w:rFonts w:ascii="Arial" w:hAnsi="宋体" w:cs="Arial"/>
          <w:color w:val="000000"/>
          <w:sz w:val="24"/>
          <w:szCs w:val="24"/>
          <w:highlight w:val="none"/>
        </w:rPr>
        <w:tab/>
      </w:r>
      <w:r>
        <w:rPr>
          <w:rFonts w:ascii="Arial" w:hAnsi="宋体" w:cs="Arial"/>
          <w:color w:val="000000"/>
          <w:sz w:val="24"/>
          <w:szCs w:val="24"/>
          <w:highlight w:val="none"/>
        </w:rPr>
        <w:tab/>
      </w:r>
      <w:r>
        <w:rPr>
          <w:rFonts w:ascii="Arial" w:hAnsi="宋体" w:cs="Arial"/>
          <w:color w:val="000000"/>
          <w:sz w:val="24"/>
          <w:szCs w:val="24"/>
          <w:highlight w:val="none"/>
        </w:rPr>
        <w:tab/>
      </w:r>
    </w:p>
    <w:p>
      <w:pPr>
        <w:spacing w:line="360" w:lineRule="auto"/>
        <w:ind w:firstLine="480"/>
        <w:rPr>
          <w:rFonts w:ascii="Arial" w:hAnsi="宋体" w:cs="Arial"/>
          <w:color w:val="000000"/>
          <w:sz w:val="24"/>
          <w:szCs w:val="24"/>
          <w:highlight w:val="none"/>
        </w:rPr>
      </w:pPr>
      <w:r>
        <w:rPr>
          <w:rFonts w:hint="eastAsia" w:ascii="Arial" w:hAnsi="宋体" w:cs="Arial"/>
          <w:color w:val="000000"/>
          <w:sz w:val="24"/>
          <w:szCs w:val="24"/>
          <w:highlight w:val="none"/>
        </w:rPr>
        <w:t>年</w:t>
      </w:r>
      <w:r>
        <w:rPr>
          <w:rFonts w:ascii="Arial" w:hAnsi="宋体" w:cs="Arial"/>
          <w:color w:val="000000"/>
          <w:sz w:val="24"/>
          <w:szCs w:val="24"/>
          <w:highlight w:val="none"/>
        </w:rPr>
        <w:tab/>
      </w:r>
      <w:r>
        <w:rPr>
          <w:rFonts w:ascii="Arial" w:hAnsi="宋体" w:cs="Arial"/>
          <w:color w:val="000000"/>
          <w:sz w:val="24"/>
          <w:szCs w:val="24"/>
          <w:highlight w:val="none"/>
        </w:rPr>
        <w:tab/>
      </w:r>
      <w:r>
        <w:rPr>
          <w:rFonts w:hint="eastAsia" w:ascii="Arial" w:hAnsi="宋体" w:cs="Arial"/>
          <w:color w:val="000000"/>
          <w:sz w:val="24"/>
          <w:szCs w:val="24"/>
          <w:highlight w:val="none"/>
        </w:rPr>
        <w:t>月</w:t>
      </w:r>
      <w:r>
        <w:rPr>
          <w:rFonts w:ascii="Arial" w:hAnsi="宋体" w:cs="Arial"/>
          <w:color w:val="000000"/>
          <w:sz w:val="24"/>
          <w:szCs w:val="24"/>
          <w:highlight w:val="none"/>
        </w:rPr>
        <w:tab/>
      </w:r>
      <w:r>
        <w:rPr>
          <w:rFonts w:ascii="Arial" w:hAnsi="宋体" w:cs="Arial"/>
          <w:color w:val="000000"/>
          <w:sz w:val="24"/>
          <w:szCs w:val="24"/>
          <w:highlight w:val="none"/>
        </w:rPr>
        <w:tab/>
      </w:r>
      <w:r>
        <w:rPr>
          <w:rFonts w:hint="eastAsia" w:ascii="Arial" w:hAnsi="宋体" w:cs="Arial"/>
          <w:color w:val="000000"/>
          <w:sz w:val="24"/>
          <w:szCs w:val="24"/>
          <w:highlight w:val="none"/>
        </w:rPr>
        <w:t>日</w:t>
      </w:r>
      <w:r>
        <w:rPr>
          <w:rFonts w:ascii="Arial" w:hAnsi="宋体" w:cs="Arial"/>
          <w:color w:val="000000"/>
          <w:sz w:val="24"/>
          <w:szCs w:val="24"/>
          <w:highlight w:val="none"/>
        </w:rPr>
        <w:t xml:space="preserve">                     </w:t>
      </w:r>
      <w:r>
        <w:rPr>
          <w:rFonts w:ascii="Arial" w:hAnsi="宋体" w:cs="Arial"/>
          <w:color w:val="000000"/>
          <w:sz w:val="24"/>
          <w:szCs w:val="24"/>
          <w:highlight w:val="none"/>
        </w:rPr>
        <w:br w:type="page"/>
      </w:r>
    </w:p>
    <w:p>
      <w:pPr>
        <w:pStyle w:val="11"/>
        <w:ind w:firstLine="720"/>
        <w:jc w:val="center"/>
        <w:rPr>
          <w:rFonts w:ascii="黑体" w:eastAsia="黑体"/>
          <w:sz w:val="36"/>
          <w:highlight w:val="none"/>
          <w:lang w:eastAsia="zh-CN"/>
        </w:rPr>
      </w:pPr>
      <w:r>
        <w:rPr>
          <w:rFonts w:hint="eastAsia" w:ascii="黑体" w:eastAsia="黑体"/>
          <w:sz w:val="36"/>
          <w:highlight w:val="none"/>
          <w:lang w:eastAsia="zh-CN"/>
        </w:rPr>
        <w:t>7.施工组织设计</w:t>
      </w:r>
    </w:p>
    <w:p>
      <w:pPr>
        <w:spacing w:line="500" w:lineRule="exact"/>
        <w:ind w:firstLine="480"/>
        <w:rPr>
          <w:rFonts w:ascii="宋体" w:hAnsi="宋体"/>
          <w:sz w:val="24"/>
          <w:highlight w:val="none"/>
        </w:rPr>
      </w:pPr>
      <w:r>
        <w:rPr>
          <w:rFonts w:hint="eastAsia" w:ascii="宋体" w:hAnsi="宋体"/>
          <w:sz w:val="24"/>
          <w:highlight w:val="none"/>
        </w:rPr>
        <w:t xml:space="preserve">     包括：安装、调试、测试、验收、试验、试运行、培训、售后服务、拟投入专业人员情况、质保期等。</w:t>
      </w:r>
    </w:p>
    <w:p>
      <w:pPr>
        <w:spacing w:line="500" w:lineRule="exact"/>
        <w:ind w:firstLine="480"/>
        <w:rPr>
          <w:rFonts w:ascii="楷体_GB2312" w:eastAsia="楷体_GB2312"/>
          <w:sz w:val="24"/>
          <w:highlight w:val="none"/>
        </w:rPr>
      </w:pPr>
    </w:p>
    <w:p>
      <w:pPr>
        <w:spacing w:line="560" w:lineRule="exact"/>
        <w:ind w:firstLine="720"/>
        <w:jc w:val="center"/>
        <w:rPr>
          <w:rFonts w:ascii="黑体" w:eastAsia="黑体"/>
          <w:sz w:val="36"/>
          <w:highlight w:val="none"/>
        </w:rPr>
      </w:pPr>
      <w:r>
        <w:rPr>
          <w:rFonts w:hint="eastAsia" w:ascii="黑体" w:eastAsia="黑体"/>
          <w:sz w:val="36"/>
          <w:highlight w:val="none"/>
        </w:rPr>
        <w:br w:type="page"/>
      </w:r>
      <w:r>
        <w:rPr>
          <w:rFonts w:hint="eastAsia" w:ascii="黑体" w:eastAsia="黑体"/>
          <w:sz w:val="36"/>
          <w:highlight w:val="none"/>
        </w:rPr>
        <w:t>8.经营业绩</w:t>
      </w:r>
    </w:p>
    <w:p>
      <w:pPr>
        <w:spacing w:line="400" w:lineRule="exact"/>
        <w:ind w:firstLine="480"/>
        <w:rPr>
          <w:rFonts w:ascii="宋体" w:hAnsi="宋体"/>
          <w:sz w:val="24"/>
          <w:highlight w:val="none"/>
        </w:rPr>
      </w:pPr>
      <w:r>
        <w:rPr>
          <w:rFonts w:hint="eastAsia" w:ascii="宋体" w:hAnsi="宋体"/>
          <w:sz w:val="24"/>
          <w:highlight w:val="none"/>
        </w:rPr>
        <w:t>（注：提供近三年同类货物的销售业绩、安装业绩，含用户名单、联系方法等、合同复印件等。）</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pStyle w:val="29"/>
        <w:ind w:firstLine="643"/>
        <w:rPr>
          <w:b/>
          <w:bCs/>
          <w:color w:val="auto"/>
          <w:sz w:val="32"/>
          <w:highlight w:val="none"/>
        </w:rPr>
      </w:pPr>
    </w:p>
    <w:p>
      <w:pPr>
        <w:spacing w:line="360" w:lineRule="auto"/>
        <w:ind w:left="420"/>
        <w:rPr>
          <w:highlight w:val="none"/>
        </w:rPr>
      </w:pPr>
    </w:p>
    <w:p>
      <w:pPr>
        <w:spacing w:line="360" w:lineRule="auto"/>
        <w:ind w:left="420"/>
        <w:rPr>
          <w:highlight w:val="none"/>
        </w:rPr>
      </w:pPr>
    </w:p>
    <w:p>
      <w:pPr>
        <w:snapToGrid w:val="0"/>
        <w:spacing w:line="360" w:lineRule="auto"/>
        <w:jc w:val="center"/>
        <w:rPr>
          <w:rFonts w:hint="eastAsia" w:ascii="宋体" w:hAnsi="宋体" w:cs="宋体"/>
          <w:kern w:val="0"/>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auto"/>
    <w:pitch w:val="default"/>
    <w:sig w:usb0="00000000" w:usb1="00000000" w:usb2="00000000" w:usb3="00000000" w:csb0="80000000" w:csb1="00000000"/>
  </w:font>
  <w:font w:name="Arial Narrow">
    <w:panose1 w:val="020B0606020202030204"/>
    <w:charset w:val="00"/>
    <w:family w:val="swiss"/>
    <w:pitch w:val="default"/>
    <w:sig w:usb0="00000287" w:usb1="000008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jc w:val="center"/>
    </w:pPr>
    <w:r>
      <w:fldChar w:fldCharType="begin"/>
    </w:r>
    <w:r>
      <w:instrText xml:space="preserve">PAGE   \* MERGEFORMAT</w:instrText>
    </w:r>
    <w:r>
      <w:fldChar w:fldCharType="separate"/>
    </w:r>
    <w:r>
      <w:rPr>
        <w:lang w:val="zh-CN"/>
      </w:rPr>
      <w:t>44</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16C26"/>
    <w:multiLevelType w:val="singleLevel"/>
    <w:tmpl w:val="81D16C26"/>
    <w:lvl w:ilvl="0" w:tentative="0">
      <w:start w:val="1"/>
      <w:numFmt w:val="decimal"/>
      <w:lvlText w:val="(%1)"/>
      <w:lvlJc w:val="left"/>
      <w:pPr>
        <w:ind w:left="425" w:hanging="425"/>
      </w:pPr>
      <w:rPr>
        <w:rFonts w:hint="default" w:cs="Times New Roman"/>
      </w:rPr>
    </w:lvl>
  </w:abstractNum>
  <w:abstractNum w:abstractNumId="1">
    <w:nsid w:val="92AAFBA3"/>
    <w:multiLevelType w:val="singleLevel"/>
    <w:tmpl w:val="92AAFBA3"/>
    <w:lvl w:ilvl="0" w:tentative="0">
      <w:start w:val="2"/>
      <w:numFmt w:val="decimal"/>
      <w:suff w:val="nothing"/>
      <w:lvlText w:val="%1、"/>
      <w:lvlJc w:val="left"/>
    </w:lvl>
  </w:abstractNum>
  <w:abstractNum w:abstractNumId="2">
    <w:nsid w:val="D9AAF3E8"/>
    <w:multiLevelType w:val="singleLevel"/>
    <w:tmpl w:val="D9AAF3E8"/>
    <w:lvl w:ilvl="0" w:tentative="0">
      <w:start w:val="1"/>
      <w:numFmt w:val="decimal"/>
      <w:lvlText w:val="(%1)"/>
      <w:lvlJc w:val="left"/>
      <w:pPr>
        <w:ind w:left="425" w:hanging="425"/>
      </w:pPr>
      <w:rPr>
        <w:rFonts w:hint="default" w:cs="Times New Roman"/>
      </w:rPr>
    </w:lvl>
  </w:abstractNum>
  <w:abstractNum w:abstractNumId="3">
    <w:nsid w:val="F8AE12EB"/>
    <w:multiLevelType w:val="singleLevel"/>
    <w:tmpl w:val="F8AE12EB"/>
    <w:lvl w:ilvl="0" w:tentative="0">
      <w:start w:val="1"/>
      <w:numFmt w:val="decimal"/>
      <w:lvlText w:val="(%1)"/>
      <w:lvlJc w:val="left"/>
      <w:pPr>
        <w:ind w:left="425" w:hanging="425"/>
      </w:pPr>
      <w:rPr>
        <w:rFonts w:hint="default" w:cs="Times New Roman"/>
      </w:rPr>
    </w:lvl>
  </w:abstractNum>
  <w:abstractNum w:abstractNumId="4">
    <w:nsid w:val="0000000B"/>
    <w:multiLevelType w:val="multilevel"/>
    <w:tmpl w:val="0000000B"/>
    <w:lvl w:ilvl="0" w:tentative="0">
      <w:start w:val="1"/>
      <w:numFmt w:val="decimal"/>
      <w:lvlText w:val="19.%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C"/>
    <w:multiLevelType w:val="multilevel"/>
    <w:tmpl w:val="0000000C"/>
    <w:lvl w:ilvl="0" w:tentative="0">
      <w:start w:val="1"/>
      <w:numFmt w:val="decimal"/>
      <w:lvlText w:val="15.1.%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D"/>
    <w:multiLevelType w:val="multilevel"/>
    <w:tmpl w:val="0000000D"/>
    <w:lvl w:ilvl="0" w:tentative="0">
      <w:start w:val="1"/>
      <w:numFmt w:val="decimal"/>
      <w:lvlText w:val="7.%1"/>
      <w:lvlJc w:val="left"/>
      <w:pPr>
        <w:tabs>
          <w:tab w:val="left" w:pos="1080"/>
        </w:tabs>
        <w:ind w:left="1080" w:hanging="360"/>
      </w:pPr>
      <w:rPr>
        <w:rFonts w:hint="eastAsia" w:ascii="宋体" w:hAnsi="宋体" w:eastAsia="宋体"/>
        <w:b w:val="0"/>
        <w:i w:val="0"/>
      </w:rPr>
    </w:lvl>
    <w:lvl w:ilvl="1" w:tentative="0">
      <w:start w:val="1"/>
      <w:numFmt w:val="lowerLetter"/>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2"/>
    <w:multiLevelType w:val="multilevel"/>
    <w:tmpl w:val="00000012"/>
    <w:lvl w:ilvl="0" w:tentative="0">
      <w:start w:val="1"/>
      <w:numFmt w:val="decimal"/>
      <w:lvlText w:val="8.%1"/>
      <w:lvlJc w:val="left"/>
      <w:pPr>
        <w:tabs>
          <w:tab w:val="left" w:pos="900"/>
        </w:tabs>
        <w:ind w:left="900" w:hanging="360"/>
      </w:pPr>
      <w:rPr>
        <w:rFonts w:hint="eastAsia" w:ascii="宋体" w:hAnsi="宋体" w:eastAsia="宋体"/>
        <w:b w:val="0"/>
        <w:i w:val="0"/>
        <w:sz w:val="24"/>
        <w:szCs w:val="24"/>
      </w:rPr>
    </w:lvl>
    <w:lvl w:ilvl="1" w:tentative="0">
      <w:start w:val="1"/>
      <w:numFmt w:val="lowerLetter"/>
      <w:lvlText w:val="%2)"/>
      <w:lvlJc w:val="left"/>
      <w:pPr>
        <w:tabs>
          <w:tab w:val="left" w:pos="660"/>
        </w:tabs>
        <w:ind w:left="660" w:hanging="420"/>
      </w:pPr>
    </w:lvl>
    <w:lvl w:ilvl="2" w:tentative="0">
      <w:start w:val="1"/>
      <w:numFmt w:val="lowerRoman"/>
      <w:lvlText w:val="%3."/>
      <w:lvlJc w:val="right"/>
      <w:pPr>
        <w:tabs>
          <w:tab w:val="left" w:pos="1080"/>
        </w:tabs>
        <w:ind w:left="1080" w:hanging="420"/>
      </w:pPr>
    </w:lvl>
    <w:lvl w:ilvl="3" w:tentative="0">
      <w:start w:val="1"/>
      <w:numFmt w:val="decimal"/>
      <w:lvlText w:val="%4."/>
      <w:lvlJc w:val="left"/>
      <w:pPr>
        <w:tabs>
          <w:tab w:val="left" w:pos="1500"/>
        </w:tabs>
        <w:ind w:left="1500" w:hanging="420"/>
      </w:pPr>
    </w:lvl>
    <w:lvl w:ilvl="4" w:tentative="0">
      <w:start w:val="1"/>
      <w:numFmt w:val="lowerLetter"/>
      <w:lvlText w:val="%5)"/>
      <w:lvlJc w:val="left"/>
      <w:pPr>
        <w:tabs>
          <w:tab w:val="left" w:pos="1920"/>
        </w:tabs>
        <w:ind w:left="1920" w:hanging="420"/>
      </w:pPr>
    </w:lvl>
    <w:lvl w:ilvl="5" w:tentative="0">
      <w:start w:val="1"/>
      <w:numFmt w:val="lowerRoman"/>
      <w:lvlText w:val="%6."/>
      <w:lvlJc w:val="right"/>
      <w:pPr>
        <w:tabs>
          <w:tab w:val="left" w:pos="2340"/>
        </w:tabs>
        <w:ind w:left="2340" w:hanging="420"/>
      </w:pPr>
    </w:lvl>
    <w:lvl w:ilvl="6" w:tentative="0">
      <w:start w:val="1"/>
      <w:numFmt w:val="decimal"/>
      <w:lvlText w:val="%7."/>
      <w:lvlJc w:val="left"/>
      <w:pPr>
        <w:tabs>
          <w:tab w:val="left" w:pos="2760"/>
        </w:tabs>
        <w:ind w:left="2760" w:hanging="420"/>
      </w:pPr>
    </w:lvl>
    <w:lvl w:ilvl="7" w:tentative="0">
      <w:start w:val="1"/>
      <w:numFmt w:val="lowerLetter"/>
      <w:lvlText w:val="%8)"/>
      <w:lvlJc w:val="left"/>
      <w:pPr>
        <w:tabs>
          <w:tab w:val="left" w:pos="3180"/>
        </w:tabs>
        <w:ind w:left="3180" w:hanging="420"/>
      </w:pPr>
    </w:lvl>
    <w:lvl w:ilvl="8" w:tentative="0">
      <w:start w:val="1"/>
      <w:numFmt w:val="lowerRoman"/>
      <w:lvlText w:val="%9."/>
      <w:lvlJc w:val="right"/>
      <w:pPr>
        <w:tabs>
          <w:tab w:val="left" w:pos="3600"/>
        </w:tabs>
        <w:ind w:left="3600" w:hanging="420"/>
      </w:pPr>
    </w:lvl>
  </w:abstractNum>
  <w:abstractNum w:abstractNumId="8">
    <w:nsid w:val="00000015"/>
    <w:multiLevelType w:val="multilevel"/>
    <w:tmpl w:val="00000015"/>
    <w:lvl w:ilvl="0" w:tentative="0">
      <w:start w:val="1"/>
      <w:numFmt w:val="decimal"/>
      <w:lvlText w:val="18.%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16"/>
    <w:multiLevelType w:val="multilevel"/>
    <w:tmpl w:val="00000016"/>
    <w:lvl w:ilvl="0" w:tentative="0">
      <w:start w:val="1"/>
      <w:numFmt w:val="decimal"/>
      <w:lvlText w:val="%1."/>
      <w:lvlJc w:val="left"/>
      <w:pPr>
        <w:tabs>
          <w:tab w:val="left" w:pos="1380"/>
        </w:tabs>
        <w:ind w:left="1380" w:hanging="420"/>
      </w:pPr>
      <w:rPr>
        <w:rFonts w:hint="eastAsia"/>
      </w:rPr>
    </w:lvl>
    <w:lvl w:ilvl="1" w:tentative="0">
      <w:start w:val="1"/>
      <w:numFmt w:val="lowerLetter"/>
      <w:lvlText w:val="（%2）"/>
      <w:lvlJc w:val="left"/>
      <w:pPr>
        <w:tabs>
          <w:tab w:val="left" w:pos="1320"/>
        </w:tabs>
        <w:ind w:left="1320" w:hanging="420"/>
      </w:pPr>
      <w:rPr>
        <w:rFonts w:hint="eastAsia"/>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10">
    <w:nsid w:val="00000017"/>
    <w:multiLevelType w:val="multilevel"/>
    <w:tmpl w:val="00000017"/>
    <w:lvl w:ilvl="0" w:tentative="0">
      <w:start w:val="1"/>
      <w:numFmt w:val="decimal"/>
      <w:lvlText w:val="17.%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000001A"/>
    <w:multiLevelType w:val="multilevel"/>
    <w:tmpl w:val="0000001A"/>
    <w:lvl w:ilvl="0" w:tentative="0">
      <w:start w:val="1"/>
      <w:numFmt w:val="decimal"/>
      <w:lvlText w:val="16.%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000001E"/>
    <w:multiLevelType w:val="multilevel"/>
    <w:tmpl w:val="0000001E"/>
    <w:lvl w:ilvl="0" w:tentative="0">
      <w:start w:val="1"/>
      <w:numFmt w:val="decimal"/>
      <w:lvlText w:val="%1."/>
      <w:lvlJc w:val="left"/>
      <w:pPr>
        <w:tabs>
          <w:tab w:val="left" w:pos="1380"/>
        </w:tabs>
        <w:ind w:left="1380" w:hanging="420"/>
      </w:pPr>
      <w:rPr>
        <w:rFonts w:hint="eastAsia"/>
      </w:rPr>
    </w:lvl>
    <w:lvl w:ilvl="1" w:tentative="0">
      <w:start w:val="1"/>
      <w:numFmt w:val="lowerLetter"/>
      <w:lvlText w:val="（%2）"/>
      <w:lvlJc w:val="left"/>
      <w:pPr>
        <w:tabs>
          <w:tab w:val="left" w:pos="1320"/>
        </w:tabs>
        <w:ind w:left="1320" w:hanging="420"/>
      </w:pPr>
      <w:rPr>
        <w:rFonts w:hint="eastAsia"/>
        <w:lang w:val="en-US"/>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13">
    <w:nsid w:val="00000020"/>
    <w:multiLevelType w:val="multilevel"/>
    <w:tmpl w:val="00000020"/>
    <w:lvl w:ilvl="0" w:tentative="0">
      <w:start w:val="1"/>
      <w:numFmt w:val="decimal"/>
      <w:lvlText w:val="13.%1"/>
      <w:lvlJc w:val="left"/>
      <w:pPr>
        <w:tabs>
          <w:tab w:val="left" w:pos="900"/>
        </w:tabs>
        <w:ind w:left="90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0000021"/>
    <w:multiLevelType w:val="multilevel"/>
    <w:tmpl w:val="00000021"/>
    <w:lvl w:ilvl="0" w:tentative="0">
      <w:start w:val="1"/>
      <w:numFmt w:val="decimal"/>
      <w:lvlText w:val="4.%1"/>
      <w:lvlJc w:val="left"/>
      <w:pPr>
        <w:tabs>
          <w:tab w:val="left" w:pos="1080"/>
        </w:tabs>
        <w:ind w:left="1080" w:hanging="360"/>
      </w:pPr>
      <w:rPr>
        <w:rFonts w:hint="eastAsia" w:ascii="宋体" w:hAnsi="宋体" w:eastAsia="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00000025"/>
    <w:multiLevelType w:val="multilevel"/>
    <w:tmpl w:val="00000025"/>
    <w:lvl w:ilvl="0" w:tentative="0">
      <w:start w:val="1"/>
      <w:numFmt w:val="decimal"/>
      <w:lvlText w:val="%1."/>
      <w:lvlJc w:val="left"/>
      <w:pPr>
        <w:tabs>
          <w:tab w:val="left" w:pos="1380"/>
        </w:tabs>
        <w:ind w:left="1380" w:hanging="420"/>
      </w:pPr>
      <w:rPr>
        <w:rFonts w:hint="eastAsia"/>
      </w:rPr>
    </w:lvl>
    <w:lvl w:ilvl="1" w:tentative="0">
      <w:start w:val="1"/>
      <w:numFmt w:val="lowerLetter"/>
      <w:lvlText w:val="%2)"/>
      <w:lvlJc w:val="left"/>
      <w:pPr>
        <w:tabs>
          <w:tab w:val="left" w:pos="1320"/>
        </w:tabs>
        <w:ind w:left="1320" w:hanging="420"/>
      </w:pPr>
      <w:rPr>
        <w:rFonts w:hint="eastAsia"/>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16">
    <w:nsid w:val="00000028"/>
    <w:multiLevelType w:val="multilevel"/>
    <w:tmpl w:val="00000028"/>
    <w:lvl w:ilvl="0" w:tentative="0">
      <w:start w:val="1"/>
      <w:numFmt w:val="decimal"/>
      <w:lvlText w:val="14.%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0000002E"/>
    <w:multiLevelType w:val="multilevel"/>
    <w:tmpl w:val="0000002E"/>
    <w:lvl w:ilvl="0" w:tentative="0">
      <w:start w:val="1"/>
      <w:numFmt w:val="decimal"/>
      <w:lvlText w:val="（%1）"/>
      <w:lvlJc w:val="left"/>
      <w:pPr>
        <w:tabs>
          <w:tab w:val="left" w:pos="1140"/>
        </w:tabs>
        <w:ind w:left="11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0000002F"/>
    <w:multiLevelType w:val="multilevel"/>
    <w:tmpl w:val="0000002F"/>
    <w:lvl w:ilvl="0" w:tentative="0">
      <w:start w:val="1"/>
      <w:numFmt w:val="decimal"/>
      <w:lvlText w:val="11.%1"/>
      <w:lvlJc w:val="left"/>
      <w:pPr>
        <w:tabs>
          <w:tab w:val="left" w:pos="900"/>
        </w:tabs>
        <w:ind w:left="90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00000030"/>
    <w:multiLevelType w:val="multilevel"/>
    <w:tmpl w:val="00000030"/>
    <w:lvl w:ilvl="0" w:tentative="0">
      <w:start w:val="1"/>
      <w:numFmt w:val="decimal"/>
      <w:lvlText w:val="（%1）"/>
      <w:lvlJc w:val="left"/>
      <w:pPr>
        <w:tabs>
          <w:tab w:val="left" w:pos="1140"/>
        </w:tabs>
        <w:ind w:left="11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00000031"/>
    <w:multiLevelType w:val="multilevel"/>
    <w:tmpl w:val="00000031"/>
    <w:lvl w:ilvl="0" w:tentative="0">
      <w:start w:val="1"/>
      <w:numFmt w:val="decimal"/>
      <w:lvlText w:val="%1."/>
      <w:lvlJc w:val="left"/>
      <w:pPr>
        <w:tabs>
          <w:tab w:val="left" w:pos="1380"/>
        </w:tabs>
        <w:ind w:left="1380" w:hanging="420"/>
      </w:pPr>
      <w:rPr>
        <w:rFonts w:hint="eastAsia"/>
      </w:rPr>
    </w:lvl>
    <w:lvl w:ilvl="1" w:tentative="0">
      <w:start w:val="1"/>
      <w:numFmt w:val="decimal"/>
      <w:lvlText w:val="（%2）"/>
      <w:lvlJc w:val="left"/>
      <w:pPr>
        <w:tabs>
          <w:tab w:val="left" w:pos="1320"/>
        </w:tabs>
        <w:ind w:left="1320" w:hanging="420"/>
      </w:pPr>
      <w:rPr>
        <w:rFonts w:hint="eastAsia"/>
        <w:lang w:val="en-US"/>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21">
    <w:nsid w:val="00000034"/>
    <w:multiLevelType w:val="multilevel"/>
    <w:tmpl w:val="00000034"/>
    <w:lvl w:ilvl="0" w:tentative="0">
      <w:start w:val="1"/>
      <w:numFmt w:val="decimal"/>
      <w:lvlText w:val="15.%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00000035"/>
    <w:multiLevelType w:val="multilevel"/>
    <w:tmpl w:val="00000035"/>
    <w:lvl w:ilvl="0" w:tentative="0">
      <w:start w:val="1"/>
      <w:numFmt w:val="decimal"/>
      <w:lvlText w:val="%1."/>
      <w:lvlJc w:val="left"/>
      <w:pPr>
        <w:tabs>
          <w:tab w:val="left" w:pos="1380"/>
        </w:tabs>
        <w:ind w:left="1380" w:hanging="420"/>
      </w:pPr>
      <w:rPr>
        <w:rFonts w:hint="eastAsia"/>
      </w:rPr>
    </w:lvl>
    <w:lvl w:ilvl="1" w:tentative="0">
      <w:start w:val="1"/>
      <w:numFmt w:val="decimal"/>
      <w:lvlText w:val="（%2）"/>
      <w:lvlJc w:val="left"/>
      <w:pPr>
        <w:tabs>
          <w:tab w:val="left" w:pos="1320"/>
        </w:tabs>
        <w:ind w:left="1320" w:hanging="420"/>
      </w:pPr>
      <w:rPr>
        <w:rFonts w:hint="eastAsia"/>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23">
    <w:nsid w:val="00000036"/>
    <w:multiLevelType w:val="multilevel"/>
    <w:tmpl w:val="00000036"/>
    <w:lvl w:ilvl="0" w:tentative="0">
      <w:start w:val="1"/>
      <w:numFmt w:val="decimal"/>
      <w:lvlText w:val="（%1）"/>
      <w:lvlJc w:val="left"/>
      <w:pPr>
        <w:tabs>
          <w:tab w:val="left" w:pos="960"/>
        </w:tabs>
        <w:ind w:left="960" w:hanging="420"/>
      </w:pPr>
      <w:rPr>
        <w:rFonts w:hint="eastAsia"/>
      </w:rPr>
    </w:lvl>
    <w:lvl w:ilvl="1" w:tentative="0">
      <w:start w:val="1"/>
      <w:numFmt w:val="lowerLetter"/>
      <w:lvlText w:val="%2)"/>
      <w:lvlJc w:val="left"/>
      <w:pPr>
        <w:tabs>
          <w:tab w:val="left" w:pos="679"/>
        </w:tabs>
        <w:ind w:left="679" w:hanging="420"/>
      </w:pPr>
    </w:lvl>
    <w:lvl w:ilvl="2" w:tentative="0">
      <w:start w:val="1"/>
      <w:numFmt w:val="lowerRoman"/>
      <w:lvlText w:val="%3."/>
      <w:lvlJc w:val="right"/>
      <w:pPr>
        <w:tabs>
          <w:tab w:val="left" w:pos="1099"/>
        </w:tabs>
        <w:ind w:left="1099" w:hanging="420"/>
      </w:pPr>
    </w:lvl>
    <w:lvl w:ilvl="3" w:tentative="0">
      <w:start w:val="1"/>
      <w:numFmt w:val="decimal"/>
      <w:lvlText w:val="%4."/>
      <w:lvlJc w:val="left"/>
      <w:pPr>
        <w:tabs>
          <w:tab w:val="left" w:pos="1519"/>
        </w:tabs>
        <w:ind w:left="1519" w:hanging="420"/>
      </w:pPr>
    </w:lvl>
    <w:lvl w:ilvl="4" w:tentative="0">
      <w:start w:val="1"/>
      <w:numFmt w:val="lowerLetter"/>
      <w:lvlText w:val="%5)"/>
      <w:lvlJc w:val="left"/>
      <w:pPr>
        <w:tabs>
          <w:tab w:val="left" w:pos="1939"/>
        </w:tabs>
        <w:ind w:left="1939" w:hanging="420"/>
      </w:pPr>
    </w:lvl>
    <w:lvl w:ilvl="5" w:tentative="0">
      <w:start w:val="1"/>
      <w:numFmt w:val="lowerRoman"/>
      <w:lvlText w:val="%6."/>
      <w:lvlJc w:val="right"/>
      <w:pPr>
        <w:tabs>
          <w:tab w:val="left" w:pos="2359"/>
        </w:tabs>
        <w:ind w:left="2359" w:hanging="420"/>
      </w:pPr>
    </w:lvl>
    <w:lvl w:ilvl="6" w:tentative="0">
      <w:start w:val="1"/>
      <w:numFmt w:val="decimal"/>
      <w:lvlText w:val="%7."/>
      <w:lvlJc w:val="left"/>
      <w:pPr>
        <w:tabs>
          <w:tab w:val="left" w:pos="2779"/>
        </w:tabs>
        <w:ind w:left="2779" w:hanging="420"/>
      </w:pPr>
    </w:lvl>
    <w:lvl w:ilvl="7" w:tentative="0">
      <w:start w:val="1"/>
      <w:numFmt w:val="lowerLetter"/>
      <w:lvlText w:val="%8)"/>
      <w:lvlJc w:val="left"/>
      <w:pPr>
        <w:tabs>
          <w:tab w:val="left" w:pos="3199"/>
        </w:tabs>
        <w:ind w:left="3199" w:hanging="420"/>
      </w:pPr>
    </w:lvl>
    <w:lvl w:ilvl="8" w:tentative="0">
      <w:start w:val="1"/>
      <w:numFmt w:val="lowerRoman"/>
      <w:lvlText w:val="%9."/>
      <w:lvlJc w:val="right"/>
      <w:pPr>
        <w:tabs>
          <w:tab w:val="left" w:pos="3619"/>
        </w:tabs>
        <w:ind w:left="3619" w:hanging="420"/>
      </w:pPr>
    </w:lvl>
  </w:abstractNum>
  <w:abstractNum w:abstractNumId="24">
    <w:nsid w:val="00000037"/>
    <w:multiLevelType w:val="multilevel"/>
    <w:tmpl w:val="00000037"/>
    <w:lvl w:ilvl="0" w:tentative="0">
      <w:start w:val="1"/>
      <w:numFmt w:val="decimal"/>
      <w:lvlText w:val="6.%1"/>
      <w:lvlJc w:val="left"/>
      <w:pPr>
        <w:tabs>
          <w:tab w:val="left" w:pos="900"/>
        </w:tabs>
        <w:ind w:left="900" w:hanging="360"/>
      </w:pPr>
      <w:rPr>
        <w:rFonts w:hint="eastAsia" w:ascii="宋体" w:hAnsi="宋体" w:eastAsia="宋体"/>
        <w:b w:val="0"/>
        <w:i w:val="0"/>
      </w:rPr>
    </w:lvl>
    <w:lvl w:ilvl="1" w:tentative="0">
      <w:start w:val="1"/>
      <w:numFmt w:val="lowerLetter"/>
      <w:lvlText w:val="%2)"/>
      <w:lvlJc w:val="left"/>
      <w:pPr>
        <w:tabs>
          <w:tab w:val="left" w:pos="660"/>
        </w:tabs>
        <w:ind w:left="660" w:hanging="420"/>
      </w:pPr>
    </w:lvl>
    <w:lvl w:ilvl="2" w:tentative="0">
      <w:start w:val="1"/>
      <w:numFmt w:val="lowerRoman"/>
      <w:lvlText w:val="%3."/>
      <w:lvlJc w:val="right"/>
      <w:pPr>
        <w:tabs>
          <w:tab w:val="left" w:pos="1080"/>
        </w:tabs>
        <w:ind w:left="1080" w:hanging="420"/>
      </w:pPr>
    </w:lvl>
    <w:lvl w:ilvl="3" w:tentative="0">
      <w:start w:val="1"/>
      <w:numFmt w:val="decimal"/>
      <w:lvlText w:val="%4."/>
      <w:lvlJc w:val="left"/>
      <w:pPr>
        <w:tabs>
          <w:tab w:val="left" w:pos="1500"/>
        </w:tabs>
        <w:ind w:left="1500" w:hanging="420"/>
      </w:pPr>
    </w:lvl>
    <w:lvl w:ilvl="4" w:tentative="0">
      <w:start w:val="1"/>
      <w:numFmt w:val="lowerLetter"/>
      <w:lvlText w:val="%5)"/>
      <w:lvlJc w:val="left"/>
      <w:pPr>
        <w:tabs>
          <w:tab w:val="left" w:pos="1920"/>
        </w:tabs>
        <w:ind w:left="1920" w:hanging="420"/>
      </w:pPr>
    </w:lvl>
    <w:lvl w:ilvl="5" w:tentative="0">
      <w:start w:val="1"/>
      <w:numFmt w:val="lowerRoman"/>
      <w:lvlText w:val="%6."/>
      <w:lvlJc w:val="right"/>
      <w:pPr>
        <w:tabs>
          <w:tab w:val="left" w:pos="2340"/>
        </w:tabs>
        <w:ind w:left="2340" w:hanging="420"/>
      </w:pPr>
    </w:lvl>
    <w:lvl w:ilvl="6" w:tentative="0">
      <w:start w:val="1"/>
      <w:numFmt w:val="decimal"/>
      <w:lvlText w:val="%7."/>
      <w:lvlJc w:val="left"/>
      <w:pPr>
        <w:tabs>
          <w:tab w:val="left" w:pos="2760"/>
        </w:tabs>
        <w:ind w:left="2760" w:hanging="420"/>
      </w:pPr>
    </w:lvl>
    <w:lvl w:ilvl="7" w:tentative="0">
      <w:start w:val="1"/>
      <w:numFmt w:val="lowerLetter"/>
      <w:lvlText w:val="%8)"/>
      <w:lvlJc w:val="left"/>
      <w:pPr>
        <w:tabs>
          <w:tab w:val="left" w:pos="3180"/>
        </w:tabs>
        <w:ind w:left="3180" w:hanging="420"/>
      </w:pPr>
    </w:lvl>
    <w:lvl w:ilvl="8" w:tentative="0">
      <w:start w:val="1"/>
      <w:numFmt w:val="lowerRoman"/>
      <w:lvlText w:val="%9."/>
      <w:lvlJc w:val="right"/>
      <w:pPr>
        <w:tabs>
          <w:tab w:val="left" w:pos="3600"/>
        </w:tabs>
        <w:ind w:left="3600" w:hanging="420"/>
      </w:pPr>
    </w:lvl>
  </w:abstractNum>
  <w:abstractNum w:abstractNumId="25">
    <w:nsid w:val="00000038"/>
    <w:multiLevelType w:val="multilevel"/>
    <w:tmpl w:val="00000038"/>
    <w:lvl w:ilvl="0" w:tentative="0">
      <w:start w:val="1"/>
      <w:numFmt w:val="decimal"/>
      <w:lvlText w:val="（%1）"/>
      <w:lvlJc w:val="left"/>
      <w:pPr>
        <w:tabs>
          <w:tab w:val="left" w:pos="1140"/>
        </w:tabs>
        <w:ind w:left="11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0000003A"/>
    <w:multiLevelType w:val="multilevel"/>
    <w:tmpl w:val="0000003A"/>
    <w:lvl w:ilvl="0" w:tentative="0">
      <w:start w:val="1"/>
      <w:numFmt w:val="decimal"/>
      <w:lvlText w:val="16.6.%1"/>
      <w:lvlJc w:val="left"/>
      <w:pPr>
        <w:tabs>
          <w:tab w:val="left" w:pos="1080"/>
        </w:tabs>
        <w:ind w:left="1080" w:hanging="360"/>
      </w:pPr>
      <w:rPr>
        <w:rFonts w:hint="eastAsia" w:ascii="宋体" w:hAnsi="宋体" w:eastAsia="宋体"/>
        <w:b w:val="0"/>
        <w:i w:val="0"/>
        <w:sz w:val="24"/>
        <w:szCs w:val="24"/>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28">
    <w:nsid w:val="5BABE4C7"/>
    <w:multiLevelType w:val="singleLevel"/>
    <w:tmpl w:val="5BABE4C7"/>
    <w:lvl w:ilvl="0" w:tentative="0">
      <w:start w:val="1"/>
      <w:numFmt w:val="decimal"/>
      <w:lvlText w:val="(%1)"/>
      <w:lvlJc w:val="left"/>
      <w:pPr>
        <w:ind w:left="425" w:hanging="425"/>
      </w:pPr>
      <w:rPr>
        <w:rFonts w:hint="default" w:cs="Times New Roman"/>
      </w:rPr>
    </w:lvl>
  </w:abstractNum>
  <w:num w:numId="1">
    <w:abstractNumId w:val="27"/>
  </w:num>
  <w:num w:numId="2">
    <w:abstractNumId w:val="3"/>
  </w:num>
  <w:num w:numId="3">
    <w:abstractNumId w:val="0"/>
  </w:num>
  <w:num w:numId="4">
    <w:abstractNumId w:val="28"/>
  </w:num>
  <w:num w:numId="5">
    <w:abstractNumId w:val="2"/>
  </w:num>
  <w:num w:numId="6">
    <w:abstractNumId w:val="23"/>
  </w:num>
  <w:num w:numId="7">
    <w:abstractNumId w:val="17"/>
  </w:num>
  <w:num w:numId="8">
    <w:abstractNumId w:val="14"/>
  </w:num>
  <w:num w:numId="9">
    <w:abstractNumId w:val="24"/>
  </w:num>
  <w:num w:numId="10">
    <w:abstractNumId w:val="25"/>
  </w:num>
  <w:num w:numId="11">
    <w:abstractNumId w:val="19"/>
  </w:num>
  <w:num w:numId="12">
    <w:abstractNumId w:val="6"/>
  </w:num>
  <w:num w:numId="13">
    <w:abstractNumId w:val="15"/>
  </w:num>
  <w:num w:numId="14">
    <w:abstractNumId w:val="7"/>
  </w:num>
  <w:num w:numId="15">
    <w:abstractNumId w:val="18"/>
  </w:num>
  <w:num w:numId="16">
    <w:abstractNumId w:val="13"/>
  </w:num>
  <w:num w:numId="17">
    <w:abstractNumId w:val="16"/>
  </w:num>
  <w:num w:numId="18">
    <w:abstractNumId w:val="21"/>
  </w:num>
  <w:num w:numId="19">
    <w:abstractNumId w:val="5"/>
  </w:num>
  <w:num w:numId="20">
    <w:abstractNumId w:val="11"/>
  </w:num>
  <w:num w:numId="21">
    <w:abstractNumId w:val="26"/>
  </w:num>
  <w:num w:numId="22">
    <w:abstractNumId w:val="20"/>
  </w:num>
  <w:num w:numId="23">
    <w:abstractNumId w:val="22"/>
  </w:num>
  <w:num w:numId="24">
    <w:abstractNumId w:val="10"/>
  </w:num>
  <w:num w:numId="25">
    <w:abstractNumId w:val="8"/>
  </w:num>
  <w:num w:numId="26">
    <w:abstractNumId w:val="4"/>
  </w:num>
  <w:num w:numId="27">
    <w:abstractNumId w:val="9"/>
  </w:num>
  <w:num w:numId="28">
    <w:abstractNumId w:val="12"/>
  </w:num>
  <w:num w:numId="2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思念">
    <w15:presenceInfo w15:providerId="WPS Office" w15:userId="2360184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C0F"/>
    <w:rsid w:val="00007E0C"/>
    <w:rsid w:val="000123F5"/>
    <w:rsid w:val="00014561"/>
    <w:rsid w:val="00031E1C"/>
    <w:rsid w:val="000337BF"/>
    <w:rsid w:val="00037F00"/>
    <w:rsid w:val="00041158"/>
    <w:rsid w:val="000459AF"/>
    <w:rsid w:val="0004614A"/>
    <w:rsid w:val="00052FC9"/>
    <w:rsid w:val="000666E6"/>
    <w:rsid w:val="00067C21"/>
    <w:rsid w:val="00072288"/>
    <w:rsid w:val="00082A05"/>
    <w:rsid w:val="000B237B"/>
    <w:rsid w:val="000D0A00"/>
    <w:rsid w:val="000D2C22"/>
    <w:rsid w:val="000E5C21"/>
    <w:rsid w:val="000F15C2"/>
    <w:rsid w:val="00106AAD"/>
    <w:rsid w:val="001265B6"/>
    <w:rsid w:val="00140862"/>
    <w:rsid w:val="001531B5"/>
    <w:rsid w:val="00160070"/>
    <w:rsid w:val="00162D54"/>
    <w:rsid w:val="00165CCD"/>
    <w:rsid w:val="00167DFD"/>
    <w:rsid w:val="00187219"/>
    <w:rsid w:val="001B0194"/>
    <w:rsid w:val="001C4317"/>
    <w:rsid w:val="001D4A67"/>
    <w:rsid w:val="001D7381"/>
    <w:rsid w:val="001F03F4"/>
    <w:rsid w:val="00216AD8"/>
    <w:rsid w:val="002374A4"/>
    <w:rsid w:val="0024218F"/>
    <w:rsid w:val="00245E10"/>
    <w:rsid w:val="0025036A"/>
    <w:rsid w:val="0025485D"/>
    <w:rsid w:val="00266A2B"/>
    <w:rsid w:val="00271F89"/>
    <w:rsid w:val="00272B78"/>
    <w:rsid w:val="00275B7A"/>
    <w:rsid w:val="0028235C"/>
    <w:rsid w:val="00284C0D"/>
    <w:rsid w:val="00286B13"/>
    <w:rsid w:val="002A3B88"/>
    <w:rsid w:val="002B47B2"/>
    <w:rsid w:val="002C7B94"/>
    <w:rsid w:val="002E581F"/>
    <w:rsid w:val="002F1D8F"/>
    <w:rsid w:val="002F46D5"/>
    <w:rsid w:val="00311EE4"/>
    <w:rsid w:val="00327F04"/>
    <w:rsid w:val="00332C21"/>
    <w:rsid w:val="00344E5F"/>
    <w:rsid w:val="00362C11"/>
    <w:rsid w:val="00366439"/>
    <w:rsid w:val="00371F8D"/>
    <w:rsid w:val="003B651A"/>
    <w:rsid w:val="003C6976"/>
    <w:rsid w:val="003D0EB1"/>
    <w:rsid w:val="003D4E22"/>
    <w:rsid w:val="003E3034"/>
    <w:rsid w:val="00400A2C"/>
    <w:rsid w:val="00401BD9"/>
    <w:rsid w:val="00403D52"/>
    <w:rsid w:val="0041433F"/>
    <w:rsid w:val="004228F0"/>
    <w:rsid w:val="0042603A"/>
    <w:rsid w:val="0044056B"/>
    <w:rsid w:val="00475EF8"/>
    <w:rsid w:val="00483C76"/>
    <w:rsid w:val="0049181A"/>
    <w:rsid w:val="0049766F"/>
    <w:rsid w:val="004A0133"/>
    <w:rsid w:val="004A3120"/>
    <w:rsid w:val="004A3D52"/>
    <w:rsid w:val="004B0D17"/>
    <w:rsid w:val="004B2270"/>
    <w:rsid w:val="004B62D9"/>
    <w:rsid w:val="004C321A"/>
    <w:rsid w:val="004D2962"/>
    <w:rsid w:val="004D5EAF"/>
    <w:rsid w:val="004D6257"/>
    <w:rsid w:val="004E3715"/>
    <w:rsid w:val="004F4D1D"/>
    <w:rsid w:val="005078C8"/>
    <w:rsid w:val="005156BB"/>
    <w:rsid w:val="00516ED0"/>
    <w:rsid w:val="00557168"/>
    <w:rsid w:val="0057070A"/>
    <w:rsid w:val="00583412"/>
    <w:rsid w:val="0059032B"/>
    <w:rsid w:val="005B5EE3"/>
    <w:rsid w:val="005B746D"/>
    <w:rsid w:val="005C53BB"/>
    <w:rsid w:val="005C6F48"/>
    <w:rsid w:val="005C77B9"/>
    <w:rsid w:val="005F1204"/>
    <w:rsid w:val="005F325C"/>
    <w:rsid w:val="0060646A"/>
    <w:rsid w:val="0061026C"/>
    <w:rsid w:val="006133F5"/>
    <w:rsid w:val="00615502"/>
    <w:rsid w:val="0061759C"/>
    <w:rsid w:val="00632500"/>
    <w:rsid w:val="00644803"/>
    <w:rsid w:val="00647382"/>
    <w:rsid w:val="00647E4F"/>
    <w:rsid w:val="006625B1"/>
    <w:rsid w:val="0067248B"/>
    <w:rsid w:val="006A1C37"/>
    <w:rsid w:val="006A34CC"/>
    <w:rsid w:val="006C675C"/>
    <w:rsid w:val="006E0BEC"/>
    <w:rsid w:val="006E1379"/>
    <w:rsid w:val="006E21C0"/>
    <w:rsid w:val="006E4AF0"/>
    <w:rsid w:val="006F3015"/>
    <w:rsid w:val="00702588"/>
    <w:rsid w:val="007246F7"/>
    <w:rsid w:val="0073051D"/>
    <w:rsid w:val="00731C7B"/>
    <w:rsid w:val="00733AB9"/>
    <w:rsid w:val="00734B67"/>
    <w:rsid w:val="00752C0F"/>
    <w:rsid w:val="00770EB2"/>
    <w:rsid w:val="00786619"/>
    <w:rsid w:val="007F36F1"/>
    <w:rsid w:val="008043E0"/>
    <w:rsid w:val="0081748B"/>
    <w:rsid w:val="00820753"/>
    <w:rsid w:val="0082431D"/>
    <w:rsid w:val="008308AB"/>
    <w:rsid w:val="008353A5"/>
    <w:rsid w:val="00841CDA"/>
    <w:rsid w:val="00844944"/>
    <w:rsid w:val="0085186F"/>
    <w:rsid w:val="00851EAC"/>
    <w:rsid w:val="008623F4"/>
    <w:rsid w:val="00877C45"/>
    <w:rsid w:val="00884B16"/>
    <w:rsid w:val="00885A57"/>
    <w:rsid w:val="00891671"/>
    <w:rsid w:val="00891674"/>
    <w:rsid w:val="008B4E4A"/>
    <w:rsid w:val="008D1128"/>
    <w:rsid w:val="008E03A9"/>
    <w:rsid w:val="008F3022"/>
    <w:rsid w:val="00911BE9"/>
    <w:rsid w:val="00943210"/>
    <w:rsid w:val="00956287"/>
    <w:rsid w:val="00957F26"/>
    <w:rsid w:val="009826DE"/>
    <w:rsid w:val="0099112D"/>
    <w:rsid w:val="009A1B74"/>
    <w:rsid w:val="009A3D3D"/>
    <w:rsid w:val="009A463C"/>
    <w:rsid w:val="009B3576"/>
    <w:rsid w:val="009B6F03"/>
    <w:rsid w:val="009C303A"/>
    <w:rsid w:val="009E1E09"/>
    <w:rsid w:val="009F1FE4"/>
    <w:rsid w:val="009F2845"/>
    <w:rsid w:val="00A03879"/>
    <w:rsid w:val="00A12BD7"/>
    <w:rsid w:val="00A151D8"/>
    <w:rsid w:val="00A3181C"/>
    <w:rsid w:val="00A409B9"/>
    <w:rsid w:val="00A40C05"/>
    <w:rsid w:val="00A430A9"/>
    <w:rsid w:val="00A55888"/>
    <w:rsid w:val="00A72A7B"/>
    <w:rsid w:val="00A7433C"/>
    <w:rsid w:val="00A915F5"/>
    <w:rsid w:val="00A93A0B"/>
    <w:rsid w:val="00A94ADF"/>
    <w:rsid w:val="00AA487B"/>
    <w:rsid w:val="00AA53B8"/>
    <w:rsid w:val="00AA7B89"/>
    <w:rsid w:val="00AC3918"/>
    <w:rsid w:val="00AE7672"/>
    <w:rsid w:val="00AF2309"/>
    <w:rsid w:val="00AF5F4E"/>
    <w:rsid w:val="00B00541"/>
    <w:rsid w:val="00B074BE"/>
    <w:rsid w:val="00B12850"/>
    <w:rsid w:val="00B12DAD"/>
    <w:rsid w:val="00B23BE2"/>
    <w:rsid w:val="00B43DF7"/>
    <w:rsid w:val="00B7579F"/>
    <w:rsid w:val="00B75BC3"/>
    <w:rsid w:val="00B8193F"/>
    <w:rsid w:val="00BA3DE9"/>
    <w:rsid w:val="00BA62D1"/>
    <w:rsid w:val="00BA7682"/>
    <w:rsid w:val="00BB27CC"/>
    <w:rsid w:val="00BB69EE"/>
    <w:rsid w:val="00BC3269"/>
    <w:rsid w:val="00BC6F7D"/>
    <w:rsid w:val="00BE5CEF"/>
    <w:rsid w:val="00BF2C07"/>
    <w:rsid w:val="00BF7332"/>
    <w:rsid w:val="00C042E8"/>
    <w:rsid w:val="00C05F2B"/>
    <w:rsid w:val="00C11DB1"/>
    <w:rsid w:val="00C11E78"/>
    <w:rsid w:val="00C3797C"/>
    <w:rsid w:val="00C566BC"/>
    <w:rsid w:val="00C75CAB"/>
    <w:rsid w:val="00C76C9B"/>
    <w:rsid w:val="00C81D3D"/>
    <w:rsid w:val="00C83502"/>
    <w:rsid w:val="00C94A5C"/>
    <w:rsid w:val="00CB1582"/>
    <w:rsid w:val="00CB170B"/>
    <w:rsid w:val="00CB297A"/>
    <w:rsid w:val="00CD04C8"/>
    <w:rsid w:val="00CE07F5"/>
    <w:rsid w:val="00CE303F"/>
    <w:rsid w:val="00CF184B"/>
    <w:rsid w:val="00D17FCE"/>
    <w:rsid w:val="00D310AC"/>
    <w:rsid w:val="00D40D69"/>
    <w:rsid w:val="00D45279"/>
    <w:rsid w:val="00D474AE"/>
    <w:rsid w:val="00D67469"/>
    <w:rsid w:val="00D77C73"/>
    <w:rsid w:val="00D82302"/>
    <w:rsid w:val="00D91E85"/>
    <w:rsid w:val="00D93C22"/>
    <w:rsid w:val="00D95C33"/>
    <w:rsid w:val="00DC118F"/>
    <w:rsid w:val="00DC42C6"/>
    <w:rsid w:val="00DC7054"/>
    <w:rsid w:val="00DD670A"/>
    <w:rsid w:val="00DE3561"/>
    <w:rsid w:val="00E03A25"/>
    <w:rsid w:val="00E0457D"/>
    <w:rsid w:val="00E334B1"/>
    <w:rsid w:val="00E36432"/>
    <w:rsid w:val="00E47F16"/>
    <w:rsid w:val="00E50790"/>
    <w:rsid w:val="00E51630"/>
    <w:rsid w:val="00E64AF8"/>
    <w:rsid w:val="00E70BA7"/>
    <w:rsid w:val="00E72B36"/>
    <w:rsid w:val="00E83D94"/>
    <w:rsid w:val="00E9613D"/>
    <w:rsid w:val="00E964B3"/>
    <w:rsid w:val="00EA40BD"/>
    <w:rsid w:val="00EE1929"/>
    <w:rsid w:val="00EE5A8C"/>
    <w:rsid w:val="00EF4BF7"/>
    <w:rsid w:val="00EF6FC2"/>
    <w:rsid w:val="00F15D88"/>
    <w:rsid w:val="00F218FD"/>
    <w:rsid w:val="00F274E6"/>
    <w:rsid w:val="00F43BDE"/>
    <w:rsid w:val="00F4449E"/>
    <w:rsid w:val="00F479B6"/>
    <w:rsid w:val="00F6055D"/>
    <w:rsid w:val="00F655B9"/>
    <w:rsid w:val="00F67FAD"/>
    <w:rsid w:val="00F70723"/>
    <w:rsid w:val="00F80E79"/>
    <w:rsid w:val="00F8559B"/>
    <w:rsid w:val="00F862E2"/>
    <w:rsid w:val="00F932EF"/>
    <w:rsid w:val="00FA7E6A"/>
    <w:rsid w:val="00FB191A"/>
    <w:rsid w:val="00FC4563"/>
    <w:rsid w:val="00FD014A"/>
    <w:rsid w:val="00FD3C20"/>
    <w:rsid w:val="010D39A8"/>
    <w:rsid w:val="01120440"/>
    <w:rsid w:val="011804D3"/>
    <w:rsid w:val="011D13A3"/>
    <w:rsid w:val="01202DC3"/>
    <w:rsid w:val="012116C2"/>
    <w:rsid w:val="012B728A"/>
    <w:rsid w:val="012F4D3A"/>
    <w:rsid w:val="01522213"/>
    <w:rsid w:val="016E1053"/>
    <w:rsid w:val="016F1DEB"/>
    <w:rsid w:val="01702D1D"/>
    <w:rsid w:val="017374B9"/>
    <w:rsid w:val="01765538"/>
    <w:rsid w:val="0176597C"/>
    <w:rsid w:val="018018DB"/>
    <w:rsid w:val="018031FE"/>
    <w:rsid w:val="018E53BB"/>
    <w:rsid w:val="01911FA3"/>
    <w:rsid w:val="01A3073B"/>
    <w:rsid w:val="01A97590"/>
    <w:rsid w:val="01AA01B2"/>
    <w:rsid w:val="01AD1221"/>
    <w:rsid w:val="01B45EE3"/>
    <w:rsid w:val="01BD3141"/>
    <w:rsid w:val="01D9535B"/>
    <w:rsid w:val="01DB6451"/>
    <w:rsid w:val="01EA5632"/>
    <w:rsid w:val="01ED63EC"/>
    <w:rsid w:val="01EE5AD8"/>
    <w:rsid w:val="01F16F28"/>
    <w:rsid w:val="02062636"/>
    <w:rsid w:val="021F6D4F"/>
    <w:rsid w:val="022157CC"/>
    <w:rsid w:val="022B6B30"/>
    <w:rsid w:val="023012A2"/>
    <w:rsid w:val="02381EFC"/>
    <w:rsid w:val="02495C93"/>
    <w:rsid w:val="02626608"/>
    <w:rsid w:val="026824E3"/>
    <w:rsid w:val="029934BD"/>
    <w:rsid w:val="02A84724"/>
    <w:rsid w:val="02AD6E3B"/>
    <w:rsid w:val="02BA70E4"/>
    <w:rsid w:val="02BF335D"/>
    <w:rsid w:val="02D84414"/>
    <w:rsid w:val="02DE5036"/>
    <w:rsid w:val="02E21402"/>
    <w:rsid w:val="02E26397"/>
    <w:rsid w:val="02EB239A"/>
    <w:rsid w:val="03104C0C"/>
    <w:rsid w:val="031D64D1"/>
    <w:rsid w:val="03401295"/>
    <w:rsid w:val="03532722"/>
    <w:rsid w:val="035478E7"/>
    <w:rsid w:val="03565345"/>
    <w:rsid w:val="035A7BCD"/>
    <w:rsid w:val="035F34AD"/>
    <w:rsid w:val="036D7105"/>
    <w:rsid w:val="037056C9"/>
    <w:rsid w:val="03B43460"/>
    <w:rsid w:val="03C446CE"/>
    <w:rsid w:val="03CE5F43"/>
    <w:rsid w:val="03E22E8F"/>
    <w:rsid w:val="03E3256E"/>
    <w:rsid w:val="03F375F9"/>
    <w:rsid w:val="04001966"/>
    <w:rsid w:val="0404578E"/>
    <w:rsid w:val="041B5A3A"/>
    <w:rsid w:val="042C35CD"/>
    <w:rsid w:val="043B7180"/>
    <w:rsid w:val="04431FEA"/>
    <w:rsid w:val="04552D14"/>
    <w:rsid w:val="0456259B"/>
    <w:rsid w:val="04615986"/>
    <w:rsid w:val="04634541"/>
    <w:rsid w:val="046825F5"/>
    <w:rsid w:val="0473654A"/>
    <w:rsid w:val="047A21CC"/>
    <w:rsid w:val="04817AE7"/>
    <w:rsid w:val="048C2A92"/>
    <w:rsid w:val="049E7993"/>
    <w:rsid w:val="04CE22BC"/>
    <w:rsid w:val="04D17B32"/>
    <w:rsid w:val="04D50F48"/>
    <w:rsid w:val="04DB11B3"/>
    <w:rsid w:val="04E265A6"/>
    <w:rsid w:val="04F25427"/>
    <w:rsid w:val="04F36288"/>
    <w:rsid w:val="04FE2027"/>
    <w:rsid w:val="050A219A"/>
    <w:rsid w:val="05186CC8"/>
    <w:rsid w:val="051B3E29"/>
    <w:rsid w:val="052172D6"/>
    <w:rsid w:val="0525461D"/>
    <w:rsid w:val="053F72A6"/>
    <w:rsid w:val="054E111B"/>
    <w:rsid w:val="0550580B"/>
    <w:rsid w:val="05595CE0"/>
    <w:rsid w:val="05681D15"/>
    <w:rsid w:val="056F67CD"/>
    <w:rsid w:val="059506FC"/>
    <w:rsid w:val="059B1E55"/>
    <w:rsid w:val="05AB4267"/>
    <w:rsid w:val="05BC1DCB"/>
    <w:rsid w:val="05C932D7"/>
    <w:rsid w:val="05D84E57"/>
    <w:rsid w:val="05DF63AA"/>
    <w:rsid w:val="05E308E2"/>
    <w:rsid w:val="060104FC"/>
    <w:rsid w:val="0609535F"/>
    <w:rsid w:val="060A7BA0"/>
    <w:rsid w:val="062D6AF1"/>
    <w:rsid w:val="0633208D"/>
    <w:rsid w:val="063F18A3"/>
    <w:rsid w:val="065A3DB1"/>
    <w:rsid w:val="065F7770"/>
    <w:rsid w:val="0669641E"/>
    <w:rsid w:val="066C12E0"/>
    <w:rsid w:val="067D62EF"/>
    <w:rsid w:val="0687687D"/>
    <w:rsid w:val="069343D1"/>
    <w:rsid w:val="06975C46"/>
    <w:rsid w:val="06B75E22"/>
    <w:rsid w:val="06B907B7"/>
    <w:rsid w:val="06B970A0"/>
    <w:rsid w:val="06BE2A51"/>
    <w:rsid w:val="06BF28A9"/>
    <w:rsid w:val="06CA46D5"/>
    <w:rsid w:val="06CC32B6"/>
    <w:rsid w:val="06CF444E"/>
    <w:rsid w:val="06ED070D"/>
    <w:rsid w:val="07091040"/>
    <w:rsid w:val="070D67E9"/>
    <w:rsid w:val="07153E89"/>
    <w:rsid w:val="076508C3"/>
    <w:rsid w:val="07752435"/>
    <w:rsid w:val="07762B7A"/>
    <w:rsid w:val="07771AEC"/>
    <w:rsid w:val="07817870"/>
    <w:rsid w:val="078D50D7"/>
    <w:rsid w:val="078F202F"/>
    <w:rsid w:val="07916396"/>
    <w:rsid w:val="07991FB5"/>
    <w:rsid w:val="07BD6694"/>
    <w:rsid w:val="07C9042E"/>
    <w:rsid w:val="07D72E6C"/>
    <w:rsid w:val="07D74599"/>
    <w:rsid w:val="07D7683A"/>
    <w:rsid w:val="07ED0962"/>
    <w:rsid w:val="07F30A4B"/>
    <w:rsid w:val="07F817E1"/>
    <w:rsid w:val="0801517C"/>
    <w:rsid w:val="080B1188"/>
    <w:rsid w:val="081C4F64"/>
    <w:rsid w:val="082A4322"/>
    <w:rsid w:val="082C145E"/>
    <w:rsid w:val="082D72F1"/>
    <w:rsid w:val="08452672"/>
    <w:rsid w:val="0852384A"/>
    <w:rsid w:val="085E34D4"/>
    <w:rsid w:val="085F06B2"/>
    <w:rsid w:val="086350CF"/>
    <w:rsid w:val="086C7145"/>
    <w:rsid w:val="08785051"/>
    <w:rsid w:val="087A66FE"/>
    <w:rsid w:val="08961BAE"/>
    <w:rsid w:val="08B739C3"/>
    <w:rsid w:val="08C0310F"/>
    <w:rsid w:val="08D07BF6"/>
    <w:rsid w:val="08D52672"/>
    <w:rsid w:val="08E314A9"/>
    <w:rsid w:val="08E57874"/>
    <w:rsid w:val="08EA7C6B"/>
    <w:rsid w:val="08EF0876"/>
    <w:rsid w:val="08F907D3"/>
    <w:rsid w:val="08FE35FF"/>
    <w:rsid w:val="0913744C"/>
    <w:rsid w:val="091A712B"/>
    <w:rsid w:val="091D23FB"/>
    <w:rsid w:val="0926557A"/>
    <w:rsid w:val="092B50CE"/>
    <w:rsid w:val="094B57D2"/>
    <w:rsid w:val="09506311"/>
    <w:rsid w:val="095256AB"/>
    <w:rsid w:val="095337D9"/>
    <w:rsid w:val="09587731"/>
    <w:rsid w:val="095D4721"/>
    <w:rsid w:val="096D5B28"/>
    <w:rsid w:val="09752957"/>
    <w:rsid w:val="09894C35"/>
    <w:rsid w:val="099368F0"/>
    <w:rsid w:val="099A78ED"/>
    <w:rsid w:val="099F2909"/>
    <w:rsid w:val="09A622AF"/>
    <w:rsid w:val="09B65D3B"/>
    <w:rsid w:val="09BA3678"/>
    <w:rsid w:val="09BD305F"/>
    <w:rsid w:val="09CA09F2"/>
    <w:rsid w:val="09DF3B0A"/>
    <w:rsid w:val="09F70C40"/>
    <w:rsid w:val="09FE4376"/>
    <w:rsid w:val="0A1A0AEF"/>
    <w:rsid w:val="0A1A51DC"/>
    <w:rsid w:val="0A1B269E"/>
    <w:rsid w:val="0A374EDE"/>
    <w:rsid w:val="0A477E0A"/>
    <w:rsid w:val="0A480F54"/>
    <w:rsid w:val="0A49597E"/>
    <w:rsid w:val="0A652BFB"/>
    <w:rsid w:val="0A6801A0"/>
    <w:rsid w:val="0A701142"/>
    <w:rsid w:val="0A952CBC"/>
    <w:rsid w:val="0A9B28F7"/>
    <w:rsid w:val="0A9F5F32"/>
    <w:rsid w:val="0AA408F9"/>
    <w:rsid w:val="0AB03B3B"/>
    <w:rsid w:val="0AB04BF1"/>
    <w:rsid w:val="0AB8279C"/>
    <w:rsid w:val="0ABC25AB"/>
    <w:rsid w:val="0ABF39D2"/>
    <w:rsid w:val="0AC85041"/>
    <w:rsid w:val="0AE86FB5"/>
    <w:rsid w:val="0AF47C00"/>
    <w:rsid w:val="0AFD1090"/>
    <w:rsid w:val="0B0440F9"/>
    <w:rsid w:val="0B0C06D1"/>
    <w:rsid w:val="0B0C10FF"/>
    <w:rsid w:val="0B1422D4"/>
    <w:rsid w:val="0B1F2364"/>
    <w:rsid w:val="0B2008BD"/>
    <w:rsid w:val="0B2863D8"/>
    <w:rsid w:val="0B4734F5"/>
    <w:rsid w:val="0B4956D6"/>
    <w:rsid w:val="0B4B1C27"/>
    <w:rsid w:val="0B4C493B"/>
    <w:rsid w:val="0B585994"/>
    <w:rsid w:val="0B5A00BC"/>
    <w:rsid w:val="0B606C2C"/>
    <w:rsid w:val="0B606F71"/>
    <w:rsid w:val="0B70534E"/>
    <w:rsid w:val="0B71689B"/>
    <w:rsid w:val="0B725406"/>
    <w:rsid w:val="0B752BF9"/>
    <w:rsid w:val="0B8C2040"/>
    <w:rsid w:val="0B8C7603"/>
    <w:rsid w:val="0B944E36"/>
    <w:rsid w:val="0B9B2395"/>
    <w:rsid w:val="0B9D04FA"/>
    <w:rsid w:val="0BAE21B6"/>
    <w:rsid w:val="0BB03541"/>
    <w:rsid w:val="0BC27091"/>
    <w:rsid w:val="0BD1116D"/>
    <w:rsid w:val="0BEA4AE2"/>
    <w:rsid w:val="0BFD0671"/>
    <w:rsid w:val="0C032559"/>
    <w:rsid w:val="0C1C7757"/>
    <w:rsid w:val="0C227A5C"/>
    <w:rsid w:val="0C333B51"/>
    <w:rsid w:val="0C3C68F9"/>
    <w:rsid w:val="0C3D624F"/>
    <w:rsid w:val="0C454E17"/>
    <w:rsid w:val="0C4E03B9"/>
    <w:rsid w:val="0C6177E3"/>
    <w:rsid w:val="0C69705C"/>
    <w:rsid w:val="0C6A1543"/>
    <w:rsid w:val="0C7451AE"/>
    <w:rsid w:val="0C772D2C"/>
    <w:rsid w:val="0C7C2E00"/>
    <w:rsid w:val="0C8544E3"/>
    <w:rsid w:val="0C871752"/>
    <w:rsid w:val="0C894A85"/>
    <w:rsid w:val="0C991C84"/>
    <w:rsid w:val="0CA84B6D"/>
    <w:rsid w:val="0CA912FB"/>
    <w:rsid w:val="0CAF44D7"/>
    <w:rsid w:val="0CBC1630"/>
    <w:rsid w:val="0CC77BA2"/>
    <w:rsid w:val="0CCC6D98"/>
    <w:rsid w:val="0CEF6030"/>
    <w:rsid w:val="0D0F6754"/>
    <w:rsid w:val="0D16615F"/>
    <w:rsid w:val="0D22155F"/>
    <w:rsid w:val="0D223EB6"/>
    <w:rsid w:val="0D2439CB"/>
    <w:rsid w:val="0D2D265C"/>
    <w:rsid w:val="0D3546E2"/>
    <w:rsid w:val="0D585357"/>
    <w:rsid w:val="0D645D4C"/>
    <w:rsid w:val="0D73504C"/>
    <w:rsid w:val="0D743DA7"/>
    <w:rsid w:val="0D7558EC"/>
    <w:rsid w:val="0D7C66C7"/>
    <w:rsid w:val="0D86163D"/>
    <w:rsid w:val="0D932ED2"/>
    <w:rsid w:val="0D997203"/>
    <w:rsid w:val="0D9A768C"/>
    <w:rsid w:val="0DCA32BA"/>
    <w:rsid w:val="0DCB52A1"/>
    <w:rsid w:val="0DE7433C"/>
    <w:rsid w:val="0DEF0202"/>
    <w:rsid w:val="0DFA04F4"/>
    <w:rsid w:val="0E1928C3"/>
    <w:rsid w:val="0E211836"/>
    <w:rsid w:val="0E261263"/>
    <w:rsid w:val="0E323F57"/>
    <w:rsid w:val="0E3C3DD7"/>
    <w:rsid w:val="0E420EBF"/>
    <w:rsid w:val="0E6059EA"/>
    <w:rsid w:val="0E6C0832"/>
    <w:rsid w:val="0E6D7A9A"/>
    <w:rsid w:val="0E7B4CCD"/>
    <w:rsid w:val="0E7E752E"/>
    <w:rsid w:val="0E884124"/>
    <w:rsid w:val="0E917B50"/>
    <w:rsid w:val="0EA855CF"/>
    <w:rsid w:val="0EAD2BF9"/>
    <w:rsid w:val="0EAE096B"/>
    <w:rsid w:val="0ECA5ABC"/>
    <w:rsid w:val="0ED108F8"/>
    <w:rsid w:val="0EEC726E"/>
    <w:rsid w:val="0EF01A23"/>
    <w:rsid w:val="0EF23395"/>
    <w:rsid w:val="0EF71439"/>
    <w:rsid w:val="0F054A46"/>
    <w:rsid w:val="0F076C75"/>
    <w:rsid w:val="0F0B28AB"/>
    <w:rsid w:val="0F1004E9"/>
    <w:rsid w:val="0F1D5001"/>
    <w:rsid w:val="0F2077C5"/>
    <w:rsid w:val="0F2F2C29"/>
    <w:rsid w:val="0F364A3B"/>
    <w:rsid w:val="0F3971B3"/>
    <w:rsid w:val="0F452D91"/>
    <w:rsid w:val="0F5144F7"/>
    <w:rsid w:val="0F5A3959"/>
    <w:rsid w:val="0F695AD8"/>
    <w:rsid w:val="0F697290"/>
    <w:rsid w:val="0F790AE0"/>
    <w:rsid w:val="0F835F92"/>
    <w:rsid w:val="0F89472B"/>
    <w:rsid w:val="0F920E9D"/>
    <w:rsid w:val="0FA472A7"/>
    <w:rsid w:val="0FAF43BB"/>
    <w:rsid w:val="0FB95FCF"/>
    <w:rsid w:val="0FBC3114"/>
    <w:rsid w:val="0FC621C4"/>
    <w:rsid w:val="0FD85325"/>
    <w:rsid w:val="0FDF2781"/>
    <w:rsid w:val="0FE53E31"/>
    <w:rsid w:val="0FF0320A"/>
    <w:rsid w:val="0FF05EEA"/>
    <w:rsid w:val="10132641"/>
    <w:rsid w:val="10157C7C"/>
    <w:rsid w:val="102A2753"/>
    <w:rsid w:val="102C2A8E"/>
    <w:rsid w:val="102E4E34"/>
    <w:rsid w:val="1046073E"/>
    <w:rsid w:val="10582472"/>
    <w:rsid w:val="105A25A2"/>
    <w:rsid w:val="10693C87"/>
    <w:rsid w:val="106A35E8"/>
    <w:rsid w:val="10711524"/>
    <w:rsid w:val="10723602"/>
    <w:rsid w:val="107A1422"/>
    <w:rsid w:val="109C4AB0"/>
    <w:rsid w:val="109D7E30"/>
    <w:rsid w:val="10A87B1C"/>
    <w:rsid w:val="10B67E0E"/>
    <w:rsid w:val="10BE40BD"/>
    <w:rsid w:val="10C72120"/>
    <w:rsid w:val="10D11E51"/>
    <w:rsid w:val="10D4141B"/>
    <w:rsid w:val="10D80401"/>
    <w:rsid w:val="10E01763"/>
    <w:rsid w:val="10FA3698"/>
    <w:rsid w:val="10FD1C16"/>
    <w:rsid w:val="11156EB0"/>
    <w:rsid w:val="112952A6"/>
    <w:rsid w:val="112D587E"/>
    <w:rsid w:val="112E3286"/>
    <w:rsid w:val="113031FC"/>
    <w:rsid w:val="113F685C"/>
    <w:rsid w:val="11451A14"/>
    <w:rsid w:val="11485E84"/>
    <w:rsid w:val="11541D4D"/>
    <w:rsid w:val="11555679"/>
    <w:rsid w:val="1158315F"/>
    <w:rsid w:val="116C6887"/>
    <w:rsid w:val="116F4B73"/>
    <w:rsid w:val="117610F6"/>
    <w:rsid w:val="117716E5"/>
    <w:rsid w:val="117D6018"/>
    <w:rsid w:val="1181030C"/>
    <w:rsid w:val="118656C5"/>
    <w:rsid w:val="11913A49"/>
    <w:rsid w:val="11921A52"/>
    <w:rsid w:val="11937539"/>
    <w:rsid w:val="11A061D9"/>
    <w:rsid w:val="11A81917"/>
    <w:rsid w:val="11AB2F3D"/>
    <w:rsid w:val="11AD3102"/>
    <w:rsid w:val="11B03029"/>
    <w:rsid w:val="11B043F7"/>
    <w:rsid w:val="11C04F5E"/>
    <w:rsid w:val="11C113C0"/>
    <w:rsid w:val="11C55B38"/>
    <w:rsid w:val="11CA4221"/>
    <w:rsid w:val="11D16E92"/>
    <w:rsid w:val="11D2603A"/>
    <w:rsid w:val="11D61BE3"/>
    <w:rsid w:val="11D91136"/>
    <w:rsid w:val="11DE4F14"/>
    <w:rsid w:val="12056AF9"/>
    <w:rsid w:val="12135D61"/>
    <w:rsid w:val="123423D5"/>
    <w:rsid w:val="123478B9"/>
    <w:rsid w:val="12372F05"/>
    <w:rsid w:val="123E3659"/>
    <w:rsid w:val="124C5C64"/>
    <w:rsid w:val="1252555D"/>
    <w:rsid w:val="12551DA3"/>
    <w:rsid w:val="12753A2E"/>
    <w:rsid w:val="127E746B"/>
    <w:rsid w:val="128B34DE"/>
    <w:rsid w:val="12A0536B"/>
    <w:rsid w:val="12AA0B04"/>
    <w:rsid w:val="12AA21C3"/>
    <w:rsid w:val="12AE4CFF"/>
    <w:rsid w:val="12AF37F4"/>
    <w:rsid w:val="12C77210"/>
    <w:rsid w:val="12D444FC"/>
    <w:rsid w:val="12D469A6"/>
    <w:rsid w:val="12EF6B77"/>
    <w:rsid w:val="12F4221E"/>
    <w:rsid w:val="12F77DF0"/>
    <w:rsid w:val="12F85544"/>
    <w:rsid w:val="12FA476B"/>
    <w:rsid w:val="12FC0582"/>
    <w:rsid w:val="130040D2"/>
    <w:rsid w:val="130471A5"/>
    <w:rsid w:val="130E6773"/>
    <w:rsid w:val="131C20FB"/>
    <w:rsid w:val="13214CC8"/>
    <w:rsid w:val="13262EB1"/>
    <w:rsid w:val="132B2476"/>
    <w:rsid w:val="132F791F"/>
    <w:rsid w:val="13353546"/>
    <w:rsid w:val="13430791"/>
    <w:rsid w:val="13497BDD"/>
    <w:rsid w:val="135B75CB"/>
    <w:rsid w:val="13680458"/>
    <w:rsid w:val="136D56CA"/>
    <w:rsid w:val="13913CF9"/>
    <w:rsid w:val="13936861"/>
    <w:rsid w:val="13A01451"/>
    <w:rsid w:val="13A02C26"/>
    <w:rsid w:val="13A04CE7"/>
    <w:rsid w:val="13A30478"/>
    <w:rsid w:val="13AD7D6E"/>
    <w:rsid w:val="13B525E9"/>
    <w:rsid w:val="13B54AF6"/>
    <w:rsid w:val="13CB3822"/>
    <w:rsid w:val="13CC066F"/>
    <w:rsid w:val="13D25A4A"/>
    <w:rsid w:val="13DB7533"/>
    <w:rsid w:val="13EC08FB"/>
    <w:rsid w:val="13EF14B2"/>
    <w:rsid w:val="14002E3F"/>
    <w:rsid w:val="140624ED"/>
    <w:rsid w:val="1406436F"/>
    <w:rsid w:val="14182527"/>
    <w:rsid w:val="142208B3"/>
    <w:rsid w:val="14281EC5"/>
    <w:rsid w:val="14286F05"/>
    <w:rsid w:val="14315625"/>
    <w:rsid w:val="144B50E3"/>
    <w:rsid w:val="144C1F09"/>
    <w:rsid w:val="14644192"/>
    <w:rsid w:val="147665BB"/>
    <w:rsid w:val="14855111"/>
    <w:rsid w:val="148E4996"/>
    <w:rsid w:val="149637F6"/>
    <w:rsid w:val="14AA4794"/>
    <w:rsid w:val="14AA7CA0"/>
    <w:rsid w:val="14B11437"/>
    <w:rsid w:val="14B7657F"/>
    <w:rsid w:val="14D62EA9"/>
    <w:rsid w:val="14D93A4C"/>
    <w:rsid w:val="14F4475A"/>
    <w:rsid w:val="15014A85"/>
    <w:rsid w:val="15050B72"/>
    <w:rsid w:val="1507521F"/>
    <w:rsid w:val="15166F1A"/>
    <w:rsid w:val="15230114"/>
    <w:rsid w:val="15230D3D"/>
    <w:rsid w:val="152B638A"/>
    <w:rsid w:val="152F76E2"/>
    <w:rsid w:val="153A04FC"/>
    <w:rsid w:val="153B1C44"/>
    <w:rsid w:val="153C0833"/>
    <w:rsid w:val="154E3751"/>
    <w:rsid w:val="1557566D"/>
    <w:rsid w:val="1559576E"/>
    <w:rsid w:val="155B5B14"/>
    <w:rsid w:val="15781F76"/>
    <w:rsid w:val="15897D7B"/>
    <w:rsid w:val="15996487"/>
    <w:rsid w:val="159E1983"/>
    <w:rsid w:val="15A22D8C"/>
    <w:rsid w:val="15A3227F"/>
    <w:rsid w:val="15AB4129"/>
    <w:rsid w:val="15AC5203"/>
    <w:rsid w:val="15AD647F"/>
    <w:rsid w:val="15AF5FF4"/>
    <w:rsid w:val="15B5217E"/>
    <w:rsid w:val="15BA32B7"/>
    <w:rsid w:val="15CB73C5"/>
    <w:rsid w:val="15CF1846"/>
    <w:rsid w:val="15DD2DB8"/>
    <w:rsid w:val="15E609D1"/>
    <w:rsid w:val="15E92819"/>
    <w:rsid w:val="15F54F27"/>
    <w:rsid w:val="15FA5291"/>
    <w:rsid w:val="15FB70A0"/>
    <w:rsid w:val="162025DA"/>
    <w:rsid w:val="162D4F37"/>
    <w:rsid w:val="162F2FFF"/>
    <w:rsid w:val="163360DA"/>
    <w:rsid w:val="163663DF"/>
    <w:rsid w:val="16475C13"/>
    <w:rsid w:val="16490B61"/>
    <w:rsid w:val="165A0B77"/>
    <w:rsid w:val="165C6B1F"/>
    <w:rsid w:val="16696EC2"/>
    <w:rsid w:val="1673025F"/>
    <w:rsid w:val="167954AA"/>
    <w:rsid w:val="16843F43"/>
    <w:rsid w:val="169E79EF"/>
    <w:rsid w:val="16BA671F"/>
    <w:rsid w:val="16CA5915"/>
    <w:rsid w:val="16D74CB7"/>
    <w:rsid w:val="16E1720F"/>
    <w:rsid w:val="16E6240B"/>
    <w:rsid w:val="16E80C72"/>
    <w:rsid w:val="16EF059F"/>
    <w:rsid w:val="16F31084"/>
    <w:rsid w:val="16F96901"/>
    <w:rsid w:val="17041688"/>
    <w:rsid w:val="170A687D"/>
    <w:rsid w:val="17124C7F"/>
    <w:rsid w:val="172B4376"/>
    <w:rsid w:val="173A2E27"/>
    <w:rsid w:val="173B6C95"/>
    <w:rsid w:val="174340FA"/>
    <w:rsid w:val="174B331E"/>
    <w:rsid w:val="174D5BBA"/>
    <w:rsid w:val="174E1EAE"/>
    <w:rsid w:val="17682C82"/>
    <w:rsid w:val="1775126C"/>
    <w:rsid w:val="177A6F4C"/>
    <w:rsid w:val="17840C7D"/>
    <w:rsid w:val="178C6F40"/>
    <w:rsid w:val="17926AF2"/>
    <w:rsid w:val="17990D72"/>
    <w:rsid w:val="179C380B"/>
    <w:rsid w:val="17A50601"/>
    <w:rsid w:val="17B22529"/>
    <w:rsid w:val="17B53B91"/>
    <w:rsid w:val="17B62BAA"/>
    <w:rsid w:val="17BF50A6"/>
    <w:rsid w:val="17C21AB5"/>
    <w:rsid w:val="17C778C8"/>
    <w:rsid w:val="17FD277D"/>
    <w:rsid w:val="1807459F"/>
    <w:rsid w:val="18330120"/>
    <w:rsid w:val="184108CA"/>
    <w:rsid w:val="185561D9"/>
    <w:rsid w:val="186C49EB"/>
    <w:rsid w:val="18716444"/>
    <w:rsid w:val="18747107"/>
    <w:rsid w:val="187C52F3"/>
    <w:rsid w:val="18903BA5"/>
    <w:rsid w:val="189461C6"/>
    <w:rsid w:val="189B5476"/>
    <w:rsid w:val="189C55AE"/>
    <w:rsid w:val="18A646F8"/>
    <w:rsid w:val="18AF2A2E"/>
    <w:rsid w:val="18BB3557"/>
    <w:rsid w:val="18C07FBB"/>
    <w:rsid w:val="18C53638"/>
    <w:rsid w:val="18C606B8"/>
    <w:rsid w:val="18CB5A41"/>
    <w:rsid w:val="18DE216D"/>
    <w:rsid w:val="18DE2780"/>
    <w:rsid w:val="18E746F0"/>
    <w:rsid w:val="18EC74E1"/>
    <w:rsid w:val="18F15189"/>
    <w:rsid w:val="18FF164B"/>
    <w:rsid w:val="19020DC0"/>
    <w:rsid w:val="190A17EE"/>
    <w:rsid w:val="190D4D2B"/>
    <w:rsid w:val="191C3BD0"/>
    <w:rsid w:val="194B4D6D"/>
    <w:rsid w:val="195F7471"/>
    <w:rsid w:val="196A3BCB"/>
    <w:rsid w:val="197B7C51"/>
    <w:rsid w:val="19882298"/>
    <w:rsid w:val="198849A6"/>
    <w:rsid w:val="19982929"/>
    <w:rsid w:val="19A03AC1"/>
    <w:rsid w:val="19A95FB0"/>
    <w:rsid w:val="19AD0C36"/>
    <w:rsid w:val="19B152FD"/>
    <w:rsid w:val="19B60C35"/>
    <w:rsid w:val="19BE2C7A"/>
    <w:rsid w:val="19CB6A61"/>
    <w:rsid w:val="19CD0318"/>
    <w:rsid w:val="19CD6810"/>
    <w:rsid w:val="19CE079E"/>
    <w:rsid w:val="19D05944"/>
    <w:rsid w:val="19D27421"/>
    <w:rsid w:val="19EB7E27"/>
    <w:rsid w:val="19EF09E6"/>
    <w:rsid w:val="19F12FB3"/>
    <w:rsid w:val="19FA344B"/>
    <w:rsid w:val="1A000515"/>
    <w:rsid w:val="1A336D55"/>
    <w:rsid w:val="1A3C73F2"/>
    <w:rsid w:val="1A3F70F6"/>
    <w:rsid w:val="1A440276"/>
    <w:rsid w:val="1A5A5A93"/>
    <w:rsid w:val="1A6F4705"/>
    <w:rsid w:val="1A710BB3"/>
    <w:rsid w:val="1A804E20"/>
    <w:rsid w:val="1A82318C"/>
    <w:rsid w:val="1A860F95"/>
    <w:rsid w:val="1A8F5853"/>
    <w:rsid w:val="1A9000B9"/>
    <w:rsid w:val="1AA208FE"/>
    <w:rsid w:val="1AA662A9"/>
    <w:rsid w:val="1AAE64EF"/>
    <w:rsid w:val="1AB50165"/>
    <w:rsid w:val="1AB529D3"/>
    <w:rsid w:val="1AB94DAB"/>
    <w:rsid w:val="1ACE70FA"/>
    <w:rsid w:val="1AD94E65"/>
    <w:rsid w:val="1ADD1108"/>
    <w:rsid w:val="1ADE613D"/>
    <w:rsid w:val="1AE05D8E"/>
    <w:rsid w:val="1AE637C8"/>
    <w:rsid w:val="1AE80036"/>
    <w:rsid w:val="1AEC7543"/>
    <w:rsid w:val="1B0F149A"/>
    <w:rsid w:val="1B283F8E"/>
    <w:rsid w:val="1B337B8B"/>
    <w:rsid w:val="1B351108"/>
    <w:rsid w:val="1B531146"/>
    <w:rsid w:val="1B7660A0"/>
    <w:rsid w:val="1B78646E"/>
    <w:rsid w:val="1B800A01"/>
    <w:rsid w:val="1B8374FB"/>
    <w:rsid w:val="1B9E1D6E"/>
    <w:rsid w:val="1BAA769E"/>
    <w:rsid w:val="1BB2339D"/>
    <w:rsid w:val="1BBC054B"/>
    <w:rsid w:val="1BC44527"/>
    <w:rsid w:val="1BC50E66"/>
    <w:rsid w:val="1BD86DB9"/>
    <w:rsid w:val="1BDA2D41"/>
    <w:rsid w:val="1BF83AAE"/>
    <w:rsid w:val="1C2F2050"/>
    <w:rsid w:val="1C365A30"/>
    <w:rsid w:val="1C3859AF"/>
    <w:rsid w:val="1C3E4614"/>
    <w:rsid w:val="1C3F7185"/>
    <w:rsid w:val="1C4A0804"/>
    <w:rsid w:val="1C4E180B"/>
    <w:rsid w:val="1C501458"/>
    <w:rsid w:val="1C560200"/>
    <w:rsid w:val="1C5B1EE6"/>
    <w:rsid w:val="1C615542"/>
    <w:rsid w:val="1C8651B5"/>
    <w:rsid w:val="1C89259F"/>
    <w:rsid w:val="1C923FA8"/>
    <w:rsid w:val="1C9919BA"/>
    <w:rsid w:val="1C9A7528"/>
    <w:rsid w:val="1C9D58ED"/>
    <w:rsid w:val="1CA3426E"/>
    <w:rsid w:val="1CA4563B"/>
    <w:rsid w:val="1CC37B46"/>
    <w:rsid w:val="1CC44172"/>
    <w:rsid w:val="1CC6520E"/>
    <w:rsid w:val="1CCA4D15"/>
    <w:rsid w:val="1CF0652A"/>
    <w:rsid w:val="1CF812AF"/>
    <w:rsid w:val="1CFB4AF6"/>
    <w:rsid w:val="1CFC0FD3"/>
    <w:rsid w:val="1D045870"/>
    <w:rsid w:val="1D0E5356"/>
    <w:rsid w:val="1D2F75FB"/>
    <w:rsid w:val="1D4577C9"/>
    <w:rsid w:val="1D47530C"/>
    <w:rsid w:val="1D4E74FE"/>
    <w:rsid w:val="1D560B94"/>
    <w:rsid w:val="1D594678"/>
    <w:rsid w:val="1D7F4760"/>
    <w:rsid w:val="1D81327E"/>
    <w:rsid w:val="1D817B07"/>
    <w:rsid w:val="1D9651EF"/>
    <w:rsid w:val="1DA1646E"/>
    <w:rsid w:val="1DAD157B"/>
    <w:rsid w:val="1DB73F82"/>
    <w:rsid w:val="1DBB0A03"/>
    <w:rsid w:val="1DBB2A17"/>
    <w:rsid w:val="1DE939C1"/>
    <w:rsid w:val="1DF04E30"/>
    <w:rsid w:val="1DF224E3"/>
    <w:rsid w:val="1DFB572F"/>
    <w:rsid w:val="1DFD5969"/>
    <w:rsid w:val="1E03720A"/>
    <w:rsid w:val="1E1C7453"/>
    <w:rsid w:val="1E1D69E3"/>
    <w:rsid w:val="1E2579C9"/>
    <w:rsid w:val="1E4A0AB8"/>
    <w:rsid w:val="1E4B577D"/>
    <w:rsid w:val="1E59377F"/>
    <w:rsid w:val="1E666930"/>
    <w:rsid w:val="1E6A23C8"/>
    <w:rsid w:val="1E7518F5"/>
    <w:rsid w:val="1E7A053A"/>
    <w:rsid w:val="1E7D6139"/>
    <w:rsid w:val="1E8125C4"/>
    <w:rsid w:val="1E83139E"/>
    <w:rsid w:val="1E8A0046"/>
    <w:rsid w:val="1E94109F"/>
    <w:rsid w:val="1E95013E"/>
    <w:rsid w:val="1EA3489A"/>
    <w:rsid w:val="1EBE6291"/>
    <w:rsid w:val="1EC36481"/>
    <w:rsid w:val="1ECE346F"/>
    <w:rsid w:val="1ED65408"/>
    <w:rsid w:val="1EDB2E6A"/>
    <w:rsid w:val="1EDB3330"/>
    <w:rsid w:val="1EE0688E"/>
    <w:rsid w:val="1EF64E36"/>
    <w:rsid w:val="1EFA3C38"/>
    <w:rsid w:val="1F050F12"/>
    <w:rsid w:val="1F0E5A08"/>
    <w:rsid w:val="1F197831"/>
    <w:rsid w:val="1F1C1F41"/>
    <w:rsid w:val="1F204D21"/>
    <w:rsid w:val="1F264A2D"/>
    <w:rsid w:val="1F3A3212"/>
    <w:rsid w:val="1F4941A0"/>
    <w:rsid w:val="1F540EC8"/>
    <w:rsid w:val="1F5641FF"/>
    <w:rsid w:val="1F794709"/>
    <w:rsid w:val="1F867006"/>
    <w:rsid w:val="1F954C4B"/>
    <w:rsid w:val="1FA45EB7"/>
    <w:rsid w:val="1FAD4D8A"/>
    <w:rsid w:val="1FB45B95"/>
    <w:rsid w:val="1FB60629"/>
    <w:rsid w:val="1FD70E9E"/>
    <w:rsid w:val="1FD93985"/>
    <w:rsid w:val="1FDA7169"/>
    <w:rsid w:val="1FDD58EE"/>
    <w:rsid w:val="1FF1198E"/>
    <w:rsid w:val="1FF21D01"/>
    <w:rsid w:val="200B30D7"/>
    <w:rsid w:val="201D1352"/>
    <w:rsid w:val="201F34E9"/>
    <w:rsid w:val="20471C55"/>
    <w:rsid w:val="204A395E"/>
    <w:rsid w:val="204E5AF2"/>
    <w:rsid w:val="20504F4F"/>
    <w:rsid w:val="205C7E34"/>
    <w:rsid w:val="206922A3"/>
    <w:rsid w:val="206C2914"/>
    <w:rsid w:val="20875BEF"/>
    <w:rsid w:val="209838BF"/>
    <w:rsid w:val="209C7568"/>
    <w:rsid w:val="20B574B0"/>
    <w:rsid w:val="20C21883"/>
    <w:rsid w:val="20D0371C"/>
    <w:rsid w:val="20D85B2C"/>
    <w:rsid w:val="20E029BA"/>
    <w:rsid w:val="20E357BE"/>
    <w:rsid w:val="20E64474"/>
    <w:rsid w:val="20F31FEA"/>
    <w:rsid w:val="210C7535"/>
    <w:rsid w:val="210E58A3"/>
    <w:rsid w:val="21147FBE"/>
    <w:rsid w:val="211819A5"/>
    <w:rsid w:val="21184623"/>
    <w:rsid w:val="211B56B2"/>
    <w:rsid w:val="212136FE"/>
    <w:rsid w:val="2129610F"/>
    <w:rsid w:val="213E1E6F"/>
    <w:rsid w:val="21401FF6"/>
    <w:rsid w:val="21535205"/>
    <w:rsid w:val="215874A3"/>
    <w:rsid w:val="215C6B61"/>
    <w:rsid w:val="215D3BFB"/>
    <w:rsid w:val="217B1995"/>
    <w:rsid w:val="217F62E8"/>
    <w:rsid w:val="2181508C"/>
    <w:rsid w:val="218376AF"/>
    <w:rsid w:val="21867D82"/>
    <w:rsid w:val="218A46BB"/>
    <w:rsid w:val="218F2179"/>
    <w:rsid w:val="21A81D06"/>
    <w:rsid w:val="21D43006"/>
    <w:rsid w:val="21DB53CF"/>
    <w:rsid w:val="21E2504C"/>
    <w:rsid w:val="21E6340C"/>
    <w:rsid w:val="21E92D5F"/>
    <w:rsid w:val="21EA2EBC"/>
    <w:rsid w:val="21EE1F3B"/>
    <w:rsid w:val="21FB271B"/>
    <w:rsid w:val="2200205F"/>
    <w:rsid w:val="22027591"/>
    <w:rsid w:val="221B21AB"/>
    <w:rsid w:val="22223475"/>
    <w:rsid w:val="22230AC7"/>
    <w:rsid w:val="222716B2"/>
    <w:rsid w:val="222C30A8"/>
    <w:rsid w:val="2233196C"/>
    <w:rsid w:val="22496F48"/>
    <w:rsid w:val="22595D1C"/>
    <w:rsid w:val="225B679C"/>
    <w:rsid w:val="22683E61"/>
    <w:rsid w:val="22737F8A"/>
    <w:rsid w:val="227B22FA"/>
    <w:rsid w:val="22873A35"/>
    <w:rsid w:val="22943A5C"/>
    <w:rsid w:val="22A031B3"/>
    <w:rsid w:val="22A15E2F"/>
    <w:rsid w:val="22A64A35"/>
    <w:rsid w:val="22C71BAB"/>
    <w:rsid w:val="22DA7340"/>
    <w:rsid w:val="22E03E64"/>
    <w:rsid w:val="23065BBA"/>
    <w:rsid w:val="23363D9D"/>
    <w:rsid w:val="2341453B"/>
    <w:rsid w:val="23415EFB"/>
    <w:rsid w:val="23443598"/>
    <w:rsid w:val="23592EF6"/>
    <w:rsid w:val="23686D8B"/>
    <w:rsid w:val="23885CDB"/>
    <w:rsid w:val="239047AD"/>
    <w:rsid w:val="2397705C"/>
    <w:rsid w:val="23A754DE"/>
    <w:rsid w:val="23CC0CE8"/>
    <w:rsid w:val="23CE5A34"/>
    <w:rsid w:val="23D8517A"/>
    <w:rsid w:val="23E9148E"/>
    <w:rsid w:val="23FA77B0"/>
    <w:rsid w:val="23FC17A3"/>
    <w:rsid w:val="23FD1F32"/>
    <w:rsid w:val="2404634F"/>
    <w:rsid w:val="240821B7"/>
    <w:rsid w:val="241218EE"/>
    <w:rsid w:val="2417643B"/>
    <w:rsid w:val="241876D4"/>
    <w:rsid w:val="24284C43"/>
    <w:rsid w:val="24297319"/>
    <w:rsid w:val="243E3B3B"/>
    <w:rsid w:val="24401B9C"/>
    <w:rsid w:val="24425CE9"/>
    <w:rsid w:val="24474D3E"/>
    <w:rsid w:val="24550976"/>
    <w:rsid w:val="245A2F68"/>
    <w:rsid w:val="24692457"/>
    <w:rsid w:val="247102A6"/>
    <w:rsid w:val="248A72DA"/>
    <w:rsid w:val="248B30A4"/>
    <w:rsid w:val="24A73F5B"/>
    <w:rsid w:val="24A75DA2"/>
    <w:rsid w:val="24A80DE8"/>
    <w:rsid w:val="24AF274E"/>
    <w:rsid w:val="24B74958"/>
    <w:rsid w:val="24C51573"/>
    <w:rsid w:val="24CD11E7"/>
    <w:rsid w:val="24CD2207"/>
    <w:rsid w:val="24DD0EE1"/>
    <w:rsid w:val="250378ED"/>
    <w:rsid w:val="251C07F8"/>
    <w:rsid w:val="25336550"/>
    <w:rsid w:val="25405B6F"/>
    <w:rsid w:val="254848FC"/>
    <w:rsid w:val="25484ED8"/>
    <w:rsid w:val="254B2249"/>
    <w:rsid w:val="254D46DF"/>
    <w:rsid w:val="2553119E"/>
    <w:rsid w:val="25536F67"/>
    <w:rsid w:val="25771FAC"/>
    <w:rsid w:val="25803E00"/>
    <w:rsid w:val="25842D0D"/>
    <w:rsid w:val="2592441B"/>
    <w:rsid w:val="259B3DA8"/>
    <w:rsid w:val="259B52B3"/>
    <w:rsid w:val="259C376D"/>
    <w:rsid w:val="25A419B7"/>
    <w:rsid w:val="25A425EF"/>
    <w:rsid w:val="25A761F1"/>
    <w:rsid w:val="25B14D79"/>
    <w:rsid w:val="25B55F33"/>
    <w:rsid w:val="25C2583D"/>
    <w:rsid w:val="25C27080"/>
    <w:rsid w:val="25CC5B07"/>
    <w:rsid w:val="25DA76C3"/>
    <w:rsid w:val="25DC1540"/>
    <w:rsid w:val="25F30202"/>
    <w:rsid w:val="25F86312"/>
    <w:rsid w:val="2608662C"/>
    <w:rsid w:val="260C7C43"/>
    <w:rsid w:val="26166B51"/>
    <w:rsid w:val="26205A06"/>
    <w:rsid w:val="26222D15"/>
    <w:rsid w:val="262564E4"/>
    <w:rsid w:val="262978A7"/>
    <w:rsid w:val="262B48A6"/>
    <w:rsid w:val="2643425F"/>
    <w:rsid w:val="2647520E"/>
    <w:rsid w:val="265A11D6"/>
    <w:rsid w:val="265A2CA9"/>
    <w:rsid w:val="265F25D3"/>
    <w:rsid w:val="266C105C"/>
    <w:rsid w:val="26806536"/>
    <w:rsid w:val="268525E7"/>
    <w:rsid w:val="268729B0"/>
    <w:rsid w:val="26882C42"/>
    <w:rsid w:val="268B1BA4"/>
    <w:rsid w:val="268D4103"/>
    <w:rsid w:val="26946901"/>
    <w:rsid w:val="269B1288"/>
    <w:rsid w:val="269F5C5A"/>
    <w:rsid w:val="26BA4623"/>
    <w:rsid w:val="26BC1E2F"/>
    <w:rsid w:val="26CE19B1"/>
    <w:rsid w:val="26D10482"/>
    <w:rsid w:val="26D64A4A"/>
    <w:rsid w:val="26E054C2"/>
    <w:rsid w:val="26E4089F"/>
    <w:rsid w:val="26FA7425"/>
    <w:rsid w:val="26FB4EFF"/>
    <w:rsid w:val="271519FB"/>
    <w:rsid w:val="271D7CB4"/>
    <w:rsid w:val="2722222F"/>
    <w:rsid w:val="272E09D1"/>
    <w:rsid w:val="27482CC7"/>
    <w:rsid w:val="274C1B96"/>
    <w:rsid w:val="27502BC8"/>
    <w:rsid w:val="275A28AC"/>
    <w:rsid w:val="27606603"/>
    <w:rsid w:val="276F46AD"/>
    <w:rsid w:val="277079F0"/>
    <w:rsid w:val="278202BA"/>
    <w:rsid w:val="278A3680"/>
    <w:rsid w:val="278B1867"/>
    <w:rsid w:val="27910129"/>
    <w:rsid w:val="27985D9D"/>
    <w:rsid w:val="27C63DDD"/>
    <w:rsid w:val="27D22CD1"/>
    <w:rsid w:val="27D27DFC"/>
    <w:rsid w:val="27D632E0"/>
    <w:rsid w:val="27DF7FCD"/>
    <w:rsid w:val="27E154F8"/>
    <w:rsid w:val="27F875FB"/>
    <w:rsid w:val="27FA7C66"/>
    <w:rsid w:val="27FE3275"/>
    <w:rsid w:val="28043FF8"/>
    <w:rsid w:val="28091FC0"/>
    <w:rsid w:val="281E6D7A"/>
    <w:rsid w:val="2823053E"/>
    <w:rsid w:val="28323270"/>
    <w:rsid w:val="28427300"/>
    <w:rsid w:val="284926EA"/>
    <w:rsid w:val="28545E2E"/>
    <w:rsid w:val="2857228D"/>
    <w:rsid w:val="2864098A"/>
    <w:rsid w:val="28643ED1"/>
    <w:rsid w:val="2865285F"/>
    <w:rsid w:val="286E42EB"/>
    <w:rsid w:val="28866837"/>
    <w:rsid w:val="288946AE"/>
    <w:rsid w:val="288966AE"/>
    <w:rsid w:val="28950C50"/>
    <w:rsid w:val="28972D66"/>
    <w:rsid w:val="289B6852"/>
    <w:rsid w:val="28A6386E"/>
    <w:rsid w:val="28B27979"/>
    <w:rsid w:val="28B36FA4"/>
    <w:rsid w:val="28BF3BE1"/>
    <w:rsid w:val="28C10D88"/>
    <w:rsid w:val="28CD76CA"/>
    <w:rsid w:val="28CF4EF9"/>
    <w:rsid w:val="28D754D4"/>
    <w:rsid w:val="28DF3AFD"/>
    <w:rsid w:val="28E07BA2"/>
    <w:rsid w:val="28E37F78"/>
    <w:rsid w:val="28E94EE0"/>
    <w:rsid w:val="28EA53C7"/>
    <w:rsid w:val="28F55CC1"/>
    <w:rsid w:val="29092BAA"/>
    <w:rsid w:val="29127DD1"/>
    <w:rsid w:val="291E3093"/>
    <w:rsid w:val="29270F87"/>
    <w:rsid w:val="29380586"/>
    <w:rsid w:val="29624C73"/>
    <w:rsid w:val="29696539"/>
    <w:rsid w:val="296C2DE5"/>
    <w:rsid w:val="29722537"/>
    <w:rsid w:val="29891E98"/>
    <w:rsid w:val="298C1CB4"/>
    <w:rsid w:val="298F31CF"/>
    <w:rsid w:val="29901BC7"/>
    <w:rsid w:val="29A13C84"/>
    <w:rsid w:val="29B471D8"/>
    <w:rsid w:val="29B7510A"/>
    <w:rsid w:val="29C5485C"/>
    <w:rsid w:val="29C72C10"/>
    <w:rsid w:val="29D30D2B"/>
    <w:rsid w:val="29E0282D"/>
    <w:rsid w:val="29E748E2"/>
    <w:rsid w:val="29FB0F45"/>
    <w:rsid w:val="2A00609C"/>
    <w:rsid w:val="2A094249"/>
    <w:rsid w:val="2A150E3F"/>
    <w:rsid w:val="2A1674EF"/>
    <w:rsid w:val="2A1B3E58"/>
    <w:rsid w:val="2A1B5CC2"/>
    <w:rsid w:val="2A1E7FDA"/>
    <w:rsid w:val="2A234324"/>
    <w:rsid w:val="2A3518BD"/>
    <w:rsid w:val="2A3A466D"/>
    <w:rsid w:val="2A3D5B26"/>
    <w:rsid w:val="2A472C6C"/>
    <w:rsid w:val="2A4E2302"/>
    <w:rsid w:val="2A4F740F"/>
    <w:rsid w:val="2A5E01A8"/>
    <w:rsid w:val="2A6B3149"/>
    <w:rsid w:val="2A744EDA"/>
    <w:rsid w:val="2A8F36AC"/>
    <w:rsid w:val="2AA06053"/>
    <w:rsid w:val="2AB05C5B"/>
    <w:rsid w:val="2AC100EB"/>
    <w:rsid w:val="2AD207D5"/>
    <w:rsid w:val="2AD34DE2"/>
    <w:rsid w:val="2AD64479"/>
    <w:rsid w:val="2AD83B4E"/>
    <w:rsid w:val="2AFE28D7"/>
    <w:rsid w:val="2B0A6754"/>
    <w:rsid w:val="2B1B43D8"/>
    <w:rsid w:val="2B2362C5"/>
    <w:rsid w:val="2B2B2E2E"/>
    <w:rsid w:val="2B2F69CC"/>
    <w:rsid w:val="2B3736C2"/>
    <w:rsid w:val="2B404781"/>
    <w:rsid w:val="2B475A57"/>
    <w:rsid w:val="2B4F11EE"/>
    <w:rsid w:val="2B5D3585"/>
    <w:rsid w:val="2B6C1488"/>
    <w:rsid w:val="2B741266"/>
    <w:rsid w:val="2B7E34FB"/>
    <w:rsid w:val="2B997542"/>
    <w:rsid w:val="2BA9311F"/>
    <w:rsid w:val="2BB21501"/>
    <w:rsid w:val="2BB3366B"/>
    <w:rsid w:val="2BB53006"/>
    <w:rsid w:val="2BBD5E3A"/>
    <w:rsid w:val="2BC2156C"/>
    <w:rsid w:val="2BC44D49"/>
    <w:rsid w:val="2BC5737C"/>
    <w:rsid w:val="2BD1421F"/>
    <w:rsid w:val="2BE670DA"/>
    <w:rsid w:val="2BEC17AE"/>
    <w:rsid w:val="2BFB2D9E"/>
    <w:rsid w:val="2BFD4384"/>
    <w:rsid w:val="2C0D3856"/>
    <w:rsid w:val="2C147407"/>
    <w:rsid w:val="2C1E2B8B"/>
    <w:rsid w:val="2C226800"/>
    <w:rsid w:val="2C3260C8"/>
    <w:rsid w:val="2C576084"/>
    <w:rsid w:val="2C637C4B"/>
    <w:rsid w:val="2C7123FF"/>
    <w:rsid w:val="2C844B41"/>
    <w:rsid w:val="2C873AFF"/>
    <w:rsid w:val="2C937EE3"/>
    <w:rsid w:val="2C9619FA"/>
    <w:rsid w:val="2C9F5E1F"/>
    <w:rsid w:val="2CA769B2"/>
    <w:rsid w:val="2CC76CC3"/>
    <w:rsid w:val="2CCA76CB"/>
    <w:rsid w:val="2CCC5885"/>
    <w:rsid w:val="2CCD1EE7"/>
    <w:rsid w:val="2CD36322"/>
    <w:rsid w:val="2CDD5CF1"/>
    <w:rsid w:val="2CE576AE"/>
    <w:rsid w:val="2CEA179B"/>
    <w:rsid w:val="2CF21EBD"/>
    <w:rsid w:val="2CFF72AA"/>
    <w:rsid w:val="2D0727A4"/>
    <w:rsid w:val="2D0A59F6"/>
    <w:rsid w:val="2D156ABF"/>
    <w:rsid w:val="2D161030"/>
    <w:rsid w:val="2D16234B"/>
    <w:rsid w:val="2D3D0577"/>
    <w:rsid w:val="2D55756C"/>
    <w:rsid w:val="2D622A5D"/>
    <w:rsid w:val="2D681F48"/>
    <w:rsid w:val="2D8823A6"/>
    <w:rsid w:val="2D9D3074"/>
    <w:rsid w:val="2DA74519"/>
    <w:rsid w:val="2DAB408D"/>
    <w:rsid w:val="2DAF7AD1"/>
    <w:rsid w:val="2DB35D91"/>
    <w:rsid w:val="2DB63420"/>
    <w:rsid w:val="2DB87198"/>
    <w:rsid w:val="2DE6047A"/>
    <w:rsid w:val="2DF14AC0"/>
    <w:rsid w:val="2DF80803"/>
    <w:rsid w:val="2DFC71A7"/>
    <w:rsid w:val="2E0B70CD"/>
    <w:rsid w:val="2E10331E"/>
    <w:rsid w:val="2E106393"/>
    <w:rsid w:val="2E1268ED"/>
    <w:rsid w:val="2E162111"/>
    <w:rsid w:val="2E195B7B"/>
    <w:rsid w:val="2E39120B"/>
    <w:rsid w:val="2E473050"/>
    <w:rsid w:val="2E4A235A"/>
    <w:rsid w:val="2E564654"/>
    <w:rsid w:val="2E5E63D4"/>
    <w:rsid w:val="2E633378"/>
    <w:rsid w:val="2E6B420B"/>
    <w:rsid w:val="2E7F5C0E"/>
    <w:rsid w:val="2E862DF3"/>
    <w:rsid w:val="2E91369D"/>
    <w:rsid w:val="2E9243B5"/>
    <w:rsid w:val="2E9521E9"/>
    <w:rsid w:val="2E9D730D"/>
    <w:rsid w:val="2E9E4ABC"/>
    <w:rsid w:val="2EA46F85"/>
    <w:rsid w:val="2EAD2AE9"/>
    <w:rsid w:val="2EB30035"/>
    <w:rsid w:val="2EB84EA2"/>
    <w:rsid w:val="2EBC2D0C"/>
    <w:rsid w:val="2EBC6C10"/>
    <w:rsid w:val="2ED4431F"/>
    <w:rsid w:val="2EDE49DD"/>
    <w:rsid w:val="2EE947FC"/>
    <w:rsid w:val="2F0311BF"/>
    <w:rsid w:val="2F354E77"/>
    <w:rsid w:val="2F3E2E10"/>
    <w:rsid w:val="2F455DAB"/>
    <w:rsid w:val="2F4F4231"/>
    <w:rsid w:val="2F4F679B"/>
    <w:rsid w:val="2F590507"/>
    <w:rsid w:val="2F665DE8"/>
    <w:rsid w:val="2F6F2373"/>
    <w:rsid w:val="2F714E5B"/>
    <w:rsid w:val="2F71570E"/>
    <w:rsid w:val="2F754491"/>
    <w:rsid w:val="2F8145ED"/>
    <w:rsid w:val="2FA32F2B"/>
    <w:rsid w:val="2FA36ABC"/>
    <w:rsid w:val="2FBA405E"/>
    <w:rsid w:val="2FBD27F0"/>
    <w:rsid w:val="2FC8512A"/>
    <w:rsid w:val="2FCE1D61"/>
    <w:rsid w:val="2FDB3700"/>
    <w:rsid w:val="2FDB716E"/>
    <w:rsid w:val="2FDC54E4"/>
    <w:rsid w:val="2FDD71B4"/>
    <w:rsid w:val="2FDF38F2"/>
    <w:rsid w:val="2FE74BAE"/>
    <w:rsid w:val="30184710"/>
    <w:rsid w:val="3021599B"/>
    <w:rsid w:val="30274161"/>
    <w:rsid w:val="302F5220"/>
    <w:rsid w:val="303209B6"/>
    <w:rsid w:val="30406FD1"/>
    <w:rsid w:val="305413BE"/>
    <w:rsid w:val="305504F6"/>
    <w:rsid w:val="305F308A"/>
    <w:rsid w:val="307A191D"/>
    <w:rsid w:val="307A456E"/>
    <w:rsid w:val="307A4BD6"/>
    <w:rsid w:val="30A62F22"/>
    <w:rsid w:val="30AC28B9"/>
    <w:rsid w:val="30AC46AE"/>
    <w:rsid w:val="30BC2B3B"/>
    <w:rsid w:val="30C145B6"/>
    <w:rsid w:val="30DE72D9"/>
    <w:rsid w:val="30E32028"/>
    <w:rsid w:val="30EF2B23"/>
    <w:rsid w:val="30F17FF5"/>
    <w:rsid w:val="30FB33A6"/>
    <w:rsid w:val="310349C1"/>
    <w:rsid w:val="31051AA9"/>
    <w:rsid w:val="311A3ADF"/>
    <w:rsid w:val="311D475E"/>
    <w:rsid w:val="31215A0C"/>
    <w:rsid w:val="3125515C"/>
    <w:rsid w:val="31344EDD"/>
    <w:rsid w:val="31362FAD"/>
    <w:rsid w:val="314936DD"/>
    <w:rsid w:val="314F4BEE"/>
    <w:rsid w:val="31636818"/>
    <w:rsid w:val="31737B4A"/>
    <w:rsid w:val="317C0525"/>
    <w:rsid w:val="31BB51CD"/>
    <w:rsid w:val="31C26FBE"/>
    <w:rsid w:val="31D44F14"/>
    <w:rsid w:val="31D96246"/>
    <w:rsid w:val="31E15F5F"/>
    <w:rsid w:val="31E36800"/>
    <w:rsid w:val="31FB758F"/>
    <w:rsid w:val="32145EA1"/>
    <w:rsid w:val="32150B1B"/>
    <w:rsid w:val="321941D6"/>
    <w:rsid w:val="32217DE8"/>
    <w:rsid w:val="32392845"/>
    <w:rsid w:val="32494442"/>
    <w:rsid w:val="324D6877"/>
    <w:rsid w:val="324E7AAC"/>
    <w:rsid w:val="325F4087"/>
    <w:rsid w:val="32635AB7"/>
    <w:rsid w:val="32674A35"/>
    <w:rsid w:val="326A3D9D"/>
    <w:rsid w:val="326B77FB"/>
    <w:rsid w:val="32747406"/>
    <w:rsid w:val="32807EBE"/>
    <w:rsid w:val="32823552"/>
    <w:rsid w:val="32831A80"/>
    <w:rsid w:val="328A3459"/>
    <w:rsid w:val="329A6E6D"/>
    <w:rsid w:val="32C71D27"/>
    <w:rsid w:val="32D124DC"/>
    <w:rsid w:val="32D97E7F"/>
    <w:rsid w:val="32E7119D"/>
    <w:rsid w:val="32F00EE5"/>
    <w:rsid w:val="32F02F3F"/>
    <w:rsid w:val="32F1173B"/>
    <w:rsid w:val="32F9520A"/>
    <w:rsid w:val="331C275F"/>
    <w:rsid w:val="332E6349"/>
    <w:rsid w:val="33402CC9"/>
    <w:rsid w:val="33585E79"/>
    <w:rsid w:val="335E7AFC"/>
    <w:rsid w:val="33671EF6"/>
    <w:rsid w:val="337771AE"/>
    <w:rsid w:val="338141DE"/>
    <w:rsid w:val="3386183D"/>
    <w:rsid w:val="33AC2F3A"/>
    <w:rsid w:val="33C3785C"/>
    <w:rsid w:val="33DB1E1E"/>
    <w:rsid w:val="33E76BBD"/>
    <w:rsid w:val="33ED0BAF"/>
    <w:rsid w:val="33EF4D6B"/>
    <w:rsid w:val="33F93864"/>
    <w:rsid w:val="33FD6053"/>
    <w:rsid w:val="341E4782"/>
    <w:rsid w:val="343A7F23"/>
    <w:rsid w:val="344722E3"/>
    <w:rsid w:val="344772A5"/>
    <w:rsid w:val="344B621B"/>
    <w:rsid w:val="34532D3A"/>
    <w:rsid w:val="34636499"/>
    <w:rsid w:val="346F4329"/>
    <w:rsid w:val="34777B31"/>
    <w:rsid w:val="34831B82"/>
    <w:rsid w:val="348653B1"/>
    <w:rsid w:val="34897E7B"/>
    <w:rsid w:val="348F5A42"/>
    <w:rsid w:val="34917FE6"/>
    <w:rsid w:val="34971FC3"/>
    <w:rsid w:val="349C6116"/>
    <w:rsid w:val="34A9170D"/>
    <w:rsid w:val="34B00078"/>
    <w:rsid w:val="34B14B5D"/>
    <w:rsid w:val="34B70361"/>
    <w:rsid w:val="34BA168F"/>
    <w:rsid w:val="34CB0D06"/>
    <w:rsid w:val="34CC5108"/>
    <w:rsid w:val="34E75AE4"/>
    <w:rsid w:val="34F619B8"/>
    <w:rsid w:val="34F63E77"/>
    <w:rsid w:val="3516748E"/>
    <w:rsid w:val="351B1969"/>
    <w:rsid w:val="3520776B"/>
    <w:rsid w:val="35217CED"/>
    <w:rsid w:val="3523534B"/>
    <w:rsid w:val="35245113"/>
    <w:rsid w:val="3529543C"/>
    <w:rsid w:val="35495570"/>
    <w:rsid w:val="35614701"/>
    <w:rsid w:val="35661288"/>
    <w:rsid w:val="356B2FDF"/>
    <w:rsid w:val="357476FC"/>
    <w:rsid w:val="358C7C15"/>
    <w:rsid w:val="358F34CB"/>
    <w:rsid w:val="35911F21"/>
    <w:rsid w:val="35C02393"/>
    <w:rsid w:val="35CC6B99"/>
    <w:rsid w:val="35E05A10"/>
    <w:rsid w:val="35E6061B"/>
    <w:rsid w:val="35EC1AFB"/>
    <w:rsid w:val="35EC58DE"/>
    <w:rsid w:val="35FA537B"/>
    <w:rsid w:val="36065A7D"/>
    <w:rsid w:val="3609656A"/>
    <w:rsid w:val="360D03D3"/>
    <w:rsid w:val="362237B3"/>
    <w:rsid w:val="36257D92"/>
    <w:rsid w:val="36261C5A"/>
    <w:rsid w:val="36273E62"/>
    <w:rsid w:val="363B7622"/>
    <w:rsid w:val="364D3CED"/>
    <w:rsid w:val="364E0B39"/>
    <w:rsid w:val="364F0364"/>
    <w:rsid w:val="36517617"/>
    <w:rsid w:val="36561C4A"/>
    <w:rsid w:val="36595160"/>
    <w:rsid w:val="36635494"/>
    <w:rsid w:val="366F44C8"/>
    <w:rsid w:val="368E098A"/>
    <w:rsid w:val="3690617A"/>
    <w:rsid w:val="36B204BD"/>
    <w:rsid w:val="36B468FD"/>
    <w:rsid w:val="36BA571C"/>
    <w:rsid w:val="36D1299C"/>
    <w:rsid w:val="36D84407"/>
    <w:rsid w:val="36D93DAB"/>
    <w:rsid w:val="36DF33DC"/>
    <w:rsid w:val="36DF5796"/>
    <w:rsid w:val="36E344B0"/>
    <w:rsid w:val="36E554B2"/>
    <w:rsid w:val="370332B6"/>
    <w:rsid w:val="37054AD1"/>
    <w:rsid w:val="370E1BD7"/>
    <w:rsid w:val="371774EF"/>
    <w:rsid w:val="37183E90"/>
    <w:rsid w:val="3719504D"/>
    <w:rsid w:val="37203A34"/>
    <w:rsid w:val="3725558C"/>
    <w:rsid w:val="372B09DB"/>
    <w:rsid w:val="373762D9"/>
    <w:rsid w:val="373A13A7"/>
    <w:rsid w:val="373B6744"/>
    <w:rsid w:val="37461371"/>
    <w:rsid w:val="37464EE5"/>
    <w:rsid w:val="37555206"/>
    <w:rsid w:val="375B1389"/>
    <w:rsid w:val="376755E9"/>
    <w:rsid w:val="377A1742"/>
    <w:rsid w:val="377A5F68"/>
    <w:rsid w:val="37906552"/>
    <w:rsid w:val="37A03A23"/>
    <w:rsid w:val="37B70881"/>
    <w:rsid w:val="37C525D8"/>
    <w:rsid w:val="37CE51EC"/>
    <w:rsid w:val="37D506C6"/>
    <w:rsid w:val="37DB584C"/>
    <w:rsid w:val="37E06B6C"/>
    <w:rsid w:val="37E70466"/>
    <w:rsid w:val="37F660AB"/>
    <w:rsid w:val="38030E16"/>
    <w:rsid w:val="38106589"/>
    <w:rsid w:val="381C45F9"/>
    <w:rsid w:val="38232D7B"/>
    <w:rsid w:val="382E6DD9"/>
    <w:rsid w:val="38397DEF"/>
    <w:rsid w:val="38420DC3"/>
    <w:rsid w:val="38513F1F"/>
    <w:rsid w:val="3858224D"/>
    <w:rsid w:val="38593936"/>
    <w:rsid w:val="38626225"/>
    <w:rsid w:val="38662CBF"/>
    <w:rsid w:val="387D13E0"/>
    <w:rsid w:val="38804DCC"/>
    <w:rsid w:val="38824B36"/>
    <w:rsid w:val="3895194A"/>
    <w:rsid w:val="38955D2C"/>
    <w:rsid w:val="38970F1F"/>
    <w:rsid w:val="38A608ED"/>
    <w:rsid w:val="38B4462E"/>
    <w:rsid w:val="38D61113"/>
    <w:rsid w:val="38D64977"/>
    <w:rsid w:val="38E52B58"/>
    <w:rsid w:val="38F24B27"/>
    <w:rsid w:val="38FA1ABA"/>
    <w:rsid w:val="38FF7BC0"/>
    <w:rsid w:val="3907080B"/>
    <w:rsid w:val="39092427"/>
    <w:rsid w:val="390D00B6"/>
    <w:rsid w:val="391475A2"/>
    <w:rsid w:val="3919084C"/>
    <w:rsid w:val="391A31A3"/>
    <w:rsid w:val="3923256F"/>
    <w:rsid w:val="393A32FD"/>
    <w:rsid w:val="39450500"/>
    <w:rsid w:val="395F172D"/>
    <w:rsid w:val="39644017"/>
    <w:rsid w:val="396A01A1"/>
    <w:rsid w:val="3970104A"/>
    <w:rsid w:val="3976384F"/>
    <w:rsid w:val="3982260A"/>
    <w:rsid w:val="398B3B41"/>
    <w:rsid w:val="398F7C4F"/>
    <w:rsid w:val="39905717"/>
    <w:rsid w:val="399941A1"/>
    <w:rsid w:val="39B61F39"/>
    <w:rsid w:val="39BF4224"/>
    <w:rsid w:val="39FA2259"/>
    <w:rsid w:val="3A182EB5"/>
    <w:rsid w:val="3A1C22F2"/>
    <w:rsid w:val="3A203622"/>
    <w:rsid w:val="3A2156EF"/>
    <w:rsid w:val="3A402B6B"/>
    <w:rsid w:val="3A4B3142"/>
    <w:rsid w:val="3A5B3385"/>
    <w:rsid w:val="3A6720FC"/>
    <w:rsid w:val="3A6C5593"/>
    <w:rsid w:val="3A815E4F"/>
    <w:rsid w:val="3A8E60BF"/>
    <w:rsid w:val="3A9D60F8"/>
    <w:rsid w:val="3AAE6C39"/>
    <w:rsid w:val="3AB82ADA"/>
    <w:rsid w:val="3AE8043F"/>
    <w:rsid w:val="3AF86A9E"/>
    <w:rsid w:val="3AFB2473"/>
    <w:rsid w:val="3AFE1F63"/>
    <w:rsid w:val="3AFF762B"/>
    <w:rsid w:val="3B037579"/>
    <w:rsid w:val="3B260D0D"/>
    <w:rsid w:val="3B295388"/>
    <w:rsid w:val="3B295397"/>
    <w:rsid w:val="3B2C1889"/>
    <w:rsid w:val="3B2E18CE"/>
    <w:rsid w:val="3B4405D3"/>
    <w:rsid w:val="3B533E12"/>
    <w:rsid w:val="3B5618DC"/>
    <w:rsid w:val="3B5E1338"/>
    <w:rsid w:val="3B6A0CA3"/>
    <w:rsid w:val="3B715229"/>
    <w:rsid w:val="3BB74DB5"/>
    <w:rsid w:val="3BC05676"/>
    <w:rsid w:val="3BC1029D"/>
    <w:rsid w:val="3BC23CBC"/>
    <w:rsid w:val="3BC66813"/>
    <w:rsid w:val="3BEE647B"/>
    <w:rsid w:val="3BF37D60"/>
    <w:rsid w:val="3BFD270A"/>
    <w:rsid w:val="3C0B7F27"/>
    <w:rsid w:val="3C1A47AF"/>
    <w:rsid w:val="3C293BD1"/>
    <w:rsid w:val="3C2C0C39"/>
    <w:rsid w:val="3C3C0F95"/>
    <w:rsid w:val="3C43682B"/>
    <w:rsid w:val="3C60560C"/>
    <w:rsid w:val="3C612F17"/>
    <w:rsid w:val="3C625612"/>
    <w:rsid w:val="3C6B4849"/>
    <w:rsid w:val="3C6F1C5D"/>
    <w:rsid w:val="3C7C5C69"/>
    <w:rsid w:val="3C8176B1"/>
    <w:rsid w:val="3C82492C"/>
    <w:rsid w:val="3C8F7961"/>
    <w:rsid w:val="3C94492D"/>
    <w:rsid w:val="3C9E6140"/>
    <w:rsid w:val="3CA11242"/>
    <w:rsid w:val="3CC30EA6"/>
    <w:rsid w:val="3CC42B75"/>
    <w:rsid w:val="3CCF7576"/>
    <w:rsid w:val="3CDF6509"/>
    <w:rsid w:val="3CE37662"/>
    <w:rsid w:val="3CE70048"/>
    <w:rsid w:val="3CEA4A2C"/>
    <w:rsid w:val="3CF21D95"/>
    <w:rsid w:val="3CF61A6E"/>
    <w:rsid w:val="3CF62423"/>
    <w:rsid w:val="3D0C31DD"/>
    <w:rsid w:val="3D1A1CE6"/>
    <w:rsid w:val="3D3103CE"/>
    <w:rsid w:val="3D3F6F8E"/>
    <w:rsid w:val="3D487CDE"/>
    <w:rsid w:val="3D4C377E"/>
    <w:rsid w:val="3D704332"/>
    <w:rsid w:val="3D736FE6"/>
    <w:rsid w:val="3D815BD8"/>
    <w:rsid w:val="3D820DF1"/>
    <w:rsid w:val="3D8F1598"/>
    <w:rsid w:val="3D910657"/>
    <w:rsid w:val="3DAA731A"/>
    <w:rsid w:val="3DB45600"/>
    <w:rsid w:val="3DB70D88"/>
    <w:rsid w:val="3DC2196D"/>
    <w:rsid w:val="3DC512E0"/>
    <w:rsid w:val="3DC70D32"/>
    <w:rsid w:val="3DDA0A65"/>
    <w:rsid w:val="3DE35F95"/>
    <w:rsid w:val="3DE857EB"/>
    <w:rsid w:val="3DE85A2F"/>
    <w:rsid w:val="3DEF1C09"/>
    <w:rsid w:val="3DF63C5A"/>
    <w:rsid w:val="3DF87BB5"/>
    <w:rsid w:val="3DFA701C"/>
    <w:rsid w:val="3E083824"/>
    <w:rsid w:val="3E103BBD"/>
    <w:rsid w:val="3E1B5B9F"/>
    <w:rsid w:val="3E3B4094"/>
    <w:rsid w:val="3E3C7DE5"/>
    <w:rsid w:val="3E4F3D98"/>
    <w:rsid w:val="3E630CF4"/>
    <w:rsid w:val="3E726E60"/>
    <w:rsid w:val="3E751CD1"/>
    <w:rsid w:val="3E7C20A2"/>
    <w:rsid w:val="3E7C7221"/>
    <w:rsid w:val="3E7E7642"/>
    <w:rsid w:val="3E845BDC"/>
    <w:rsid w:val="3E9B15C5"/>
    <w:rsid w:val="3EA73C2E"/>
    <w:rsid w:val="3EAD4BFA"/>
    <w:rsid w:val="3EAE02DD"/>
    <w:rsid w:val="3EB27FED"/>
    <w:rsid w:val="3EE62529"/>
    <w:rsid w:val="3EF605F2"/>
    <w:rsid w:val="3F0100AD"/>
    <w:rsid w:val="3F060EDA"/>
    <w:rsid w:val="3F0652E0"/>
    <w:rsid w:val="3F117B74"/>
    <w:rsid w:val="3F1600C7"/>
    <w:rsid w:val="3F2102FA"/>
    <w:rsid w:val="3F242B34"/>
    <w:rsid w:val="3F2A2B70"/>
    <w:rsid w:val="3F2D5BBD"/>
    <w:rsid w:val="3F3A54B4"/>
    <w:rsid w:val="3F567D20"/>
    <w:rsid w:val="3F716AD8"/>
    <w:rsid w:val="3F767786"/>
    <w:rsid w:val="3F8728EE"/>
    <w:rsid w:val="3F9F5A3E"/>
    <w:rsid w:val="3FB56EBB"/>
    <w:rsid w:val="3FC761BC"/>
    <w:rsid w:val="3FD060C1"/>
    <w:rsid w:val="3FD57EA0"/>
    <w:rsid w:val="3FE064D7"/>
    <w:rsid w:val="3FE22AD7"/>
    <w:rsid w:val="3FE810C3"/>
    <w:rsid w:val="3FF07789"/>
    <w:rsid w:val="3FF1760E"/>
    <w:rsid w:val="3FF35D47"/>
    <w:rsid w:val="3FF45FAB"/>
    <w:rsid w:val="3FF47B6F"/>
    <w:rsid w:val="3FFF3636"/>
    <w:rsid w:val="40006988"/>
    <w:rsid w:val="400E682A"/>
    <w:rsid w:val="40216BA4"/>
    <w:rsid w:val="403C1472"/>
    <w:rsid w:val="40411084"/>
    <w:rsid w:val="40450F90"/>
    <w:rsid w:val="404605E0"/>
    <w:rsid w:val="40501548"/>
    <w:rsid w:val="40517064"/>
    <w:rsid w:val="405E6E9E"/>
    <w:rsid w:val="40843680"/>
    <w:rsid w:val="40872D16"/>
    <w:rsid w:val="40A27B2D"/>
    <w:rsid w:val="40A339E3"/>
    <w:rsid w:val="40B8096E"/>
    <w:rsid w:val="40CB075D"/>
    <w:rsid w:val="40D1419D"/>
    <w:rsid w:val="40DA379D"/>
    <w:rsid w:val="40E73051"/>
    <w:rsid w:val="40E90D8F"/>
    <w:rsid w:val="40EE5B98"/>
    <w:rsid w:val="40F80BDD"/>
    <w:rsid w:val="40FC6DAB"/>
    <w:rsid w:val="41016840"/>
    <w:rsid w:val="412179FD"/>
    <w:rsid w:val="4126191D"/>
    <w:rsid w:val="412D5D64"/>
    <w:rsid w:val="413440D5"/>
    <w:rsid w:val="4150514C"/>
    <w:rsid w:val="41570CAC"/>
    <w:rsid w:val="415D7508"/>
    <w:rsid w:val="416E7E42"/>
    <w:rsid w:val="417220BD"/>
    <w:rsid w:val="41786818"/>
    <w:rsid w:val="41915E7F"/>
    <w:rsid w:val="41964FE5"/>
    <w:rsid w:val="41A37164"/>
    <w:rsid w:val="41A658D5"/>
    <w:rsid w:val="41A90E7A"/>
    <w:rsid w:val="41CC53D8"/>
    <w:rsid w:val="41D8350E"/>
    <w:rsid w:val="41ED52F9"/>
    <w:rsid w:val="41FB0254"/>
    <w:rsid w:val="4200044F"/>
    <w:rsid w:val="42164D5A"/>
    <w:rsid w:val="42181B5C"/>
    <w:rsid w:val="421C6438"/>
    <w:rsid w:val="422B1C39"/>
    <w:rsid w:val="42331FC8"/>
    <w:rsid w:val="42365B46"/>
    <w:rsid w:val="42371431"/>
    <w:rsid w:val="423C25C7"/>
    <w:rsid w:val="423D4090"/>
    <w:rsid w:val="423D7B69"/>
    <w:rsid w:val="42576C9E"/>
    <w:rsid w:val="426605A0"/>
    <w:rsid w:val="426C4D56"/>
    <w:rsid w:val="42707BEA"/>
    <w:rsid w:val="42856D02"/>
    <w:rsid w:val="428A3E5E"/>
    <w:rsid w:val="42925DB2"/>
    <w:rsid w:val="429F402B"/>
    <w:rsid w:val="42A12667"/>
    <w:rsid w:val="42BE76F8"/>
    <w:rsid w:val="42D56F3C"/>
    <w:rsid w:val="42DE73FB"/>
    <w:rsid w:val="42EA47CA"/>
    <w:rsid w:val="42EB491B"/>
    <w:rsid w:val="42EE546E"/>
    <w:rsid w:val="42FD79F4"/>
    <w:rsid w:val="4301480F"/>
    <w:rsid w:val="43040E84"/>
    <w:rsid w:val="43127266"/>
    <w:rsid w:val="431379B0"/>
    <w:rsid w:val="431D2FA5"/>
    <w:rsid w:val="433B36A9"/>
    <w:rsid w:val="434649F0"/>
    <w:rsid w:val="434F7D15"/>
    <w:rsid w:val="43544449"/>
    <w:rsid w:val="43544D12"/>
    <w:rsid w:val="43562CCE"/>
    <w:rsid w:val="43573F72"/>
    <w:rsid w:val="435B43FA"/>
    <w:rsid w:val="435B458B"/>
    <w:rsid w:val="435B7919"/>
    <w:rsid w:val="43647D78"/>
    <w:rsid w:val="43730783"/>
    <w:rsid w:val="43735A8F"/>
    <w:rsid w:val="43794574"/>
    <w:rsid w:val="437B1567"/>
    <w:rsid w:val="437C2BB3"/>
    <w:rsid w:val="437C7E61"/>
    <w:rsid w:val="43891561"/>
    <w:rsid w:val="438C5E8C"/>
    <w:rsid w:val="438E3A57"/>
    <w:rsid w:val="43925BCA"/>
    <w:rsid w:val="43BC01D6"/>
    <w:rsid w:val="43C03FC4"/>
    <w:rsid w:val="43CF65B5"/>
    <w:rsid w:val="43D770B2"/>
    <w:rsid w:val="43DA5249"/>
    <w:rsid w:val="43DC4AED"/>
    <w:rsid w:val="43F12FDF"/>
    <w:rsid w:val="43F17DAD"/>
    <w:rsid w:val="43FA1CBB"/>
    <w:rsid w:val="440A3477"/>
    <w:rsid w:val="440D0B05"/>
    <w:rsid w:val="44126AEA"/>
    <w:rsid w:val="441C5720"/>
    <w:rsid w:val="441D7BBC"/>
    <w:rsid w:val="4428116A"/>
    <w:rsid w:val="442D42E4"/>
    <w:rsid w:val="442F0B03"/>
    <w:rsid w:val="44321FCD"/>
    <w:rsid w:val="443379D1"/>
    <w:rsid w:val="444F1D61"/>
    <w:rsid w:val="44535D3C"/>
    <w:rsid w:val="445A1B54"/>
    <w:rsid w:val="445D3657"/>
    <w:rsid w:val="44613C8E"/>
    <w:rsid w:val="446B68BB"/>
    <w:rsid w:val="44710D58"/>
    <w:rsid w:val="44770FF2"/>
    <w:rsid w:val="44A27E03"/>
    <w:rsid w:val="44B3126D"/>
    <w:rsid w:val="44BE3A0C"/>
    <w:rsid w:val="44C1472D"/>
    <w:rsid w:val="44CE38EB"/>
    <w:rsid w:val="44E87F0C"/>
    <w:rsid w:val="44EB17AA"/>
    <w:rsid w:val="44EE3048"/>
    <w:rsid w:val="450109F0"/>
    <w:rsid w:val="450620E0"/>
    <w:rsid w:val="45084857"/>
    <w:rsid w:val="450D05A0"/>
    <w:rsid w:val="450F16DF"/>
    <w:rsid w:val="452A7F84"/>
    <w:rsid w:val="452E2F9F"/>
    <w:rsid w:val="4539421B"/>
    <w:rsid w:val="45470D7B"/>
    <w:rsid w:val="454F3C73"/>
    <w:rsid w:val="456B6299"/>
    <w:rsid w:val="4578777B"/>
    <w:rsid w:val="45863D8E"/>
    <w:rsid w:val="45A6028F"/>
    <w:rsid w:val="45AE28FA"/>
    <w:rsid w:val="45AF7291"/>
    <w:rsid w:val="45BA2C80"/>
    <w:rsid w:val="45C87DB3"/>
    <w:rsid w:val="45CA052C"/>
    <w:rsid w:val="45D80A94"/>
    <w:rsid w:val="45ED154C"/>
    <w:rsid w:val="46102CE8"/>
    <w:rsid w:val="46133D22"/>
    <w:rsid w:val="461A289F"/>
    <w:rsid w:val="461E1677"/>
    <w:rsid w:val="461F57FF"/>
    <w:rsid w:val="462017C7"/>
    <w:rsid w:val="46276455"/>
    <w:rsid w:val="462F7822"/>
    <w:rsid w:val="463B75F1"/>
    <w:rsid w:val="463D7786"/>
    <w:rsid w:val="464A27D4"/>
    <w:rsid w:val="46547822"/>
    <w:rsid w:val="465B3D0C"/>
    <w:rsid w:val="465E5E5D"/>
    <w:rsid w:val="466F2613"/>
    <w:rsid w:val="46704C37"/>
    <w:rsid w:val="467E23D3"/>
    <w:rsid w:val="46891E52"/>
    <w:rsid w:val="469F4270"/>
    <w:rsid w:val="46A71EBA"/>
    <w:rsid w:val="46A92AD2"/>
    <w:rsid w:val="46AA452D"/>
    <w:rsid w:val="46B02CAB"/>
    <w:rsid w:val="46D923E6"/>
    <w:rsid w:val="46DC75FC"/>
    <w:rsid w:val="46E268DC"/>
    <w:rsid w:val="471C6F71"/>
    <w:rsid w:val="4734568A"/>
    <w:rsid w:val="474E724B"/>
    <w:rsid w:val="475067F4"/>
    <w:rsid w:val="4760647F"/>
    <w:rsid w:val="47614377"/>
    <w:rsid w:val="476E0F5D"/>
    <w:rsid w:val="47736E6E"/>
    <w:rsid w:val="4782415A"/>
    <w:rsid w:val="4786692D"/>
    <w:rsid w:val="47A0548A"/>
    <w:rsid w:val="47A53433"/>
    <w:rsid w:val="47B453C2"/>
    <w:rsid w:val="47B50E1B"/>
    <w:rsid w:val="47B96C51"/>
    <w:rsid w:val="47C12283"/>
    <w:rsid w:val="47D06CBE"/>
    <w:rsid w:val="47E62E10"/>
    <w:rsid w:val="47E92677"/>
    <w:rsid w:val="47F231E5"/>
    <w:rsid w:val="47FC1656"/>
    <w:rsid w:val="481B3A29"/>
    <w:rsid w:val="481E7772"/>
    <w:rsid w:val="482C68A6"/>
    <w:rsid w:val="48382CB0"/>
    <w:rsid w:val="48427E0A"/>
    <w:rsid w:val="4845306E"/>
    <w:rsid w:val="484E277B"/>
    <w:rsid w:val="484F0B16"/>
    <w:rsid w:val="4855050D"/>
    <w:rsid w:val="485E40C9"/>
    <w:rsid w:val="4874081D"/>
    <w:rsid w:val="487970CD"/>
    <w:rsid w:val="488C02E1"/>
    <w:rsid w:val="489B6412"/>
    <w:rsid w:val="489F4F4C"/>
    <w:rsid w:val="48A032A2"/>
    <w:rsid w:val="48A7509B"/>
    <w:rsid w:val="48B22781"/>
    <w:rsid w:val="48C00FB2"/>
    <w:rsid w:val="48C16BA6"/>
    <w:rsid w:val="48EB1607"/>
    <w:rsid w:val="48F01B2A"/>
    <w:rsid w:val="48FD47B3"/>
    <w:rsid w:val="490F520C"/>
    <w:rsid w:val="49107A31"/>
    <w:rsid w:val="49295CD2"/>
    <w:rsid w:val="493B2710"/>
    <w:rsid w:val="493D5CC2"/>
    <w:rsid w:val="49424E75"/>
    <w:rsid w:val="49616663"/>
    <w:rsid w:val="49635DB3"/>
    <w:rsid w:val="4986248E"/>
    <w:rsid w:val="499001AD"/>
    <w:rsid w:val="49997346"/>
    <w:rsid w:val="49B820BB"/>
    <w:rsid w:val="49C80D41"/>
    <w:rsid w:val="49D72191"/>
    <w:rsid w:val="49D86C61"/>
    <w:rsid w:val="49E9087C"/>
    <w:rsid w:val="49EC75C4"/>
    <w:rsid w:val="49FB0909"/>
    <w:rsid w:val="49FC4B01"/>
    <w:rsid w:val="49FE5921"/>
    <w:rsid w:val="4A001853"/>
    <w:rsid w:val="4A024669"/>
    <w:rsid w:val="4A0F1D24"/>
    <w:rsid w:val="4A1E28AA"/>
    <w:rsid w:val="4A2404B9"/>
    <w:rsid w:val="4A3630B8"/>
    <w:rsid w:val="4A3C4E32"/>
    <w:rsid w:val="4A4E781A"/>
    <w:rsid w:val="4A58501A"/>
    <w:rsid w:val="4A644061"/>
    <w:rsid w:val="4A6E613F"/>
    <w:rsid w:val="4A726243"/>
    <w:rsid w:val="4A743E58"/>
    <w:rsid w:val="4A893480"/>
    <w:rsid w:val="4A8A736F"/>
    <w:rsid w:val="4A9144C3"/>
    <w:rsid w:val="4A9203A7"/>
    <w:rsid w:val="4A9A3EB1"/>
    <w:rsid w:val="4AAD21E4"/>
    <w:rsid w:val="4AB15179"/>
    <w:rsid w:val="4AB2685D"/>
    <w:rsid w:val="4AB663B6"/>
    <w:rsid w:val="4AB94AA4"/>
    <w:rsid w:val="4AC64CD2"/>
    <w:rsid w:val="4ACF3297"/>
    <w:rsid w:val="4AED04E2"/>
    <w:rsid w:val="4B047121"/>
    <w:rsid w:val="4B0728F1"/>
    <w:rsid w:val="4B076A8E"/>
    <w:rsid w:val="4B0F5BD2"/>
    <w:rsid w:val="4B1B5F0F"/>
    <w:rsid w:val="4B201E26"/>
    <w:rsid w:val="4B2E4002"/>
    <w:rsid w:val="4B44480D"/>
    <w:rsid w:val="4B5B73A0"/>
    <w:rsid w:val="4B5F2639"/>
    <w:rsid w:val="4B6202EC"/>
    <w:rsid w:val="4B6B0F4E"/>
    <w:rsid w:val="4B6C4CC7"/>
    <w:rsid w:val="4B7170B0"/>
    <w:rsid w:val="4B72094B"/>
    <w:rsid w:val="4B925B21"/>
    <w:rsid w:val="4B930394"/>
    <w:rsid w:val="4B9A06D3"/>
    <w:rsid w:val="4B9E5988"/>
    <w:rsid w:val="4B9F099B"/>
    <w:rsid w:val="4BD8433A"/>
    <w:rsid w:val="4BDB2E9E"/>
    <w:rsid w:val="4BE14537"/>
    <w:rsid w:val="4BE2758F"/>
    <w:rsid w:val="4BED2079"/>
    <w:rsid w:val="4BF26BF6"/>
    <w:rsid w:val="4BF355E3"/>
    <w:rsid w:val="4BFC0E00"/>
    <w:rsid w:val="4BFE7BDA"/>
    <w:rsid w:val="4C230D57"/>
    <w:rsid w:val="4C264349"/>
    <w:rsid w:val="4C3119C1"/>
    <w:rsid w:val="4C372E12"/>
    <w:rsid w:val="4C3A2FC0"/>
    <w:rsid w:val="4C431ECB"/>
    <w:rsid w:val="4C5464C9"/>
    <w:rsid w:val="4C631C56"/>
    <w:rsid w:val="4C6B4F86"/>
    <w:rsid w:val="4C757DDE"/>
    <w:rsid w:val="4C8844D8"/>
    <w:rsid w:val="4C8C3F4C"/>
    <w:rsid w:val="4C9D614C"/>
    <w:rsid w:val="4CA53DA8"/>
    <w:rsid w:val="4CA75AED"/>
    <w:rsid w:val="4CAE1B9A"/>
    <w:rsid w:val="4CAE1F7C"/>
    <w:rsid w:val="4CAE37E9"/>
    <w:rsid w:val="4CAE608C"/>
    <w:rsid w:val="4CBE482A"/>
    <w:rsid w:val="4CC61B60"/>
    <w:rsid w:val="4CD22D45"/>
    <w:rsid w:val="4CDB2E61"/>
    <w:rsid w:val="4CE5710F"/>
    <w:rsid w:val="4CE95BDB"/>
    <w:rsid w:val="4CEF119D"/>
    <w:rsid w:val="4CF044BA"/>
    <w:rsid w:val="4CFD02CC"/>
    <w:rsid w:val="4CFE3BE2"/>
    <w:rsid w:val="4D012181"/>
    <w:rsid w:val="4D045F9C"/>
    <w:rsid w:val="4D1924FC"/>
    <w:rsid w:val="4D2D2743"/>
    <w:rsid w:val="4D405A25"/>
    <w:rsid w:val="4D523FF7"/>
    <w:rsid w:val="4D5560BD"/>
    <w:rsid w:val="4D596D4D"/>
    <w:rsid w:val="4D644FCE"/>
    <w:rsid w:val="4D6668ED"/>
    <w:rsid w:val="4D6B2D95"/>
    <w:rsid w:val="4D6C7A1E"/>
    <w:rsid w:val="4D6D7641"/>
    <w:rsid w:val="4D703DC7"/>
    <w:rsid w:val="4D871527"/>
    <w:rsid w:val="4D8C3CB3"/>
    <w:rsid w:val="4D972CC2"/>
    <w:rsid w:val="4DAC4FB3"/>
    <w:rsid w:val="4DD1334A"/>
    <w:rsid w:val="4DD16564"/>
    <w:rsid w:val="4DDE0FDE"/>
    <w:rsid w:val="4DE5626A"/>
    <w:rsid w:val="4DFA7DC9"/>
    <w:rsid w:val="4DFE0282"/>
    <w:rsid w:val="4E223D6F"/>
    <w:rsid w:val="4E234A06"/>
    <w:rsid w:val="4E234B59"/>
    <w:rsid w:val="4E370809"/>
    <w:rsid w:val="4E3A4F6A"/>
    <w:rsid w:val="4E3C57AE"/>
    <w:rsid w:val="4E8D3F65"/>
    <w:rsid w:val="4E9C36E7"/>
    <w:rsid w:val="4EA610E2"/>
    <w:rsid w:val="4EB66985"/>
    <w:rsid w:val="4EB7500A"/>
    <w:rsid w:val="4EB75F45"/>
    <w:rsid w:val="4EC70B92"/>
    <w:rsid w:val="4EC77C82"/>
    <w:rsid w:val="4ED10E8E"/>
    <w:rsid w:val="4ED61D8E"/>
    <w:rsid w:val="4EDF322B"/>
    <w:rsid w:val="4EE353E4"/>
    <w:rsid w:val="4EE74D90"/>
    <w:rsid w:val="4EEE5E33"/>
    <w:rsid w:val="4EFD599C"/>
    <w:rsid w:val="4F0D6289"/>
    <w:rsid w:val="4F1D324E"/>
    <w:rsid w:val="4F27112F"/>
    <w:rsid w:val="4F334479"/>
    <w:rsid w:val="4F371AB2"/>
    <w:rsid w:val="4F434C14"/>
    <w:rsid w:val="4F472C08"/>
    <w:rsid w:val="4F4B6EB7"/>
    <w:rsid w:val="4F537F58"/>
    <w:rsid w:val="4F5F2EEC"/>
    <w:rsid w:val="4F65460C"/>
    <w:rsid w:val="4F675EBB"/>
    <w:rsid w:val="4F6831CE"/>
    <w:rsid w:val="4F6D4A08"/>
    <w:rsid w:val="4F725AF4"/>
    <w:rsid w:val="4F742C7E"/>
    <w:rsid w:val="4F744699"/>
    <w:rsid w:val="4F75640C"/>
    <w:rsid w:val="4F8158F2"/>
    <w:rsid w:val="4FA1554A"/>
    <w:rsid w:val="4FAD7652"/>
    <w:rsid w:val="4FB3326E"/>
    <w:rsid w:val="4FD4214A"/>
    <w:rsid w:val="4FE93EA2"/>
    <w:rsid w:val="50076701"/>
    <w:rsid w:val="50087645"/>
    <w:rsid w:val="50146059"/>
    <w:rsid w:val="501A37FD"/>
    <w:rsid w:val="502528B3"/>
    <w:rsid w:val="5029595D"/>
    <w:rsid w:val="50311838"/>
    <w:rsid w:val="50361868"/>
    <w:rsid w:val="50531F3F"/>
    <w:rsid w:val="50573999"/>
    <w:rsid w:val="508358DD"/>
    <w:rsid w:val="50845E6C"/>
    <w:rsid w:val="50887728"/>
    <w:rsid w:val="508F418C"/>
    <w:rsid w:val="50B16B57"/>
    <w:rsid w:val="50B31972"/>
    <w:rsid w:val="50B443F8"/>
    <w:rsid w:val="50C115DE"/>
    <w:rsid w:val="50C11B24"/>
    <w:rsid w:val="50D959CD"/>
    <w:rsid w:val="50DB0924"/>
    <w:rsid w:val="50E84454"/>
    <w:rsid w:val="51037E7B"/>
    <w:rsid w:val="51084ACC"/>
    <w:rsid w:val="511240D7"/>
    <w:rsid w:val="512939C8"/>
    <w:rsid w:val="513149E8"/>
    <w:rsid w:val="51371B80"/>
    <w:rsid w:val="51472E8E"/>
    <w:rsid w:val="514C3F39"/>
    <w:rsid w:val="514F69BA"/>
    <w:rsid w:val="515F5780"/>
    <w:rsid w:val="515F6EAC"/>
    <w:rsid w:val="51694182"/>
    <w:rsid w:val="516A076B"/>
    <w:rsid w:val="516A3297"/>
    <w:rsid w:val="5176003B"/>
    <w:rsid w:val="517D0E96"/>
    <w:rsid w:val="519B5E81"/>
    <w:rsid w:val="519E0082"/>
    <w:rsid w:val="51B66C9C"/>
    <w:rsid w:val="51BB6F62"/>
    <w:rsid w:val="51C2324C"/>
    <w:rsid w:val="51C806C6"/>
    <w:rsid w:val="51E86F3B"/>
    <w:rsid w:val="51FF257B"/>
    <w:rsid w:val="52022C75"/>
    <w:rsid w:val="520B0D7B"/>
    <w:rsid w:val="520F118E"/>
    <w:rsid w:val="52101494"/>
    <w:rsid w:val="521527BB"/>
    <w:rsid w:val="523651A7"/>
    <w:rsid w:val="52507B6B"/>
    <w:rsid w:val="525C4A5B"/>
    <w:rsid w:val="526606C2"/>
    <w:rsid w:val="527903F1"/>
    <w:rsid w:val="529214B7"/>
    <w:rsid w:val="529665B2"/>
    <w:rsid w:val="529A4759"/>
    <w:rsid w:val="52A14B94"/>
    <w:rsid w:val="52A7133D"/>
    <w:rsid w:val="52AF3E17"/>
    <w:rsid w:val="52B0678D"/>
    <w:rsid w:val="52B74987"/>
    <w:rsid w:val="52C47EBC"/>
    <w:rsid w:val="52D47674"/>
    <w:rsid w:val="52E963CF"/>
    <w:rsid w:val="52FD3949"/>
    <w:rsid w:val="530B1EE8"/>
    <w:rsid w:val="530C1269"/>
    <w:rsid w:val="53130009"/>
    <w:rsid w:val="531F5759"/>
    <w:rsid w:val="532A0BBA"/>
    <w:rsid w:val="534A7C9C"/>
    <w:rsid w:val="5367746F"/>
    <w:rsid w:val="5373795A"/>
    <w:rsid w:val="53826A29"/>
    <w:rsid w:val="538E696B"/>
    <w:rsid w:val="5394098D"/>
    <w:rsid w:val="53963FBE"/>
    <w:rsid w:val="539D5D44"/>
    <w:rsid w:val="53AB2CE1"/>
    <w:rsid w:val="53B01D00"/>
    <w:rsid w:val="53C95B08"/>
    <w:rsid w:val="53CB67C6"/>
    <w:rsid w:val="53D44A45"/>
    <w:rsid w:val="53DD5C53"/>
    <w:rsid w:val="53EA1267"/>
    <w:rsid w:val="53F97642"/>
    <w:rsid w:val="53FB7B09"/>
    <w:rsid w:val="53FF7615"/>
    <w:rsid w:val="541A6361"/>
    <w:rsid w:val="54301AD9"/>
    <w:rsid w:val="54382D8E"/>
    <w:rsid w:val="544D3E42"/>
    <w:rsid w:val="54507469"/>
    <w:rsid w:val="54585FC3"/>
    <w:rsid w:val="545A5BB6"/>
    <w:rsid w:val="545B3700"/>
    <w:rsid w:val="54602F5C"/>
    <w:rsid w:val="5461669C"/>
    <w:rsid w:val="546746BB"/>
    <w:rsid w:val="54691A69"/>
    <w:rsid w:val="54693368"/>
    <w:rsid w:val="546C5762"/>
    <w:rsid w:val="54741DC4"/>
    <w:rsid w:val="547A0E9A"/>
    <w:rsid w:val="547E0386"/>
    <w:rsid w:val="5482287C"/>
    <w:rsid w:val="548855B2"/>
    <w:rsid w:val="548C3AC9"/>
    <w:rsid w:val="5499029F"/>
    <w:rsid w:val="549A56CF"/>
    <w:rsid w:val="54B91F52"/>
    <w:rsid w:val="54BB40BF"/>
    <w:rsid w:val="54BD4A42"/>
    <w:rsid w:val="54E71C41"/>
    <w:rsid w:val="54EB6143"/>
    <w:rsid w:val="54EF21E0"/>
    <w:rsid w:val="54F41FB5"/>
    <w:rsid w:val="54F46483"/>
    <w:rsid w:val="550E1E7A"/>
    <w:rsid w:val="551560C9"/>
    <w:rsid w:val="552625EA"/>
    <w:rsid w:val="552E1545"/>
    <w:rsid w:val="552F123F"/>
    <w:rsid w:val="55310E30"/>
    <w:rsid w:val="55381CB7"/>
    <w:rsid w:val="553B4087"/>
    <w:rsid w:val="553E76D4"/>
    <w:rsid w:val="5544382F"/>
    <w:rsid w:val="554748D4"/>
    <w:rsid w:val="55477C18"/>
    <w:rsid w:val="555313D1"/>
    <w:rsid w:val="555821FD"/>
    <w:rsid w:val="5563538C"/>
    <w:rsid w:val="556B034E"/>
    <w:rsid w:val="557D14DC"/>
    <w:rsid w:val="55895E04"/>
    <w:rsid w:val="558B6140"/>
    <w:rsid w:val="55963776"/>
    <w:rsid w:val="55B673E8"/>
    <w:rsid w:val="55C73B6D"/>
    <w:rsid w:val="55EC3FF2"/>
    <w:rsid w:val="55ED12B8"/>
    <w:rsid w:val="56075FBE"/>
    <w:rsid w:val="560E0433"/>
    <w:rsid w:val="56270168"/>
    <w:rsid w:val="5633584C"/>
    <w:rsid w:val="563765FC"/>
    <w:rsid w:val="56407A11"/>
    <w:rsid w:val="564B501F"/>
    <w:rsid w:val="56552922"/>
    <w:rsid w:val="565B536E"/>
    <w:rsid w:val="566F05DF"/>
    <w:rsid w:val="5677162F"/>
    <w:rsid w:val="567C1F7D"/>
    <w:rsid w:val="567E278C"/>
    <w:rsid w:val="568322D7"/>
    <w:rsid w:val="56AD6DCD"/>
    <w:rsid w:val="56AF24C2"/>
    <w:rsid w:val="56BC2FA6"/>
    <w:rsid w:val="56C526DD"/>
    <w:rsid w:val="56CA6D6D"/>
    <w:rsid w:val="56D26775"/>
    <w:rsid w:val="56E0594F"/>
    <w:rsid w:val="56E24248"/>
    <w:rsid w:val="56E36E3A"/>
    <w:rsid w:val="56EA18C1"/>
    <w:rsid w:val="56EA317B"/>
    <w:rsid w:val="56EC0A5F"/>
    <w:rsid w:val="570C5E17"/>
    <w:rsid w:val="57301C98"/>
    <w:rsid w:val="57315682"/>
    <w:rsid w:val="574305D6"/>
    <w:rsid w:val="574A38C2"/>
    <w:rsid w:val="57534013"/>
    <w:rsid w:val="57594BCE"/>
    <w:rsid w:val="57653DBA"/>
    <w:rsid w:val="577D054F"/>
    <w:rsid w:val="57815517"/>
    <w:rsid w:val="578B11DC"/>
    <w:rsid w:val="579153F1"/>
    <w:rsid w:val="579278CA"/>
    <w:rsid w:val="57A268BE"/>
    <w:rsid w:val="57A84EC2"/>
    <w:rsid w:val="57B124AE"/>
    <w:rsid w:val="57B63E99"/>
    <w:rsid w:val="57BA072B"/>
    <w:rsid w:val="57BE4AFC"/>
    <w:rsid w:val="57DE1B3D"/>
    <w:rsid w:val="57E339A6"/>
    <w:rsid w:val="57F50788"/>
    <w:rsid w:val="57FD19AE"/>
    <w:rsid w:val="57FF5A89"/>
    <w:rsid w:val="58000FAF"/>
    <w:rsid w:val="580469B3"/>
    <w:rsid w:val="58063A66"/>
    <w:rsid w:val="581B1F4E"/>
    <w:rsid w:val="58247A4D"/>
    <w:rsid w:val="583044B6"/>
    <w:rsid w:val="58317046"/>
    <w:rsid w:val="584252D1"/>
    <w:rsid w:val="584772CF"/>
    <w:rsid w:val="58547227"/>
    <w:rsid w:val="585C692F"/>
    <w:rsid w:val="58707075"/>
    <w:rsid w:val="587234A7"/>
    <w:rsid w:val="58754A6F"/>
    <w:rsid w:val="587C3671"/>
    <w:rsid w:val="588617AA"/>
    <w:rsid w:val="58920D68"/>
    <w:rsid w:val="58987177"/>
    <w:rsid w:val="58A050F3"/>
    <w:rsid w:val="58AE4B70"/>
    <w:rsid w:val="58BE4E95"/>
    <w:rsid w:val="58C015AE"/>
    <w:rsid w:val="58CC4662"/>
    <w:rsid w:val="58D05F6E"/>
    <w:rsid w:val="58DE18A6"/>
    <w:rsid w:val="590912B8"/>
    <w:rsid w:val="59151DCD"/>
    <w:rsid w:val="59183572"/>
    <w:rsid w:val="591C39E7"/>
    <w:rsid w:val="593544AF"/>
    <w:rsid w:val="59387BB8"/>
    <w:rsid w:val="59446868"/>
    <w:rsid w:val="59453EEF"/>
    <w:rsid w:val="59637708"/>
    <w:rsid w:val="59893224"/>
    <w:rsid w:val="59981E91"/>
    <w:rsid w:val="59A2739F"/>
    <w:rsid w:val="59AD6BD6"/>
    <w:rsid w:val="59B31584"/>
    <w:rsid w:val="59B97157"/>
    <w:rsid w:val="59C52A4A"/>
    <w:rsid w:val="59DA767C"/>
    <w:rsid w:val="59DE1C65"/>
    <w:rsid w:val="59DF4698"/>
    <w:rsid w:val="59E81AA0"/>
    <w:rsid w:val="59F75393"/>
    <w:rsid w:val="59F80836"/>
    <w:rsid w:val="59F90EF5"/>
    <w:rsid w:val="5A2C21F1"/>
    <w:rsid w:val="5A33615A"/>
    <w:rsid w:val="5A4A10DF"/>
    <w:rsid w:val="5A57203E"/>
    <w:rsid w:val="5A5C698F"/>
    <w:rsid w:val="5A660F44"/>
    <w:rsid w:val="5A726E42"/>
    <w:rsid w:val="5A752A7A"/>
    <w:rsid w:val="5A776034"/>
    <w:rsid w:val="5A890C03"/>
    <w:rsid w:val="5A8C191A"/>
    <w:rsid w:val="5A931D75"/>
    <w:rsid w:val="5A984BF8"/>
    <w:rsid w:val="5A9A200C"/>
    <w:rsid w:val="5AC52764"/>
    <w:rsid w:val="5AD36F41"/>
    <w:rsid w:val="5AD7741E"/>
    <w:rsid w:val="5B0A2C16"/>
    <w:rsid w:val="5B0F5D9A"/>
    <w:rsid w:val="5B2271AD"/>
    <w:rsid w:val="5B292990"/>
    <w:rsid w:val="5B5850A4"/>
    <w:rsid w:val="5B631C42"/>
    <w:rsid w:val="5B644B86"/>
    <w:rsid w:val="5B732AC1"/>
    <w:rsid w:val="5B774F6C"/>
    <w:rsid w:val="5B7F1C9B"/>
    <w:rsid w:val="5B862961"/>
    <w:rsid w:val="5BA22A3F"/>
    <w:rsid w:val="5BAE14D2"/>
    <w:rsid w:val="5BB93F58"/>
    <w:rsid w:val="5BB95A2B"/>
    <w:rsid w:val="5BCA17D7"/>
    <w:rsid w:val="5BD44905"/>
    <w:rsid w:val="5BE6118D"/>
    <w:rsid w:val="5C025AF0"/>
    <w:rsid w:val="5C0525CF"/>
    <w:rsid w:val="5C085AE0"/>
    <w:rsid w:val="5C091B18"/>
    <w:rsid w:val="5C0B1879"/>
    <w:rsid w:val="5C1145A7"/>
    <w:rsid w:val="5C150788"/>
    <w:rsid w:val="5C834663"/>
    <w:rsid w:val="5C875885"/>
    <w:rsid w:val="5C8A15B6"/>
    <w:rsid w:val="5C963B4D"/>
    <w:rsid w:val="5C9B0C83"/>
    <w:rsid w:val="5C9C557E"/>
    <w:rsid w:val="5CA579B2"/>
    <w:rsid w:val="5CA6504D"/>
    <w:rsid w:val="5CBC7D44"/>
    <w:rsid w:val="5CBF10FA"/>
    <w:rsid w:val="5CC25B31"/>
    <w:rsid w:val="5CC53113"/>
    <w:rsid w:val="5CC91A07"/>
    <w:rsid w:val="5CDC6C0F"/>
    <w:rsid w:val="5CF83CCF"/>
    <w:rsid w:val="5D02168F"/>
    <w:rsid w:val="5D0514C1"/>
    <w:rsid w:val="5D173119"/>
    <w:rsid w:val="5D2E5A08"/>
    <w:rsid w:val="5D327B1E"/>
    <w:rsid w:val="5D34187C"/>
    <w:rsid w:val="5D4E002C"/>
    <w:rsid w:val="5D5644CB"/>
    <w:rsid w:val="5D571B9F"/>
    <w:rsid w:val="5D62601D"/>
    <w:rsid w:val="5D720862"/>
    <w:rsid w:val="5D7E6ACF"/>
    <w:rsid w:val="5D891708"/>
    <w:rsid w:val="5D991F36"/>
    <w:rsid w:val="5D9E093C"/>
    <w:rsid w:val="5DA029AB"/>
    <w:rsid w:val="5DAA2AC0"/>
    <w:rsid w:val="5DBB586A"/>
    <w:rsid w:val="5DD656CF"/>
    <w:rsid w:val="5DDD14C7"/>
    <w:rsid w:val="5DE162CA"/>
    <w:rsid w:val="5DEA7CBE"/>
    <w:rsid w:val="5DEC2B09"/>
    <w:rsid w:val="5DEC33C9"/>
    <w:rsid w:val="5DEE5686"/>
    <w:rsid w:val="5DFA329D"/>
    <w:rsid w:val="5DFD5064"/>
    <w:rsid w:val="5DFD75B1"/>
    <w:rsid w:val="5E162767"/>
    <w:rsid w:val="5E1667E3"/>
    <w:rsid w:val="5E2D6C43"/>
    <w:rsid w:val="5E30270B"/>
    <w:rsid w:val="5E374019"/>
    <w:rsid w:val="5E390EA8"/>
    <w:rsid w:val="5E4B3857"/>
    <w:rsid w:val="5E4E3AAB"/>
    <w:rsid w:val="5E522B92"/>
    <w:rsid w:val="5E536E38"/>
    <w:rsid w:val="5E5A1C46"/>
    <w:rsid w:val="5E6210F2"/>
    <w:rsid w:val="5E6737F7"/>
    <w:rsid w:val="5E765DF7"/>
    <w:rsid w:val="5E7C0F20"/>
    <w:rsid w:val="5E7F375D"/>
    <w:rsid w:val="5E7F5994"/>
    <w:rsid w:val="5E980234"/>
    <w:rsid w:val="5E9A4BE9"/>
    <w:rsid w:val="5EA03419"/>
    <w:rsid w:val="5EA7685E"/>
    <w:rsid w:val="5EC44E66"/>
    <w:rsid w:val="5EC5244C"/>
    <w:rsid w:val="5ECF7D68"/>
    <w:rsid w:val="5ED8508E"/>
    <w:rsid w:val="5EE52BFF"/>
    <w:rsid w:val="5EF23AB1"/>
    <w:rsid w:val="5EF334EE"/>
    <w:rsid w:val="5F04770D"/>
    <w:rsid w:val="5F0D6356"/>
    <w:rsid w:val="5F241C26"/>
    <w:rsid w:val="5F24563D"/>
    <w:rsid w:val="5F3B07E1"/>
    <w:rsid w:val="5F427DC1"/>
    <w:rsid w:val="5F453C73"/>
    <w:rsid w:val="5F757A1A"/>
    <w:rsid w:val="5F7B0D7B"/>
    <w:rsid w:val="5F7E0A26"/>
    <w:rsid w:val="5F7F4F00"/>
    <w:rsid w:val="5F805EF7"/>
    <w:rsid w:val="5FA32511"/>
    <w:rsid w:val="5FB201E6"/>
    <w:rsid w:val="5FB85411"/>
    <w:rsid w:val="5FC1162D"/>
    <w:rsid w:val="5FCC61DE"/>
    <w:rsid w:val="5FCF3D4A"/>
    <w:rsid w:val="5FD962E9"/>
    <w:rsid w:val="5FDC035B"/>
    <w:rsid w:val="5FDE0521"/>
    <w:rsid w:val="5FDE4FBC"/>
    <w:rsid w:val="5FE15388"/>
    <w:rsid w:val="5FEC5F47"/>
    <w:rsid w:val="60035AA1"/>
    <w:rsid w:val="601A7074"/>
    <w:rsid w:val="60271E10"/>
    <w:rsid w:val="60476277"/>
    <w:rsid w:val="60511B4D"/>
    <w:rsid w:val="60542BB6"/>
    <w:rsid w:val="60550EBB"/>
    <w:rsid w:val="605D6DDA"/>
    <w:rsid w:val="605E7B7F"/>
    <w:rsid w:val="606649F2"/>
    <w:rsid w:val="606E77D9"/>
    <w:rsid w:val="60777201"/>
    <w:rsid w:val="607843E9"/>
    <w:rsid w:val="608261A6"/>
    <w:rsid w:val="60992495"/>
    <w:rsid w:val="60A048FE"/>
    <w:rsid w:val="60A305B9"/>
    <w:rsid w:val="60BE65F5"/>
    <w:rsid w:val="60C73387"/>
    <w:rsid w:val="60E25E05"/>
    <w:rsid w:val="60EA45C6"/>
    <w:rsid w:val="60F61790"/>
    <w:rsid w:val="61113BE5"/>
    <w:rsid w:val="611717A9"/>
    <w:rsid w:val="611D2893"/>
    <w:rsid w:val="61272C81"/>
    <w:rsid w:val="612D5EB9"/>
    <w:rsid w:val="61315976"/>
    <w:rsid w:val="61371D41"/>
    <w:rsid w:val="614845F8"/>
    <w:rsid w:val="61684523"/>
    <w:rsid w:val="616E5A45"/>
    <w:rsid w:val="616F162C"/>
    <w:rsid w:val="616F7EDD"/>
    <w:rsid w:val="617E1B29"/>
    <w:rsid w:val="61997B87"/>
    <w:rsid w:val="61D41BB3"/>
    <w:rsid w:val="61EE02C6"/>
    <w:rsid w:val="62041A4C"/>
    <w:rsid w:val="621118FA"/>
    <w:rsid w:val="62127BA6"/>
    <w:rsid w:val="62137E26"/>
    <w:rsid w:val="6219559C"/>
    <w:rsid w:val="6223308D"/>
    <w:rsid w:val="62295ECA"/>
    <w:rsid w:val="62326D61"/>
    <w:rsid w:val="62340492"/>
    <w:rsid w:val="62386FC7"/>
    <w:rsid w:val="62420298"/>
    <w:rsid w:val="62563A9A"/>
    <w:rsid w:val="62622F5E"/>
    <w:rsid w:val="6263631B"/>
    <w:rsid w:val="627354B7"/>
    <w:rsid w:val="627A33D3"/>
    <w:rsid w:val="6285312C"/>
    <w:rsid w:val="6288390B"/>
    <w:rsid w:val="62AA45FB"/>
    <w:rsid w:val="62B77CB6"/>
    <w:rsid w:val="62C41F87"/>
    <w:rsid w:val="62D554A3"/>
    <w:rsid w:val="62DE4007"/>
    <w:rsid w:val="62FE01AD"/>
    <w:rsid w:val="630F6774"/>
    <w:rsid w:val="631B7B21"/>
    <w:rsid w:val="631F464C"/>
    <w:rsid w:val="63220A6F"/>
    <w:rsid w:val="632659BF"/>
    <w:rsid w:val="63326F97"/>
    <w:rsid w:val="633824DF"/>
    <w:rsid w:val="6341580E"/>
    <w:rsid w:val="63461346"/>
    <w:rsid w:val="634A6018"/>
    <w:rsid w:val="63543830"/>
    <w:rsid w:val="63607455"/>
    <w:rsid w:val="636F63A4"/>
    <w:rsid w:val="637415F5"/>
    <w:rsid w:val="637E4AFA"/>
    <w:rsid w:val="63983618"/>
    <w:rsid w:val="63B30D7C"/>
    <w:rsid w:val="63C766D4"/>
    <w:rsid w:val="63D1684F"/>
    <w:rsid w:val="63D61E44"/>
    <w:rsid w:val="63E249E5"/>
    <w:rsid w:val="63E31B72"/>
    <w:rsid w:val="63E748AB"/>
    <w:rsid w:val="64023413"/>
    <w:rsid w:val="6408229C"/>
    <w:rsid w:val="641230A5"/>
    <w:rsid w:val="64170822"/>
    <w:rsid w:val="64253093"/>
    <w:rsid w:val="642B250A"/>
    <w:rsid w:val="642F7663"/>
    <w:rsid w:val="64323D6E"/>
    <w:rsid w:val="643705AA"/>
    <w:rsid w:val="643C0095"/>
    <w:rsid w:val="644E21D6"/>
    <w:rsid w:val="645200F1"/>
    <w:rsid w:val="64537413"/>
    <w:rsid w:val="6466276F"/>
    <w:rsid w:val="646F1236"/>
    <w:rsid w:val="6470458F"/>
    <w:rsid w:val="64717861"/>
    <w:rsid w:val="64763626"/>
    <w:rsid w:val="648669A1"/>
    <w:rsid w:val="64890F0B"/>
    <w:rsid w:val="649404DA"/>
    <w:rsid w:val="64981808"/>
    <w:rsid w:val="649B54B8"/>
    <w:rsid w:val="649D7C38"/>
    <w:rsid w:val="64A277CA"/>
    <w:rsid w:val="64B63D17"/>
    <w:rsid w:val="64D170F8"/>
    <w:rsid w:val="64D23DD1"/>
    <w:rsid w:val="64D444C6"/>
    <w:rsid w:val="64F761DD"/>
    <w:rsid w:val="64FC314E"/>
    <w:rsid w:val="65034751"/>
    <w:rsid w:val="65047583"/>
    <w:rsid w:val="650619A2"/>
    <w:rsid w:val="65063F94"/>
    <w:rsid w:val="65320939"/>
    <w:rsid w:val="653E6B0B"/>
    <w:rsid w:val="6544188D"/>
    <w:rsid w:val="654C2B74"/>
    <w:rsid w:val="654D0B2A"/>
    <w:rsid w:val="6558020A"/>
    <w:rsid w:val="655C3499"/>
    <w:rsid w:val="657A7DFB"/>
    <w:rsid w:val="6580445D"/>
    <w:rsid w:val="65813DD0"/>
    <w:rsid w:val="65974E6C"/>
    <w:rsid w:val="659A18B6"/>
    <w:rsid w:val="659A1C61"/>
    <w:rsid w:val="659A3188"/>
    <w:rsid w:val="659C0615"/>
    <w:rsid w:val="65A05F72"/>
    <w:rsid w:val="65A843BD"/>
    <w:rsid w:val="65AE73EF"/>
    <w:rsid w:val="65E26CE1"/>
    <w:rsid w:val="65E32D57"/>
    <w:rsid w:val="65E73470"/>
    <w:rsid w:val="65ED21BB"/>
    <w:rsid w:val="65EF11F6"/>
    <w:rsid w:val="65FD6F51"/>
    <w:rsid w:val="6602486D"/>
    <w:rsid w:val="66140F0F"/>
    <w:rsid w:val="663B444E"/>
    <w:rsid w:val="66424623"/>
    <w:rsid w:val="665D4BD5"/>
    <w:rsid w:val="66781A45"/>
    <w:rsid w:val="667A755F"/>
    <w:rsid w:val="668747C7"/>
    <w:rsid w:val="668E1D74"/>
    <w:rsid w:val="669E3A50"/>
    <w:rsid w:val="66B546F4"/>
    <w:rsid w:val="66B71C59"/>
    <w:rsid w:val="66BB2590"/>
    <w:rsid w:val="66C054F8"/>
    <w:rsid w:val="66C912B4"/>
    <w:rsid w:val="66CA240D"/>
    <w:rsid w:val="66DA5FFC"/>
    <w:rsid w:val="66E3422F"/>
    <w:rsid w:val="66E61D1B"/>
    <w:rsid w:val="66F10A36"/>
    <w:rsid w:val="670818F0"/>
    <w:rsid w:val="671F166D"/>
    <w:rsid w:val="672524A2"/>
    <w:rsid w:val="67350DD7"/>
    <w:rsid w:val="673A3587"/>
    <w:rsid w:val="673F2580"/>
    <w:rsid w:val="67457A6B"/>
    <w:rsid w:val="674F3E54"/>
    <w:rsid w:val="67650AF0"/>
    <w:rsid w:val="676A704D"/>
    <w:rsid w:val="676D25F0"/>
    <w:rsid w:val="67716CF5"/>
    <w:rsid w:val="677D22DE"/>
    <w:rsid w:val="67806EF2"/>
    <w:rsid w:val="679E1901"/>
    <w:rsid w:val="67A75EE7"/>
    <w:rsid w:val="67B56D65"/>
    <w:rsid w:val="67C41361"/>
    <w:rsid w:val="67C43A69"/>
    <w:rsid w:val="67CC7D09"/>
    <w:rsid w:val="67D11E59"/>
    <w:rsid w:val="67D27347"/>
    <w:rsid w:val="67D37BBE"/>
    <w:rsid w:val="67DC33AC"/>
    <w:rsid w:val="67EC38AB"/>
    <w:rsid w:val="67F22E6A"/>
    <w:rsid w:val="67F26828"/>
    <w:rsid w:val="680E1EE9"/>
    <w:rsid w:val="681555AF"/>
    <w:rsid w:val="68246C99"/>
    <w:rsid w:val="68263200"/>
    <w:rsid w:val="682A300D"/>
    <w:rsid w:val="68350DAD"/>
    <w:rsid w:val="68460395"/>
    <w:rsid w:val="68475E86"/>
    <w:rsid w:val="686D34CD"/>
    <w:rsid w:val="68813643"/>
    <w:rsid w:val="688C54A6"/>
    <w:rsid w:val="688C6E47"/>
    <w:rsid w:val="689C6295"/>
    <w:rsid w:val="68A83B33"/>
    <w:rsid w:val="68B3048A"/>
    <w:rsid w:val="68B55443"/>
    <w:rsid w:val="68BC0BE4"/>
    <w:rsid w:val="68CA4E5C"/>
    <w:rsid w:val="68E92D98"/>
    <w:rsid w:val="69021CD2"/>
    <w:rsid w:val="690D582F"/>
    <w:rsid w:val="69230C63"/>
    <w:rsid w:val="69256755"/>
    <w:rsid w:val="69312AFB"/>
    <w:rsid w:val="69384A7F"/>
    <w:rsid w:val="693C5CCF"/>
    <w:rsid w:val="694E2184"/>
    <w:rsid w:val="695148F5"/>
    <w:rsid w:val="69531194"/>
    <w:rsid w:val="69585573"/>
    <w:rsid w:val="695C6580"/>
    <w:rsid w:val="69776EA0"/>
    <w:rsid w:val="698E4842"/>
    <w:rsid w:val="69AF24F6"/>
    <w:rsid w:val="69CB788D"/>
    <w:rsid w:val="69CE6FD6"/>
    <w:rsid w:val="69D0385A"/>
    <w:rsid w:val="69D308F8"/>
    <w:rsid w:val="69D30D57"/>
    <w:rsid w:val="69E07714"/>
    <w:rsid w:val="69E44875"/>
    <w:rsid w:val="69E84282"/>
    <w:rsid w:val="69EB70E8"/>
    <w:rsid w:val="69ED53D9"/>
    <w:rsid w:val="69F0148A"/>
    <w:rsid w:val="69F50851"/>
    <w:rsid w:val="69F543AD"/>
    <w:rsid w:val="69F60C01"/>
    <w:rsid w:val="69F85FA8"/>
    <w:rsid w:val="6A0A7987"/>
    <w:rsid w:val="6A18131E"/>
    <w:rsid w:val="6A227C78"/>
    <w:rsid w:val="6A28059B"/>
    <w:rsid w:val="6A2C453B"/>
    <w:rsid w:val="6A347CCB"/>
    <w:rsid w:val="6A3D53A4"/>
    <w:rsid w:val="6A3F194A"/>
    <w:rsid w:val="6A3F2D98"/>
    <w:rsid w:val="6A400387"/>
    <w:rsid w:val="6A440E91"/>
    <w:rsid w:val="6A4D78A5"/>
    <w:rsid w:val="6A4F2446"/>
    <w:rsid w:val="6A731E11"/>
    <w:rsid w:val="6A74522B"/>
    <w:rsid w:val="6A841BD5"/>
    <w:rsid w:val="6A8953FD"/>
    <w:rsid w:val="6A896D3A"/>
    <w:rsid w:val="6A8E4D0D"/>
    <w:rsid w:val="6A9260A0"/>
    <w:rsid w:val="6A97713E"/>
    <w:rsid w:val="6ABE1842"/>
    <w:rsid w:val="6ABE21C2"/>
    <w:rsid w:val="6ABF1867"/>
    <w:rsid w:val="6AC455AD"/>
    <w:rsid w:val="6AEB2458"/>
    <w:rsid w:val="6AF74BF4"/>
    <w:rsid w:val="6B0016D7"/>
    <w:rsid w:val="6B026C10"/>
    <w:rsid w:val="6B1B6095"/>
    <w:rsid w:val="6B1C2C91"/>
    <w:rsid w:val="6B51213C"/>
    <w:rsid w:val="6B5C2527"/>
    <w:rsid w:val="6B6A1BAD"/>
    <w:rsid w:val="6B796FF3"/>
    <w:rsid w:val="6B906DB6"/>
    <w:rsid w:val="6B932A2B"/>
    <w:rsid w:val="6B9F5A68"/>
    <w:rsid w:val="6BB9082D"/>
    <w:rsid w:val="6BC02799"/>
    <w:rsid w:val="6BC271FD"/>
    <w:rsid w:val="6BD45B00"/>
    <w:rsid w:val="6BE2264A"/>
    <w:rsid w:val="6BEB0FEB"/>
    <w:rsid w:val="6BEE5E1B"/>
    <w:rsid w:val="6C116A94"/>
    <w:rsid w:val="6C133210"/>
    <w:rsid w:val="6C173D4F"/>
    <w:rsid w:val="6C232EF9"/>
    <w:rsid w:val="6C420D29"/>
    <w:rsid w:val="6C5655F6"/>
    <w:rsid w:val="6C877D2C"/>
    <w:rsid w:val="6C8A40D4"/>
    <w:rsid w:val="6C8B4B10"/>
    <w:rsid w:val="6C934CC8"/>
    <w:rsid w:val="6CBE3D46"/>
    <w:rsid w:val="6CC368D5"/>
    <w:rsid w:val="6CC4275D"/>
    <w:rsid w:val="6CC52B12"/>
    <w:rsid w:val="6CC96E37"/>
    <w:rsid w:val="6CCB0078"/>
    <w:rsid w:val="6CD7423E"/>
    <w:rsid w:val="6CDC1850"/>
    <w:rsid w:val="6CDF644B"/>
    <w:rsid w:val="6CE102DF"/>
    <w:rsid w:val="6CF22E26"/>
    <w:rsid w:val="6CFB3382"/>
    <w:rsid w:val="6D0F0F97"/>
    <w:rsid w:val="6D201A34"/>
    <w:rsid w:val="6D203941"/>
    <w:rsid w:val="6D2612E8"/>
    <w:rsid w:val="6D455EC4"/>
    <w:rsid w:val="6D471F65"/>
    <w:rsid w:val="6D4A605D"/>
    <w:rsid w:val="6D4B3D03"/>
    <w:rsid w:val="6D612FE7"/>
    <w:rsid w:val="6D700494"/>
    <w:rsid w:val="6D723F67"/>
    <w:rsid w:val="6D7828AF"/>
    <w:rsid w:val="6D826D04"/>
    <w:rsid w:val="6D860F64"/>
    <w:rsid w:val="6D880A26"/>
    <w:rsid w:val="6D8F2D6B"/>
    <w:rsid w:val="6D913DA0"/>
    <w:rsid w:val="6DB8030B"/>
    <w:rsid w:val="6DD62748"/>
    <w:rsid w:val="6DF26575"/>
    <w:rsid w:val="6E0C63D8"/>
    <w:rsid w:val="6E11230F"/>
    <w:rsid w:val="6E160D96"/>
    <w:rsid w:val="6E2127F1"/>
    <w:rsid w:val="6E2852EF"/>
    <w:rsid w:val="6E2F3128"/>
    <w:rsid w:val="6E335AF1"/>
    <w:rsid w:val="6E344B40"/>
    <w:rsid w:val="6E361438"/>
    <w:rsid w:val="6E3B73A7"/>
    <w:rsid w:val="6E4E0530"/>
    <w:rsid w:val="6E664F53"/>
    <w:rsid w:val="6E670BE6"/>
    <w:rsid w:val="6E69252E"/>
    <w:rsid w:val="6E7837FF"/>
    <w:rsid w:val="6E8421A4"/>
    <w:rsid w:val="6E8A7B74"/>
    <w:rsid w:val="6E8F7AC9"/>
    <w:rsid w:val="6EA11F19"/>
    <w:rsid w:val="6EA769A0"/>
    <w:rsid w:val="6EB04A84"/>
    <w:rsid w:val="6EB41E37"/>
    <w:rsid w:val="6EB77D23"/>
    <w:rsid w:val="6EC6272F"/>
    <w:rsid w:val="6EC801F1"/>
    <w:rsid w:val="6ED0639D"/>
    <w:rsid w:val="6ED07197"/>
    <w:rsid w:val="6ED12937"/>
    <w:rsid w:val="6EDD3BBB"/>
    <w:rsid w:val="6EE73848"/>
    <w:rsid w:val="6EEB4C10"/>
    <w:rsid w:val="6EED1521"/>
    <w:rsid w:val="6EEE3B12"/>
    <w:rsid w:val="6EFE0716"/>
    <w:rsid w:val="6F013F52"/>
    <w:rsid w:val="6F0C0EEF"/>
    <w:rsid w:val="6F1A4A44"/>
    <w:rsid w:val="6F277E48"/>
    <w:rsid w:val="6F740100"/>
    <w:rsid w:val="6F776FAD"/>
    <w:rsid w:val="6F7E4B62"/>
    <w:rsid w:val="6F870116"/>
    <w:rsid w:val="6F88548D"/>
    <w:rsid w:val="6FA0300D"/>
    <w:rsid w:val="6FB00738"/>
    <w:rsid w:val="6FBD07C4"/>
    <w:rsid w:val="6FBF737A"/>
    <w:rsid w:val="6FBF79BC"/>
    <w:rsid w:val="6FC00FB9"/>
    <w:rsid w:val="6FC51DF5"/>
    <w:rsid w:val="6FC72DE6"/>
    <w:rsid w:val="6FD075F1"/>
    <w:rsid w:val="6FD4315F"/>
    <w:rsid w:val="6FE84113"/>
    <w:rsid w:val="6FEB73D1"/>
    <w:rsid w:val="6FF94019"/>
    <w:rsid w:val="7010251D"/>
    <w:rsid w:val="7016698D"/>
    <w:rsid w:val="702638ED"/>
    <w:rsid w:val="702A5A86"/>
    <w:rsid w:val="703801F3"/>
    <w:rsid w:val="704A5ECE"/>
    <w:rsid w:val="704B1C26"/>
    <w:rsid w:val="70547325"/>
    <w:rsid w:val="706A7177"/>
    <w:rsid w:val="707A1881"/>
    <w:rsid w:val="708C2B39"/>
    <w:rsid w:val="709C4D8D"/>
    <w:rsid w:val="70A049F0"/>
    <w:rsid w:val="70B909E2"/>
    <w:rsid w:val="70BE22FF"/>
    <w:rsid w:val="70BE326B"/>
    <w:rsid w:val="70C37368"/>
    <w:rsid w:val="70D72746"/>
    <w:rsid w:val="70DD2798"/>
    <w:rsid w:val="70DF5DB7"/>
    <w:rsid w:val="70E767EE"/>
    <w:rsid w:val="70F25AEA"/>
    <w:rsid w:val="70F711E9"/>
    <w:rsid w:val="71036871"/>
    <w:rsid w:val="71040E46"/>
    <w:rsid w:val="71081800"/>
    <w:rsid w:val="71112337"/>
    <w:rsid w:val="71250E37"/>
    <w:rsid w:val="71267542"/>
    <w:rsid w:val="71384BB7"/>
    <w:rsid w:val="714A1E25"/>
    <w:rsid w:val="714E62B8"/>
    <w:rsid w:val="7171040D"/>
    <w:rsid w:val="717529A0"/>
    <w:rsid w:val="717A163C"/>
    <w:rsid w:val="718E4B65"/>
    <w:rsid w:val="71B21C9B"/>
    <w:rsid w:val="71C045F0"/>
    <w:rsid w:val="71EF5B86"/>
    <w:rsid w:val="71F47640"/>
    <w:rsid w:val="7212345E"/>
    <w:rsid w:val="721B7CF6"/>
    <w:rsid w:val="721C5D13"/>
    <w:rsid w:val="721F6F44"/>
    <w:rsid w:val="72257B0A"/>
    <w:rsid w:val="7229176E"/>
    <w:rsid w:val="722D39E8"/>
    <w:rsid w:val="722F1422"/>
    <w:rsid w:val="72404F50"/>
    <w:rsid w:val="72544F3F"/>
    <w:rsid w:val="725E34AE"/>
    <w:rsid w:val="726B16FE"/>
    <w:rsid w:val="72855B25"/>
    <w:rsid w:val="728D5CFB"/>
    <w:rsid w:val="72930CCE"/>
    <w:rsid w:val="72963A50"/>
    <w:rsid w:val="72991946"/>
    <w:rsid w:val="729C0FEA"/>
    <w:rsid w:val="72A63135"/>
    <w:rsid w:val="72AF6A83"/>
    <w:rsid w:val="72B604CA"/>
    <w:rsid w:val="72BA4BA9"/>
    <w:rsid w:val="72BC0129"/>
    <w:rsid w:val="72BF018C"/>
    <w:rsid w:val="72C252BC"/>
    <w:rsid w:val="72C5797D"/>
    <w:rsid w:val="72C75FEB"/>
    <w:rsid w:val="72EC65FF"/>
    <w:rsid w:val="72F41D22"/>
    <w:rsid w:val="72F85FEB"/>
    <w:rsid w:val="72FA5CD0"/>
    <w:rsid w:val="73010C22"/>
    <w:rsid w:val="730B2E93"/>
    <w:rsid w:val="73103C63"/>
    <w:rsid w:val="731216C1"/>
    <w:rsid w:val="731228B2"/>
    <w:rsid w:val="7320550A"/>
    <w:rsid w:val="73245BE1"/>
    <w:rsid w:val="732F6A76"/>
    <w:rsid w:val="73301EC1"/>
    <w:rsid w:val="73441F01"/>
    <w:rsid w:val="73467DC5"/>
    <w:rsid w:val="73483D6F"/>
    <w:rsid w:val="73522E46"/>
    <w:rsid w:val="73610273"/>
    <w:rsid w:val="73840862"/>
    <w:rsid w:val="738C31DF"/>
    <w:rsid w:val="738D5145"/>
    <w:rsid w:val="73933279"/>
    <w:rsid w:val="73A30775"/>
    <w:rsid w:val="73C42FDF"/>
    <w:rsid w:val="73C947E1"/>
    <w:rsid w:val="73CA1AA5"/>
    <w:rsid w:val="73D50756"/>
    <w:rsid w:val="73D757BE"/>
    <w:rsid w:val="73E45F0E"/>
    <w:rsid w:val="740A3CEF"/>
    <w:rsid w:val="74112152"/>
    <w:rsid w:val="7424051E"/>
    <w:rsid w:val="743F7F32"/>
    <w:rsid w:val="74450618"/>
    <w:rsid w:val="74506482"/>
    <w:rsid w:val="74517E94"/>
    <w:rsid w:val="745F766B"/>
    <w:rsid w:val="747B7BA5"/>
    <w:rsid w:val="747E404C"/>
    <w:rsid w:val="748620BD"/>
    <w:rsid w:val="74B47E43"/>
    <w:rsid w:val="74B534F8"/>
    <w:rsid w:val="74D240AA"/>
    <w:rsid w:val="74E40AC9"/>
    <w:rsid w:val="74E42528"/>
    <w:rsid w:val="74E91C52"/>
    <w:rsid w:val="74FF6178"/>
    <w:rsid w:val="750465BA"/>
    <w:rsid w:val="75060D4F"/>
    <w:rsid w:val="75105EFE"/>
    <w:rsid w:val="75110C09"/>
    <w:rsid w:val="751C2C68"/>
    <w:rsid w:val="751C71B1"/>
    <w:rsid w:val="75324701"/>
    <w:rsid w:val="75373B04"/>
    <w:rsid w:val="75431DC5"/>
    <w:rsid w:val="7546067E"/>
    <w:rsid w:val="755A378F"/>
    <w:rsid w:val="75693093"/>
    <w:rsid w:val="75722D56"/>
    <w:rsid w:val="757D1E2B"/>
    <w:rsid w:val="75971B5F"/>
    <w:rsid w:val="759963A6"/>
    <w:rsid w:val="759D48A5"/>
    <w:rsid w:val="75A92E8D"/>
    <w:rsid w:val="75BB7546"/>
    <w:rsid w:val="75C1620E"/>
    <w:rsid w:val="75D109A0"/>
    <w:rsid w:val="75D51A65"/>
    <w:rsid w:val="75D64535"/>
    <w:rsid w:val="75DE2C00"/>
    <w:rsid w:val="75E938B6"/>
    <w:rsid w:val="760100A3"/>
    <w:rsid w:val="76123D50"/>
    <w:rsid w:val="761E41FD"/>
    <w:rsid w:val="761F5B76"/>
    <w:rsid w:val="762E132F"/>
    <w:rsid w:val="762F4A15"/>
    <w:rsid w:val="76360B81"/>
    <w:rsid w:val="763E2BC2"/>
    <w:rsid w:val="76452218"/>
    <w:rsid w:val="764E434F"/>
    <w:rsid w:val="765372E6"/>
    <w:rsid w:val="76642FA4"/>
    <w:rsid w:val="766B52CA"/>
    <w:rsid w:val="767205E1"/>
    <w:rsid w:val="767F704C"/>
    <w:rsid w:val="767F7E6B"/>
    <w:rsid w:val="76803590"/>
    <w:rsid w:val="768947FB"/>
    <w:rsid w:val="768B2CE5"/>
    <w:rsid w:val="76975FC7"/>
    <w:rsid w:val="76A4589B"/>
    <w:rsid w:val="76A508F7"/>
    <w:rsid w:val="76A51D5C"/>
    <w:rsid w:val="76BA5753"/>
    <w:rsid w:val="76BD4366"/>
    <w:rsid w:val="76C42BC4"/>
    <w:rsid w:val="76C94A3F"/>
    <w:rsid w:val="76E651E5"/>
    <w:rsid w:val="76EA0320"/>
    <w:rsid w:val="770B5104"/>
    <w:rsid w:val="771B741D"/>
    <w:rsid w:val="771C7F10"/>
    <w:rsid w:val="772A4C8C"/>
    <w:rsid w:val="772D62B0"/>
    <w:rsid w:val="77300E58"/>
    <w:rsid w:val="773133B5"/>
    <w:rsid w:val="773450E9"/>
    <w:rsid w:val="773A634F"/>
    <w:rsid w:val="77401179"/>
    <w:rsid w:val="775B2CDE"/>
    <w:rsid w:val="775E33E4"/>
    <w:rsid w:val="777001D6"/>
    <w:rsid w:val="7774279F"/>
    <w:rsid w:val="777A44A1"/>
    <w:rsid w:val="777A4C48"/>
    <w:rsid w:val="77857473"/>
    <w:rsid w:val="77871B3F"/>
    <w:rsid w:val="778C1E8A"/>
    <w:rsid w:val="77900594"/>
    <w:rsid w:val="77A01B3B"/>
    <w:rsid w:val="77A43C50"/>
    <w:rsid w:val="77AF7BEA"/>
    <w:rsid w:val="77B47998"/>
    <w:rsid w:val="77B71444"/>
    <w:rsid w:val="77C4691E"/>
    <w:rsid w:val="77C4737E"/>
    <w:rsid w:val="77CF4919"/>
    <w:rsid w:val="77D95D8F"/>
    <w:rsid w:val="77DF4843"/>
    <w:rsid w:val="77DF495D"/>
    <w:rsid w:val="77E53094"/>
    <w:rsid w:val="77EA05D9"/>
    <w:rsid w:val="77EC6C04"/>
    <w:rsid w:val="77EF3196"/>
    <w:rsid w:val="77FF28E6"/>
    <w:rsid w:val="78081737"/>
    <w:rsid w:val="780A11BB"/>
    <w:rsid w:val="781068EA"/>
    <w:rsid w:val="781B5C30"/>
    <w:rsid w:val="781F11A1"/>
    <w:rsid w:val="78200129"/>
    <w:rsid w:val="784A38B5"/>
    <w:rsid w:val="785A2BB5"/>
    <w:rsid w:val="786F7C3A"/>
    <w:rsid w:val="7875360A"/>
    <w:rsid w:val="787F52DB"/>
    <w:rsid w:val="78956A88"/>
    <w:rsid w:val="78A12E74"/>
    <w:rsid w:val="78A51694"/>
    <w:rsid w:val="78AD0CB8"/>
    <w:rsid w:val="78B948FF"/>
    <w:rsid w:val="78C51451"/>
    <w:rsid w:val="78E60D81"/>
    <w:rsid w:val="78F000F7"/>
    <w:rsid w:val="792F39E5"/>
    <w:rsid w:val="79305C6F"/>
    <w:rsid w:val="7936053E"/>
    <w:rsid w:val="793C2F03"/>
    <w:rsid w:val="793D7B1F"/>
    <w:rsid w:val="79462C91"/>
    <w:rsid w:val="79540B2E"/>
    <w:rsid w:val="795F7A95"/>
    <w:rsid w:val="796D0468"/>
    <w:rsid w:val="79766B8D"/>
    <w:rsid w:val="797E3EA3"/>
    <w:rsid w:val="79805E5B"/>
    <w:rsid w:val="798F1B27"/>
    <w:rsid w:val="799C0660"/>
    <w:rsid w:val="79A123D1"/>
    <w:rsid w:val="79B31163"/>
    <w:rsid w:val="79E13893"/>
    <w:rsid w:val="79FF5ED5"/>
    <w:rsid w:val="7A0635A3"/>
    <w:rsid w:val="7A076071"/>
    <w:rsid w:val="7A1A1642"/>
    <w:rsid w:val="7A1B1178"/>
    <w:rsid w:val="7A1F4ADA"/>
    <w:rsid w:val="7A2056F6"/>
    <w:rsid w:val="7A2B23D5"/>
    <w:rsid w:val="7A2C2855"/>
    <w:rsid w:val="7A2F7BF4"/>
    <w:rsid w:val="7A3D5CD4"/>
    <w:rsid w:val="7A4647B1"/>
    <w:rsid w:val="7A480565"/>
    <w:rsid w:val="7A645703"/>
    <w:rsid w:val="7A6B5CEC"/>
    <w:rsid w:val="7A7771F0"/>
    <w:rsid w:val="7A7A3515"/>
    <w:rsid w:val="7A7B1537"/>
    <w:rsid w:val="7A7D35A8"/>
    <w:rsid w:val="7A825AA9"/>
    <w:rsid w:val="7A8A1E47"/>
    <w:rsid w:val="7A98337A"/>
    <w:rsid w:val="7A9E7DF7"/>
    <w:rsid w:val="7AA0285F"/>
    <w:rsid w:val="7AA67F02"/>
    <w:rsid w:val="7ACD7BC6"/>
    <w:rsid w:val="7AE34517"/>
    <w:rsid w:val="7AF94BE4"/>
    <w:rsid w:val="7B095B8D"/>
    <w:rsid w:val="7B0A51BB"/>
    <w:rsid w:val="7B173522"/>
    <w:rsid w:val="7B1F4932"/>
    <w:rsid w:val="7B245083"/>
    <w:rsid w:val="7B274A1E"/>
    <w:rsid w:val="7B337BB9"/>
    <w:rsid w:val="7B3A6421"/>
    <w:rsid w:val="7B4056A4"/>
    <w:rsid w:val="7B4F1F82"/>
    <w:rsid w:val="7B51173E"/>
    <w:rsid w:val="7B5C15CA"/>
    <w:rsid w:val="7B614DCB"/>
    <w:rsid w:val="7B6440EE"/>
    <w:rsid w:val="7B6832D1"/>
    <w:rsid w:val="7B690D2B"/>
    <w:rsid w:val="7B6E164A"/>
    <w:rsid w:val="7B6E28B1"/>
    <w:rsid w:val="7B7912AA"/>
    <w:rsid w:val="7B793B17"/>
    <w:rsid w:val="7B7E74C6"/>
    <w:rsid w:val="7BAC0D87"/>
    <w:rsid w:val="7BB95CC7"/>
    <w:rsid w:val="7BDE3E94"/>
    <w:rsid w:val="7BE30671"/>
    <w:rsid w:val="7BE90007"/>
    <w:rsid w:val="7BE95428"/>
    <w:rsid w:val="7BEB734F"/>
    <w:rsid w:val="7BF1388C"/>
    <w:rsid w:val="7C0D412F"/>
    <w:rsid w:val="7C247CB8"/>
    <w:rsid w:val="7C2A4687"/>
    <w:rsid w:val="7C2B0102"/>
    <w:rsid w:val="7C314A05"/>
    <w:rsid w:val="7C344D04"/>
    <w:rsid w:val="7C406421"/>
    <w:rsid w:val="7C48189B"/>
    <w:rsid w:val="7C5946E5"/>
    <w:rsid w:val="7C632BE3"/>
    <w:rsid w:val="7C89209D"/>
    <w:rsid w:val="7C8C268E"/>
    <w:rsid w:val="7C947813"/>
    <w:rsid w:val="7CA8091C"/>
    <w:rsid w:val="7CAC44DF"/>
    <w:rsid w:val="7CAD1BD0"/>
    <w:rsid w:val="7CB55156"/>
    <w:rsid w:val="7CC21350"/>
    <w:rsid w:val="7CC85951"/>
    <w:rsid w:val="7CD13489"/>
    <w:rsid w:val="7CDC73B5"/>
    <w:rsid w:val="7CDE5E02"/>
    <w:rsid w:val="7CE573D6"/>
    <w:rsid w:val="7CF82F13"/>
    <w:rsid w:val="7CFD0EFA"/>
    <w:rsid w:val="7D057D70"/>
    <w:rsid w:val="7D071357"/>
    <w:rsid w:val="7D1A6357"/>
    <w:rsid w:val="7D2F0A5E"/>
    <w:rsid w:val="7D3B3A48"/>
    <w:rsid w:val="7D45291B"/>
    <w:rsid w:val="7D472D1A"/>
    <w:rsid w:val="7D826860"/>
    <w:rsid w:val="7D8A1D9B"/>
    <w:rsid w:val="7D8B31F0"/>
    <w:rsid w:val="7D960F0C"/>
    <w:rsid w:val="7D964F3A"/>
    <w:rsid w:val="7D9B5DEB"/>
    <w:rsid w:val="7DAF457F"/>
    <w:rsid w:val="7DB51472"/>
    <w:rsid w:val="7DBC290A"/>
    <w:rsid w:val="7DD21311"/>
    <w:rsid w:val="7DD22D5B"/>
    <w:rsid w:val="7DD8580E"/>
    <w:rsid w:val="7DDF286A"/>
    <w:rsid w:val="7DE15CAB"/>
    <w:rsid w:val="7DE67E19"/>
    <w:rsid w:val="7DE76611"/>
    <w:rsid w:val="7DEE7639"/>
    <w:rsid w:val="7DF6029C"/>
    <w:rsid w:val="7E0473AC"/>
    <w:rsid w:val="7E1F0A3E"/>
    <w:rsid w:val="7E28253E"/>
    <w:rsid w:val="7E28775F"/>
    <w:rsid w:val="7E3A462D"/>
    <w:rsid w:val="7E3E43B1"/>
    <w:rsid w:val="7E433CFE"/>
    <w:rsid w:val="7E4550B0"/>
    <w:rsid w:val="7E4F1B13"/>
    <w:rsid w:val="7E59078F"/>
    <w:rsid w:val="7E592FEC"/>
    <w:rsid w:val="7E5D5005"/>
    <w:rsid w:val="7E65208F"/>
    <w:rsid w:val="7E6C17BF"/>
    <w:rsid w:val="7E865D6A"/>
    <w:rsid w:val="7E911815"/>
    <w:rsid w:val="7E946199"/>
    <w:rsid w:val="7E9F6C84"/>
    <w:rsid w:val="7EA82498"/>
    <w:rsid w:val="7EAA0D7B"/>
    <w:rsid w:val="7EF03F0E"/>
    <w:rsid w:val="7F031122"/>
    <w:rsid w:val="7F0743AC"/>
    <w:rsid w:val="7F0F55AF"/>
    <w:rsid w:val="7F1973BA"/>
    <w:rsid w:val="7F280F79"/>
    <w:rsid w:val="7F296EC1"/>
    <w:rsid w:val="7F2C351E"/>
    <w:rsid w:val="7F2C5AC9"/>
    <w:rsid w:val="7F2D26AC"/>
    <w:rsid w:val="7F3C0B7B"/>
    <w:rsid w:val="7F3C5D88"/>
    <w:rsid w:val="7F3C6183"/>
    <w:rsid w:val="7F697E6F"/>
    <w:rsid w:val="7F6E7BA7"/>
    <w:rsid w:val="7F8B6071"/>
    <w:rsid w:val="7F94790B"/>
    <w:rsid w:val="7F9A3928"/>
    <w:rsid w:val="7FA43E05"/>
    <w:rsid w:val="7FA67E51"/>
    <w:rsid w:val="7FB65709"/>
    <w:rsid w:val="7FBE699B"/>
    <w:rsid w:val="7FBF76FC"/>
    <w:rsid w:val="7FCA5A1A"/>
    <w:rsid w:val="7FD27E44"/>
    <w:rsid w:val="7FD75CDD"/>
    <w:rsid w:val="7FE3275E"/>
    <w:rsid w:val="7FED1725"/>
    <w:rsid w:val="7FEE5B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0" w:semiHidden="0" w:name="Normal Indent"/>
    <w:lsdException w:uiPriority="99" w:name="footnote text" w:locked="1"/>
    <w:lsdException w:qFormat="1" w:unhideWhenUsed="0" w:uiPriority="0"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iPriority="99" w:semiHidden="0"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iPriority="99"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iPriority="0" w:semiHidden="0" w:name="Date" w:locked="1"/>
    <w:lsdException w:uiPriority="99" w:name="Body Text First Indent" w:locked="1"/>
    <w:lsdException w:qFormat="1" w:uiPriority="99" w:semiHidden="0" w:name="Body Text First Indent 2" w:locked="1"/>
    <w:lsdException w:uiPriority="99" w:name="Note Heading" w:locked="1"/>
    <w:lsdException w:qFormat="1" w:unhideWhenUsed="0" w:uiPriority="99" w:semiHidden="0"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semiHidden="0" w:name="FollowedHyperlink" w:locked="1"/>
    <w:lsdException w:qFormat="1" w:unhideWhenUsed="0" w:uiPriority="0" w:semiHidden="0" w:name="Strong"/>
    <w:lsdException w:qFormat="1" w:unhideWhenUsed="0" w:uiPriority="0" w:semiHidden="0" w:name="Emphasis"/>
    <w:lsdException w:uiPriority="99" w:name="Document Map" w:locked="1"/>
    <w:lsdException w:qFormat="1" w:unhideWhenUsed="0" w:uiPriority="99" w:semiHidden="0" w:name="Plain Text"/>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iPriority="99" w:semiHidden="0"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420" w:firstLineChars="200"/>
      <w:jc w:val="both"/>
    </w:pPr>
    <w:rPr>
      <w:rFonts w:ascii="Calibri" w:hAnsi="Calibri" w:eastAsia="宋体" w:cs="Times New Roman"/>
      <w:kern w:val="2"/>
      <w:sz w:val="21"/>
      <w:szCs w:val="22"/>
      <w:lang w:val="en-US" w:eastAsia="zh-CN" w:bidi="ar-SA"/>
    </w:rPr>
  </w:style>
  <w:style w:type="paragraph" w:styleId="3">
    <w:name w:val="heading 1"/>
    <w:basedOn w:val="1"/>
    <w:next w:val="1"/>
    <w:link w:val="56"/>
    <w:qFormat/>
    <w:uiPriority w:val="99"/>
    <w:pPr>
      <w:keepNext/>
      <w:keepLines/>
      <w:spacing w:before="340" w:after="330"/>
      <w:ind w:firstLine="0" w:firstLineChars="0"/>
      <w:jc w:val="center"/>
      <w:outlineLvl w:val="0"/>
    </w:pPr>
    <w:rPr>
      <w:rFonts w:ascii="宋体" w:hAnsi="宋体"/>
      <w:b/>
      <w:bCs/>
      <w:kern w:val="44"/>
      <w:sz w:val="44"/>
      <w:szCs w:val="44"/>
    </w:rPr>
  </w:style>
  <w:style w:type="paragraph" w:styleId="4">
    <w:name w:val="heading 2"/>
    <w:basedOn w:val="1"/>
    <w:next w:val="1"/>
    <w:link w:val="57"/>
    <w:qFormat/>
    <w:uiPriority w:val="99"/>
    <w:pPr>
      <w:keepNext/>
      <w:keepLines/>
      <w:spacing w:before="260" w:after="260"/>
      <w:ind w:firstLine="0" w:firstLineChars="0"/>
      <w:jc w:val="center"/>
      <w:outlineLvl w:val="1"/>
    </w:pPr>
    <w:rPr>
      <w:rFonts w:ascii="Cambria" w:hAnsi="Cambria"/>
      <w:b/>
      <w:bCs/>
      <w:sz w:val="32"/>
      <w:szCs w:val="32"/>
    </w:rPr>
  </w:style>
  <w:style w:type="paragraph" w:styleId="5">
    <w:name w:val="heading 3"/>
    <w:basedOn w:val="1"/>
    <w:next w:val="6"/>
    <w:link w:val="58"/>
    <w:qFormat/>
    <w:uiPriority w:val="99"/>
    <w:pPr>
      <w:keepNext/>
      <w:keepLines/>
      <w:spacing w:before="260" w:after="260"/>
      <w:ind w:firstLine="0" w:firstLineChars="0"/>
      <w:jc w:val="center"/>
      <w:outlineLvl w:val="2"/>
    </w:pPr>
    <w:rPr>
      <w:rFonts w:ascii="宋体" w:hAnsi="宋体"/>
      <w:b/>
      <w:bCs/>
      <w:sz w:val="28"/>
      <w:szCs w:val="28"/>
    </w:rPr>
  </w:style>
  <w:style w:type="paragraph" w:styleId="7">
    <w:name w:val="heading 4"/>
    <w:basedOn w:val="1"/>
    <w:next w:val="1"/>
    <w:link w:val="59"/>
    <w:qFormat/>
    <w:uiPriority w:val="99"/>
    <w:pPr>
      <w:keepNext/>
      <w:keepLines/>
      <w:spacing w:before="280" w:after="290"/>
      <w:ind w:firstLine="0" w:firstLineChars="0"/>
      <w:outlineLvl w:val="3"/>
    </w:pPr>
    <w:rPr>
      <w:rFonts w:ascii="宋体" w:hAnsi="宋体"/>
      <w:b/>
      <w:bCs/>
      <w:sz w:val="24"/>
      <w:szCs w:val="24"/>
    </w:rPr>
  </w:style>
  <w:style w:type="paragraph" w:styleId="8">
    <w:name w:val="heading 5"/>
    <w:basedOn w:val="1"/>
    <w:next w:val="1"/>
    <w:link w:val="60"/>
    <w:qFormat/>
    <w:uiPriority w:val="99"/>
    <w:pPr>
      <w:keepNext/>
      <w:keepLines/>
      <w:spacing w:before="280" w:after="290"/>
      <w:ind w:firstLine="0" w:firstLineChars="0"/>
      <w:outlineLvl w:val="4"/>
    </w:pPr>
    <w:rPr>
      <w:rFonts w:ascii="宋体" w:hAnsi="宋体"/>
      <w:b/>
      <w:bCs/>
      <w:szCs w:val="21"/>
    </w:rPr>
  </w:style>
  <w:style w:type="character" w:default="1" w:styleId="33">
    <w:name w:val="Default Paragraph Font"/>
    <w:unhideWhenUsed/>
    <w:qFormat/>
    <w:uiPriority w:val="1"/>
  </w:style>
  <w:style w:type="table" w:default="1" w:styleId="31">
    <w:name w:val="Normal Table"/>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jc w:val="left"/>
    </w:pPr>
    <w:rPr>
      <w:rFonts w:ascii="宋体" w:hAnsi="宋体"/>
      <w:sz w:val="24"/>
    </w:rPr>
  </w:style>
  <w:style w:type="paragraph" w:styleId="6">
    <w:name w:val="Normal Indent"/>
    <w:basedOn w:val="1"/>
    <w:qFormat/>
    <w:uiPriority w:val="0"/>
    <w:rPr>
      <w:b/>
      <w:sz w:val="24"/>
      <w:szCs w:val="20"/>
    </w:rPr>
  </w:style>
  <w:style w:type="paragraph" w:styleId="9">
    <w:name w:val="toc 7"/>
    <w:basedOn w:val="1"/>
    <w:next w:val="1"/>
    <w:qFormat/>
    <w:uiPriority w:val="99"/>
    <w:pPr>
      <w:ind w:left="2520" w:leftChars="1200" w:firstLine="0" w:firstLineChars="0"/>
    </w:pPr>
  </w:style>
  <w:style w:type="paragraph" w:styleId="10">
    <w:name w:val="annotation text"/>
    <w:basedOn w:val="1"/>
    <w:qFormat/>
    <w:locked/>
    <w:uiPriority w:val="0"/>
    <w:pPr>
      <w:ind w:firstLine="0" w:firstLineChars="0"/>
      <w:jc w:val="left"/>
    </w:pPr>
    <w:rPr>
      <w:rFonts w:ascii="Calibri" w:hAnsi="Calibri" w:eastAsia="宋体" w:cs="Times New Roman"/>
      <w:kern w:val="0"/>
      <w:sz w:val="20"/>
      <w:szCs w:val="20"/>
    </w:rPr>
  </w:style>
  <w:style w:type="paragraph" w:styleId="11">
    <w:name w:val="Body Text"/>
    <w:basedOn w:val="1"/>
    <w:next w:val="1"/>
    <w:link w:val="61"/>
    <w:qFormat/>
    <w:uiPriority w:val="99"/>
    <w:pPr>
      <w:ind w:left="100" w:firstLine="0" w:firstLineChars="0"/>
      <w:jc w:val="left"/>
    </w:pPr>
    <w:rPr>
      <w:rFonts w:ascii="宋体" w:hAnsi="宋体"/>
      <w:kern w:val="0"/>
      <w:szCs w:val="21"/>
      <w:lang w:eastAsia="en-US"/>
    </w:rPr>
  </w:style>
  <w:style w:type="paragraph" w:styleId="12">
    <w:name w:val="Body Text Indent"/>
    <w:basedOn w:val="1"/>
    <w:unhideWhenUsed/>
    <w:qFormat/>
    <w:locked/>
    <w:uiPriority w:val="99"/>
    <w:pPr>
      <w:spacing w:after="120"/>
      <w:ind w:left="420" w:leftChars="200"/>
    </w:pPr>
  </w:style>
  <w:style w:type="paragraph" w:styleId="13">
    <w:name w:val="toc 5"/>
    <w:basedOn w:val="1"/>
    <w:next w:val="1"/>
    <w:qFormat/>
    <w:uiPriority w:val="99"/>
    <w:pPr>
      <w:ind w:left="1680" w:leftChars="800"/>
    </w:pPr>
  </w:style>
  <w:style w:type="paragraph" w:styleId="14">
    <w:name w:val="toc 3"/>
    <w:basedOn w:val="1"/>
    <w:next w:val="1"/>
    <w:qFormat/>
    <w:uiPriority w:val="99"/>
    <w:pPr>
      <w:ind w:left="840" w:leftChars="400"/>
    </w:pPr>
  </w:style>
  <w:style w:type="paragraph" w:styleId="15">
    <w:name w:val="Plain Text"/>
    <w:basedOn w:val="1"/>
    <w:link w:val="62"/>
    <w:qFormat/>
    <w:uiPriority w:val="99"/>
    <w:rPr>
      <w:rFonts w:ascii="宋体" w:hAnsi="Courier New"/>
      <w:kern w:val="0"/>
      <w:sz w:val="20"/>
      <w:szCs w:val="21"/>
    </w:rPr>
  </w:style>
  <w:style w:type="paragraph" w:styleId="16">
    <w:name w:val="toc 8"/>
    <w:basedOn w:val="1"/>
    <w:next w:val="1"/>
    <w:qFormat/>
    <w:uiPriority w:val="99"/>
    <w:pPr>
      <w:ind w:left="2940" w:leftChars="1400" w:firstLine="0" w:firstLineChars="0"/>
    </w:pPr>
  </w:style>
  <w:style w:type="paragraph" w:styleId="17">
    <w:name w:val="Date"/>
    <w:basedOn w:val="1"/>
    <w:next w:val="1"/>
    <w:unhideWhenUsed/>
    <w:qFormat/>
    <w:locked/>
    <w:uiPriority w:val="0"/>
  </w:style>
  <w:style w:type="paragraph" w:styleId="18">
    <w:name w:val="Body Text Indent 2"/>
    <w:basedOn w:val="1"/>
    <w:link w:val="63"/>
    <w:qFormat/>
    <w:uiPriority w:val="99"/>
    <w:pPr>
      <w:spacing w:after="120" w:line="480" w:lineRule="auto"/>
      <w:ind w:left="420" w:leftChars="200" w:firstLine="0" w:firstLineChars="0"/>
      <w:jc w:val="left"/>
    </w:pPr>
    <w:rPr>
      <w:kern w:val="0"/>
      <w:sz w:val="22"/>
      <w:lang w:eastAsia="en-US"/>
    </w:rPr>
  </w:style>
  <w:style w:type="paragraph" w:styleId="19">
    <w:name w:val="Balloon Text"/>
    <w:basedOn w:val="1"/>
    <w:link w:val="64"/>
    <w:semiHidden/>
    <w:qFormat/>
    <w:uiPriority w:val="99"/>
    <w:rPr>
      <w:sz w:val="18"/>
      <w:szCs w:val="18"/>
    </w:rPr>
  </w:style>
  <w:style w:type="paragraph" w:styleId="20">
    <w:name w:val="footer"/>
    <w:basedOn w:val="1"/>
    <w:link w:val="65"/>
    <w:qFormat/>
    <w:uiPriority w:val="99"/>
    <w:pPr>
      <w:tabs>
        <w:tab w:val="center" w:pos="4153"/>
        <w:tab w:val="right" w:pos="8306"/>
      </w:tabs>
      <w:snapToGrid w:val="0"/>
      <w:jc w:val="left"/>
    </w:pPr>
    <w:rPr>
      <w:sz w:val="18"/>
      <w:szCs w:val="18"/>
    </w:rPr>
  </w:style>
  <w:style w:type="paragraph" w:styleId="21">
    <w:name w:val="header"/>
    <w:basedOn w:val="1"/>
    <w:link w:val="66"/>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99"/>
  </w:style>
  <w:style w:type="paragraph" w:styleId="23">
    <w:name w:val="toc 4"/>
    <w:basedOn w:val="1"/>
    <w:next w:val="1"/>
    <w:qFormat/>
    <w:uiPriority w:val="99"/>
    <w:pPr>
      <w:ind w:left="1260" w:leftChars="600"/>
    </w:pPr>
  </w:style>
  <w:style w:type="paragraph" w:styleId="24">
    <w:name w:val="toc 6"/>
    <w:basedOn w:val="1"/>
    <w:next w:val="1"/>
    <w:qFormat/>
    <w:uiPriority w:val="99"/>
    <w:pPr>
      <w:ind w:left="2100" w:leftChars="1000" w:firstLine="0" w:firstLineChars="0"/>
    </w:pPr>
  </w:style>
  <w:style w:type="paragraph" w:styleId="25">
    <w:name w:val="toc 2"/>
    <w:basedOn w:val="1"/>
    <w:next w:val="1"/>
    <w:qFormat/>
    <w:uiPriority w:val="99"/>
    <w:pPr>
      <w:ind w:left="420" w:leftChars="200"/>
    </w:pPr>
  </w:style>
  <w:style w:type="paragraph" w:styleId="26">
    <w:name w:val="toc 9"/>
    <w:basedOn w:val="1"/>
    <w:next w:val="1"/>
    <w:qFormat/>
    <w:uiPriority w:val="99"/>
    <w:pPr>
      <w:ind w:left="3360" w:leftChars="1600" w:firstLine="0" w:firstLineChars="0"/>
    </w:pPr>
  </w:style>
  <w:style w:type="paragraph" w:styleId="27">
    <w:name w:val="Body Text 2"/>
    <w:basedOn w:val="1"/>
    <w:qFormat/>
    <w:locked/>
    <w:uiPriority w:val="99"/>
    <w:pPr>
      <w:spacing w:after="120" w:line="480" w:lineRule="auto"/>
    </w:pPr>
    <w:rPr>
      <w:sz w:val="24"/>
    </w:rPr>
  </w:style>
  <w:style w:type="paragraph" w:styleId="28">
    <w:name w:val="HTML Preformatted"/>
    <w:basedOn w:val="1"/>
    <w:unhideWhenUsed/>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29">
    <w:name w:val="Normal (Web)"/>
    <w:basedOn w:val="1"/>
    <w:qFormat/>
    <w:locked/>
    <w:uiPriority w:val="0"/>
    <w:pPr>
      <w:widowControl/>
      <w:spacing w:before="100" w:beforeAutospacing="1" w:after="100" w:afterAutospacing="1"/>
      <w:jc w:val="left"/>
    </w:pPr>
    <w:rPr>
      <w:rFonts w:ascii="宋体" w:hAnsi="宋体"/>
      <w:color w:val="000000"/>
      <w:kern w:val="0"/>
      <w:sz w:val="24"/>
      <w:szCs w:val="24"/>
    </w:rPr>
  </w:style>
  <w:style w:type="paragraph" w:styleId="30">
    <w:name w:val="Body Text First Indent 2"/>
    <w:basedOn w:val="12"/>
    <w:unhideWhenUsed/>
    <w:qFormat/>
    <w:locked/>
    <w:uiPriority w:val="99"/>
    <w:pPr>
      <w:ind w:firstLine="420" w:firstLineChars="200"/>
    </w:pPr>
  </w:style>
  <w:style w:type="table" w:styleId="32">
    <w:name w:val="Table Grid"/>
    <w:basedOn w:val="31"/>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FollowedHyperlink"/>
    <w:unhideWhenUsed/>
    <w:qFormat/>
    <w:locked/>
    <w:uiPriority w:val="99"/>
    <w:rPr>
      <w:color w:val="000000"/>
      <w:u w:val="none"/>
    </w:rPr>
  </w:style>
  <w:style w:type="character" w:styleId="35">
    <w:name w:val="Hyperlink"/>
    <w:qFormat/>
    <w:uiPriority w:val="99"/>
    <w:rPr>
      <w:rFonts w:cs="Times New Roman"/>
      <w:color w:val="0000FF"/>
      <w:u w:val="single"/>
    </w:rPr>
  </w:style>
  <w:style w:type="character" w:styleId="36">
    <w:name w:val="annotation reference"/>
    <w:unhideWhenUsed/>
    <w:qFormat/>
    <w:locked/>
    <w:uiPriority w:val="99"/>
    <w:rPr>
      <w:sz w:val="21"/>
      <w:szCs w:val="21"/>
    </w:rPr>
  </w:style>
  <w:style w:type="paragraph" w:customStyle="1" w:styleId="37">
    <w:name w:val="标书正文"/>
    <w:basedOn w:val="11"/>
    <w:qFormat/>
    <w:uiPriority w:val="0"/>
    <w:pPr>
      <w:tabs>
        <w:tab w:val="left" w:pos="3555"/>
      </w:tabs>
      <w:adjustRightInd w:val="0"/>
      <w:snapToGrid w:val="0"/>
      <w:spacing w:beforeLines="50" w:after="0"/>
      <w:ind w:firstLine="560" w:firstLineChars="200"/>
      <w:jc w:val="left"/>
    </w:pPr>
    <w:rPr>
      <w:rFonts w:hint="default" w:ascii="Calibri" w:hAnsi="Calibri" w:eastAsia="宋体" w:cs="Arial"/>
      <w:kern w:val="2"/>
      <w:sz w:val="28"/>
      <w:szCs w:val="28"/>
    </w:rPr>
  </w:style>
  <w:style w:type="paragraph" w:customStyle="1" w:styleId="38">
    <w:name w:val="TOC 标题1"/>
    <w:basedOn w:val="3"/>
    <w:next w:val="1"/>
    <w:semiHidden/>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39">
    <w:name w:val="表文"/>
    <w:basedOn w:val="1"/>
    <w:qFormat/>
    <w:uiPriority w:val="0"/>
    <w:pPr>
      <w:spacing w:line="300" w:lineRule="auto"/>
      <w:jc w:val="center"/>
    </w:pPr>
    <w:rPr>
      <w:szCs w:val="24"/>
    </w:rPr>
  </w:style>
  <w:style w:type="paragraph" w:styleId="40">
    <w:name w:val="No Spacing"/>
    <w:qFormat/>
    <w:uiPriority w:val="99"/>
    <w:pPr>
      <w:widowControl w:val="0"/>
      <w:jc w:val="both"/>
    </w:pPr>
    <w:rPr>
      <w:rFonts w:ascii="Calibri" w:hAnsi="Calibri" w:eastAsia="宋体" w:cs="Times New Roman"/>
      <w:kern w:val="2"/>
      <w:sz w:val="28"/>
      <w:szCs w:val="22"/>
      <w:lang w:val="en-US" w:eastAsia="zh-CN" w:bidi="ar-SA"/>
    </w:rPr>
  </w:style>
  <w:style w:type="paragraph" w:customStyle="1" w:styleId="41">
    <w:name w:val="正文360首行缩进"/>
    <w:basedOn w:val="1"/>
    <w:qFormat/>
    <w:uiPriority w:val="99"/>
    <w:pPr>
      <w:widowControl/>
      <w:spacing w:before="120" w:line="300" w:lineRule="auto"/>
      <w:ind w:firstLine="200"/>
      <w:jc w:val="left"/>
    </w:pPr>
    <w:rPr>
      <w:rFonts w:ascii="Times New Roman" w:hAnsi="Times New Roman"/>
      <w:kern w:val="0"/>
      <w:sz w:val="20"/>
      <w:szCs w:val="20"/>
    </w:rPr>
  </w:style>
  <w:style w:type="paragraph" w:customStyle="1" w:styleId="42">
    <w:name w:val="正"/>
    <w:basedOn w:val="1"/>
    <w:qFormat/>
    <w:uiPriority w:val="0"/>
    <w:pPr>
      <w:spacing w:beforeLines="50" w:afterLines="50" w:line="360" w:lineRule="auto"/>
      <w:ind w:firstLine="480" w:firstLineChars="200"/>
    </w:pPr>
    <w:rPr>
      <w:sz w:val="24"/>
      <w:szCs w:val="22"/>
    </w:rPr>
  </w:style>
  <w:style w:type="paragraph" w:customStyle="1" w:styleId="43">
    <w:name w:val="文章正文"/>
    <w:basedOn w:val="1"/>
    <w:qFormat/>
    <w:uiPriority w:val="0"/>
    <w:pPr>
      <w:spacing w:line="300" w:lineRule="auto"/>
      <w:ind w:firstLine="200" w:firstLineChars="200"/>
    </w:pPr>
    <w:rPr>
      <w:sz w:val="24"/>
      <w:szCs w:val="22"/>
    </w:rPr>
  </w:style>
  <w:style w:type="paragraph" w:customStyle="1" w:styleId="44">
    <w:name w:val="纯文本_0"/>
    <w:basedOn w:val="1"/>
    <w:qFormat/>
    <w:uiPriority w:val="99"/>
    <w:pPr>
      <w:ind w:firstLine="0" w:firstLineChars="0"/>
    </w:pPr>
    <w:rPr>
      <w:rFonts w:ascii="宋体" w:hAnsi="Courier New"/>
      <w:kern w:val="0"/>
      <w:szCs w:val="20"/>
    </w:rPr>
  </w:style>
  <w:style w:type="paragraph" w:customStyle="1" w:styleId="45">
    <w:name w:val="Default"/>
    <w:qFormat/>
    <w:uiPriority w:val="99"/>
    <w:pPr>
      <w:autoSpaceDE w:val="0"/>
      <w:autoSpaceDN w:val="0"/>
      <w:adjustRightInd w:val="0"/>
    </w:pPr>
    <w:rPr>
      <w:rFonts w:ascii="宋体" w:hAnsi="Calibri" w:eastAsia="宋体" w:cs="Times New Roman"/>
      <w:color w:val="000000"/>
      <w:sz w:val="24"/>
      <w:szCs w:val="24"/>
      <w:lang w:val="en-US" w:eastAsia="en-US" w:bidi="ar-SA"/>
    </w:rPr>
  </w:style>
  <w:style w:type="paragraph" w:customStyle="1" w:styleId="46">
    <w:name w:val="Char Char Char Char Char Char Char Char Char Char Char"/>
    <w:basedOn w:val="1"/>
    <w:qFormat/>
    <w:uiPriority w:val="0"/>
    <w:pPr>
      <w:widowControl/>
      <w:spacing w:after="160" w:line="240" w:lineRule="exact"/>
      <w:jc w:val="left"/>
    </w:pPr>
    <w:rPr>
      <w:szCs w:val="24"/>
    </w:rPr>
  </w:style>
  <w:style w:type="paragraph" w:customStyle="1" w:styleId="47">
    <w:name w:val="标题 5（有编号）（绿盟科技）"/>
    <w:basedOn w:val="1"/>
    <w:next w:val="48"/>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48">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49">
    <w:name w:val="正文_1"/>
    <w:qFormat/>
    <w:uiPriority w:val="99"/>
    <w:pPr>
      <w:widowControl w:val="0"/>
      <w:jc w:val="both"/>
    </w:pPr>
    <w:rPr>
      <w:rFonts w:ascii="Calibri" w:hAnsi="Calibri" w:eastAsia="宋体" w:cs="Times New Roman"/>
      <w:sz w:val="24"/>
      <w:lang w:val="en-US" w:eastAsia="zh-CN" w:bidi="ar-SA"/>
    </w:rPr>
  </w:style>
  <w:style w:type="paragraph" w:customStyle="1" w:styleId="50">
    <w:name w:val="正文段"/>
    <w:basedOn w:val="1"/>
    <w:qFormat/>
    <w:uiPriority w:val="0"/>
    <w:pPr>
      <w:widowControl/>
      <w:snapToGrid w:val="0"/>
      <w:spacing w:afterLines="50"/>
      <w:ind w:firstLine="200" w:firstLineChars="200"/>
    </w:pPr>
    <w:rPr>
      <w:kern w:val="0"/>
      <w:sz w:val="24"/>
    </w:rPr>
  </w:style>
  <w:style w:type="paragraph" w:styleId="51">
    <w:name w:val="List Paragraph"/>
    <w:basedOn w:val="1"/>
    <w:qFormat/>
    <w:uiPriority w:val="99"/>
    <w:pPr>
      <w:ind w:firstLine="0" w:firstLineChars="0"/>
      <w:jc w:val="left"/>
    </w:pPr>
    <w:rPr>
      <w:kern w:val="0"/>
      <w:sz w:val="22"/>
      <w:lang w:eastAsia="en-US"/>
    </w:rPr>
  </w:style>
  <w:style w:type="paragraph" w:customStyle="1" w:styleId="52">
    <w:name w:val="Table Paragraph"/>
    <w:basedOn w:val="1"/>
    <w:qFormat/>
    <w:uiPriority w:val="99"/>
    <w:pPr>
      <w:ind w:firstLine="0" w:firstLineChars="0"/>
      <w:jc w:val="left"/>
    </w:pPr>
    <w:rPr>
      <w:kern w:val="0"/>
      <w:sz w:val="22"/>
      <w:lang w:eastAsia="en-US"/>
    </w:rPr>
  </w:style>
  <w:style w:type="paragraph" w:customStyle="1" w:styleId="53">
    <w:name w:val="正文_0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4">
    <w:name w:val="正文1"/>
    <w:basedOn w:val="1"/>
    <w:next w:val="1"/>
    <w:qFormat/>
    <w:uiPriority w:val="99"/>
    <w:pPr>
      <w:spacing w:before="156"/>
      <w:ind w:firstLine="510"/>
    </w:pPr>
    <w:rPr>
      <w:rFonts w:ascii="Times New Roman"/>
      <w:szCs w:val="20"/>
    </w:rPr>
  </w:style>
  <w:style w:type="paragraph" w:customStyle="1" w:styleId="55">
    <w:name w:val="普通(网站)_0"/>
    <w:basedOn w:val="49"/>
    <w:qFormat/>
    <w:uiPriority w:val="99"/>
    <w:pPr>
      <w:spacing w:before="100" w:beforeAutospacing="1" w:after="100" w:afterAutospacing="1"/>
      <w:jc w:val="left"/>
    </w:pPr>
  </w:style>
  <w:style w:type="character" w:customStyle="1" w:styleId="56">
    <w:name w:val="标题 1 字符"/>
    <w:link w:val="3"/>
    <w:qFormat/>
    <w:locked/>
    <w:uiPriority w:val="99"/>
    <w:rPr>
      <w:rFonts w:ascii="宋体" w:hAnsi="宋体" w:eastAsia="宋体" w:cs="Times New Roman"/>
      <w:b/>
      <w:bCs/>
      <w:kern w:val="44"/>
      <w:sz w:val="44"/>
      <w:szCs w:val="44"/>
      <w:lang w:eastAsia="zh-CN"/>
    </w:rPr>
  </w:style>
  <w:style w:type="character" w:customStyle="1" w:styleId="57">
    <w:name w:val="标题 2 字符"/>
    <w:link w:val="4"/>
    <w:qFormat/>
    <w:locked/>
    <w:uiPriority w:val="99"/>
    <w:rPr>
      <w:rFonts w:ascii="Cambria" w:hAnsi="Cambria" w:eastAsia="宋体" w:cs="Times New Roman"/>
      <w:b/>
      <w:bCs/>
      <w:sz w:val="32"/>
      <w:szCs w:val="32"/>
      <w:lang w:eastAsia="zh-CN"/>
    </w:rPr>
  </w:style>
  <w:style w:type="character" w:customStyle="1" w:styleId="58">
    <w:name w:val="标题 3 字符"/>
    <w:link w:val="5"/>
    <w:qFormat/>
    <w:locked/>
    <w:uiPriority w:val="99"/>
    <w:rPr>
      <w:rFonts w:ascii="宋体" w:hAnsi="宋体" w:eastAsia="宋体" w:cs="Times New Roman"/>
      <w:b/>
      <w:bCs/>
      <w:sz w:val="28"/>
      <w:szCs w:val="28"/>
      <w:lang w:eastAsia="zh-CN"/>
    </w:rPr>
  </w:style>
  <w:style w:type="character" w:customStyle="1" w:styleId="59">
    <w:name w:val="标题 4 字符"/>
    <w:link w:val="7"/>
    <w:qFormat/>
    <w:locked/>
    <w:uiPriority w:val="99"/>
    <w:rPr>
      <w:rFonts w:ascii="宋体" w:eastAsia="宋体" w:cs="Times New Roman"/>
      <w:b/>
      <w:bCs/>
      <w:sz w:val="24"/>
      <w:szCs w:val="24"/>
      <w:lang w:eastAsia="zh-CN"/>
    </w:rPr>
  </w:style>
  <w:style w:type="character" w:customStyle="1" w:styleId="60">
    <w:name w:val="标题 5 字符"/>
    <w:link w:val="8"/>
    <w:qFormat/>
    <w:locked/>
    <w:uiPriority w:val="99"/>
    <w:rPr>
      <w:rFonts w:ascii="宋体" w:eastAsia="宋体" w:cs="Times New Roman"/>
      <w:b/>
      <w:bCs/>
      <w:sz w:val="21"/>
      <w:szCs w:val="21"/>
      <w:lang w:eastAsia="zh-CN"/>
    </w:rPr>
  </w:style>
  <w:style w:type="character" w:customStyle="1" w:styleId="61">
    <w:name w:val="正文文本 字符"/>
    <w:link w:val="11"/>
    <w:semiHidden/>
    <w:qFormat/>
    <w:locked/>
    <w:uiPriority w:val="99"/>
    <w:rPr>
      <w:rFonts w:ascii="Calibri" w:hAnsi="Calibri" w:cs="Times New Roman"/>
    </w:rPr>
  </w:style>
  <w:style w:type="character" w:customStyle="1" w:styleId="62">
    <w:name w:val="纯文本 字符"/>
    <w:link w:val="15"/>
    <w:semiHidden/>
    <w:qFormat/>
    <w:locked/>
    <w:uiPriority w:val="99"/>
    <w:rPr>
      <w:rFonts w:ascii="宋体" w:hAnsi="Courier New" w:cs="Courier New"/>
      <w:sz w:val="21"/>
      <w:szCs w:val="21"/>
    </w:rPr>
  </w:style>
  <w:style w:type="character" w:customStyle="1" w:styleId="63">
    <w:name w:val="正文文本缩进 2 字符"/>
    <w:link w:val="18"/>
    <w:semiHidden/>
    <w:qFormat/>
    <w:locked/>
    <w:uiPriority w:val="99"/>
    <w:rPr>
      <w:rFonts w:ascii="Calibri" w:hAnsi="Calibri" w:cs="Times New Roman"/>
    </w:rPr>
  </w:style>
  <w:style w:type="character" w:customStyle="1" w:styleId="64">
    <w:name w:val="批注框文本 字符"/>
    <w:link w:val="19"/>
    <w:semiHidden/>
    <w:qFormat/>
    <w:locked/>
    <w:uiPriority w:val="99"/>
    <w:rPr>
      <w:rFonts w:cs="Times New Roman"/>
      <w:sz w:val="18"/>
      <w:szCs w:val="18"/>
      <w:lang w:eastAsia="zh-CN"/>
    </w:rPr>
  </w:style>
  <w:style w:type="character" w:customStyle="1" w:styleId="65">
    <w:name w:val="页脚 字符"/>
    <w:link w:val="20"/>
    <w:qFormat/>
    <w:locked/>
    <w:uiPriority w:val="99"/>
    <w:rPr>
      <w:rFonts w:cs="Times New Roman"/>
      <w:sz w:val="18"/>
      <w:szCs w:val="18"/>
    </w:rPr>
  </w:style>
  <w:style w:type="character" w:customStyle="1" w:styleId="66">
    <w:name w:val="页眉 字符"/>
    <w:link w:val="21"/>
    <w:qFormat/>
    <w:locked/>
    <w:uiPriority w:val="99"/>
    <w:rPr>
      <w:rFonts w:cs="Times New Roman"/>
      <w:sz w:val="18"/>
      <w:szCs w:val="18"/>
    </w:rPr>
  </w:style>
  <w:style w:type="character" w:customStyle="1" w:styleId="67">
    <w:name w:val="font21"/>
    <w:qFormat/>
    <w:uiPriority w:val="99"/>
    <w:rPr>
      <w:rFonts w:ascii="宋体" w:hAnsi="宋体" w:eastAsia="宋体" w:cs="宋体"/>
      <w:color w:val="000000"/>
      <w:sz w:val="20"/>
      <w:szCs w:val="20"/>
      <w:u w:val="none"/>
    </w:rPr>
  </w:style>
  <w:style w:type="character" w:customStyle="1" w:styleId="68">
    <w:name w:val="font31"/>
    <w:qFormat/>
    <w:uiPriority w:val="99"/>
    <w:rPr>
      <w:rFonts w:ascii="宋体" w:hAnsi="宋体" w:eastAsia="宋体" w:cs="宋体"/>
      <w:color w:val="000000"/>
      <w:sz w:val="22"/>
      <w:szCs w:val="22"/>
      <w:u w:val="none"/>
    </w:rPr>
  </w:style>
  <w:style w:type="character" w:customStyle="1" w:styleId="69">
    <w:name w:val="font121"/>
    <w:qFormat/>
    <w:uiPriority w:val="99"/>
    <w:rPr>
      <w:rFonts w:ascii="Times New Roman" w:hAnsi="Times New Roman" w:cs="Times New Roman"/>
      <w:color w:val="FF0000"/>
      <w:sz w:val="20"/>
      <w:szCs w:val="20"/>
      <w:u w:val="none"/>
    </w:rPr>
  </w:style>
  <w:style w:type="character" w:customStyle="1" w:styleId="70">
    <w:name w:val="font41"/>
    <w:qFormat/>
    <w:uiPriority w:val="99"/>
    <w:rPr>
      <w:rFonts w:ascii="宋体" w:hAnsi="宋体" w:eastAsia="宋体" w:cs="宋体"/>
      <w:color w:val="000000"/>
      <w:sz w:val="20"/>
      <w:szCs w:val="20"/>
      <w:u w:val="none"/>
    </w:rPr>
  </w:style>
  <w:style w:type="character" w:customStyle="1" w:styleId="71">
    <w:name w:val="font81"/>
    <w:qFormat/>
    <w:uiPriority w:val="99"/>
    <w:rPr>
      <w:rFonts w:ascii="Times New Roman" w:hAnsi="Times New Roman" w:cs="Times New Roman"/>
      <w:color w:val="000000"/>
      <w:sz w:val="20"/>
      <w:szCs w:val="20"/>
      <w:u w:val="none"/>
    </w:rPr>
  </w:style>
  <w:style w:type="character" w:customStyle="1" w:styleId="72">
    <w:name w:val="font01"/>
    <w:qFormat/>
    <w:uiPriority w:val="0"/>
    <w:rPr>
      <w:rFonts w:hint="eastAsia" w:ascii="宋体" w:hAnsi="宋体" w:eastAsia="宋体" w:cs="宋体"/>
      <w:color w:val="000000"/>
      <w:sz w:val="24"/>
      <w:szCs w:val="24"/>
      <w:u w:val="none"/>
    </w:rPr>
  </w:style>
  <w:style w:type="character" w:customStyle="1" w:styleId="73">
    <w:name w:val="font61"/>
    <w:qFormat/>
    <w:uiPriority w:val="99"/>
    <w:rPr>
      <w:rFonts w:ascii="宋体" w:hAnsi="宋体" w:eastAsia="宋体" w:cs="宋体"/>
      <w:color w:val="FF0000"/>
      <w:sz w:val="20"/>
      <w:szCs w:val="20"/>
      <w:u w:val="none"/>
    </w:rPr>
  </w:style>
  <w:style w:type="character" w:customStyle="1" w:styleId="74">
    <w:name w:val="font11"/>
    <w:qFormat/>
    <w:uiPriority w:val="0"/>
    <w:rPr>
      <w:rFonts w:hint="eastAsia" w:ascii="宋体" w:hAnsi="宋体" w:eastAsia="宋体" w:cs="宋体"/>
      <w:color w:val="000000"/>
      <w:sz w:val="24"/>
      <w:szCs w:val="24"/>
      <w:u w:val="none"/>
    </w:rPr>
  </w:style>
  <w:style w:type="table" w:customStyle="1" w:styleId="75">
    <w:name w:val="Table Normal1"/>
    <w:semiHidden/>
    <w:qFormat/>
    <w:uiPriority w:val="99"/>
    <w:pPr>
      <w:widowControl w:val="0"/>
    </w:pPr>
    <w:rPr>
      <w:sz w:val="22"/>
      <w:lang w:val="en-US" w:eastAsia="en-US" w:bidi="ar-SA"/>
    </w:rPr>
    <w:tblPr>
      <w:tblCellMar>
        <w:top w:w="0" w:type="dxa"/>
        <w:left w:w="0" w:type="dxa"/>
        <w:bottom w:w="0" w:type="dxa"/>
        <w:right w:w="0" w:type="dxa"/>
      </w:tblCellMar>
    </w:tblPr>
  </w:style>
  <w:style w:type="paragraph" w:customStyle="1" w:styleId="76">
    <w:name w:val="正文（缩进）"/>
    <w:basedOn w:val="1"/>
    <w:qFormat/>
    <w:uiPriority w:val="99"/>
    <w:pPr>
      <w:ind w:firstLine="48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76</Pages>
  <Words>6730</Words>
  <Characters>38363</Characters>
  <Lines>319</Lines>
  <Paragraphs>90</Paragraphs>
  <TotalTime>0</TotalTime>
  <ScaleCrop>false</ScaleCrop>
  <LinksUpToDate>false</LinksUpToDate>
  <CharactersWithSpaces>45003</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2021-09-27T02:06:00Z</dcterms:created>
  <dc:creator>Windows 用户</dc:creator>
  <cp:lastModifiedBy>Lenovo</cp:lastModifiedBy>
  <cp:lastPrinted>2021-12-09T07:28:00Z</cp:lastPrinted>
  <dcterms:modified xsi:type="dcterms:W3CDTF">2021-12-20T02:53:59Z</dcterms:modified>
  <dc:title>您好</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D9A21F0576AE493DA889C903239D4C99</vt:lpwstr>
  </property>
</Properties>
</file>