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2CC16B08">
      <w:pPr>
        <w:adjustRightInd w:val="0"/>
        <w:snapToGrid w:val="0"/>
        <w:spacing w:line="360" w:lineRule="auto"/>
        <w:jc w:val="center"/>
        <w:rPr>
          <w:rFonts w:hint="default"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lang w:val="en-US" w:eastAsia="zh-CN"/>
        </w:rPr>
        <w:t>如皋市供水管网提标改造综合工程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20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eastAsia="宋体"/>
          <w:snapToGrid w:val="0"/>
          <w:highlight w:val="white"/>
          <w:lang w:val="en-US" w:eastAsia="zh-CN"/>
        </w:rPr>
      </w:pPr>
      <w:r>
        <w:rPr>
          <w:rFonts w:hint="eastAsia" w:ascii="宋体" w:hAnsi="宋体"/>
          <w:snapToGrid w:val="0"/>
          <w:highlight w:val="white"/>
          <w:lang w:val="en-US" w:eastAsia="zh-CN"/>
        </w:rPr>
        <w:t xml:space="preserve"> </w:t>
      </w: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如皋市供水管网提标改造综合工程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eastAsia="宋体"/>
                <w:snapToGrid w:val="0"/>
                <w:sz w:val="28"/>
                <w:szCs w:val="28"/>
                <w:highlight w:val="green"/>
                <w:lang w:val="en-US" w:eastAsia="zh-CN"/>
              </w:rPr>
            </w:pPr>
            <w:r>
              <w:rPr>
                <w:rFonts w:hint="eastAsia" w:ascii="宋体" w:hAnsi="宋体"/>
                <w:snapToGrid w:val="0"/>
                <w:sz w:val="28"/>
                <w:szCs w:val="28"/>
                <w:lang w:val="en-US" w:eastAsia="zh-CN"/>
              </w:rPr>
              <w:t>如皋市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snapToGrid w:val="0"/>
                <w:sz w:val="28"/>
                <w:szCs w:val="28"/>
                <w:lang w:val="en-US" w:eastAsia="zh-CN"/>
              </w:rPr>
              <w:t>DN25-DN1000供水管道及附属供水设施安装。</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8FD0FBC">
            <w:pPr>
              <w:jc w:val="both"/>
              <w:rPr>
                <w:rFonts w:hint="eastAsia" w:ascii="宋体" w:hAnsi="宋体"/>
                <w:snapToGrid w:val="0"/>
                <w:sz w:val="28"/>
                <w:szCs w:val="28"/>
                <w:highlight w:val="white"/>
                <w:lang w:val="en-US" w:eastAsia="zh-CN"/>
              </w:rPr>
            </w:pPr>
            <w:r>
              <w:rPr>
                <w:rFonts w:hint="eastAsia" w:ascii="宋体" w:hAnsi="宋体"/>
                <w:snapToGrid w:val="0"/>
                <w:sz w:val="28"/>
                <w:szCs w:val="28"/>
                <w:lang w:val="en-US" w:eastAsia="zh-CN"/>
              </w:rPr>
              <w:t>本项目不设招标控制价，最终以让利率确定中标单位。</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hint="eastAsia" w:ascii="宋体" w:eastAsia="宋体" w:cs="宋体"/>
                <w:kern w:val="0"/>
                <w:sz w:val="24"/>
                <w:szCs w:val="24"/>
                <w:lang w:eastAsia="zh-CN"/>
              </w:rPr>
            </w:pPr>
            <w:r>
              <w:rPr>
                <w:rFonts w:hint="eastAsia" w:ascii="宋体" w:hAnsi="宋体"/>
                <w:color w:val="FF0000"/>
                <w:sz w:val="28"/>
                <w:szCs w:val="28"/>
              </w:rPr>
              <w:t>1</w:t>
            </w:r>
            <w:r>
              <w:rPr>
                <w:rFonts w:hint="eastAsia" w:ascii="宋体" w:hAnsi="宋体"/>
                <w:color w:val="FF0000"/>
                <w:sz w:val="28"/>
                <w:szCs w:val="28"/>
                <w:lang w:eastAsia="zh-CN"/>
              </w:rPr>
              <w:t>、</w:t>
            </w:r>
            <w:r>
              <w:rPr>
                <w:rFonts w:hint="eastAsia" w:ascii="宋体" w:hAnsi="宋体"/>
                <w:color w:val="FF0000"/>
                <w:sz w:val="28"/>
                <w:szCs w:val="28"/>
              </w:rPr>
              <w:t>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w:t>
            </w:r>
            <w:r>
              <w:rPr>
                <w:rFonts w:hint="eastAsia" w:ascii="宋体" w:hAnsi="宋体"/>
                <w:color w:val="FF0000"/>
                <w:sz w:val="28"/>
                <w:szCs w:val="28"/>
                <w:lang w:eastAsia="zh-CN"/>
              </w:rPr>
              <w:t>、</w:t>
            </w:r>
            <w:r>
              <w:rPr>
                <w:rFonts w:hint="eastAsia" w:ascii="宋体" w:hAnsi="宋体"/>
                <w:color w:val="FF0000"/>
                <w:sz w:val="28"/>
                <w:szCs w:val="28"/>
              </w:rPr>
              <w:t>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w:t>
            </w:r>
            <w:r>
              <w:rPr>
                <w:rFonts w:hint="eastAsia" w:ascii="宋体" w:hAnsi="宋体"/>
                <w:color w:val="FF0000"/>
                <w:sz w:val="28"/>
                <w:szCs w:val="28"/>
                <w:lang w:eastAsia="zh-CN"/>
              </w:rPr>
              <w:t>、</w:t>
            </w:r>
            <w:r>
              <w:rPr>
                <w:rFonts w:hint="eastAsia" w:ascii="宋体" w:hAnsi="宋体"/>
                <w:color w:val="FF0000"/>
                <w:sz w:val="28"/>
                <w:szCs w:val="28"/>
              </w:rPr>
              <w:t>施工人员保险必须满足公司要求并在保险期内</w:t>
            </w:r>
            <w:r>
              <w:rPr>
                <w:rFonts w:hint="eastAsia" w:ascii="宋体" w:hAnsi="宋体"/>
                <w:color w:val="FF0000"/>
                <w:sz w:val="28"/>
                <w:szCs w:val="28"/>
                <w:lang w:eastAsia="zh-CN"/>
              </w:rPr>
              <w:t>。</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EFE75A8">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cs="TimesNewRomanPSMT"/>
                <w:color w:val="0000FF"/>
                <w:sz w:val="28"/>
                <w:szCs w:val="32"/>
              </w:rPr>
            </w:pPr>
            <w:r>
              <w:rPr>
                <w:rFonts w:hint="eastAsia" w:ascii="宋体" w:hAnsi="宋体" w:cs="TimesNewRomanPSMT"/>
                <w:color w:val="0000FF"/>
                <w:sz w:val="28"/>
                <w:szCs w:val="32"/>
              </w:rPr>
              <w:t>综合评分法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ascii="宋体" w:hAnsi="宋体"/>
                <w:snapToGrid w:val="0"/>
                <w:color w:val="FF0000"/>
                <w:sz w:val="28"/>
                <w:szCs w:val="28"/>
                <w:lang w:val="en-US" w:eastAsia="zh-CN"/>
              </w:rPr>
              <w:t>根据甲方最终审定结算价扣除由招标人采购的主材费、总价措施费及规费后乘以（1-中标竞标费率）即为劳务结算价。</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af5f94c076e34861a13e80ed5a735153"/>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3745D760">
      <w:pPr>
        <w:keepNext w:val="0"/>
        <w:keepLines w:val="0"/>
        <w:pageBreakBefore w:val="0"/>
        <w:widowControl/>
        <w:kinsoku/>
        <w:wordWrap/>
        <w:overflowPunct/>
        <w:topLinePunct w:val="0"/>
        <w:autoSpaceDE/>
        <w:autoSpaceDN/>
        <w:bidi w:val="0"/>
        <w:spacing w:line="340" w:lineRule="exact"/>
        <w:ind w:firstLine="560" w:firstLineChars="200"/>
        <w:jc w:val="both"/>
        <w:textAlignment w:val="auto"/>
        <w:rPr>
          <w:rFonts w:hint="default" w:ascii="宋体" w:hAnsi="宋体" w:eastAsia="宋体" w:cs="宋体"/>
          <w:b/>
          <w:color w:val="auto"/>
          <w:kern w:val="0"/>
          <w:sz w:val="24"/>
          <w:szCs w:val="24"/>
          <w:u w:val="none"/>
          <w:lang w:val="en-US" w:eastAsia="zh-CN"/>
        </w:rPr>
      </w:pPr>
      <w:r>
        <w:rPr>
          <w:rFonts w:hint="eastAsia" w:ascii="宋体" w:hAnsi="宋体" w:cs="TimesNewRomanPSMT"/>
          <w:color w:val="0000FF"/>
          <w:sz w:val="28"/>
          <w:szCs w:val="32"/>
          <w:lang w:val="en-US" w:eastAsia="zh-CN"/>
        </w:rPr>
        <w:t>根据现场施工需求，本项目取评分得分前三名协作单位为中标单位，并要求第二、三名协作单位按第一名中标竞标费率同步执行。当排名第一、二、三的中标候选人中如有放弃中标、因不可抗力提出不能履行合同的，招标人可以确定排名第四的中标候选人为中标人；排名第四的中标候选人因同样的原因不能签订合同的，招标人可以确定排名第五的中标候选人为中标人，以此类推：</w:t>
      </w:r>
    </w:p>
    <w:p w14:paraId="66365B14">
      <w:pPr>
        <w:keepNext w:val="0"/>
        <w:keepLines w:val="0"/>
        <w:pageBreakBefore w:val="0"/>
        <w:widowControl/>
        <w:kinsoku/>
        <w:wordWrap/>
        <w:overflowPunct/>
        <w:topLinePunct w:val="0"/>
        <w:autoSpaceDE/>
        <w:autoSpaceDN/>
        <w:bidi w:val="0"/>
        <w:spacing w:line="360" w:lineRule="exact"/>
        <w:ind w:firstLine="560" w:firstLineChars="200"/>
        <w:jc w:val="both"/>
        <w:textAlignment w:val="auto"/>
        <w:rPr>
          <w:rFonts w:hint="eastAsia" w:ascii="宋体" w:hAnsi="宋体" w:cs="Arial"/>
          <w:color w:val="000000"/>
          <w:sz w:val="28"/>
          <w:highlight w:val="white"/>
          <w:lang w:val="en-US" w:eastAsia="zh-CN"/>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、如果有效投标文件大于</w:t>
      </w:r>
      <w:r>
        <w:rPr>
          <w:rFonts w:hint="eastAsia" w:ascii="宋体" w:hAnsi="宋体" w:cs="Arial"/>
          <w:color w:val="000000"/>
          <w:sz w:val="28"/>
          <w:highlight w:val="white"/>
          <w:lang w:val="en-US" w:eastAsia="zh-CN"/>
        </w:rPr>
        <w:t>等于</w:t>
      </w:r>
      <w:r>
        <w:rPr>
          <w:rFonts w:hint="eastAsia" w:ascii="宋体" w:hAnsi="宋体" w:cs="Arial"/>
          <w:color w:val="000000"/>
          <w:sz w:val="28"/>
          <w:highlight w:val="white"/>
        </w:rPr>
        <w:t>3家，</w:t>
      </w:r>
      <w:r>
        <w:rPr>
          <w:rFonts w:hint="eastAsia" w:ascii="宋体" w:hAnsi="宋体" w:cs="Arial"/>
          <w:color w:val="000000"/>
          <w:sz w:val="28"/>
          <w:highlight w:val="white"/>
          <w:lang w:val="en-US" w:eastAsia="zh-CN"/>
        </w:rPr>
        <w:t>采用综合评分法。</w:t>
      </w:r>
    </w:p>
    <w:p w14:paraId="24562368">
      <w:pPr>
        <w:adjustRightInd w:val="0"/>
        <w:snapToGrid w:val="0"/>
        <w:spacing w:line="440" w:lineRule="exact"/>
        <w:ind w:firstLine="560" w:firstLineChars="200"/>
        <w:rPr>
          <w:rFonts w:hint="default" w:ascii="宋体" w:hAnsi="宋体" w:cs="Arial"/>
          <w:color w:val="000000"/>
          <w:sz w:val="28"/>
          <w:highlight w:val="white"/>
          <w:lang w:val="en-US" w:eastAsia="zh-CN"/>
        </w:rPr>
      </w:pPr>
      <w:r>
        <w:rPr>
          <w:rFonts w:hint="eastAsia" w:ascii="宋体" w:hAnsi="宋体" w:cs="Arial"/>
          <w:color w:val="000000"/>
          <w:sz w:val="28"/>
          <w:highlight w:val="white"/>
        </w:rPr>
        <w:t>⑴商务标：报价分</w:t>
      </w:r>
      <w:r>
        <w:rPr>
          <w:rFonts w:hint="eastAsia" w:ascii="宋体" w:hAnsi="宋体" w:cs="Arial"/>
          <w:color w:val="000000"/>
          <w:sz w:val="28"/>
          <w:highlight w:val="white"/>
          <w:lang w:val="en-US" w:eastAsia="zh-CN"/>
        </w:rPr>
        <w:t>60</w:t>
      </w:r>
      <w:r>
        <w:rPr>
          <w:rFonts w:hint="eastAsia" w:ascii="宋体" w:hAnsi="宋体" w:cs="Arial"/>
          <w:color w:val="000000"/>
          <w:sz w:val="28"/>
          <w:highlight w:val="white"/>
        </w:rPr>
        <w:t>分：</w:t>
      </w:r>
      <w:r>
        <w:rPr>
          <w:rFonts w:hint="eastAsia" w:ascii="宋体" w:hAnsi="宋体" w:cs="Arial"/>
          <w:color w:val="000000"/>
          <w:sz w:val="28"/>
          <w:highlight w:val="white"/>
          <w:lang w:val="en-US" w:eastAsia="zh-CN"/>
        </w:rPr>
        <w:t>竞标费率最高者得满分60分，竞标费率每低1个百分点，则扣除报价分0.5分。</w:t>
      </w:r>
    </w:p>
    <w:p w14:paraId="7F58040A">
      <w:pPr>
        <w:adjustRightInd w:val="0"/>
        <w:snapToGrid w:val="0"/>
        <w:spacing w:line="440" w:lineRule="exact"/>
        <w:ind w:firstLine="560" w:firstLineChars="200"/>
        <w:rPr>
          <w:rFonts w:hint="default" w:ascii="宋体" w:hAnsi="宋体" w:cs="Arial"/>
          <w:color w:val="000000"/>
          <w:sz w:val="28"/>
          <w:highlight w:val="white"/>
          <w:lang w:val="en-US" w:eastAsia="zh-CN"/>
        </w:rPr>
      </w:pPr>
      <w:r>
        <w:rPr>
          <w:rFonts w:hint="eastAsia" w:ascii="宋体" w:hAnsi="宋体" w:cs="Arial"/>
          <w:color w:val="000000"/>
          <w:sz w:val="28"/>
          <w:highlight w:val="white"/>
        </w:rPr>
        <w:t>⑵信用分10分。</w:t>
      </w:r>
      <w:r>
        <w:rPr>
          <w:rFonts w:hint="eastAsia" w:ascii="宋体" w:hAnsi="宋体" w:cs="Arial"/>
          <w:color w:val="000000"/>
          <w:sz w:val="28"/>
          <w:highlight w:val="white"/>
          <w:lang w:val="en-US" w:eastAsia="zh-CN"/>
        </w:rPr>
        <w:t>按2026年上半年各施工协作单位信用分计取。</w:t>
      </w:r>
    </w:p>
    <w:p w14:paraId="2EFA959E">
      <w:pPr>
        <w:adjustRightInd w:val="0"/>
        <w:snapToGrid w:val="0"/>
        <w:spacing w:line="440" w:lineRule="exact"/>
        <w:ind w:firstLine="560" w:firstLineChars="200"/>
        <w:rPr>
          <w:rFonts w:hint="eastAsia" w:ascii="宋体" w:hAnsi="宋体" w:cs="Arial"/>
          <w:color w:val="000000"/>
          <w:sz w:val="28"/>
          <w:highlight w:val="white"/>
          <w:lang w:val="en-US" w:eastAsia="zh-CN"/>
        </w:rPr>
      </w:pPr>
      <w:r>
        <w:rPr>
          <w:rFonts w:hint="eastAsia" w:ascii="宋体" w:hAnsi="宋体" w:cs="Arial"/>
          <w:color w:val="000000"/>
          <w:sz w:val="28"/>
          <w:highlight w:val="white"/>
        </w:rPr>
        <w:t>⑶技术标30分：①结合本工程特点的针对性措施（6分）②质量安全保证体系及工程标准化措施（10分）③</w:t>
      </w:r>
      <w:r>
        <w:rPr>
          <w:rFonts w:hint="eastAsia" w:ascii="宋体" w:hAnsi="宋体" w:cs="Arial"/>
          <w:color w:val="000000"/>
          <w:sz w:val="28"/>
          <w:highlight w:val="white"/>
          <w:lang w:val="en-US" w:eastAsia="zh-CN"/>
        </w:rPr>
        <w:t>劳动力、机械设备和部分辅材投入计划</w:t>
      </w:r>
      <w:r>
        <w:rPr>
          <w:rFonts w:hint="eastAsia" w:ascii="宋体" w:hAnsi="宋体" w:cs="Arial"/>
          <w:color w:val="000000"/>
          <w:sz w:val="28"/>
          <w:highlight w:val="white"/>
        </w:rPr>
        <w:t>（6分）④施工进度计划及工期保证措施（8分）</w:t>
      </w:r>
    </w:p>
    <w:p w14:paraId="59187264">
      <w:pPr>
        <w:adjustRightInd w:val="0"/>
        <w:snapToGrid w:val="0"/>
        <w:spacing w:line="440" w:lineRule="exact"/>
        <w:ind w:firstLine="560" w:firstLineChars="200"/>
        <w:rPr>
          <w:rFonts w:hint="eastAsia" w:ascii="宋体" w:hAnsi="宋体" w:cs="Arial"/>
          <w:color w:val="000000"/>
          <w:sz w:val="28"/>
          <w:highlight w:val="white"/>
          <w:lang w:val="en-US" w:eastAsia="zh-CN"/>
        </w:rPr>
      </w:pPr>
      <w:r>
        <w:rPr>
          <w:rFonts w:hint="eastAsia" w:ascii="宋体" w:hAnsi="宋体" w:cs="Arial"/>
          <w:color w:val="000000"/>
          <w:sz w:val="28"/>
          <w:highlight w:val="white"/>
        </w:rPr>
        <w:t>⑷如果遇到相同评分的情况，由招标比价小组进行评审决定。</w:t>
      </w:r>
    </w:p>
    <w:p w14:paraId="3DDE621F">
      <w:pPr>
        <w:keepNext w:val="0"/>
        <w:keepLines w:val="0"/>
        <w:pageBreakBefore w:val="0"/>
        <w:widowControl/>
        <w:numPr>
          <w:ilvl w:val="0"/>
          <w:numId w:val="5"/>
        </w:numPr>
        <w:kinsoku/>
        <w:wordWrap/>
        <w:overflowPunct/>
        <w:topLinePunct w:val="0"/>
        <w:autoSpaceDE/>
        <w:autoSpaceDN/>
        <w:bidi w:val="0"/>
        <w:spacing w:line="360" w:lineRule="exact"/>
        <w:ind w:left="655" w:leftChars="312" w:firstLine="3" w:firstLineChars="0"/>
        <w:jc w:val="both"/>
        <w:textAlignment w:val="auto"/>
        <w:rPr>
          <w:rFonts w:hint="eastAsia" w:ascii="宋体" w:hAnsi="宋体" w:cs="Arial"/>
          <w:color w:val="000000"/>
          <w:sz w:val="28"/>
          <w:highlight w:val="white"/>
        </w:rPr>
      </w:pPr>
      <w:r>
        <w:rPr>
          <w:rFonts w:hint="eastAsia" w:ascii="宋体" w:hAnsi="宋体" w:cs="Arial"/>
          <w:color w:val="000000"/>
          <w:sz w:val="28"/>
          <w:highlight w:val="white"/>
        </w:rPr>
        <w:t>如果有效投标文件小于3</w:t>
      </w:r>
      <w:r>
        <w:rPr>
          <w:rFonts w:hint="eastAsia" w:ascii="宋体" w:hAnsi="宋体" w:cs="Arial"/>
          <w:color w:val="000000"/>
          <w:sz w:val="28"/>
          <w:highlight w:val="white"/>
          <w:lang w:val="en-US" w:eastAsia="zh-CN"/>
        </w:rPr>
        <w:t>家</w:t>
      </w:r>
      <w:r>
        <w:rPr>
          <w:rFonts w:hint="eastAsia" w:ascii="宋体" w:hAnsi="宋体" w:cs="Arial"/>
          <w:color w:val="000000"/>
          <w:sz w:val="28"/>
          <w:highlight w:val="white"/>
        </w:rPr>
        <w:t>时，评标小组则将此工程作流标处理，并进</w:t>
      </w:r>
    </w:p>
    <w:p w14:paraId="33EC9040">
      <w:pPr>
        <w:keepNext w:val="0"/>
        <w:keepLines w:val="0"/>
        <w:pageBreakBefore w:val="0"/>
        <w:widowControl/>
        <w:numPr>
          <w:numId w:val="0"/>
        </w:numPr>
        <w:kinsoku/>
        <w:wordWrap/>
        <w:overflowPunct/>
        <w:topLinePunct w:val="0"/>
        <w:autoSpaceDE/>
        <w:autoSpaceDN/>
        <w:bidi w:val="0"/>
        <w:spacing w:line="360" w:lineRule="exact"/>
        <w:jc w:val="both"/>
        <w:textAlignment w:val="auto"/>
        <w:rPr>
          <w:rFonts w:hint="eastAsia" w:ascii="宋体" w:hAnsi="宋体" w:cs="Arial"/>
          <w:color w:val="000000"/>
          <w:sz w:val="28"/>
          <w:highlight w:val="white"/>
        </w:rPr>
      </w:pPr>
      <w:r>
        <w:rPr>
          <w:rFonts w:hint="eastAsia" w:ascii="宋体" w:hAnsi="宋体" w:cs="Arial"/>
          <w:color w:val="000000"/>
          <w:sz w:val="28"/>
          <w:highlight w:val="white"/>
        </w:rPr>
        <w:t>行二次招标。</w:t>
      </w:r>
    </w:p>
    <w:p w14:paraId="18C7651A">
      <w:pPr>
        <w:keepNext w:val="0"/>
        <w:keepLines w:val="0"/>
        <w:pageBreakBefore w:val="0"/>
        <w:widowControl/>
        <w:numPr>
          <w:ilvl w:val="0"/>
          <w:numId w:val="5"/>
        </w:numPr>
        <w:kinsoku/>
        <w:wordWrap/>
        <w:overflowPunct/>
        <w:topLinePunct w:val="0"/>
        <w:autoSpaceDE/>
        <w:autoSpaceDN/>
        <w:bidi w:val="0"/>
        <w:spacing w:line="360" w:lineRule="exact"/>
        <w:ind w:left="655" w:leftChars="312" w:firstLine="3" w:firstLineChars="0"/>
        <w:jc w:val="both"/>
        <w:textAlignment w:val="auto"/>
        <w:rPr>
          <w:rFonts w:hint="default" w:ascii="宋体" w:hAnsi="宋体" w:cs="Arial"/>
          <w:color w:val="000000"/>
          <w:sz w:val="28"/>
          <w:highlight w:val="white"/>
          <w:lang w:val="en-US" w:eastAsia="zh-CN"/>
        </w:rPr>
      </w:pPr>
      <w:r>
        <w:rPr>
          <w:rFonts w:hint="eastAsia" w:ascii="宋体" w:hAnsi="宋体" w:cs="Arial"/>
          <w:color w:val="000000"/>
          <w:sz w:val="28"/>
          <w:highlight w:val="white"/>
          <w:lang w:val="en-US" w:eastAsia="zh-CN"/>
        </w:rPr>
        <w:t>如现场施工过程中由于不确定因素导致施工进度无法满足甲方要求，则</w:t>
      </w:r>
    </w:p>
    <w:p w14:paraId="43E57D8E">
      <w:pPr>
        <w:keepNext w:val="0"/>
        <w:keepLines w:val="0"/>
        <w:pageBreakBefore w:val="0"/>
        <w:widowControl/>
        <w:numPr>
          <w:numId w:val="0"/>
        </w:numPr>
        <w:kinsoku/>
        <w:wordWrap/>
        <w:overflowPunct/>
        <w:topLinePunct w:val="0"/>
        <w:autoSpaceDE/>
        <w:autoSpaceDN/>
        <w:bidi w:val="0"/>
        <w:spacing w:line="360" w:lineRule="exact"/>
        <w:jc w:val="both"/>
        <w:textAlignment w:val="auto"/>
        <w:rPr>
          <w:rFonts w:hint="default" w:ascii="宋体" w:hAnsi="宋体" w:cs="Arial"/>
          <w:color w:val="000000"/>
          <w:sz w:val="28"/>
          <w:highlight w:val="white"/>
          <w:lang w:val="en-US" w:eastAsia="zh-CN"/>
        </w:rPr>
      </w:pPr>
      <w:r>
        <w:rPr>
          <w:rFonts w:hint="eastAsia" w:ascii="宋体" w:hAnsi="宋体" w:cs="Arial"/>
          <w:color w:val="000000"/>
          <w:sz w:val="28"/>
          <w:highlight w:val="white"/>
          <w:lang w:val="en-US" w:eastAsia="zh-CN"/>
        </w:rPr>
        <w:t>在劳务分包比价表中按排名依次按需选择其他协作单位参与施工确保施工进度满足甲方要求。所选单位应以前三名协作单位让利率同步让利。</w:t>
      </w:r>
      <w:bookmarkStart w:id="11" w:name="_GoBack"/>
      <w:bookmarkEnd w:id="11"/>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none"/>
        </w:rPr>
      </w:pPr>
      <w:r>
        <w:rPr>
          <w:rFonts w:hint="eastAsia" w:ascii="宋体" w:hAnsi="宋体" w:cs="Arial"/>
          <w:color w:val="000000"/>
          <w:sz w:val="28"/>
          <w:highlight w:val="none"/>
        </w:rPr>
        <w:t>18.3确定中标人的原则：</w:t>
      </w:r>
      <w:r>
        <w:rPr>
          <w:rFonts w:hint="eastAsia" w:ascii="宋体" w:hAnsi="宋体" w:cs="Arial"/>
          <w:color w:val="000000"/>
          <w:sz w:val="28"/>
          <w:highlight w:val="none"/>
          <w:lang w:val="en-US" w:eastAsia="zh-CN"/>
        </w:rPr>
        <w:t>根据现场施工需求，本项目取评分得分前三名协作单位为中标单位，并要求第二、三名协作单位按第一名中标竞标费率同步执行。当排名第一、二、三的中标候选人中如有放弃中标、因不可抗力提出不能履行合同的，招标人可以确定排名第四的中标候选人为中标人；排名第四的中标候选人因同样的原因不能签订合同的，招标人可以确定排名第五的中标候选人为中标人，以此类推</w:t>
      </w:r>
      <w:r>
        <w:rPr>
          <w:rFonts w:hint="eastAsia" w:ascii="宋体" w:hAnsi="宋体" w:cs="Arial"/>
          <w:color w:val="000000"/>
          <w:sz w:val="28"/>
          <w:highlight w:val="none"/>
        </w:rPr>
        <w:t>。</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73DB537">
      <w:pPr>
        <w:pStyle w:val="4"/>
        <w:spacing w:line="440" w:lineRule="exact"/>
        <w:ind w:firstLine="6000" w:firstLineChars="2500"/>
        <w:rPr>
          <w:rFonts w:hint="eastAsia"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822"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w:t>
      </w:r>
      <w:r>
        <w:rPr>
          <w:rFonts w:hint="eastAsia" w:ascii="宋体" w:hAnsi="宋体"/>
          <w:szCs w:val="21"/>
          <w:lang w:val="en-US" w:eastAsia="zh-CN"/>
        </w:rPr>
        <w:t>6</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F96B"/>
    <w:multiLevelType w:val="singleLevel"/>
    <w:tmpl w:val="E8B7F96B"/>
    <w:lvl w:ilvl="0" w:tentative="0">
      <w:start w:val="2"/>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1FB2325"/>
    <w:rsid w:val="025709EF"/>
    <w:rsid w:val="028C7942"/>
    <w:rsid w:val="0297204E"/>
    <w:rsid w:val="02B077FC"/>
    <w:rsid w:val="02B5482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543555"/>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21194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B95E70"/>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C62652"/>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097580"/>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D16521"/>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472B7"/>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BC2A8B"/>
    <w:rsid w:val="44ED05EC"/>
    <w:rsid w:val="45050FBF"/>
    <w:rsid w:val="452F5B3A"/>
    <w:rsid w:val="4539571E"/>
    <w:rsid w:val="45772F23"/>
    <w:rsid w:val="45A42A1E"/>
    <w:rsid w:val="460C00C8"/>
    <w:rsid w:val="461827EB"/>
    <w:rsid w:val="462E3238"/>
    <w:rsid w:val="4642189D"/>
    <w:rsid w:val="46565EF6"/>
    <w:rsid w:val="46614674"/>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01548"/>
    <w:rsid w:val="54E3424B"/>
    <w:rsid w:val="55030272"/>
    <w:rsid w:val="5530217C"/>
    <w:rsid w:val="55456CB4"/>
    <w:rsid w:val="55510683"/>
    <w:rsid w:val="55983288"/>
    <w:rsid w:val="55D122F6"/>
    <w:rsid w:val="563E3D29"/>
    <w:rsid w:val="56796231"/>
    <w:rsid w:val="569E20FD"/>
    <w:rsid w:val="56C67981"/>
    <w:rsid w:val="571B5BC7"/>
    <w:rsid w:val="574A7260"/>
    <w:rsid w:val="57AA2DFF"/>
    <w:rsid w:val="582B03E3"/>
    <w:rsid w:val="585103F5"/>
    <w:rsid w:val="5890320A"/>
    <w:rsid w:val="58C21F2D"/>
    <w:rsid w:val="58EB7B73"/>
    <w:rsid w:val="58F278DD"/>
    <w:rsid w:val="591D0360"/>
    <w:rsid w:val="592D425A"/>
    <w:rsid w:val="59762ACE"/>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DF73DF2"/>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32369A"/>
    <w:rsid w:val="7E401D36"/>
    <w:rsid w:val="7E410432"/>
    <w:rsid w:val="7E500C6F"/>
    <w:rsid w:val="7E745D91"/>
    <w:rsid w:val="7E902FAE"/>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5802</Words>
  <Characters>6066</Characters>
  <Lines>48</Lines>
  <Paragraphs>13</Paragraphs>
  <TotalTime>0</TotalTime>
  <ScaleCrop>false</ScaleCrop>
  <LinksUpToDate>false</LinksUpToDate>
  <CharactersWithSpaces>6923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2026-04-18T01:49:31Z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624A3D5696AA40A08020979CF2BA57D2_13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