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hAnsi="宋体" w:eastAsia="仿宋_GB2312"/>
          <w:b/>
          <w:color w:val="auto"/>
          <w:spacing w:val="28"/>
          <w:sz w:val="52"/>
          <w:szCs w:val="48"/>
        </w:rPr>
      </w:pPr>
    </w:p>
    <w:p>
      <w:pPr>
        <w:adjustRightInd w:val="0"/>
        <w:snapToGrid w:val="0"/>
        <w:spacing w:line="360" w:lineRule="auto"/>
        <w:jc w:val="center"/>
        <w:rPr>
          <w:rFonts w:ascii="仿宋_GB2312" w:hAnsi="宋体" w:eastAsia="仿宋_GB2312"/>
          <w:b/>
          <w:color w:val="auto"/>
          <w:spacing w:val="28"/>
          <w:sz w:val="52"/>
          <w:szCs w:val="48"/>
        </w:rPr>
      </w:pPr>
      <w:r>
        <w:rPr>
          <w:rFonts w:hint="eastAsia" w:ascii="仿宋_GB2312" w:hAnsi="宋体" w:eastAsia="仿宋_GB2312"/>
          <w:b/>
          <w:color w:val="auto"/>
          <w:spacing w:val="28"/>
          <w:sz w:val="52"/>
          <w:szCs w:val="48"/>
        </w:rPr>
        <w:t>一水厂氯库安防系统改造</w:t>
      </w:r>
    </w:p>
    <w:p>
      <w:pPr>
        <w:adjustRightInd w:val="0"/>
        <w:snapToGrid w:val="0"/>
        <w:spacing w:line="360" w:lineRule="auto"/>
        <w:jc w:val="center"/>
        <w:rPr>
          <w:rFonts w:ascii="仿宋_GB2312" w:hAnsi="宋体" w:eastAsia="仿宋_GB2312"/>
          <w:b/>
          <w:snapToGrid w:val="0"/>
          <w:color w:val="auto"/>
          <w:sz w:val="52"/>
          <w:szCs w:val="52"/>
        </w:rPr>
      </w:pPr>
      <w:r>
        <w:rPr>
          <w:rFonts w:hint="eastAsia" w:ascii="仿宋_GB2312" w:hAnsi="宋体" w:eastAsia="仿宋_GB2312"/>
          <w:b/>
          <w:color w:val="auto"/>
          <w:spacing w:val="28"/>
          <w:sz w:val="52"/>
          <w:szCs w:val="48"/>
        </w:rPr>
        <w:t>招标文件</w:t>
      </w:r>
    </w:p>
    <w:p>
      <w:pPr>
        <w:adjustRightInd w:val="0"/>
        <w:snapToGrid w:val="0"/>
        <w:spacing w:line="360" w:lineRule="auto"/>
        <w:ind w:firstLine="3384" w:firstLineChars="1204"/>
        <w:rPr>
          <w:rFonts w:ascii="黑体" w:hAnsi="宋体" w:eastAsia="黑体"/>
          <w:b/>
          <w:bCs/>
          <w:snapToGrid w:val="0"/>
          <w:color w:val="auto"/>
          <w:sz w:val="28"/>
          <w:szCs w:val="28"/>
        </w:rPr>
      </w:pPr>
    </w:p>
    <w:p>
      <w:pPr>
        <w:adjustRightInd w:val="0"/>
        <w:snapToGrid w:val="0"/>
        <w:spacing w:line="360" w:lineRule="auto"/>
        <w:ind w:firstLine="602" w:firstLineChars="200"/>
        <w:jc w:val="center"/>
        <w:rPr>
          <w:rFonts w:ascii="仿宋_GB2312" w:hAnsi="宋体" w:eastAsia="仿宋_GB2312"/>
          <w:b/>
          <w:bCs/>
          <w:snapToGrid w:val="0"/>
          <w:color w:val="auto"/>
          <w:sz w:val="30"/>
        </w:rPr>
      </w:pPr>
    </w:p>
    <w:p>
      <w:pPr>
        <w:adjustRightInd w:val="0"/>
        <w:snapToGrid w:val="0"/>
        <w:spacing w:line="360" w:lineRule="auto"/>
        <w:ind w:firstLine="1446" w:firstLineChars="200"/>
        <w:jc w:val="center"/>
        <w:rPr>
          <w:rFonts w:ascii="仿宋_GB2312" w:hAnsi="宋体" w:eastAsia="仿宋_GB2312"/>
          <w:b/>
          <w:snapToGrid w:val="0"/>
          <w:color w:val="auto"/>
          <w:sz w:val="72"/>
        </w:rPr>
      </w:pPr>
    </w:p>
    <w:p>
      <w:pPr>
        <w:adjustRightInd w:val="0"/>
        <w:snapToGrid w:val="0"/>
        <w:spacing w:line="360" w:lineRule="auto"/>
        <w:ind w:firstLine="1446" w:firstLineChars="200"/>
        <w:jc w:val="center"/>
        <w:rPr>
          <w:rFonts w:ascii="仿宋_GB2312" w:hAnsi="宋体" w:eastAsia="仿宋_GB2312"/>
          <w:b/>
          <w:snapToGrid w:val="0"/>
          <w:color w:val="auto"/>
          <w:sz w:val="72"/>
        </w:rPr>
      </w:pPr>
    </w:p>
    <w:p>
      <w:pPr>
        <w:adjustRightInd w:val="0"/>
        <w:snapToGrid w:val="0"/>
        <w:spacing w:line="360" w:lineRule="auto"/>
        <w:ind w:firstLine="1446" w:firstLineChars="200"/>
        <w:jc w:val="center"/>
        <w:rPr>
          <w:rFonts w:ascii="仿宋_GB2312" w:hAnsi="宋体" w:eastAsia="仿宋_GB2312"/>
          <w:b/>
          <w:snapToGrid w:val="0"/>
          <w:color w:val="auto"/>
          <w:sz w:val="72"/>
        </w:rPr>
      </w:pPr>
    </w:p>
    <w:p>
      <w:pPr>
        <w:adjustRightInd w:val="0"/>
        <w:snapToGrid w:val="0"/>
        <w:spacing w:line="480" w:lineRule="auto"/>
        <w:ind w:firstLine="602" w:firstLineChars="200"/>
        <w:rPr>
          <w:rFonts w:ascii="仿宋_GB2312" w:hAnsi="宋体" w:eastAsia="仿宋_GB2312"/>
          <w:b/>
          <w:bCs/>
          <w:snapToGrid w:val="0"/>
          <w:color w:val="auto"/>
          <w:sz w:val="28"/>
        </w:rPr>
      </w:pPr>
      <w:r>
        <w:rPr>
          <w:rFonts w:hint="eastAsia" w:ascii="仿宋_GB2312" w:hAnsi="宋体" w:eastAsia="仿宋_GB2312"/>
          <w:b/>
          <w:bCs/>
          <w:snapToGrid w:val="0"/>
          <w:color w:val="auto"/>
          <w:sz w:val="30"/>
        </w:rPr>
        <w:t>招       标      人：江苏长江水务股份有限公司</w:t>
      </w:r>
    </w:p>
    <w:p>
      <w:pPr>
        <w:spacing w:line="460" w:lineRule="exact"/>
        <w:ind w:firstLine="602" w:firstLineChars="200"/>
        <w:rPr>
          <w:rFonts w:eastAsia="黑体"/>
          <w:color w:val="auto"/>
          <w:sz w:val="36"/>
        </w:rPr>
      </w:pPr>
      <w:r>
        <w:rPr>
          <w:rFonts w:hint="eastAsia" w:ascii="仿宋_GB2312" w:hAnsi="宋体" w:eastAsia="仿宋_GB2312"/>
          <w:b/>
          <w:bCs/>
          <w:snapToGrid w:val="0"/>
          <w:color w:val="auto"/>
          <w:sz w:val="30"/>
        </w:rPr>
        <w:t xml:space="preserve">发    放    日   期：  </w:t>
      </w:r>
      <w:r>
        <w:rPr>
          <w:rFonts w:hint="eastAsia" w:ascii="仿宋_GB2312" w:hAnsi="宋体" w:eastAsia="仿宋_GB2312"/>
          <w:b/>
          <w:bCs/>
          <w:snapToGrid w:val="0"/>
          <w:color w:val="auto"/>
          <w:sz w:val="30"/>
          <w:u w:val="single"/>
        </w:rPr>
        <w:t xml:space="preserve"> 2021</w:t>
      </w:r>
      <w:r>
        <w:rPr>
          <w:rFonts w:hint="eastAsia" w:ascii="仿宋_GB2312" w:hAnsi="宋体" w:eastAsia="仿宋_GB2312"/>
          <w:b/>
          <w:bCs/>
          <w:snapToGrid w:val="0"/>
          <w:color w:val="auto"/>
          <w:sz w:val="30"/>
        </w:rPr>
        <w:t>年</w:t>
      </w:r>
      <w:r>
        <w:rPr>
          <w:rFonts w:hint="eastAsia" w:ascii="仿宋_GB2312" w:hAnsi="宋体" w:eastAsia="仿宋_GB2312"/>
          <w:b/>
          <w:bCs/>
          <w:snapToGrid w:val="0"/>
          <w:color w:val="auto"/>
          <w:sz w:val="30"/>
          <w:u w:val="single"/>
        </w:rPr>
        <w:t xml:space="preserve">  7  </w:t>
      </w:r>
      <w:r>
        <w:rPr>
          <w:rFonts w:hint="eastAsia" w:ascii="仿宋_GB2312" w:hAnsi="宋体" w:eastAsia="仿宋_GB2312"/>
          <w:b/>
          <w:bCs/>
          <w:snapToGrid w:val="0"/>
          <w:color w:val="auto"/>
          <w:sz w:val="30"/>
        </w:rPr>
        <w:t>月</w:t>
      </w:r>
      <w:r>
        <w:rPr>
          <w:rFonts w:hint="eastAsia" w:ascii="仿宋_GB2312" w:hAnsi="宋体" w:eastAsia="仿宋_GB2312"/>
          <w:b/>
          <w:bCs/>
          <w:snapToGrid w:val="0"/>
          <w:color w:val="auto"/>
          <w:sz w:val="30"/>
          <w:u w:val="single"/>
        </w:rPr>
        <w:t xml:space="preserve"> 2</w:t>
      </w:r>
      <w:r>
        <w:rPr>
          <w:rFonts w:hint="eastAsia" w:ascii="仿宋_GB2312" w:hAnsi="宋体" w:eastAsia="仿宋_GB2312"/>
          <w:b/>
          <w:bCs/>
          <w:snapToGrid w:val="0"/>
          <w:color w:val="auto"/>
          <w:sz w:val="30"/>
          <w:u w:val="single"/>
          <w:lang w:val="en-US" w:eastAsia="zh-CN"/>
        </w:rPr>
        <w:t>7</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rPr>
        <w:t>日</w:t>
      </w:r>
    </w:p>
    <w:p>
      <w:pPr>
        <w:spacing w:line="460" w:lineRule="exact"/>
        <w:rPr>
          <w:rFonts w:eastAsia="仿宋_GB2312"/>
          <w:color w:val="auto"/>
          <w:sz w:val="30"/>
          <w:u w:val="single"/>
        </w:rPr>
      </w:pPr>
    </w:p>
    <w:p>
      <w:pPr>
        <w:spacing w:line="460" w:lineRule="exact"/>
        <w:rPr>
          <w:rFonts w:hint="eastAsia" w:eastAsia="仿宋_GB2312"/>
          <w:color w:val="auto"/>
          <w:sz w:val="30"/>
          <w:u w:val="single"/>
        </w:rPr>
      </w:pPr>
    </w:p>
    <w:p>
      <w:pPr>
        <w:pStyle w:val="6"/>
        <w:numPr>
          <w:ilvl w:val="0"/>
          <w:numId w:val="0"/>
        </w:numPr>
        <w:ind w:left="780"/>
        <w:rPr>
          <w:color w:val="auto"/>
        </w:rPr>
      </w:pPr>
    </w:p>
    <w:p>
      <w:pPr>
        <w:pStyle w:val="6"/>
        <w:numPr>
          <w:ilvl w:val="0"/>
          <w:numId w:val="0"/>
        </w:numPr>
        <w:ind w:left="780"/>
        <w:rPr>
          <w:color w:val="auto"/>
        </w:rPr>
      </w:pPr>
    </w:p>
    <w:p>
      <w:pPr>
        <w:pStyle w:val="6"/>
        <w:numPr>
          <w:ilvl w:val="0"/>
          <w:numId w:val="0"/>
        </w:numPr>
        <w:ind w:left="780"/>
        <w:rPr>
          <w:color w:val="auto"/>
        </w:rPr>
      </w:pPr>
    </w:p>
    <w:p>
      <w:pPr>
        <w:pStyle w:val="6"/>
        <w:numPr>
          <w:ilvl w:val="0"/>
          <w:numId w:val="0"/>
        </w:numPr>
        <w:ind w:left="780"/>
        <w:rPr>
          <w:color w:val="auto"/>
        </w:rPr>
      </w:pPr>
    </w:p>
    <w:p>
      <w:pPr>
        <w:pStyle w:val="6"/>
        <w:numPr>
          <w:ilvl w:val="0"/>
          <w:numId w:val="0"/>
        </w:numPr>
        <w:ind w:left="780"/>
        <w:rPr>
          <w:color w:val="auto"/>
        </w:rPr>
      </w:pPr>
    </w:p>
    <w:p>
      <w:pPr>
        <w:pStyle w:val="6"/>
        <w:numPr>
          <w:ilvl w:val="0"/>
          <w:numId w:val="0"/>
        </w:numPr>
        <w:ind w:left="780"/>
        <w:rPr>
          <w:color w:val="auto"/>
        </w:rPr>
      </w:pPr>
    </w:p>
    <w:p>
      <w:pPr>
        <w:pStyle w:val="6"/>
        <w:numPr>
          <w:ilvl w:val="0"/>
          <w:numId w:val="0"/>
        </w:numPr>
        <w:ind w:left="780"/>
        <w:rPr>
          <w:color w:val="auto"/>
        </w:rPr>
      </w:pPr>
    </w:p>
    <w:p>
      <w:pPr>
        <w:pStyle w:val="6"/>
        <w:numPr>
          <w:ilvl w:val="0"/>
          <w:numId w:val="0"/>
        </w:numPr>
        <w:ind w:left="780"/>
        <w:rPr>
          <w:color w:val="auto"/>
        </w:rPr>
      </w:pPr>
    </w:p>
    <w:p>
      <w:pPr>
        <w:pStyle w:val="6"/>
        <w:numPr>
          <w:ilvl w:val="0"/>
          <w:numId w:val="0"/>
        </w:numPr>
        <w:ind w:left="780"/>
        <w:rPr>
          <w:color w:val="auto"/>
        </w:rPr>
      </w:pPr>
    </w:p>
    <w:p>
      <w:pPr>
        <w:pStyle w:val="6"/>
        <w:numPr>
          <w:ilvl w:val="0"/>
          <w:numId w:val="0"/>
        </w:numPr>
        <w:ind w:left="780"/>
        <w:rPr>
          <w:color w:val="auto"/>
        </w:rPr>
      </w:pPr>
    </w:p>
    <w:p>
      <w:pPr>
        <w:spacing w:line="360" w:lineRule="auto"/>
        <w:outlineLvl w:val="0"/>
        <w:rPr>
          <w:rFonts w:ascii="宋体" w:hAnsi="宋体"/>
          <w:b/>
          <w:color w:val="auto"/>
          <w:sz w:val="36"/>
          <w:szCs w:val="36"/>
        </w:rPr>
      </w:pPr>
    </w:p>
    <w:p>
      <w:pPr>
        <w:spacing w:line="360" w:lineRule="auto"/>
        <w:jc w:val="center"/>
        <w:outlineLvl w:val="0"/>
        <w:rPr>
          <w:rFonts w:ascii="宋体" w:hAnsi="宋体"/>
          <w:b/>
          <w:color w:val="auto"/>
          <w:sz w:val="36"/>
          <w:szCs w:val="36"/>
        </w:rPr>
      </w:pPr>
      <w:r>
        <w:rPr>
          <w:rFonts w:hint="eastAsia" w:ascii="宋体" w:hAnsi="宋体"/>
          <w:b/>
          <w:color w:val="auto"/>
          <w:sz w:val="36"/>
          <w:szCs w:val="36"/>
        </w:rPr>
        <w:t>前  附  表</w:t>
      </w:r>
    </w:p>
    <w:tbl>
      <w:tblPr>
        <w:tblStyle w:val="11"/>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2073"/>
        <w:gridCol w:w="6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序号</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项    目</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color w:val="auto"/>
                <w:szCs w:val="21"/>
              </w:rPr>
            </w:pPr>
            <w:r>
              <w:rPr>
                <w:rFonts w:hint="eastAsia" w:ascii="宋体" w:hAnsi="宋体"/>
                <w:color w:val="auto"/>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项目名称</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一水厂氯库安防系统改造项目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2</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招标方式</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3</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招标内容</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一水厂氯库安防系统设备及安装、调试。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4</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服务内容</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见附件清单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5</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auto"/>
                <w:szCs w:val="21"/>
                <w:lang w:val="en-US" w:eastAsia="zh-CN"/>
              </w:rPr>
            </w:pPr>
            <w:r>
              <w:rPr>
                <w:rFonts w:hint="eastAsia" w:ascii="宋体" w:hAnsi="宋体"/>
                <w:color w:val="auto"/>
                <w:szCs w:val="21"/>
              </w:rPr>
              <w:t>项目</w:t>
            </w:r>
            <w:r>
              <w:rPr>
                <w:rFonts w:hint="eastAsia" w:ascii="宋体" w:hAnsi="宋体"/>
                <w:color w:val="auto"/>
                <w:szCs w:val="21"/>
                <w:lang w:eastAsia="zh-CN"/>
              </w:rPr>
              <w:t>竣工期</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lang w:val="en-US" w:eastAsia="zh-CN"/>
              </w:rPr>
              <w:t>合同签订后40</w:t>
            </w:r>
            <w:r>
              <w:rPr>
                <w:rFonts w:hint="eastAsia" w:ascii="宋体" w:hAnsi="宋体"/>
                <w:color w:val="auto"/>
                <w:szCs w:val="21"/>
              </w:rPr>
              <w:t>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6</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服务内容/服务承诺</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color w:val="auto"/>
                <w:szCs w:val="21"/>
              </w:rPr>
            </w:pPr>
            <w:r>
              <w:rPr>
                <w:rFonts w:hint="eastAsia" w:ascii="Arial" w:hAnsi="宋体"/>
                <w:bCs/>
                <w:iCs/>
                <w:color w:val="auto"/>
                <w:szCs w:val="21"/>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7</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服务地点</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招标方指定地点（一厂相关范围内）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8</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招标单位</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9</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投标文件份数</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正本一份，副本二份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10</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投标有效期</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auto"/>
                <w:szCs w:val="21"/>
              </w:rPr>
            </w:pPr>
            <w:r>
              <w:rPr>
                <w:rFonts w:hint="eastAsia" w:ascii="宋体" w:hAnsi="宋体"/>
                <w:color w:val="auto"/>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11</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投标截止时间</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 xml:space="preserve">2021年 </w:t>
            </w:r>
            <w:r>
              <w:rPr>
                <w:rFonts w:hint="eastAsia" w:ascii="宋体" w:hAnsi="宋体"/>
                <w:color w:val="auto"/>
                <w:szCs w:val="21"/>
                <w:lang w:val="en-US" w:eastAsia="zh-CN"/>
              </w:rPr>
              <w:t>8</w:t>
            </w:r>
            <w:r>
              <w:rPr>
                <w:rFonts w:hint="eastAsia" w:ascii="宋体" w:hAnsi="宋体"/>
                <w:color w:val="auto"/>
                <w:szCs w:val="21"/>
              </w:rPr>
              <w:t xml:space="preserve"> 月 </w:t>
            </w:r>
            <w:r>
              <w:rPr>
                <w:rFonts w:hint="eastAsia" w:ascii="宋体" w:hAnsi="宋体"/>
                <w:color w:val="auto"/>
                <w:szCs w:val="21"/>
                <w:lang w:val="en-US" w:eastAsia="zh-CN"/>
              </w:rPr>
              <w:t>3</w:t>
            </w:r>
            <w:r>
              <w:rPr>
                <w:rFonts w:hint="eastAsia" w:ascii="宋体" w:hAnsi="宋体"/>
                <w:color w:val="auto"/>
                <w:szCs w:val="21"/>
              </w:rPr>
              <w:t xml:space="preserve"> 日上午 9:00  </w:t>
            </w:r>
            <w:r>
              <w:rPr>
                <w:rFonts w:hint="eastAsia" w:ascii="宋体" w:hAnsi="宋体" w:cs="宋体"/>
                <w:color w:val="auto"/>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306" w:type="dxa"/>
            <w:tcBorders>
              <w:top w:val="single" w:color="auto" w:sz="4" w:space="0"/>
              <w:left w:val="single" w:color="auto" w:sz="4" w:space="0"/>
              <w:bottom w:val="nil"/>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12</w:t>
            </w:r>
          </w:p>
        </w:tc>
        <w:tc>
          <w:tcPr>
            <w:tcW w:w="2073"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投标文件递交</w:t>
            </w:r>
          </w:p>
          <w:p>
            <w:pPr>
              <w:spacing w:line="360" w:lineRule="auto"/>
              <w:jc w:val="center"/>
              <w:rPr>
                <w:rFonts w:ascii="宋体" w:hAnsi="宋体"/>
                <w:color w:val="auto"/>
                <w:szCs w:val="21"/>
              </w:rPr>
            </w:pPr>
            <w:r>
              <w:rPr>
                <w:rFonts w:hint="eastAsia" w:ascii="宋体" w:hAnsi="宋体"/>
                <w:color w:val="auto"/>
                <w:szCs w:val="21"/>
              </w:rPr>
              <w:t>地址</w:t>
            </w:r>
          </w:p>
        </w:tc>
        <w:tc>
          <w:tcPr>
            <w:tcW w:w="6474" w:type="dxa"/>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color w:val="auto"/>
                <w:szCs w:val="21"/>
              </w:rPr>
            </w:pPr>
            <w:r>
              <w:rPr>
                <w:rFonts w:hint="eastAsia" w:ascii="宋体" w:hAnsi="宋体"/>
                <w:color w:val="auto"/>
                <w:szCs w:val="21"/>
              </w:rPr>
              <w:t>扬州市文汇东路249号江苏长江水务股份有限公司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13</w:t>
            </w:r>
          </w:p>
        </w:tc>
        <w:tc>
          <w:tcPr>
            <w:tcW w:w="2073"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开标会时间</w:t>
            </w:r>
          </w:p>
        </w:tc>
        <w:tc>
          <w:tcPr>
            <w:tcW w:w="6474" w:type="dxa"/>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color w:val="auto"/>
                <w:szCs w:val="21"/>
              </w:rPr>
            </w:pPr>
            <w:r>
              <w:rPr>
                <w:rFonts w:hint="eastAsia" w:ascii="宋体" w:hAnsi="宋体"/>
                <w:color w:val="auto"/>
                <w:szCs w:val="21"/>
              </w:rPr>
              <w:t xml:space="preserve">2021年 </w:t>
            </w:r>
            <w:r>
              <w:rPr>
                <w:rFonts w:hint="eastAsia" w:ascii="宋体" w:hAnsi="宋体"/>
                <w:color w:val="auto"/>
                <w:szCs w:val="21"/>
                <w:lang w:val="en-US" w:eastAsia="zh-CN"/>
              </w:rPr>
              <w:t>8</w:t>
            </w:r>
            <w:r>
              <w:rPr>
                <w:rFonts w:hint="eastAsia" w:ascii="宋体" w:hAnsi="宋体"/>
                <w:color w:val="auto"/>
                <w:szCs w:val="21"/>
              </w:rPr>
              <w:t xml:space="preserve"> 月 </w:t>
            </w:r>
            <w:r>
              <w:rPr>
                <w:rFonts w:hint="eastAsia" w:ascii="宋体" w:hAnsi="宋体"/>
                <w:color w:val="auto"/>
                <w:szCs w:val="21"/>
                <w:lang w:val="en-US" w:eastAsia="zh-CN"/>
              </w:rPr>
              <w:t>3</w:t>
            </w:r>
            <w:bookmarkStart w:id="2" w:name="_GoBack"/>
            <w:bookmarkEnd w:id="2"/>
            <w:r>
              <w:rPr>
                <w:rFonts w:hint="eastAsia" w:ascii="宋体" w:hAnsi="宋体"/>
                <w:color w:val="auto"/>
                <w:szCs w:val="21"/>
              </w:rPr>
              <w:t xml:space="preserve"> 日上午 9:</w:t>
            </w:r>
            <w:r>
              <w:rPr>
                <w:rFonts w:hint="eastAsia" w:ascii="宋体" w:hAnsi="宋体"/>
                <w:color w:val="auto"/>
                <w:szCs w:val="21"/>
                <w:lang w:val="en-US" w:eastAsia="zh-CN"/>
              </w:rPr>
              <w:t>3</w:t>
            </w:r>
            <w:r>
              <w:rPr>
                <w:rFonts w:hint="eastAsia" w:ascii="宋体" w:hAnsi="宋体"/>
                <w:color w:val="auto"/>
                <w:szCs w:val="21"/>
              </w:rPr>
              <w:t xml:space="preserve">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color w:val="auto"/>
                <w:szCs w:val="21"/>
                <w:lang w:val="en-US" w:eastAsia="zh-CN"/>
              </w:rPr>
            </w:pPr>
            <w:r>
              <w:rPr>
                <w:rFonts w:hint="eastAsia" w:ascii="宋体" w:hAnsi="宋体"/>
                <w:color w:val="auto"/>
                <w:szCs w:val="21"/>
                <w:lang w:val="en-US" w:eastAsia="zh-CN"/>
              </w:rPr>
              <w:t>14</w:t>
            </w:r>
          </w:p>
        </w:tc>
        <w:tc>
          <w:tcPr>
            <w:tcW w:w="2073"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hint="eastAsia" w:ascii="宋体" w:hAnsi="宋体"/>
                <w:color w:val="auto"/>
                <w:szCs w:val="21"/>
              </w:rPr>
            </w:pPr>
            <w:r>
              <w:rPr>
                <w:rFonts w:hint="eastAsia" w:ascii="宋体" w:hAnsi="宋体"/>
                <w:color w:val="auto"/>
                <w:szCs w:val="21"/>
              </w:rPr>
              <w:t>地址</w:t>
            </w:r>
          </w:p>
        </w:tc>
        <w:tc>
          <w:tcPr>
            <w:tcW w:w="6474" w:type="dxa"/>
            <w:tcBorders>
              <w:top w:val="single" w:color="auto" w:sz="4" w:space="0"/>
              <w:left w:val="single" w:color="auto" w:sz="4" w:space="0"/>
              <w:bottom w:val="single" w:color="auto" w:sz="4" w:space="0"/>
              <w:right w:val="single" w:color="auto" w:sz="8" w:space="0"/>
            </w:tcBorders>
            <w:vAlign w:val="center"/>
          </w:tcPr>
          <w:p>
            <w:pPr>
              <w:spacing w:line="360" w:lineRule="auto"/>
              <w:rPr>
                <w:rFonts w:hint="eastAsia" w:ascii="宋体" w:hAnsi="宋体"/>
                <w:color w:val="auto"/>
                <w:szCs w:val="21"/>
              </w:rPr>
            </w:pPr>
            <w:r>
              <w:rPr>
                <w:rFonts w:hint="eastAsia" w:ascii="宋体" w:hAnsi="宋体"/>
                <w:color w:val="auto"/>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color w:val="auto"/>
                <w:szCs w:val="21"/>
                <w:lang w:val="en-US" w:eastAsia="zh-CN"/>
              </w:rPr>
            </w:pPr>
            <w:r>
              <w:rPr>
                <w:rFonts w:hint="eastAsia" w:ascii="宋体" w:hAnsi="宋体"/>
                <w:color w:val="auto"/>
                <w:szCs w:val="21"/>
              </w:rPr>
              <w:t>1</w:t>
            </w:r>
            <w:r>
              <w:rPr>
                <w:rFonts w:hint="eastAsia" w:ascii="宋体" w:hAnsi="宋体"/>
                <w:color w:val="auto"/>
                <w:szCs w:val="21"/>
                <w:lang w:val="en-US" w:eastAsia="zh-CN"/>
              </w:rPr>
              <w:t>15</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标书装订</w:t>
            </w:r>
          </w:p>
          <w:p>
            <w:pPr>
              <w:spacing w:line="360" w:lineRule="auto"/>
              <w:jc w:val="center"/>
              <w:rPr>
                <w:rFonts w:ascii="宋体" w:hAnsi="宋体"/>
                <w:color w:val="auto"/>
                <w:szCs w:val="21"/>
              </w:rPr>
            </w:pPr>
            <w:r>
              <w:rPr>
                <w:rFonts w:hint="eastAsia" w:ascii="宋体" w:hAnsi="宋体"/>
                <w:color w:val="auto"/>
                <w:szCs w:val="21"/>
              </w:rPr>
              <w:t>及密封要求</w:t>
            </w:r>
          </w:p>
        </w:tc>
        <w:tc>
          <w:tcPr>
            <w:tcW w:w="647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r>
              <w:rPr>
                <w:rFonts w:hint="eastAsia" w:ascii="宋体" w:hAnsi="宋体"/>
                <w:color w:val="auto"/>
                <w:szCs w:val="21"/>
              </w:rPr>
              <w:t>所有封袋上应写明招标人名称、投标项目名称及投标人的名称。</w:t>
            </w:r>
          </w:p>
          <w:p>
            <w:pPr>
              <w:spacing w:line="360" w:lineRule="auto"/>
              <w:rPr>
                <w:rFonts w:ascii="宋体" w:hAnsi="宋体"/>
                <w:color w:val="auto"/>
                <w:szCs w:val="21"/>
              </w:rPr>
            </w:pPr>
            <w:r>
              <w:rPr>
                <w:rFonts w:hint="eastAsia" w:ascii="宋体" w:hAnsi="宋体"/>
                <w:color w:val="auto"/>
                <w:szCs w:val="21"/>
              </w:rPr>
              <w:t>所有投标文件都必须在封袋加盖投标单位公章及其法定代表人或授权委托人印鉴。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auto"/>
                <w:szCs w:val="21"/>
                <w:lang w:eastAsia="zh-CN"/>
              </w:rPr>
            </w:pPr>
            <w:r>
              <w:rPr>
                <w:rFonts w:hint="eastAsia" w:ascii="宋体" w:hAnsi="宋体"/>
                <w:color w:val="auto"/>
                <w:szCs w:val="21"/>
              </w:rPr>
              <w:t>1</w:t>
            </w:r>
            <w:r>
              <w:rPr>
                <w:rFonts w:hint="eastAsia" w:ascii="宋体" w:hAnsi="宋体"/>
                <w:color w:val="auto"/>
                <w:szCs w:val="21"/>
                <w:lang w:val="en-US" w:eastAsia="zh-CN"/>
              </w:rPr>
              <w:t>6</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其他</w:t>
            </w:r>
          </w:p>
        </w:tc>
        <w:tc>
          <w:tcPr>
            <w:tcW w:w="6474"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360" w:lineRule="auto"/>
              <w:rPr>
                <w:rFonts w:ascii="宋体" w:hAnsi="宋体"/>
                <w:color w:val="auto"/>
                <w:szCs w:val="21"/>
              </w:rPr>
            </w:pPr>
            <w:r>
              <w:rPr>
                <w:rFonts w:hint="eastAsia" w:ascii="宋体" w:hAnsi="宋体"/>
                <w:color w:val="auto"/>
                <w:szCs w:val="21"/>
              </w:rPr>
              <w:t>下文中与“前附表”内容不一致的，以“前附表”为准；</w:t>
            </w:r>
          </w:p>
          <w:p>
            <w:pPr>
              <w:numPr>
                <w:ilvl w:val="0"/>
                <w:numId w:val="2"/>
              </w:numPr>
              <w:spacing w:line="360" w:lineRule="auto"/>
              <w:rPr>
                <w:rFonts w:ascii="宋体" w:hAnsi="宋体"/>
                <w:color w:val="auto"/>
                <w:szCs w:val="21"/>
              </w:rPr>
            </w:pPr>
            <w:r>
              <w:rPr>
                <w:rFonts w:hint="eastAsia" w:ascii="宋体" w:hAnsi="宋体"/>
                <w:color w:val="auto"/>
                <w:szCs w:val="21"/>
              </w:rPr>
              <w:t>本招标文件的解释权属于江苏长江水务股份有限公司安保运营处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3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auto"/>
                <w:szCs w:val="21"/>
                <w:lang w:eastAsia="zh-CN"/>
              </w:rPr>
            </w:pPr>
            <w:r>
              <w:rPr>
                <w:rFonts w:hint="eastAsia" w:ascii="宋体" w:hAnsi="宋体"/>
                <w:color w:val="auto"/>
                <w:szCs w:val="21"/>
              </w:rPr>
              <w:t>1</w:t>
            </w:r>
            <w:r>
              <w:rPr>
                <w:rFonts w:hint="eastAsia" w:ascii="宋体" w:hAnsi="宋体"/>
                <w:color w:val="auto"/>
                <w:szCs w:val="21"/>
                <w:lang w:val="en-US" w:eastAsia="zh-CN"/>
              </w:rPr>
              <w:t>7</w:t>
            </w:r>
          </w:p>
        </w:tc>
        <w:tc>
          <w:tcPr>
            <w:tcW w:w="20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联系方式</w:t>
            </w:r>
          </w:p>
        </w:tc>
        <w:tc>
          <w:tcPr>
            <w:tcW w:w="6474"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color w:val="auto"/>
                <w:szCs w:val="21"/>
              </w:rPr>
            </w:pPr>
            <w:r>
              <w:rPr>
                <w:rFonts w:hint="eastAsia" w:ascii="宋体" w:hAnsi="宋体"/>
                <w:color w:val="auto"/>
                <w:szCs w:val="21"/>
              </w:rPr>
              <w:t>招标人：江苏长江水务股份有限公司</w:t>
            </w:r>
          </w:p>
          <w:p>
            <w:pPr>
              <w:adjustRightInd w:val="0"/>
              <w:spacing w:line="360" w:lineRule="auto"/>
              <w:rPr>
                <w:rFonts w:ascii="宋体" w:hAnsi="宋体"/>
                <w:color w:val="auto"/>
                <w:szCs w:val="21"/>
              </w:rPr>
            </w:pPr>
            <w:r>
              <w:rPr>
                <w:rFonts w:hint="eastAsia" w:ascii="宋体" w:hAnsi="宋体"/>
                <w:color w:val="auto"/>
                <w:szCs w:val="21"/>
              </w:rPr>
              <w:t>地  址：扬州文汇东路249号</w:t>
            </w:r>
          </w:p>
          <w:p>
            <w:pPr>
              <w:adjustRightInd w:val="0"/>
              <w:spacing w:line="360" w:lineRule="auto"/>
              <w:rPr>
                <w:rFonts w:ascii="宋体" w:hAnsi="宋体"/>
                <w:color w:val="auto"/>
                <w:szCs w:val="21"/>
              </w:rPr>
            </w:pPr>
            <w:r>
              <w:rPr>
                <w:rFonts w:hint="eastAsia" w:ascii="宋体" w:hAnsi="宋体"/>
                <w:color w:val="auto"/>
                <w:szCs w:val="21"/>
              </w:rPr>
              <w:t>电  话：0514</w:t>
            </w:r>
            <w:r>
              <w:rPr>
                <w:rFonts w:hint="eastAsia" w:ascii="宋体" w:hAnsi="宋体"/>
                <w:color w:val="auto"/>
                <w:sz w:val="21"/>
                <w:szCs w:val="21"/>
              </w:rPr>
              <w:t>-</w:t>
            </w:r>
            <w:r>
              <w:rPr>
                <w:rFonts w:hint="eastAsia" w:ascii="宋体" w:hAnsi="宋体"/>
                <w:color w:val="auto"/>
                <w:sz w:val="21"/>
                <w:szCs w:val="21"/>
                <w:lang w:val="en-US" w:eastAsia="zh-CN"/>
              </w:rPr>
              <w:t>82980069</w:t>
            </w:r>
          </w:p>
          <w:p>
            <w:pPr>
              <w:adjustRightInd w:val="0"/>
              <w:spacing w:line="360" w:lineRule="auto"/>
              <w:rPr>
                <w:rFonts w:ascii="宋体" w:hAnsi="宋体"/>
                <w:color w:val="auto"/>
                <w:szCs w:val="21"/>
              </w:rPr>
            </w:pPr>
            <w:r>
              <w:rPr>
                <w:rFonts w:hint="eastAsia" w:ascii="宋体" w:hAnsi="宋体"/>
                <w:color w:val="auto"/>
                <w:szCs w:val="21"/>
              </w:rPr>
              <w:t>联系人： 王海涛</w:t>
            </w:r>
          </w:p>
        </w:tc>
      </w:tr>
    </w:tbl>
    <w:p>
      <w:pPr>
        <w:autoSpaceDE w:val="0"/>
        <w:autoSpaceDN w:val="0"/>
        <w:adjustRightInd w:val="0"/>
        <w:snapToGrid w:val="0"/>
        <w:spacing w:line="480" w:lineRule="exact"/>
        <w:rPr>
          <w:rFonts w:ascii="宋体" w:hAnsi="宋体"/>
          <w:color w:val="auto"/>
          <w:szCs w:val="21"/>
        </w:rPr>
      </w:pPr>
    </w:p>
    <w:p>
      <w:pPr>
        <w:autoSpaceDE w:val="0"/>
        <w:autoSpaceDN w:val="0"/>
        <w:adjustRightInd w:val="0"/>
        <w:snapToGrid w:val="0"/>
        <w:spacing w:line="480" w:lineRule="exact"/>
        <w:rPr>
          <w:rFonts w:hint="eastAsia" w:ascii="宋体" w:hAnsi="宋体"/>
          <w:b/>
          <w:color w:val="auto"/>
          <w:szCs w:val="21"/>
        </w:rPr>
      </w:pPr>
    </w:p>
    <w:p>
      <w:pPr>
        <w:autoSpaceDE w:val="0"/>
        <w:autoSpaceDN w:val="0"/>
        <w:adjustRightInd w:val="0"/>
        <w:snapToGrid w:val="0"/>
        <w:spacing w:line="480" w:lineRule="exact"/>
        <w:rPr>
          <w:rFonts w:ascii="宋体" w:hAnsi="宋体"/>
          <w:b/>
          <w:color w:val="auto"/>
          <w:szCs w:val="21"/>
        </w:rPr>
      </w:pPr>
      <w:r>
        <w:rPr>
          <w:rFonts w:hint="eastAsia" w:ascii="宋体" w:hAnsi="宋体"/>
          <w:b/>
          <w:color w:val="auto"/>
          <w:szCs w:val="21"/>
        </w:rPr>
        <w:t>一、总    则</w:t>
      </w:r>
    </w:p>
    <w:p>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1、招标项目概况</w:t>
      </w:r>
    </w:p>
    <w:p>
      <w:pPr>
        <w:spacing w:line="500" w:lineRule="exact"/>
        <w:ind w:firstLine="525" w:firstLineChars="250"/>
        <w:rPr>
          <w:rFonts w:ascii="宋体" w:hAnsi="宋体"/>
          <w:color w:val="auto"/>
          <w:szCs w:val="21"/>
        </w:rPr>
      </w:pPr>
      <w:r>
        <w:rPr>
          <w:rFonts w:hint="eastAsia" w:ascii="宋体" w:hAnsi="宋体"/>
          <w:color w:val="auto"/>
          <w:szCs w:val="21"/>
        </w:rPr>
        <w:t>1.1 我公司江苏长江水务股份有限公司一水厂氯库安防系统</w:t>
      </w:r>
      <w:r>
        <w:rPr>
          <w:rFonts w:hint="eastAsia" w:ascii="宋体" w:hAnsi="宋体"/>
          <w:color w:val="auto"/>
          <w:szCs w:val="21"/>
          <w:lang w:val="en-US" w:eastAsia="zh-CN"/>
        </w:rPr>
        <w:t>改造，</w:t>
      </w:r>
      <w:r>
        <w:rPr>
          <w:rFonts w:hint="eastAsia" w:ascii="宋体" w:hAnsi="宋体"/>
          <w:color w:val="auto"/>
          <w:szCs w:val="21"/>
        </w:rPr>
        <w:t>本招标项目已具备招标条件，现对本项目进行招标。</w:t>
      </w:r>
    </w:p>
    <w:p>
      <w:pPr>
        <w:spacing w:line="500" w:lineRule="exact"/>
        <w:ind w:firstLine="420" w:firstLineChars="200"/>
        <w:rPr>
          <w:color w:val="auto"/>
          <w:szCs w:val="21"/>
        </w:rPr>
      </w:pPr>
      <w:r>
        <w:rPr>
          <w:rFonts w:hint="eastAsia" w:ascii="宋体" w:hAnsi="宋体"/>
          <w:color w:val="auto"/>
          <w:szCs w:val="21"/>
        </w:rPr>
        <w:t>1.2 本项目招标控制价为人民币：</w:t>
      </w:r>
      <w:r>
        <w:rPr>
          <w:rFonts w:hint="eastAsia" w:ascii="宋体" w:hAnsi="宋体"/>
          <w:color w:val="auto"/>
          <w:szCs w:val="21"/>
          <w:u w:val="single"/>
        </w:rPr>
        <w:t xml:space="preserve">       玖万</w:t>
      </w:r>
      <w:r>
        <w:rPr>
          <w:rFonts w:hint="eastAsia" w:ascii="宋体" w:hAnsi="宋体"/>
          <w:color w:val="auto"/>
          <w:szCs w:val="21"/>
          <w:u w:val="single"/>
          <w:lang w:val="en-US" w:eastAsia="zh-CN"/>
        </w:rPr>
        <w:t>伍</w:t>
      </w:r>
      <w:r>
        <w:rPr>
          <w:rFonts w:hint="eastAsia" w:ascii="宋体" w:hAnsi="宋体"/>
          <w:color w:val="auto"/>
          <w:szCs w:val="21"/>
          <w:u w:val="single"/>
        </w:rPr>
        <w:t>仟   元整</w:t>
      </w:r>
      <w:r>
        <w:rPr>
          <w:rFonts w:hint="eastAsia" w:ascii="宋体" w:hAnsi="宋体"/>
          <w:color w:val="auto"/>
          <w:szCs w:val="21"/>
        </w:rPr>
        <w:t>（￥：9</w:t>
      </w:r>
      <w:r>
        <w:rPr>
          <w:rFonts w:hint="eastAsia" w:ascii="宋体" w:hAnsi="宋体"/>
          <w:color w:val="auto"/>
          <w:szCs w:val="21"/>
          <w:lang w:val="en-US" w:eastAsia="zh-CN"/>
        </w:rPr>
        <w:t>5</w:t>
      </w:r>
      <w:r>
        <w:rPr>
          <w:rFonts w:hint="eastAsia" w:ascii="宋体" w:hAnsi="宋体"/>
          <w:color w:val="auto"/>
          <w:szCs w:val="21"/>
        </w:rPr>
        <w:t>000元）。</w:t>
      </w:r>
      <w:r>
        <w:rPr>
          <w:rFonts w:hint="eastAsia"/>
          <w:color w:val="auto"/>
          <w:szCs w:val="21"/>
        </w:rPr>
        <w:t>最后报价超过招标控制价的为无效报价，按照无效响应处理。</w:t>
      </w:r>
    </w:p>
    <w:p>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2、投标费用</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3、保密</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4、合格的投标人</w:t>
      </w:r>
    </w:p>
    <w:p>
      <w:pPr>
        <w:widowControl/>
        <w:shd w:val="clear" w:color="auto" w:fill="FFFFFF"/>
        <w:spacing w:line="360" w:lineRule="auto"/>
        <w:ind w:right="312" w:firstLine="525" w:firstLineChars="250"/>
        <w:rPr>
          <w:rFonts w:ascii="宋体" w:hAnsi="宋体"/>
          <w:color w:val="auto"/>
          <w:szCs w:val="21"/>
        </w:rPr>
      </w:pPr>
      <w:r>
        <w:rPr>
          <w:rFonts w:hint="eastAsia" w:ascii="宋体" w:hAnsi="宋体"/>
          <w:color w:val="auto"/>
          <w:szCs w:val="21"/>
        </w:rPr>
        <w:t>4.1 被授权人参加投标的须提供法定代表人授权委托书</w:t>
      </w:r>
      <w:r>
        <w:rPr>
          <w:rFonts w:hint="eastAsia" w:ascii="宋体" w:hAnsi="宋体"/>
          <w:b/>
          <w:bCs/>
          <w:color w:val="auto"/>
          <w:szCs w:val="21"/>
        </w:rPr>
        <w:t>原件</w:t>
      </w:r>
      <w:r>
        <w:rPr>
          <w:rFonts w:hint="eastAsia" w:ascii="宋体" w:hAnsi="宋体"/>
          <w:color w:val="auto"/>
          <w:szCs w:val="21"/>
        </w:rPr>
        <w:t>和被授权人身份证复印件；若法定代表人参加投标的只须提供本人身份证复印件</w:t>
      </w:r>
    </w:p>
    <w:p>
      <w:pPr>
        <w:widowControl/>
        <w:shd w:val="clear" w:color="auto" w:fill="FFFFFF"/>
        <w:spacing w:line="360" w:lineRule="auto"/>
        <w:ind w:right="312" w:firstLine="525" w:firstLineChars="250"/>
        <w:rPr>
          <w:rFonts w:ascii="宋体" w:hAnsi="宋体"/>
          <w:b/>
          <w:bCs/>
          <w:color w:val="auto"/>
          <w:szCs w:val="21"/>
        </w:rPr>
      </w:pPr>
      <w:r>
        <w:rPr>
          <w:rFonts w:hint="eastAsia" w:ascii="宋体" w:hAnsi="宋体"/>
          <w:color w:val="auto"/>
          <w:szCs w:val="21"/>
        </w:rPr>
        <w:t>4.2 营业执照副本</w:t>
      </w:r>
      <w:r>
        <w:rPr>
          <w:rFonts w:hint="eastAsia" w:ascii="宋体" w:hAnsi="宋体"/>
          <w:b/>
          <w:bCs/>
          <w:color w:val="auto"/>
          <w:szCs w:val="21"/>
        </w:rPr>
        <w:t>(复印件加盖投标人公章)</w:t>
      </w:r>
    </w:p>
    <w:p>
      <w:pPr>
        <w:widowControl/>
        <w:shd w:val="clear" w:color="auto" w:fill="FFFFFF"/>
        <w:spacing w:line="360" w:lineRule="auto"/>
        <w:ind w:right="312" w:firstLine="525" w:firstLineChars="250"/>
        <w:rPr>
          <w:rFonts w:ascii="宋体" w:hAnsi="宋体"/>
          <w:color w:val="auto"/>
          <w:szCs w:val="21"/>
        </w:rPr>
      </w:pPr>
      <w:r>
        <w:rPr>
          <w:rFonts w:hint="eastAsia" w:ascii="宋体" w:hAnsi="宋体"/>
          <w:color w:val="auto"/>
          <w:szCs w:val="21"/>
        </w:rPr>
        <w:t>4.3 投标人经营范围含有弱电工程、网络设备安装等相关内容</w:t>
      </w:r>
      <w:r>
        <w:rPr>
          <w:rFonts w:hint="eastAsia" w:ascii="宋体" w:hAnsi="宋体"/>
          <w:b/>
          <w:bCs/>
          <w:color w:val="auto"/>
          <w:szCs w:val="21"/>
        </w:rPr>
        <w:t>(复印件加盖投标人公章)</w:t>
      </w:r>
      <w:r>
        <w:rPr>
          <w:rFonts w:hint="eastAsia"/>
          <w:color w:val="auto"/>
          <w:szCs w:val="21"/>
        </w:rPr>
        <w:t xml:space="preserve">           </w:t>
      </w:r>
    </w:p>
    <w:p>
      <w:pPr>
        <w:autoSpaceDE w:val="0"/>
        <w:autoSpaceDN w:val="0"/>
        <w:adjustRightInd w:val="0"/>
        <w:snapToGrid w:val="0"/>
        <w:spacing w:line="480" w:lineRule="exact"/>
        <w:rPr>
          <w:rFonts w:ascii="宋体" w:hAnsi="宋体"/>
          <w:b/>
          <w:bCs/>
          <w:color w:val="auto"/>
          <w:szCs w:val="21"/>
        </w:rPr>
      </w:pPr>
      <w:r>
        <w:rPr>
          <w:rFonts w:hint="eastAsia" w:ascii="宋体" w:hAnsi="宋体"/>
          <w:b/>
          <w:bCs/>
          <w:color w:val="auto"/>
          <w:szCs w:val="21"/>
        </w:rPr>
        <w:t>二、投标须知：</w:t>
      </w:r>
    </w:p>
    <w:p>
      <w:pPr>
        <w:widowControl/>
        <w:shd w:val="clear" w:color="auto" w:fill="FFFFFF"/>
        <w:spacing w:line="360" w:lineRule="auto"/>
        <w:ind w:firstLine="420"/>
        <w:rPr>
          <w:bCs/>
          <w:color w:val="auto"/>
          <w:sz w:val="21"/>
          <w:szCs w:val="21"/>
        </w:rPr>
      </w:pPr>
      <w:r>
        <w:rPr>
          <w:rFonts w:hint="eastAsia" w:ascii="宋体" w:hAnsi="宋体"/>
          <w:bCs/>
          <w:color w:val="auto"/>
          <w:szCs w:val="21"/>
        </w:rPr>
        <w:t>1、</w:t>
      </w:r>
      <w:r>
        <w:rPr>
          <w:rFonts w:hint="eastAsia"/>
          <w:bCs/>
          <w:color w:val="auto"/>
          <w:szCs w:val="21"/>
        </w:rPr>
        <w:t>投标单位应根据附件清单分项报单价，</w:t>
      </w:r>
      <w:r>
        <w:rPr>
          <w:rFonts w:hint="eastAsia"/>
          <w:bCs/>
          <w:color w:val="auto"/>
          <w:szCs w:val="21"/>
          <w:lang w:eastAsia="zh-CN"/>
        </w:rPr>
        <w:t>各单项报价将作为所投标产品质保期后维修、更换的主要结算依据，</w:t>
      </w:r>
      <w:r>
        <w:rPr>
          <w:rFonts w:hint="eastAsia"/>
          <w:bCs/>
          <w:color w:val="auto"/>
          <w:szCs w:val="21"/>
        </w:rPr>
        <w:t>且总价不得超过招标控制价。</w:t>
      </w:r>
      <w:r>
        <w:rPr>
          <w:bCs/>
          <w:color w:val="auto"/>
          <w:sz w:val="21"/>
          <w:szCs w:val="21"/>
        </w:rPr>
        <w:t>全部设备、材料及随设备提供的备品备件、配套改造、旧设备的拆除及专用工具的价格、包装费、运杂费（运抵买方指定现场）、各种税费</w:t>
      </w:r>
      <w:r>
        <w:rPr>
          <w:rFonts w:hint="default"/>
          <w:bCs/>
          <w:color w:val="auto"/>
          <w:sz w:val="21"/>
          <w:szCs w:val="21"/>
        </w:rPr>
        <w:t>、</w:t>
      </w:r>
      <w:r>
        <w:rPr>
          <w:rFonts w:ascii="Times New Roman"/>
          <w:color w:val="auto"/>
          <w:sz w:val="21"/>
          <w:szCs w:val="21"/>
        </w:rPr>
        <w:t>装卸费、</w:t>
      </w:r>
      <w:r>
        <w:rPr>
          <w:bCs/>
          <w:color w:val="auto"/>
          <w:sz w:val="21"/>
          <w:szCs w:val="21"/>
        </w:rPr>
        <w:t>保险费、安装费、调试费、培训及投标人认为需要的其他费用等。在安装、调试、验收过程中，如发现有漏项、缺件，卖方应无条件、无偿补齐，所发生的一切费用，视为已包含在投标人的投标报价之中，且并不因此而影响交付买方使用的时间。</w:t>
      </w:r>
    </w:p>
    <w:p>
      <w:pPr>
        <w:widowControl/>
        <w:shd w:val="clear" w:color="auto" w:fill="FFFFFF"/>
        <w:spacing w:line="360" w:lineRule="auto"/>
        <w:ind w:firstLine="420"/>
        <w:rPr>
          <w:bCs/>
          <w:color w:val="auto"/>
          <w:sz w:val="21"/>
          <w:szCs w:val="21"/>
        </w:rPr>
      </w:pPr>
      <w:r>
        <w:rPr>
          <w:rFonts w:hint="eastAsia"/>
          <w:bCs/>
          <w:color w:val="auto"/>
          <w:szCs w:val="21"/>
        </w:rPr>
        <w:t>1.1投标方</w:t>
      </w:r>
      <w:r>
        <w:rPr>
          <w:rFonts w:hint="eastAsia"/>
          <w:bCs/>
          <w:color w:val="auto"/>
          <w:szCs w:val="21"/>
          <w:lang w:eastAsia="zh-CN"/>
        </w:rPr>
        <w:t>可在发标之日起三天内</w:t>
      </w:r>
      <w:r>
        <w:rPr>
          <w:rFonts w:hint="eastAsia"/>
          <w:bCs/>
          <w:color w:val="auto"/>
          <w:szCs w:val="21"/>
        </w:rPr>
        <w:t>自行现场查勘，招标方将予以配合，</w:t>
      </w:r>
      <w:r>
        <w:rPr>
          <w:rFonts w:hint="eastAsia" w:ascii="宋体" w:hAnsi="宋体" w:cs="宋体"/>
          <w:color w:val="auto"/>
          <w:szCs w:val="21"/>
        </w:rPr>
        <w:t>各投标单位请务必对项目现场和周围环境进行仔细认真查勘，在随后的采购中，对现场资料和数据所作出的推论、解释和结论及由此造成的后果由</w:t>
      </w:r>
      <w:r>
        <w:rPr>
          <w:rFonts w:hint="eastAsia" w:ascii="宋体" w:hAnsi="宋体" w:cs="宋体"/>
          <w:color w:val="auto"/>
          <w:szCs w:val="21"/>
          <w:lang w:eastAsia="zh-CN"/>
        </w:rPr>
        <w:t>中标方</w:t>
      </w:r>
      <w:r>
        <w:rPr>
          <w:rFonts w:hint="eastAsia" w:ascii="宋体" w:hAnsi="宋体" w:cs="宋体"/>
          <w:color w:val="auto"/>
          <w:szCs w:val="21"/>
        </w:rPr>
        <w:t>负责。查勘时，须充分了解本项目具体工作内容，否则自行承担因了解不充分而影响报价准确性的风险。</w:t>
      </w:r>
      <w:r>
        <w:rPr>
          <w:rFonts w:hint="eastAsia" w:ascii="宋体" w:hAnsi="宋体" w:cs="宋体"/>
          <w:color w:val="auto"/>
          <w:szCs w:val="21"/>
          <w:lang w:eastAsia="zh-CN"/>
        </w:rPr>
        <w:t>查勘地址及联系人：</w:t>
      </w:r>
      <w:r>
        <w:rPr>
          <w:rFonts w:hint="eastAsia" w:ascii="宋体" w:hAnsi="宋体"/>
          <w:color w:val="auto"/>
          <w:sz w:val="21"/>
          <w:szCs w:val="21"/>
          <w:highlight w:val="none"/>
          <w:lang w:val="en-US" w:eastAsia="zh-CN"/>
        </w:rPr>
        <w:t>扬州市广陵区江都路88号扬州市第一水厂，高俊 18952758850。</w:t>
      </w:r>
    </w:p>
    <w:p>
      <w:pPr>
        <w:widowControl/>
        <w:shd w:val="clear" w:color="auto" w:fill="FFFFFF"/>
        <w:spacing w:line="360" w:lineRule="auto"/>
        <w:ind w:firstLine="420"/>
        <w:rPr>
          <w:rFonts w:hint="eastAsia" w:ascii="宋体" w:hAnsi="宋体" w:cs="宋体"/>
          <w:color w:val="auto"/>
          <w:szCs w:val="21"/>
        </w:rPr>
      </w:pPr>
      <w:r>
        <w:rPr>
          <w:rFonts w:hint="eastAsia" w:ascii="宋体" w:hAnsi="宋体" w:cs="宋体"/>
          <w:color w:val="auto"/>
          <w:szCs w:val="21"/>
        </w:rPr>
        <w:t>1.2 其中主要视频设备的品牌要求：</w:t>
      </w:r>
    </w:p>
    <w:p>
      <w:pPr>
        <w:widowControl/>
        <w:shd w:val="clear" w:color="auto" w:fill="FFFFFF"/>
        <w:spacing w:line="360" w:lineRule="auto"/>
        <w:ind w:firstLine="420"/>
        <w:rPr>
          <w:rFonts w:hint="eastAsia" w:ascii="宋体" w:hAnsi="宋体" w:eastAsia="宋体" w:cs="宋体"/>
          <w:color w:val="auto"/>
          <w:szCs w:val="21"/>
          <w:lang w:eastAsia="zh-CN"/>
        </w:rPr>
      </w:pPr>
      <w:r>
        <w:rPr>
          <w:rFonts w:hint="eastAsia" w:ascii="宋体" w:hAnsi="宋体" w:cs="宋体"/>
          <w:color w:val="auto"/>
          <w:szCs w:val="21"/>
        </w:rPr>
        <w:t>1.2.1</w:t>
      </w:r>
      <w:r>
        <w:rPr>
          <w:rFonts w:hint="eastAsia" w:ascii="宋体" w:hAnsi="宋体" w:cs="宋体"/>
          <w:color w:val="auto"/>
          <w:szCs w:val="21"/>
        </w:rPr>
        <w:t>视频设备：海康</w:t>
      </w:r>
      <w:r>
        <w:rPr>
          <w:rFonts w:hint="eastAsia" w:ascii="宋体" w:hAnsi="宋体" w:cs="宋体"/>
          <w:color w:val="auto"/>
          <w:szCs w:val="21"/>
          <w:lang w:eastAsia="zh-CN"/>
        </w:rPr>
        <w:t>、</w:t>
      </w:r>
      <w:r>
        <w:rPr>
          <w:rFonts w:hint="eastAsia"/>
          <w:color w:val="auto"/>
        </w:rPr>
        <w:t>大华、科达</w:t>
      </w:r>
    </w:p>
    <w:p>
      <w:pPr>
        <w:widowControl/>
        <w:shd w:val="clear" w:color="auto" w:fill="FFFFFF"/>
        <w:spacing w:line="360" w:lineRule="auto"/>
        <w:ind w:firstLine="420"/>
        <w:rPr>
          <w:rFonts w:hint="eastAsia" w:ascii="宋体" w:hAnsi="宋体" w:cs="宋体"/>
          <w:color w:val="auto"/>
          <w:szCs w:val="21"/>
        </w:rPr>
      </w:pPr>
      <w:r>
        <w:rPr>
          <w:rFonts w:hint="eastAsia" w:ascii="宋体" w:hAnsi="宋体" w:cs="宋体"/>
          <w:color w:val="auto"/>
          <w:szCs w:val="21"/>
        </w:rPr>
        <w:t>交换机：锐捷、华三、华为</w:t>
      </w:r>
    </w:p>
    <w:p>
      <w:pPr>
        <w:widowControl/>
        <w:shd w:val="clear" w:color="auto" w:fill="FFFFFF"/>
        <w:spacing w:line="360" w:lineRule="auto"/>
        <w:ind w:firstLine="420"/>
        <w:rPr>
          <w:rFonts w:hint="eastAsia" w:ascii="宋体" w:hAnsi="宋体" w:cs="宋体"/>
          <w:color w:val="auto"/>
          <w:szCs w:val="21"/>
        </w:rPr>
      </w:pPr>
      <w:r>
        <w:rPr>
          <w:rFonts w:hint="eastAsia" w:ascii="宋体" w:hAnsi="宋体" w:cs="宋体"/>
          <w:color w:val="auto"/>
          <w:szCs w:val="21"/>
        </w:rPr>
        <w:t>传输设备：TP-LINK或同级别产品</w:t>
      </w:r>
    </w:p>
    <w:p>
      <w:pPr>
        <w:widowControl/>
        <w:shd w:val="clear" w:color="auto" w:fill="FFFFFF"/>
        <w:spacing w:line="360" w:lineRule="auto"/>
        <w:ind w:firstLine="420"/>
        <w:rPr>
          <w:rFonts w:hint="eastAsia" w:ascii="宋体" w:hAnsi="宋体" w:cs="宋体"/>
          <w:color w:val="auto"/>
          <w:szCs w:val="21"/>
        </w:rPr>
      </w:pPr>
      <w:r>
        <w:rPr>
          <w:rFonts w:hint="eastAsia" w:ascii="宋体" w:hAnsi="宋体" w:cs="宋体"/>
          <w:color w:val="auto"/>
          <w:szCs w:val="21"/>
        </w:rPr>
        <w:t>线缆：明鑫、海康或同级别产品</w:t>
      </w:r>
    </w:p>
    <w:p>
      <w:pPr>
        <w:widowControl/>
        <w:shd w:val="clear" w:color="auto" w:fill="FFFFFF"/>
        <w:spacing w:line="360" w:lineRule="auto"/>
        <w:ind w:firstLine="420"/>
        <w:rPr>
          <w:rFonts w:hint="eastAsia" w:ascii="宋体" w:hAnsi="宋体" w:cs="宋体"/>
          <w:color w:val="auto"/>
          <w:szCs w:val="21"/>
        </w:rPr>
      </w:pPr>
      <w:r>
        <w:rPr>
          <w:rFonts w:hint="eastAsia" w:ascii="宋体" w:hAnsi="宋体" w:cs="宋体"/>
          <w:color w:val="auto"/>
          <w:szCs w:val="21"/>
        </w:rPr>
        <w:t>1.2.2其中主要视频设备在投标文件中须</w:t>
      </w:r>
      <w:r>
        <w:rPr>
          <w:rFonts w:hint="eastAsia" w:ascii="宋体" w:hAnsi="宋体" w:cs="宋体"/>
          <w:b/>
          <w:bCs/>
          <w:color w:val="auto"/>
          <w:szCs w:val="21"/>
        </w:rPr>
        <w:t>提供网络视频</w:t>
      </w:r>
      <w:r>
        <w:rPr>
          <w:rFonts w:hint="eastAsia" w:ascii="宋体" w:hAnsi="宋体" w:cs="宋体"/>
          <w:b/>
          <w:bCs/>
          <w:color w:val="auto"/>
          <w:szCs w:val="21"/>
          <w:lang w:eastAsia="zh-CN"/>
        </w:rPr>
        <w:t>设备</w:t>
      </w:r>
      <w:r>
        <w:rPr>
          <w:rFonts w:hint="eastAsia" w:ascii="宋体" w:hAnsi="宋体" w:cs="宋体"/>
          <w:b/>
          <w:bCs/>
          <w:color w:val="auto"/>
          <w:szCs w:val="21"/>
        </w:rPr>
        <w:t>厂家的授权使用原件（盖厂家红章）</w:t>
      </w:r>
      <w:r>
        <w:rPr>
          <w:rFonts w:hint="eastAsia" w:ascii="宋体" w:hAnsi="宋体" w:cs="宋体"/>
          <w:color w:val="auto"/>
          <w:szCs w:val="21"/>
        </w:rPr>
        <w:t>。</w:t>
      </w:r>
    </w:p>
    <w:p>
      <w:pPr>
        <w:pStyle w:val="6"/>
        <w:numPr>
          <w:ilvl w:val="0"/>
          <w:numId w:val="0"/>
        </w:numPr>
        <w:rPr>
          <w:rFonts w:hint="eastAsia" w:ascii="宋体" w:hAnsi="宋体" w:eastAsia="宋体" w:cs="宋体"/>
          <w:color w:val="auto"/>
          <w:kern w:val="2"/>
          <w:sz w:val="21"/>
          <w:szCs w:val="21"/>
          <w:lang w:val="en-US" w:eastAsia="zh-CN" w:bidi="ar-SA"/>
        </w:rPr>
      </w:pPr>
      <w:r>
        <w:rPr>
          <w:rFonts w:hint="eastAsia"/>
          <w:color w:val="auto"/>
        </w:rPr>
        <w:t xml:space="preserve">  </w:t>
      </w:r>
      <w:r>
        <w:rPr>
          <w:rFonts w:hint="eastAsia"/>
          <w:color w:val="auto"/>
          <w:lang w:val="en-US" w:eastAsia="zh-CN"/>
        </w:rPr>
        <w:t xml:space="preserve"> </w:t>
      </w:r>
      <w:r>
        <w:rPr>
          <w:rFonts w:hint="eastAsia"/>
          <w:color w:val="auto"/>
          <w:lang w:val="en-US" w:eastAsia="zh-CN"/>
        </w:rPr>
        <w:t xml:space="preserve"> 1.2.3</w:t>
      </w:r>
      <w:r>
        <w:rPr>
          <w:rFonts w:hint="eastAsia" w:ascii="宋体" w:hAnsi="宋体" w:eastAsia="宋体" w:cs="宋体"/>
          <w:color w:val="auto"/>
          <w:kern w:val="2"/>
          <w:sz w:val="21"/>
          <w:szCs w:val="21"/>
          <w:lang w:val="en-US" w:eastAsia="zh-CN" w:bidi="ar-SA"/>
        </w:rPr>
        <w:t>存储时间：录像存储时间为90天，投标商按此要求配置相应的硬盘容量和数量。</w:t>
      </w:r>
    </w:p>
    <w:p>
      <w:pPr>
        <w:widowControl/>
        <w:shd w:val="clear" w:color="auto" w:fill="FFFFFF"/>
        <w:spacing w:line="360" w:lineRule="auto"/>
        <w:ind w:firstLine="210" w:firstLineChars="100"/>
        <w:rPr>
          <w:bCs/>
          <w:color w:val="auto"/>
          <w:szCs w:val="21"/>
        </w:rPr>
      </w:pPr>
      <w:r>
        <w:rPr>
          <w:rFonts w:hint="eastAsia"/>
          <w:color w:val="auto"/>
          <w:szCs w:val="21"/>
        </w:rPr>
        <w:t>1.</w:t>
      </w:r>
      <w:r>
        <w:rPr>
          <w:rFonts w:hint="eastAsia"/>
          <w:bCs/>
          <w:color w:val="auto"/>
          <w:szCs w:val="21"/>
        </w:rPr>
        <w:t>3主材技术要求：</w:t>
      </w:r>
    </w:p>
    <w:p>
      <w:pPr>
        <w:rPr>
          <w:b/>
          <w:bCs/>
          <w:color w:val="auto"/>
          <w:szCs w:val="21"/>
        </w:rPr>
      </w:pPr>
      <w:r>
        <w:rPr>
          <w:rFonts w:hint="eastAsia"/>
          <w:b/>
          <w:bCs/>
          <w:color w:val="auto"/>
          <w:szCs w:val="21"/>
        </w:rPr>
        <w:t>1）、防爆智能警戒摄像机DS-2XE8247DWD-IS(C)：</w:t>
      </w:r>
    </w:p>
    <w:p>
      <w:pPr>
        <w:rPr>
          <w:color w:val="auto"/>
          <w:szCs w:val="21"/>
        </w:rPr>
      </w:pPr>
      <w:r>
        <w:rPr>
          <w:rFonts w:hint="eastAsia"/>
          <w:color w:val="auto"/>
          <w:szCs w:val="21"/>
        </w:rPr>
        <w:t>400万 1/2.7" CMOS ICR防爆筒型网络摄像机</w:t>
      </w:r>
    </w:p>
    <w:p>
      <w:pPr>
        <w:rPr>
          <w:color w:val="auto"/>
          <w:szCs w:val="21"/>
        </w:rPr>
      </w:pPr>
      <w:r>
        <w:rPr>
          <w:rFonts w:hint="eastAsia"/>
          <w:color w:val="auto"/>
          <w:szCs w:val="21"/>
        </w:rPr>
        <w:t>最低照度: 彩色：0.005 Lux @（F1.2，AGC ON），0.009 Lux @（F1.6，AGC ON）；黑白：0.001 Lux @（F1.2，AGC ON），0.0018 Lux @（F1.6，AGC ON），0 Lux with IR</w:t>
      </w:r>
    </w:p>
    <w:p>
      <w:pPr>
        <w:rPr>
          <w:color w:val="auto"/>
          <w:szCs w:val="21"/>
        </w:rPr>
      </w:pPr>
      <w:r>
        <w:rPr>
          <w:rFonts w:hint="eastAsia"/>
          <w:color w:val="auto"/>
          <w:szCs w:val="21"/>
        </w:rPr>
        <w:t>宽动态: 120 dB</w:t>
      </w:r>
    </w:p>
    <w:p>
      <w:pPr>
        <w:rPr>
          <w:color w:val="auto"/>
          <w:szCs w:val="21"/>
        </w:rPr>
      </w:pPr>
      <w:r>
        <w:rPr>
          <w:rFonts w:hint="eastAsia"/>
          <w:color w:val="auto"/>
          <w:szCs w:val="21"/>
        </w:rPr>
        <w:t>焦距&amp;视场角:</w:t>
      </w:r>
      <w:r>
        <w:rPr>
          <w:rFonts w:hint="eastAsia"/>
          <w:color w:val="auto"/>
          <w:szCs w:val="21"/>
        </w:rPr>
        <w:tab/>
      </w:r>
    </w:p>
    <w:p>
      <w:pPr>
        <w:rPr>
          <w:color w:val="auto"/>
          <w:szCs w:val="21"/>
        </w:rPr>
      </w:pPr>
      <w:r>
        <w:rPr>
          <w:rFonts w:hint="eastAsia"/>
          <w:color w:val="auto"/>
          <w:szCs w:val="21"/>
        </w:rPr>
        <w:t>4 mm @F1.6，水平视场角：84°，垂直视场角：45°，对角线视场角：99°</w:t>
      </w:r>
    </w:p>
    <w:p>
      <w:pPr>
        <w:rPr>
          <w:color w:val="auto"/>
          <w:szCs w:val="21"/>
        </w:rPr>
      </w:pPr>
      <w:r>
        <w:rPr>
          <w:rFonts w:hint="eastAsia"/>
          <w:color w:val="auto"/>
          <w:szCs w:val="21"/>
        </w:rPr>
        <w:t>6 mm @F1.6，水平视场角：52°，垂直视场角：28°，对角线视场角：60°</w:t>
      </w:r>
    </w:p>
    <w:p>
      <w:pPr>
        <w:rPr>
          <w:color w:val="auto"/>
          <w:szCs w:val="21"/>
        </w:rPr>
      </w:pPr>
      <w:r>
        <w:rPr>
          <w:rFonts w:hint="eastAsia"/>
          <w:color w:val="auto"/>
          <w:szCs w:val="21"/>
        </w:rPr>
        <w:t>8 mm @F1.6，水平视场角：39°，垂直视场角：22°，对角线视场角：46°</w:t>
      </w:r>
    </w:p>
    <w:p>
      <w:pPr>
        <w:rPr>
          <w:color w:val="auto"/>
          <w:szCs w:val="21"/>
        </w:rPr>
      </w:pPr>
      <w:r>
        <w:rPr>
          <w:rFonts w:hint="eastAsia"/>
          <w:color w:val="auto"/>
          <w:szCs w:val="21"/>
        </w:rPr>
        <w:t>12 mm @F1.6，水平视场角：25°，垂直视场角：14°，对角线视场角：28°</w:t>
      </w:r>
    </w:p>
    <w:p>
      <w:pPr>
        <w:rPr>
          <w:color w:val="auto"/>
          <w:szCs w:val="21"/>
        </w:rPr>
      </w:pPr>
      <w:r>
        <w:rPr>
          <w:rFonts w:hint="eastAsia"/>
          <w:color w:val="auto"/>
          <w:szCs w:val="21"/>
        </w:rPr>
        <w:t>红外距离: 最远可达30 m</w:t>
      </w:r>
    </w:p>
    <w:p>
      <w:pPr>
        <w:rPr>
          <w:color w:val="auto"/>
          <w:szCs w:val="21"/>
        </w:rPr>
      </w:pPr>
      <w:r>
        <w:rPr>
          <w:rFonts w:hint="eastAsia"/>
          <w:color w:val="auto"/>
          <w:szCs w:val="21"/>
        </w:rPr>
        <w:t>波长范围: 850 nm</w:t>
      </w:r>
    </w:p>
    <w:p>
      <w:pPr>
        <w:rPr>
          <w:color w:val="auto"/>
          <w:szCs w:val="21"/>
        </w:rPr>
      </w:pPr>
      <w:r>
        <w:rPr>
          <w:rFonts w:hint="eastAsia"/>
          <w:color w:val="auto"/>
          <w:szCs w:val="21"/>
        </w:rPr>
        <w:t>最大图像尺寸: 2560 × 1440</w:t>
      </w:r>
    </w:p>
    <w:p>
      <w:pPr>
        <w:rPr>
          <w:color w:val="auto"/>
          <w:szCs w:val="21"/>
        </w:rPr>
      </w:pPr>
      <w:r>
        <w:rPr>
          <w:rFonts w:hint="eastAsia"/>
          <w:color w:val="auto"/>
          <w:szCs w:val="21"/>
        </w:rPr>
        <w:t>视频压缩标准: 主码流：H.265/H.264</w:t>
      </w:r>
    </w:p>
    <w:p>
      <w:pPr>
        <w:rPr>
          <w:color w:val="auto"/>
          <w:szCs w:val="21"/>
        </w:rPr>
      </w:pPr>
      <w:r>
        <w:rPr>
          <w:rFonts w:hint="eastAsia"/>
          <w:color w:val="auto"/>
          <w:szCs w:val="21"/>
        </w:rPr>
        <w:t>网络存储: 支持Micro SD(即TF卡)/Micro SDHC/Micro SDXC卡（最大256 GB），断网本地存储及断网续传，NAS（NFS，SMB/CIFS均支持），配合海康黑卡支持SD卡加密及SD卡状态检测</w:t>
      </w:r>
    </w:p>
    <w:p>
      <w:pPr>
        <w:rPr>
          <w:color w:val="auto"/>
          <w:szCs w:val="21"/>
        </w:rPr>
      </w:pPr>
      <w:r>
        <w:rPr>
          <w:rFonts w:hint="eastAsia"/>
          <w:color w:val="auto"/>
          <w:szCs w:val="21"/>
        </w:rPr>
        <w:t>音频: 1路输入（Line in），1路输出外部接口</w:t>
      </w:r>
    </w:p>
    <w:p>
      <w:pPr>
        <w:rPr>
          <w:color w:val="auto"/>
          <w:szCs w:val="21"/>
        </w:rPr>
      </w:pPr>
      <w:r>
        <w:rPr>
          <w:rFonts w:hint="eastAsia"/>
          <w:color w:val="auto"/>
          <w:szCs w:val="21"/>
        </w:rPr>
        <w:t>报警: 1路输入，1路输出（报警输出最大支持AC/DC24 V，1 A）</w:t>
      </w:r>
    </w:p>
    <w:p>
      <w:pPr>
        <w:rPr>
          <w:color w:val="auto"/>
          <w:szCs w:val="21"/>
        </w:rPr>
      </w:pPr>
      <w:r>
        <w:rPr>
          <w:rFonts w:hint="eastAsia"/>
          <w:color w:val="auto"/>
          <w:szCs w:val="21"/>
        </w:rPr>
        <w:t>复位: 支持</w:t>
      </w:r>
    </w:p>
    <w:p>
      <w:pPr>
        <w:rPr>
          <w:color w:val="auto"/>
          <w:szCs w:val="21"/>
        </w:rPr>
      </w:pPr>
      <w:r>
        <w:rPr>
          <w:rFonts w:hint="eastAsia"/>
          <w:color w:val="auto"/>
          <w:szCs w:val="21"/>
        </w:rPr>
        <w:t>网络: 1个RJ45 10 M/100 M自适应以太网口</w:t>
      </w:r>
    </w:p>
    <w:p>
      <w:pPr>
        <w:rPr>
          <w:color w:val="auto"/>
          <w:szCs w:val="21"/>
        </w:rPr>
      </w:pPr>
      <w:r>
        <w:rPr>
          <w:rFonts w:hint="eastAsia"/>
          <w:color w:val="auto"/>
          <w:szCs w:val="21"/>
        </w:rPr>
        <w:t>外壳材质: 不锈钢304</w:t>
      </w:r>
    </w:p>
    <w:p>
      <w:pPr>
        <w:rPr>
          <w:color w:val="auto"/>
          <w:szCs w:val="21"/>
        </w:rPr>
      </w:pPr>
      <w:r>
        <w:rPr>
          <w:rFonts w:hint="eastAsia"/>
          <w:color w:val="auto"/>
          <w:szCs w:val="21"/>
        </w:rPr>
        <w:t>启动及工作温湿度: -30 ℃~60 ℃，湿度小于95%（无凝结）</w:t>
      </w:r>
    </w:p>
    <w:p>
      <w:pPr>
        <w:rPr>
          <w:color w:val="auto"/>
          <w:szCs w:val="21"/>
        </w:rPr>
      </w:pPr>
      <w:r>
        <w:rPr>
          <w:rFonts w:hint="eastAsia"/>
          <w:color w:val="auto"/>
          <w:szCs w:val="21"/>
        </w:rPr>
        <w:t>供电方式: AC：100 V~240 V；PoE：802.3af，Class 3</w:t>
      </w:r>
    </w:p>
    <w:p>
      <w:pPr>
        <w:rPr>
          <w:color w:val="auto"/>
          <w:szCs w:val="21"/>
        </w:rPr>
      </w:pPr>
      <w:r>
        <w:rPr>
          <w:rFonts w:hint="eastAsia"/>
          <w:color w:val="auto"/>
          <w:szCs w:val="21"/>
        </w:rPr>
        <w:t>电流及功耗: AC：100V~240 V，0.2 A，最大功耗：12 W；PoE：802.3af，36 V~57 V，0.4 A~0.3 A，最大功耗：12 W</w:t>
      </w:r>
    </w:p>
    <w:p>
      <w:pPr>
        <w:rPr>
          <w:color w:val="auto"/>
          <w:szCs w:val="21"/>
        </w:rPr>
      </w:pPr>
      <w:r>
        <w:rPr>
          <w:rFonts w:hint="eastAsia"/>
          <w:color w:val="auto"/>
          <w:szCs w:val="21"/>
        </w:rPr>
        <w:t>电源接口类型: 三芯接口</w:t>
      </w:r>
    </w:p>
    <w:p>
      <w:pPr>
        <w:rPr>
          <w:color w:val="auto"/>
          <w:szCs w:val="21"/>
        </w:rPr>
      </w:pPr>
      <w:r>
        <w:rPr>
          <w:rFonts w:hint="eastAsia"/>
          <w:color w:val="auto"/>
          <w:szCs w:val="21"/>
        </w:rPr>
        <w:t>产品尺寸: 214 × 172 × 173 mm</w:t>
      </w:r>
    </w:p>
    <w:p>
      <w:pPr>
        <w:rPr>
          <w:color w:val="auto"/>
          <w:szCs w:val="21"/>
        </w:rPr>
      </w:pPr>
      <w:r>
        <w:rPr>
          <w:rFonts w:hint="eastAsia"/>
          <w:color w:val="auto"/>
          <w:szCs w:val="21"/>
        </w:rPr>
        <w:t>设备重量: 7500 g</w:t>
      </w:r>
    </w:p>
    <w:p>
      <w:pPr>
        <w:rPr>
          <w:color w:val="auto"/>
          <w:szCs w:val="21"/>
        </w:rPr>
      </w:pPr>
      <w:r>
        <w:rPr>
          <w:rFonts w:hint="eastAsia"/>
          <w:color w:val="auto"/>
          <w:szCs w:val="21"/>
        </w:rPr>
        <w:t>防护: IP68</w:t>
      </w:r>
    </w:p>
    <w:p>
      <w:pPr>
        <w:rPr>
          <w:color w:val="auto"/>
          <w:szCs w:val="21"/>
        </w:rPr>
      </w:pPr>
      <w:r>
        <w:rPr>
          <w:rFonts w:hint="eastAsia"/>
          <w:color w:val="auto"/>
          <w:szCs w:val="21"/>
        </w:rPr>
        <w:t>防爆类型: Ex d IIC T6 Gb/Ex tD A21 IP68 T80℃</w:t>
      </w:r>
    </w:p>
    <w:p>
      <w:pPr>
        <w:rPr>
          <w:color w:val="auto"/>
          <w:szCs w:val="21"/>
        </w:rPr>
      </w:pPr>
    </w:p>
    <w:p>
      <w:pPr>
        <w:rPr>
          <w:b/>
          <w:bCs/>
          <w:color w:val="auto"/>
          <w:szCs w:val="21"/>
        </w:rPr>
      </w:pPr>
      <w:r>
        <w:rPr>
          <w:rFonts w:hint="eastAsia"/>
          <w:b/>
          <w:bCs/>
          <w:color w:val="auto"/>
          <w:szCs w:val="21"/>
        </w:rPr>
        <w:t>2）、400万筒形网络摄像机DS-2CD2T45FDV2-I3S</w:t>
      </w:r>
    </w:p>
    <w:p>
      <w:pPr>
        <w:rPr>
          <w:color w:val="auto"/>
          <w:szCs w:val="21"/>
        </w:rPr>
      </w:pPr>
      <w:r>
        <w:rPr>
          <w:color w:val="auto"/>
          <w:szCs w:val="21"/>
        </w:rPr>
        <w:t>400万1/3”CMOS ICR红外阵列筒型网络摄像机</w:t>
      </w:r>
    </w:p>
    <w:p>
      <w:pPr>
        <w:rPr>
          <w:color w:val="auto"/>
          <w:szCs w:val="21"/>
        </w:rPr>
      </w:pPr>
      <w:r>
        <w:rPr>
          <w:color w:val="auto"/>
          <w:szCs w:val="21"/>
        </w:rPr>
        <w:t>最低照度: 彩色：0.005 Lux @（F1.2，AGC ON），0 Lux with IR</w:t>
      </w:r>
    </w:p>
    <w:p>
      <w:pPr>
        <w:rPr>
          <w:color w:val="auto"/>
          <w:szCs w:val="21"/>
        </w:rPr>
      </w:pPr>
      <w:r>
        <w:rPr>
          <w:color w:val="auto"/>
          <w:szCs w:val="21"/>
        </w:rPr>
        <w:t>宽动态: 120 dB</w:t>
      </w:r>
    </w:p>
    <w:p>
      <w:pPr>
        <w:rPr>
          <w:color w:val="auto"/>
          <w:szCs w:val="21"/>
        </w:rPr>
      </w:pPr>
      <w:r>
        <w:rPr>
          <w:color w:val="auto"/>
          <w:szCs w:val="21"/>
        </w:rPr>
        <w:t>焦距&amp;视场角: 4 mm，水平视场角：78°（2.8 mm，6 mm，8 mm可选）</w:t>
      </w:r>
    </w:p>
    <w:p>
      <w:pPr>
        <w:rPr>
          <w:color w:val="auto"/>
          <w:szCs w:val="21"/>
        </w:rPr>
      </w:pPr>
      <w:r>
        <w:rPr>
          <w:color w:val="auto"/>
          <w:szCs w:val="21"/>
        </w:rPr>
        <w:t>红外距离: 最远可达30 m</w:t>
      </w:r>
    </w:p>
    <w:p>
      <w:pPr>
        <w:rPr>
          <w:color w:val="auto"/>
          <w:szCs w:val="21"/>
        </w:rPr>
      </w:pPr>
      <w:r>
        <w:rPr>
          <w:color w:val="auto"/>
          <w:szCs w:val="21"/>
        </w:rPr>
        <w:t>最大图像尺寸: 2560 × 1440</w:t>
      </w:r>
    </w:p>
    <w:p>
      <w:pPr>
        <w:rPr>
          <w:color w:val="auto"/>
          <w:szCs w:val="21"/>
        </w:rPr>
      </w:pPr>
      <w:r>
        <w:rPr>
          <w:color w:val="auto"/>
          <w:szCs w:val="21"/>
        </w:rPr>
        <w:t>视频压缩标准: 主码流：H.265/H.264</w:t>
      </w:r>
    </w:p>
    <w:p>
      <w:pPr>
        <w:rPr>
          <w:color w:val="auto"/>
          <w:szCs w:val="21"/>
        </w:rPr>
      </w:pPr>
      <w:r>
        <w:rPr>
          <w:color w:val="auto"/>
          <w:szCs w:val="21"/>
        </w:rPr>
        <w:t>网络存储: 支持NAS（NFS，SMB/CIFS均支持），支持Micro SD(即TF卡)/Micro SDHC/Micro SDXC卡（最大256 GB），断网本地录像存储及断网续传，配合海康黑卡支持SD卡加密及SD卡状态检测</w:t>
      </w:r>
    </w:p>
    <w:p>
      <w:pPr>
        <w:rPr>
          <w:color w:val="auto"/>
          <w:szCs w:val="21"/>
        </w:rPr>
      </w:pPr>
      <w:r>
        <w:rPr>
          <w:color w:val="auto"/>
          <w:szCs w:val="21"/>
        </w:rPr>
        <w:t>音频: 1个内置麦克风; 1路输入（Line in），1路输出（Line out）</w:t>
      </w:r>
    </w:p>
    <w:p>
      <w:pPr>
        <w:rPr>
          <w:color w:val="auto"/>
          <w:szCs w:val="21"/>
        </w:rPr>
      </w:pPr>
      <w:r>
        <w:rPr>
          <w:color w:val="auto"/>
          <w:szCs w:val="21"/>
        </w:rPr>
        <w:t>报警: 1路报警输入，1路报警输出（报警输出最大支持DC12 V，30 mA）</w:t>
      </w:r>
    </w:p>
    <w:p>
      <w:pPr>
        <w:rPr>
          <w:color w:val="auto"/>
          <w:szCs w:val="21"/>
        </w:rPr>
      </w:pPr>
      <w:r>
        <w:rPr>
          <w:color w:val="auto"/>
          <w:szCs w:val="21"/>
        </w:rPr>
        <w:t>网络: 1个RJ45 10 M/100 M自适应以太网口</w:t>
      </w:r>
    </w:p>
    <w:p>
      <w:pPr>
        <w:rPr>
          <w:color w:val="auto"/>
          <w:szCs w:val="21"/>
        </w:rPr>
      </w:pPr>
      <w:r>
        <w:rPr>
          <w:color w:val="auto"/>
          <w:szCs w:val="21"/>
        </w:rPr>
        <w:t>复位: 支持</w:t>
      </w:r>
    </w:p>
    <w:p>
      <w:pPr>
        <w:rPr>
          <w:color w:val="auto"/>
          <w:szCs w:val="21"/>
        </w:rPr>
      </w:pPr>
      <w:r>
        <w:rPr>
          <w:color w:val="auto"/>
          <w:szCs w:val="21"/>
        </w:rPr>
        <w:t>包装尺寸: 235 × 120 × 125 mm</w:t>
      </w:r>
    </w:p>
    <w:p>
      <w:pPr>
        <w:rPr>
          <w:color w:val="auto"/>
          <w:szCs w:val="21"/>
        </w:rPr>
      </w:pPr>
      <w:r>
        <w:rPr>
          <w:color w:val="auto"/>
          <w:szCs w:val="21"/>
        </w:rPr>
        <w:t>启动和工作温湿度: -30 ℃~60 ℃，湿度小于95%（无凝结）</w:t>
      </w:r>
    </w:p>
    <w:p>
      <w:pPr>
        <w:rPr>
          <w:color w:val="auto"/>
          <w:szCs w:val="21"/>
        </w:rPr>
      </w:pPr>
      <w:r>
        <w:rPr>
          <w:color w:val="auto"/>
          <w:szCs w:val="21"/>
        </w:rPr>
        <w:t>供电方式: DC：12 V±25%，支持防反接保护</w:t>
      </w:r>
    </w:p>
    <w:p>
      <w:pPr>
        <w:rPr>
          <w:color w:val="auto"/>
          <w:szCs w:val="21"/>
        </w:rPr>
      </w:pPr>
      <w:r>
        <w:rPr>
          <w:color w:val="auto"/>
          <w:szCs w:val="21"/>
        </w:rPr>
        <w:t>电流及功耗: DC：12 V，0.55 A，最大功耗：6 W</w:t>
      </w:r>
    </w:p>
    <w:p>
      <w:pPr>
        <w:rPr>
          <w:color w:val="auto"/>
          <w:szCs w:val="21"/>
        </w:rPr>
      </w:pPr>
      <w:r>
        <w:rPr>
          <w:color w:val="auto"/>
          <w:szCs w:val="21"/>
        </w:rPr>
        <w:t>电源接口类型: Ø5.5 mm圆头电源接口</w:t>
      </w:r>
    </w:p>
    <w:p>
      <w:pPr>
        <w:rPr>
          <w:color w:val="auto"/>
          <w:szCs w:val="21"/>
        </w:rPr>
      </w:pPr>
      <w:r>
        <w:rPr>
          <w:color w:val="auto"/>
          <w:szCs w:val="21"/>
        </w:rPr>
        <w:t>产品尺寸: 186.6 × 93.5 × 92.9 mm</w:t>
      </w:r>
    </w:p>
    <w:p>
      <w:pPr>
        <w:rPr>
          <w:color w:val="auto"/>
          <w:szCs w:val="21"/>
        </w:rPr>
      </w:pPr>
      <w:r>
        <w:rPr>
          <w:color w:val="auto"/>
          <w:szCs w:val="21"/>
        </w:rPr>
        <w:t>设备重量: 680 g</w:t>
      </w:r>
    </w:p>
    <w:p>
      <w:pPr>
        <w:rPr>
          <w:color w:val="auto"/>
          <w:szCs w:val="21"/>
        </w:rPr>
      </w:pPr>
      <w:r>
        <w:rPr>
          <w:color w:val="auto"/>
          <w:szCs w:val="21"/>
        </w:rPr>
        <w:t>带包装重量: 900 g</w:t>
      </w:r>
    </w:p>
    <w:p>
      <w:pPr>
        <w:rPr>
          <w:color w:val="auto"/>
          <w:szCs w:val="21"/>
        </w:rPr>
      </w:pPr>
      <w:r>
        <w:rPr>
          <w:color w:val="auto"/>
          <w:szCs w:val="21"/>
        </w:rPr>
        <w:t>防护: IP66</w:t>
      </w:r>
    </w:p>
    <w:p>
      <w:pPr>
        <w:rPr>
          <w:b/>
          <w:bCs/>
          <w:color w:val="auto"/>
          <w:szCs w:val="21"/>
        </w:rPr>
      </w:pPr>
    </w:p>
    <w:p>
      <w:pPr>
        <w:rPr>
          <w:b/>
          <w:bCs/>
          <w:color w:val="auto"/>
          <w:szCs w:val="21"/>
        </w:rPr>
      </w:pPr>
      <w:r>
        <w:rPr>
          <w:rFonts w:hint="eastAsia"/>
          <w:b/>
          <w:bCs/>
          <w:color w:val="auto"/>
          <w:szCs w:val="21"/>
        </w:rPr>
        <w:t>3）、总线报警主机DS-19A08-01BN：</w:t>
      </w:r>
    </w:p>
    <w:p>
      <w:pPr>
        <w:rPr>
          <w:color w:val="auto"/>
          <w:szCs w:val="21"/>
        </w:rPr>
      </w:pPr>
      <w:r>
        <w:rPr>
          <w:rFonts w:hint="eastAsia"/>
          <w:color w:val="auto"/>
          <w:szCs w:val="21"/>
        </w:rPr>
        <w:t>专业级总线制网络报警主机，自带8防区，可扩展至256防区/自带4路继电器，可扩展至256路继电器输出/串口输出/电话/网络上报/8个独立子系统/总线可达2400米/8.2K 线尾组，支持本地8路防区/2线制防区防拆/支持定时撤布防/时控输出</w:t>
      </w:r>
    </w:p>
    <w:p>
      <w:pPr>
        <w:rPr>
          <w:color w:val="auto"/>
          <w:szCs w:val="21"/>
        </w:rPr>
      </w:pPr>
    </w:p>
    <w:p>
      <w:pPr>
        <w:rPr>
          <w:b/>
          <w:bCs/>
          <w:color w:val="auto"/>
          <w:szCs w:val="21"/>
        </w:rPr>
      </w:pPr>
      <w:r>
        <w:rPr>
          <w:rFonts w:hint="eastAsia"/>
          <w:b/>
          <w:bCs/>
          <w:color w:val="auto"/>
          <w:szCs w:val="21"/>
        </w:rPr>
        <w:t>4）、门禁主机DS-K2601(国内标配)：</w:t>
      </w:r>
    </w:p>
    <w:p>
      <w:pPr>
        <w:rPr>
          <w:color w:val="auto"/>
          <w:szCs w:val="21"/>
        </w:rPr>
      </w:pPr>
      <w:r>
        <w:rPr>
          <w:color w:val="auto"/>
          <w:szCs w:val="21"/>
        </w:rPr>
        <w:t>处理器：32位处理器</w:t>
      </w:r>
    </w:p>
    <w:p>
      <w:pPr>
        <w:rPr>
          <w:color w:val="auto"/>
          <w:szCs w:val="21"/>
        </w:rPr>
      </w:pPr>
      <w:r>
        <w:rPr>
          <w:color w:val="auto"/>
          <w:szCs w:val="21"/>
        </w:rPr>
        <w:t>管控门数：1门</w:t>
      </w:r>
    </w:p>
    <w:p>
      <w:pPr>
        <w:rPr>
          <w:color w:val="auto"/>
          <w:szCs w:val="21"/>
        </w:rPr>
      </w:pPr>
      <w:r>
        <w:rPr>
          <w:color w:val="auto"/>
          <w:szCs w:val="21"/>
        </w:rPr>
        <w:t>通讯方式：上行TCP/IP、RS485</w:t>
      </w:r>
    </w:p>
    <w:p>
      <w:pPr>
        <w:rPr>
          <w:color w:val="auto"/>
          <w:szCs w:val="21"/>
        </w:rPr>
      </w:pPr>
      <w:r>
        <w:rPr>
          <w:color w:val="auto"/>
          <w:szCs w:val="21"/>
        </w:rPr>
        <w:t>读卡器接口：RS485和Wiegand双通讯接口</w:t>
      </w:r>
    </w:p>
    <w:p>
      <w:pPr>
        <w:rPr>
          <w:color w:val="auto"/>
          <w:szCs w:val="21"/>
        </w:rPr>
      </w:pPr>
      <w:r>
        <w:rPr>
          <w:color w:val="auto"/>
          <w:szCs w:val="21"/>
        </w:rPr>
        <w:t>存储容量：10万张卡和30万记录存储</w:t>
      </w:r>
    </w:p>
    <w:p>
      <w:pPr>
        <w:rPr>
          <w:color w:val="auto"/>
          <w:szCs w:val="21"/>
        </w:rPr>
      </w:pPr>
      <w:r>
        <w:rPr>
          <w:color w:val="auto"/>
          <w:szCs w:val="21"/>
        </w:rPr>
        <w:t>工作电压：自带机箱和供电电源（AC220V输入），工作电压DC 12V，功耗≤4W（不带负载）</w:t>
      </w:r>
    </w:p>
    <w:p>
      <w:pPr>
        <w:rPr>
          <w:color w:val="auto"/>
          <w:szCs w:val="21"/>
        </w:rPr>
      </w:pPr>
      <w:r>
        <w:rPr>
          <w:color w:val="auto"/>
          <w:szCs w:val="21"/>
        </w:rPr>
        <w:t>机箱尺寸：345mm（高）x370mm（宽）x90mm（厚）</w:t>
      </w:r>
    </w:p>
    <w:p>
      <w:pPr>
        <w:rPr>
          <w:color w:val="auto"/>
          <w:szCs w:val="21"/>
        </w:rPr>
      </w:pPr>
      <w:r>
        <w:rPr>
          <w:color w:val="auto"/>
          <w:szCs w:val="21"/>
        </w:rPr>
        <w:t>支持蓄电池（303700655 OT7-12蓄电池）接入，设备本身不含蓄电池；</w:t>
      </w:r>
    </w:p>
    <w:p>
      <w:pPr>
        <w:rPr>
          <w:color w:val="auto"/>
          <w:szCs w:val="21"/>
        </w:rPr>
      </w:pPr>
    </w:p>
    <w:p>
      <w:pPr>
        <w:pStyle w:val="6"/>
        <w:numPr>
          <w:ilvl w:val="0"/>
          <w:numId w:val="0"/>
        </w:numPr>
        <w:rPr>
          <w:b/>
          <w:bCs/>
          <w:color w:val="auto"/>
          <w:szCs w:val="21"/>
        </w:rPr>
      </w:pPr>
    </w:p>
    <w:p>
      <w:pPr>
        <w:widowControl/>
        <w:shd w:val="clear" w:color="auto" w:fill="FFFFFF"/>
        <w:spacing w:line="360" w:lineRule="auto"/>
        <w:rPr>
          <w:rFonts w:hint="eastAsia" w:eastAsia="宋体"/>
          <w:bCs/>
          <w:color w:val="auto"/>
          <w:szCs w:val="21"/>
          <w:lang w:eastAsia="zh-CN"/>
        </w:rPr>
      </w:pPr>
      <w:r>
        <w:rPr>
          <w:rFonts w:hint="eastAsia"/>
          <w:bCs/>
          <w:color w:val="auto"/>
          <w:szCs w:val="21"/>
        </w:rPr>
        <w:t>2、投标单位根据设备附件清单分别报单价、投标总价</w:t>
      </w:r>
      <w:r>
        <w:rPr>
          <w:rFonts w:hint="eastAsia"/>
          <w:bCs/>
          <w:color w:val="auto"/>
          <w:szCs w:val="21"/>
          <w:lang w:eastAsia="zh-CN"/>
        </w:rPr>
        <w:t>。</w:t>
      </w:r>
    </w:p>
    <w:p>
      <w:pPr>
        <w:autoSpaceDE w:val="0"/>
        <w:autoSpaceDN w:val="0"/>
        <w:adjustRightInd w:val="0"/>
        <w:snapToGrid w:val="0"/>
        <w:spacing w:line="480" w:lineRule="exact"/>
        <w:rPr>
          <w:color w:val="auto"/>
          <w:szCs w:val="21"/>
        </w:rPr>
      </w:pPr>
      <w:r>
        <w:rPr>
          <w:rFonts w:hint="eastAsia"/>
          <w:color w:val="auto"/>
          <w:szCs w:val="21"/>
        </w:rPr>
        <w:t>3、本次招标的合格投标人应同时满足下列资格要求：</w:t>
      </w:r>
    </w:p>
    <w:p>
      <w:pPr>
        <w:autoSpaceDE w:val="0"/>
        <w:autoSpaceDN w:val="0"/>
        <w:adjustRightInd w:val="0"/>
        <w:snapToGrid w:val="0"/>
        <w:spacing w:line="480" w:lineRule="exact"/>
        <w:ind w:firstLine="561"/>
        <w:rPr>
          <w:color w:val="auto"/>
          <w:szCs w:val="21"/>
        </w:rPr>
      </w:pPr>
      <w:r>
        <w:rPr>
          <w:rFonts w:hint="eastAsia"/>
          <w:color w:val="auto"/>
          <w:szCs w:val="21"/>
        </w:rPr>
        <w:t>（1）投标人必须具备独立法人资格 （ 提供企业营业执照、税务登记证、组织机构代码证，如营业执照、组织机构代码证税务登记证，三证合一，则只提供营业执照；提供复印件加盖公章）。</w:t>
      </w:r>
    </w:p>
    <w:p>
      <w:pPr>
        <w:spacing w:line="480" w:lineRule="exact"/>
        <w:ind w:firstLine="514" w:firstLineChars="245"/>
        <w:rPr>
          <w:rFonts w:ascii="宋体" w:hAnsi="宋体"/>
          <w:color w:val="auto"/>
          <w:szCs w:val="21"/>
        </w:rPr>
      </w:pPr>
      <w:r>
        <w:rPr>
          <w:rFonts w:hint="eastAsia" w:ascii="宋体" w:hAnsi="宋体"/>
          <w:color w:val="auto"/>
          <w:szCs w:val="21"/>
        </w:rPr>
        <w:t xml:space="preserve">（2）所投标设备需符合行业标准及执行标准。 </w:t>
      </w:r>
    </w:p>
    <w:p>
      <w:pPr>
        <w:autoSpaceDE w:val="0"/>
        <w:autoSpaceDN w:val="0"/>
        <w:adjustRightInd w:val="0"/>
        <w:snapToGrid w:val="0"/>
        <w:spacing w:line="480" w:lineRule="exact"/>
        <w:ind w:firstLine="561"/>
        <w:rPr>
          <w:color w:val="auto"/>
          <w:szCs w:val="21"/>
        </w:rPr>
      </w:pPr>
      <w:r>
        <w:rPr>
          <w:rFonts w:hint="eastAsia"/>
          <w:color w:val="auto"/>
          <w:szCs w:val="21"/>
        </w:rPr>
        <w:t>（3）本项目不接受联合体投标。</w:t>
      </w:r>
    </w:p>
    <w:p>
      <w:pPr>
        <w:autoSpaceDE w:val="0"/>
        <w:autoSpaceDN w:val="0"/>
        <w:adjustRightInd w:val="0"/>
        <w:snapToGrid w:val="0"/>
        <w:spacing w:line="480" w:lineRule="exact"/>
        <w:ind w:firstLine="561"/>
        <w:rPr>
          <w:rFonts w:ascii="宋体" w:hAnsi="宋体"/>
          <w:color w:val="auto"/>
          <w:szCs w:val="21"/>
        </w:rPr>
      </w:pPr>
      <w:r>
        <w:rPr>
          <w:rFonts w:hint="eastAsia"/>
          <w:color w:val="auto"/>
          <w:szCs w:val="21"/>
        </w:rPr>
        <w:t>（4）</w:t>
      </w:r>
      <w:r>
        <w:rPr>
          <w:rFonts w:hint="eastAsia" w:ascii="宋体" w:hAnsi="宋体"/>
          <w:color w:val="auto"/>
          <w:szCs w:val="21"/>
        </w:rPr>
        <w:t>所投标报价均包含税务局规定税率的正规发票。</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（5）所有提供设备均需为原厂正品，且为市场通用或主流产品。</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3、投标文件正本一份、副本两份，正本必须用不能擦去的墨水书写或打印，副本可以复印。正本、副本都应装订成册，并在封面上正确标明“正本”、“副本”字样，正、副本不一致时，以正本为准。</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4、具有独立法人资格的生产企业或代理商，此报价为材料送达招标方指定地点（安装调试验收合格）的价格。</w:t>
      </w:r>
    </w:p>
    <w:p>
      <w:pPr>
        <w:autoSpaceDE w:val="0"/>
        <w:autoSpaceDN w:val="0"/>
        <w:adjustRightInd w:val="0"/>
        <w:snapToGrid w:val="0"/>
        <w:spacing w:line="480" w:lineRule="exact"/>
        <w:ind w:firstLine="561"/>
        <w:rPr>
          <w:rFonts w:hint="eastAsia" w:ascii="宋体" w:hAnsi="宋体" w:eastAsia="宋体"/>
          <w:color w:val="auto"/>
          <w:szCs w:val="21"/>
          <w:lang w:eastAsia="zh-CN"/>
        </w:rPr>
      </w:pPr>
      <w:r>
        <w:rPr>
          <w:rFonts w:hint="eastAsia"/>
          <w:color w:val="auto"/>
          <w:szCs w:val="21"/>
        </w:rPr>
        <w:t>5、本</w:t>
      </w:r>
      <w:r>
        <w:rPr>
          <w:rFonts w:hint="eastAsia" w:ascii="宋体" w:hAnsi="宋体"/>
          <w:color w:val="auto"/>
          <w:szCs w:val="21"/>
        </w:rPr>
        <w:t>次招标工作内容</w:t>
      </w:r>
      <w:r>
        <w:rPr>
          <w:rFonts w:hint="eastAsia" w:ascii="宋体" w:hAnsi="宋体"/>
          <w:color w:val="auto"/>
          <w:szCs w:val="21"/>
          <w:lang w:eastAsia="zh-CN"/>
        </w:rPr>
        <w:t>：</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5.1新系统的设备供货、安装、调试。</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1"/>
        <w:textAlignment w:val="auto"/>
        <w:rPr>
          <w:rFonts w:hint="eastAsia" w:ascii="宋体" w:hAnsi="宋体" w:eastAsia="宋体"/>
          <w:color w:val="auto"/>
          <w:szCs w:val="21"/>
          <w:lang w:eastAsia="zh-CN"/>
        </w:rPr>
      </w:pPr>
      <w:r>
        <w:rPr>
          <w:rFonts w:hint="eastAsia" w:ascii="宋体" w:hAnsi="宋体"/>
          <w:color w:val="auto"/>
          <w:szCs w:val="21"/>
        </w:rPr>
        <w:t>5.2</w:t>
      </w:r>
      <w:r>
        <w:rPr>
          <w:rFonts w:hint="eastAsia" w:ascii="宋体" w:hAnsi="宋体"/>
          <w:color w:val="auto"/>
          <w:szCs w:val="21"/>
        </w:rPr>
        <w:t>线缆的敷设、接线</w:t>
      </w:r>
      <w:r>
        <w:rPr>
          <w:rFonts w:hint="eastAsia" w:ascii="宋体" w:hAnsi="宋体"/>
          <w:color w:val="auto"/>
          <w:szCs w:val="21"/>
          <w:lang w:eastAsia="zh-CN"/>
        </w:rPr>
        <w:t>、</w:t>
      </w:r>
      <w:r>
        <w:rPr>
          <w:rFonts w:hint="eastAsia" w:ascii="宋体" w:hAnsi="宋体"/>
          <w:color w:val="auto"/>
          <w:szCs w:val="21"/>
        </w:rPr>
        <w:t>穿管、预埋</w:t>
      </w:r>
      <w:r>
        <w:rPr>
          <w:rFonts w:hint="eastAsia" w:ascii="宋体" w:hAnsi="宋体"/>
          <w:color w:val="auto"/>
          <w:szCs w:val="21"/>
          <w:lang w:eastAsia="zh-CN"/>
        </w:rPr>
        <w:t>等</w:t>
      </w:r>
      <w:r>
        <w:rPr>
          <w:rFonts w:hint="eastAsia" w:ascii="宋体" w:hAnsi="宋体"/>
          <w:color w:val="auto"/>
          <w:szCs w:val="21"/>
        </w:rPr>
        <w:t>。</w:t>
      </w:r>
      <w:r>
        <w:rPr>
          <w:rFonts w:hint="eastAsia" w:ascii="宋体" w:hAnsi="宋体"/>
          <w:color w:val="auto"/>
          <w:szCs w:val="21"/>
          <w:lang w:eastAsia="zh-CN"/>
        </w:rPr>
        <w:t>（</w:t>
      </w:r>
      <w:r>
        <w:rPr>
          <w:rFonts w:hint="eastAsia" w:ascii="宋体" w:hAnsi="宋体"/>
          <w:color w:val="auto"/>
          <w:szCs w:val="21"/>
        </w:rPr>
        <w:t>原室外立杆</w:t>
      </w:r>
      <w:r>
        <w:rPr>
          <w:rFonts w:hint="eastAsia" w:ascii="宋体" w:hAnsi="宋体"/>
          <w:color w:val="auto"/>
          <w:szCs w:val="21"/>
          <w:lang w:val="en-US" w:eastAsia="zh-CN"/>
        </w:rPr>
        <w:t>&lt;如有&gt;</w:t>
      </w:r>
      <w:r>
        <w:rPr>
          <w:rFonts w:hint="eastAsia" w:ascii="宋体" w:hAnsi="宋体"/>
          <w:color w:val="auto"/>
          <w:szCs w:val="21"/>
        </w:rPr>
        <w:t>、线缆等如能</w:t>
      </w:r>
      <w:r>
        <w:rPr>
          <w:rFonts w:hint="eastAsia" w:ascii="宋体" w:hAnsi="宋体"/>
          <w:color w:val="auto"/>
          <w:szCs w:val="21"/>
          <w:lang w:eastAsia="zh-CN"/>
        </w:rPr>
        <w:t>继续</w:t>
      </w:r>
      <w:r>
        <w:rPr>
          <w:rFonts w:hint="eastAsia" w:ascii="宋体" w:hAnsi="宋体"/>
          <w:color w:val="auto"/>
          <w:szCs w:val="21"/>
        </w:rPr>
        <w:t>使用</w:t>
      </w:r>
      <w:r>
        <w:rPr>
          <w:rFonts w:hint="eastAsia" w:ascii="宋体" w:hAnsi="宋体"/>
          <w:color w:val="auto"/>
          <w:szCs w:val="21"/>
          <w:lang w:eastAsia="zh-CN"/>
        </w:rPr>
        <w:t>则</w:t>
      </w:r>
      <w:r>
        <w:rPr>
          <w:rFonts w:hint="eastAsia" w:ascii="宋体" w:hAnsi="宋体"/>
          <w:color w:val="auto"/>
          <w:szCs w:val="21"/>
        </w:rPr>
        <w:t>应</w:t>
      </w:r>
      <w:r>
        <w:rPr>
          <w:rFonts w:hint="eastAsia" w:ascii="宋体" w:hAnsi="宋体"/>
          <w:color w:val="auto"/>
          <w:szCs w:val="21"/>
          <w:lang w:eastAsia="zh-CN"/>
        </w:rPr>
        <w:t>予以留</w:t>
      </w:r>
      <w:r>
        <w:rPr>
          <w:rFonts w:hint="eastAsia" w:ascii="宋体" w:hAnsi="宋体"/>
          <w:color w:val="auto"/>
          <w:szCs w:val="21"/>
        </w:rPr>
        <w:t>用以降低工程造价，在设备清单上需注明，所有旧的材料和设备的使用必须得到</w:t>
      </w:r>
      <w:r>
        <w:rPr>
          <w:rFonts w:hint="eastAsia" w:ascii="宋体" w:hAnsi="宋体"/>
          <w:color w:val="auto"/>
          <w:szCs w:val="21"/>
          <w:lang w:eastAsia="zh-CN"/>
        </w:rPr>
        <w:t>使用部门</w:t>
      </w:r>
      <w:r>
        <w:rPr>
          <w:rFonts w:hint="eastAsia" w:ascii="宋体" w:hAnsi="宋体"/>
          <w:color w:val="auto"/>
          <w:szCs w:val="21"/>
        </w:rPr>
        <w:t>的认可</w:t>
      </w:r>
      <w:r>
        <w:rPr>
          <w:rFonts w:hint="eastAsia" w:ascii="宋体" w:hAnsi="宋体"/>
          <w:color w:val="auto"/>
          <w:szCs w:val="21"/>
          <w:lang w:eastAsia="zh-CN"/>
        </w:rPr>
        <w:t>并留存清单并经双方签字确认）</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1"/>
        <w:textAlignment w:val="auto"/>
        <w:rPr>
          <w:rFonts w:ascii="宋体" w:hAnsi="宋体"/>
          <w:color w:val="auto"/>
          <w:szCs w:val="21"/>
        </w:rPr>
      </w:pPr>
      <w:r>
        <w:rPr>
          <w:rFonts w:hint="eastAsia" w:ascii="宋体" w:hAnsi="宋体"/>
          <w:color w:val="auto"/>
          <w:szCs w:val="21"/>
        </w:rPr>
        <w:t>5.3整个系统的技术培训。</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1"/>
        <w:textAlignment w:val="auto"/>
        <w:rPr>
          <w:rFonts w:hint="eastAsia" w:ascii="宋体" w:hAnsi="宋体"/>
          <w:color w:val="auto"/>
          <w:szCs w:val="21"/>
        </w:rPr>
      </w:pPr>
      <w:r>
        <w:rPr>
          <w:rFonts w:hint="eastAsia" w:ascii="宋体" w:hAnsi="宋体"/>
          <w:color w:val="auto"/>
          <w:szCs w:val="21"/>
        </w:rPr>
        <w:t>5.4整个系统应符合公安部门的技术要求</w:t>
      </w:r>
      <w:r>
        <w:rPr>
          <w:rFonts w:hint="eastAsia" w:ascii="宋体" w:hAnsi="宋体"/>
          <w:color w:val="auto"/>
          <w:szCs w:val="21"/>
        </w:rPr>
        <w:t>并经公安部门</w:t>
      </w:r>
      <w:r>
        <w:rPr>
          <w:rFonts w:hint="eastAsia" w:ascii="宋体" w:hAnsi="宋体"/>
          <w:color w:val="auto"/>
          <w:szCs w:val="21"/>
          <w:lang w:val="en-US" w:eastAsia="zh-CN"/>
        </w:rPr>
        <w:t>检查</w:t>
      </w:r>
      <w:r>
        <w:rPr>
          <w:rFonts w:hint="eastAsia" w:ascii="宋体" w:hAnsi="宋体"/>
          <w:color w:val="auto"/>
          <w:szCs w:val="21"/>
        </w:rPr>
        <w:t>合格</w:t>
      </w:r>
      <w:r>
        <w:rPr>
          <w:rFonts w:hint="eastAsia" w:ascii="宋体" w:hAnsi="宋体"/>
          <w:color w:val="auto"/>
          <w:szCs w:val="21"/>
        </w:rPr>
        <w:t>。</w:t>
      </w:r>
    </w:p>
    <w:p>
      <w:pPr>
        <w:pStyle w:val="2"/>
        <w:keepNext w:val="0"/>
        <w:keepLines w:val="0"/>
        <w:pageBreakBefore w:val="0"/>
        <w:widowControl w:val="0"/>
        <w:kinsoku/>
        <w:wordWrap/>
        <w:overflowPunct/>
        <w:topLinePunct w:val="0"/>
        <w:bidi w:val="0"/>
        <w:spacing w:line="480" w:lineRule="exact"/>
        <w:ind w:left="0" w:leftChars="0" w:firstLine="560" w:firstLineChars="0"/>
        <w:textAlignment w:val="auto"/>
        <w:rPr>
          <w:rFonts w:hint="default" w:eastAsia="宋体"/>
          <w:color w:val="auto"/>
          <w:sz w:val="21"/>
          <w:szCs w:val="21"/>
          <w:lang w:val="en-US" w:eastAsia="zh-CN"/>
        </w:rPr>
      </w:pPr>
      <w:r>
        <w:rPr>
          <w:rFonts w:hint="eastAsia"/>
          <w:color w:val="auto"/>
          <w:sz w:val="21"/>
          <w:szCs w:val="21"/>
          <w:lang w:val="en-US" w:eastAsia="zh-CN"/>
        </w:rPr>
        <w:t>5.5新系统与一厂智慧安防系统的接入。</w:t>
      </w:r>
    </w:p>
    <w:p>
      <w:pPr>
        <w:autoSpaceDE w:val="0"/>
        <w:autoSpaceDN w:val="0"/>
        <w:adjustRightInd w:val="0"/>
        <w:snapToGrid w:val="0"/>
        <w:spacing w:line="480" w:lineRule="exact"/>
        <w:rPr>
          <w:rFonts w:ascii="宋体" w:hAnsi="宋体"/>
          <w:b/>
          <w:bCs/>
          <w:color w:val="auto"/>
          <w:szCs w:val="21"/>
        </w:rPr>
      </w:pPr>
      <w:r>
        <w:rPr>
          <w:rFonts w:hint="eastAsia" w:ascii="宋体" w:hAnsi="宋体"/>
          <w:b/>
          <w:bCs/>
          <w:color w:val="auto"/>
          <w:szCs w:val="21"/>
        </w:rPr>
        <w:t>三、投标文件的密封与递交</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1、投标文件的份数和签署</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投标文件应使用不能擦去的墨水书写或打印，由投标人加盖法人公章和法定代表人或法定代表人委托的代理人印鉴或签字。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2、投标文件的密封与标志</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所有封袋上都应写明招标人名称、项目名称、投标人名称、卷别；</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3、投标截止期</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3.1投标人应在投标须知中规定的时间之前将投标文件递交到招标文件前附表指定地点。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4、投标文件的修改与撤回</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4.2投标文件的修改应按本文件相关条款规定的要求编制、密封、标志和递交（密封袋上应标明“修改”字样）。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4.3投标截止以后,在投标有效期内，未确定中标人前，投标人不得撤回投标文件。</w:t>
      </w:r>
      <w:bookmarkStart w:id="0" w:name="EB66450c37613b4d8bb5d2ef34d49a190f"/>
      <w:r>
        <w:rPr>
          <w:rFonts w:ascii="宋体" w:hAnsi="宋体"/>
          <w:color w:val="auto"/>
          <w:szCs w:val="21"/>
        </w:rPr>
        <w:t xml:space="preserve"> </w:t>
      </w:r>
      <w:bookmarkEnd w:id="0"/>
      <w:bookmarkStart w:id="1" w:name="EB0f01764a82a04f44abcb858eaf46c6a5"/>
      <w:r>
        <w:rPr>
          <w:rFonts w:ascii="宋体" w:hAnsi="宋体"/>
          <w:color w:val="auto"/>
          <w:szCs w:val="21"/>
        </w:rPr>
        <w:t xml:space="preserve"> </w:t>
      </w:r>
      <w:bookmarkEnd w:id="1"/>
    </w:p>
    <w:p>
      <w:pPr>
        <w:autoSpaceDE w:val="0"/>
        <w:autoSpaceDN w:val="0"/>
        <w:adjustRightInd w:val="0"/>
        <w:snapToGrid w:val="0"/>
        <w:spacing w:line="480" w:lineRule="exact"/>
        <w:rPr>
          <w:rFonts w:ascii="宋体" w:hAnsi="宋体"/>
          <w:b/>
          <w:bCs/>
          <w:color w:val="auto"/>
          <w:szCs w:val="21"/>
        </w:rPr>
      </w:pPr>
      <w:r>
        <w:rPr>
          <w:rFonts w:hint="eastAsia" w:ascii="宋体" w:hAnsi="宋体"/>
          <w:b/>
          <w:bCs/>
          <w:color w:val="auto"/>
          <w:szCs w:val="21"/>
        </w:rPr>
        <w:t>四、评标</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1.1评标委员会</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1.2评审程序</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评标按照下列程序进行：1）评标准备；2）初步评审；3）详细评审；4）推荐中标候选人，撰写评标报告。</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1.3评标准备</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1.3.1评标委员会成员签到</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1.3.2 评标委员会的分工</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1.3.3 熟悉文件资料</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1.4初步评审</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1.4.1响应性评审</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1.4.2算术错误修正</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1.4.3澄清、说明或补正</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在初步评审过程中，评标委员会应当就投标文件中不明确的内容要求投标人进行澄清．</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1.5投标过程中出现下列情况之一的将作为无效投标处理：</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1、投标书未加盖单位法人章，无法定代表人或其授权委托人的签字；</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2、投标文件载明的货物包装方式、检验标准和方法等不符合招标文件的要求；</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3、投标文件提出了不能满足招标文件要求或招标人不能接受的工程验收、计量、价款结算支付办法；</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4、经评标委员会认定投标人的投标报价低于成本价的；</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5、投标人未按照招标文件的要求提供必须提交的相关资料的；</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6、投标文件附有招标人不能接受的条件；</w:t>
      </w:r>
    </w:p>
    <w:p>
      <w:pPr>
        <w:autoSpaceDE w:val="0"/>
        <w:autoSpaceDN w:val="0"/>
        <w:adjustRightInd w:val="0"/>
        <w:snapToGrid w:val="0"/>
        <w:spacing w:line="480" w:lineRule="exact"/>
        <w:rPr>
          <w:rFonts w:ascii="宋体" w:hAnsi="宋体"/>
          <w:b/>
          <w:color w:val="auto"/>
          <w:szCs w:val="21"/>
        </w:rPr>
      </w:pPr>
      <w:r>
        <w:rPr>
          <w:rFonts w:hint="eastAsia" w:ascii="宋体" w:hAnsi="宋体"/>
          <w:b/>
          <w:color w:val="auto"/>
          <w:szCs w:val="21"/>
        </w:rPr>
        <w:t>五、评标细则（满分100分）</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本次评标按百分制评分，其中商务评审为70分，技术评审为30分。具体评分细则如下：</w:t>
      </w:r>
    </w:p>
    <w:p>
      <w:pPr>
        <w:autoSpaceDE w:val="0"/>
        <w:autoSpaceDN w:val="0"/>
        <w:adjustRightInd w:val="0"/>
        <w:snapToGrid w:val="0"/>
        <w:spacing w:line="480" w:lineRule="exact"/>
        <w:rPr>
          <w:rFonts w:ascii="宋体" w:hAnsi="宋体"/>
          <w:b/>
          <w:color w:val="auto"/>
          <w:szCs w:val="21"/>
        </w:rPr>
      </w:pPr>
      <w:r>
        <w:rPr>
          <w:rFonts w:hint="eastAsia" w:ascii="宋体" w:hAnsi="宋体"/>
          <w:b/>
          <w:color w:val="auto"/>
          <w:szCs w:val="21"/>
        </w:rPr>
        <w:t>总则</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评委会成员应严格按下列具体评审内容及相应分值客观、公正地进行评分。计算每个投标人的得分时，对所有评委的评分计算算术平均值作为该投标人的最终得分。</w:t>
      </w:r>
    </w:p>
    <w:p>
      <w:pPr>
        <w:keepNext w:val="0"/>
        <w:keepLines w:val="0"/>
        <w:pageBreakBefore w:val="0"/>
        <w:widowControl w:val="0"/>
        <w:kinsoku/>
        <w:wordWrap/>
        <w:overflowPunct/>
        <w:topLinePunct w:val="0"/>
        <w:autoSpaceDE w:val="0"/>
        <w:autoSpaceDN w:val="0"/>
        <w:bidi w:val="0"/>
        <w:adjustRightInd w:val="0"/>
        <w:snapToGrid w:val="0"/>
        <w:spacing w:line="480" w:lineRule="exact"/>
        <w:textAlignment w:val="auto"/>
        <w:rPr>
          <w:rFonts w:ascii="宋体" w:hAnsi="宋体"/>
          <w:b/>
          <w:color w:val="auto"/>
          <w:szCs w:val="21"/>
        </w:rPr>
      </w:pPr>
      <w:r>
        <w:rPr>
          <w:rFonts w:hint="eastAsia" w:ascii="宋体" w:hAnsi="宋体"/>
          <w:b/>
          <w:color w:val="auto"/>
          <w:szCs w:val="21"/>
        </w:rPr>
        <w:t>&lt;一&gt;、商务评审得分（满分70分）</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422" w:firstLineChars="200"/>
        <w:textAlignment w:val="auto"/>
        <w:rPr>
          <w:rFonts w:ascii="宋体" w:hAnsi="宋体"/>
          <w:b/>
          <w:bCs/>
          <w:color w:val="auto"/>
          <w:szCs w:val="21"/>
        </w:rPr>
      </w:pPr>
      <w:r>
        <w:rPr>
          <w:rFonts w:hint="eastAsia" w:ascii="宋体" w:hAnsi="宋体"/>
          <w:b/>
          <w:bCs/>
          <w:color w:val="auto"/>
          <w:szCs w:val="21"/>
        </w:rPr>
        <w:t>1、报价评审得分（满分50分）</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420" w:firstLineChars="200"/>
        <w:textAlignment w:val="auto"/>
        <w:rPr>
          <w:rFonts w:ascii="宋体" w:hAnsi="宋体"/>
          <w:color w:val="auto"/>
          <w:szCs w:val="21"/>
        </w:rPr>
      </w:pPr>
      <w:r>
        <w:rPr>
          <w:rFonts w:hint="eastAsia" w:ascii="宋体" w:hAnsi="宋体"/>
          <w:color w:val="auto"/>
          <w:szCs w:val="21"/>
        </w:rPr>
        <w:t xml:space="preserve">报价得分（满分50分）：以所有有效投标人评标价的算术平均值（如投标人超过5家（含5家），则去掉一个最高价和一个最低价后计算算术平均值）下浮2%作为基准价得满分50分，其余投标人的评标价与基准价相比，投标人评标价每高基准价1%扣0.5分，每低基准价1%的扣0.3分，偏离不足1%的，按1%算。（保留两位小数）。                                    </w:t>
      </w:r>
    </w:p>
    <w:p>
      <w:pPr>
        <w:keepNext w:val="0"/>
        <w:keepLines w:val="0"/>
        <w:pageBreakBefore w:val="0"/>
        <w:kinsoku/>
        <w:wordWrap/>
        <w:overflowPunct/>
        <w:topLinePunct w:val="0"/>
        <w:autoSpaceDE w:val="0"/>
        <w:autoSpaceDN w:val="0"/>
        <w:bidi w:val="0"/>
        <w:adjustRightInd w:val="0"/>
        <w:snapToGrid w:val="0"/>
        <w:spacing w:line="480" w:lineRule="exact"/>
        <w:ind w:firstLine="422" w:firstLineChars="200"/>
        <w:textAlignment w:val="auto"/>
        <w:rPr>
          <w:rFonts w:ascii="宋体" w:hAnsi="宋体"/>
          <w:b/>
          <w:bCs/>
          <w:color w:val="auto"/>
          <w:szCs w:val="21"/>
        </w:rPr>
      </w:pPr>
      <w:r>
        <w:rPr>
          <w:rFonts w:hint="eastAsia" w:ascii="宋体" w:hAnsi="宋体"/>
          <w:b/>
          <w:bCs/>
          <w:color w:val="auto"/>
          <w:szCs w:val="21"/>
        </w:rPr>
        <w:t>2、业绩得分  （满分 15分）</w:t>
      </w:r>
    </w:p>
    <w:p>
      <w:pPr>
        <w:keepNext w:val="0"/>
        <w:keepLines w:val="0"/>
        <w:pageBreakBefore w:val="0"/>
        <w:widowControl/>
        <w:kinsoku/>
        <w:wordWrap/>
        <w:overflowPunct/>
        <w:topLinePunct w:val="0"/>
        <w:bidi w:val="0"/>
        <w:spacing w:line="480" w:lineRule="exact"/>
        <w:ind w:firstLine="420" w:firstLineChars="200"/>
        <w:textAlignment w:val="auto"/>
        <w:rPr>
          <w:rFonts w:ascii="宋体" w:hAnsi="宋体" w:cs="宋体"/>
          <w:color w:val="auto"/>
          <w:kern w:val="0"/>
          <w:szCs w:val="21"/>
        </w:rPr>
      </w:pPr>
      <w:r>
        <w:rPr>
          <w:rFonts w:hint="eastAsia" w:ascii="宋体" w:hAnsi="宋体" w:cs="宋体"/>
          <w:color w:val="auto"/>
          <w:kern w:val="0"/>
          <w:szCs w:val="21"/>
        </w:rPr>
        <w:t>1、投标人提供自2018年6月1日（以合同书签订时间为准）至今已完工类似监控系统安装业绩项目，每一个的2分，提供水厂相关监控系统安装业绩项目，每一个得3分，总分不超过15分。</w:t>
      </w:r>
    </w:p>
    <w:p>
      <w:pPr>
        <w:keepNext w:val="0"/>
        <w:keepLines w:val="0"/>
        <w:pageBreakBefore w:val="0"/>
        <w:kinsoku/>
        <w:wordWrap/>
        <w:overflowPunct/>
        <w:topLinePunct w:val="0"/>
        <w:autoSpaceDE w:val="0"/>
        <w:autoSpaceDN w:val="0"/>
        <w:bidi w:val="0"/>
        <w:adjustRightInd w:val="0"/>
        <w:snapToGrid w:val="0"/>
        <w:spacing w:line="480" w:lineRule="exact"/>
        <w:ind w:firstLine="422" w:firstLineChars="200"/>
        <w:textAlignment w:val="auto"/>
        <w:rPr>
          <w:rFonts w:ascii="宋体" w:hAnsi="宋体"/>
          <w:b/>
          <w:bCs/>
          <w:color w:val="auto"/>
          <w:szCs w:val="21"/>
        </w:rPr>
      </w:pPr>
      <w:r>
        <w:rPr>
          <w:rFonts w:hint="eastAsia" w:ascii="宋体" w:hAnsi="宋体"/>
          <w:b/>
          <w:bCs/>
          <w:color w:val="auto"/>
          <w:szCs w:val="21"/>
        </w:rPr>
        <w:t>3、售后服务得分（满分5分）</w:t>
      </w:r>
    </w:p>
    <w:p>
      <w:pPr>
        <w:keepNext w:val="0"/>
        <w:keepLines w:val="0"/>
        <w:pageBreakBefore w:val="0"/>
        <w:widowControl/>
        <w:kinsoku/>
        <w:wordWrap/>
        <w:overflowPunct/>
        <w:topLinePunct w:val="0"/>
        <w:bidi w:val="0"/>
        <w:spacing w:line="480" w:lineRule="exact"/>
        <w:ind w:firstLine="420" w:firstLineChars="200"/>
        <w:jc w:val="left"/>
        <w:textAlignment w:val="auto"/>
        <w:rPr>
          <w:rFonts w:ascii="宋体" w:hAnsi="宋体" w:cs="宋体"/>
          <w:color w:val="auto"/>
          <w:kern w:val="0"/>
          <w:szCs w:val="21"/>
        </w:rPr>
      </w:pPr>
      <w:r>
        <w:rPr>
          <w:rFonts w:hint="eastAsia" w:ascii="宋体" w:hAnsi="宋体" w:cs="宋体"/>
          <w:color w:val="auto"/>
          <w:kern w:val="0"/>
          <w:szCs w:val="21"/>
        </w:rPr>
        <w:t>1、投标人注册在在扬州市本地或设有分公司、分支机构、办事处，或授权售后服务单位的得1分（提供营业执照或其他证明材料复印件加盖投标人公章）；</w:t>
      </w:r>
    </w:p>
    <w:p>
      <w:pPr>
        <w:pStyle w:val="6"/>
        <w:keepNext w:val="0"/>
        <w:keepLines w:val="0"/>
        <w:pageBreakBefore w:val="0"/>
        <w:numPr>
          <w:ilvl w:val="0"/>
          <w:numId w:val="0"/>
        </w:numPr>
        <w:kinsoku/>
        <w:wordWrap/>
        <w:overflowPunct/>
        <w:topLinePunct w:val="0"/>
        <w:bidi w:val="0"/>
        <w:spacing w:line="480" w:lineRule="exact"/>
        <w:ind w:firstLine="420" w:firstLineChars="200"/>
        <w:textAlignment w:val="auto"/>
        <w:rPr>
          <w:color w:val="auto"/>
          <w:szCs w:val="21"/>
        </w:rPr>
      </w:pPr>
      <w:r>
        <w:rPr>
          <w:rFonts w:hint="eastAsia" w:ascii="宋体" w:hAnsi="宋体" w:cs="宋体"/>
          <w:color w:val="auto"/>
          <w:kern w:val="0"/>
          <w:szCs w:val="21"/>
        </w:rPr>
        <w:t>2、投标人提供</w:t>
      </w:r>
      <w:r>
        <w:rPr>
          <w:rFonts w:hint="eastAsia" w:ascii="宋体" w:hAnsi="宋体"/>
          <w:color w:val="auto"/>
          <w:szCs w:val="21"/>
          <w:lang w:val="zh-CN"/>
        </w:rPr>
        <w:t>服务响应承诺：提供24小时内响应服务承诺的得</w:t>
      </w:r>
      <w:r>
        <w:rPr>
          <w:rFonts w:hint="eastAsia" w:ascii="宋体" w:hAnsi="宋体"/>
          <w:color w:val="auto"/>
          <w:szCs w:val="21"/>
        </w:rPr>
        <w:t>2</w:t>
      </w:r>
      <w:r>
        <w:rPr>
          <w:rFonts w:hint="eastAsia" w:ascii="宋体" w:hAnsi="宋体"/>
          <w:color w:val="auto"/>
          <w:szCs w:val="21"/>
          <w:lang w:val="zh-CN"/>
        </w:rPr>
        <w:t>分，提供12小时响应服务承诺的得</w:t>
      </w:r>
      <w:r>
        <w:rPr>
          <w:rFonts w:hint="eastAsia" w:ascii="宋体" w:hAnsi="宋体"/>
          <w:color w:val="auto"/>
          <w:szCs w:val="21"/>
        </w:rPr>
        <w:t>4</w:t>
      </w:r>
      <w:r>
        <w:rPr>
          <w:rFonts w:hint="eastAsia" w:ascii="宋体" w:hAnsi="宋体"/>
          <w:color w:val="auto"/>
          <w:szCs w:val="21"/>
          <w:lang w:val="zh-CN"/>
        </w:rPr>
        <w:t>分（提供售后服务承诺书加盖投标人公章）。</w:t>
      </w:r>
    </w:p>
    <w:p>
      <w:pPr>
        <w:autoSpaceDE w:val="0"/>
        <w:autoSpaceDN w:val="0"/>
        <w:adjustRightInd w:val="0"/>
        <w:snapToGrid w:val="0"/>
        <w:spacing w:line="360" w:lineRule="auto"/>
        <w:rPr>
          <w:rFonts w:ascii="宋体" w:hAnsi="宋体"/>
          <w:b/>
          <w:color w:val="auto"/>
          <w:szCs w:val="21"/>
        </w:rPr>
      </w:pPr>
      <w:r>
        <w:rPr>
          <w:rFonts w:hint="eastAsia" w:ascii="宋体" w:hAnsi="宋体"/>
          <w:b/>
          <w:color w:val="auto"/>
          <w:szCs w:val="21"/>
        </w:rPr>
        <w:t>&lt;二&gt;、技术评审得分（满分30分）</w:t>
      </w:r>
    </w:p>
    <w:p>
      <w:pPr>
        <w:pStyle w:val="6"/>
        <w:numPr>
          <w:ilvl w:val="0"/>
          <w:numId w:val="0"/>
        </w:numPr>
        <w:spacing w:line="360" w:lineRule="auto"/>
        <w:ind w:left="358"/>
        <w:rPr>
          <w:rFonts w:ascii="宋体" w:hAnsi="宋体" w:cs="宋体"/>
          <w:b/>
          <w:bCs/>
          <w:color w:val="auto"/>
          <w:kern w:val="0"/>
          <w:szCs w:val="21"/>
        </w:rPr>
      </w:pPr>
      <w:r>
        <w:rPr>
          <w:rFonts w:hint="eastAsia" w:ascii="宋体" w:hAnsi="宋体" w:cs="宋体"/>
          <w:b/>
          <w:bCs/>
          <w:color w:val="auto"/>
          <w:kern w:val="0"/>
          <w:szCs w:val="21"/>
        </w:rPr>
        <w:t>1、技术性能（满分15分）</w:t>
      </w:r>
    </w:p>
    <w:p>
      <w:pPr>
        <w:pStyle w:val="6"/>
        <w:numPr>
          <w:ilvl w:val="0"/>
          <w:numId w:val="0"/>
        </w:numPr>
        <w:spacing w:line="360" w:lineRule="auto"/>
        <w:ind w:firstLine="420" w:firstLineChars="200"/>
        <w:rPr>
          <w:rFonts w:hint="eastAsia" w:ascii="宋体" w:hAnsi="宋体" w:eastAsia="宋体" w:cs="宋体"/>
          <w:color w:val="auto"/>
          <w:kern w:val="0"/>
          <w:szCs w:val="21"/>
          <w:lang w:eastAsia="zh-CN"/>
        </w:rPr>
      </w:pPr>
      <w:r>
        <w:rPr>
          <w:rFonts w:hint="eastAsia" w:ascii="宋体" w:hAnsi="宋体" w:cs="宋体"/>
          <w:color w:val="auto"/>
          <w:kern w:val="0"/>
          <w:szCs w:val="21"/>
          <w:lang w:val="en-US" w:eastAsia="zh-CN"/>
        </w:rPr>
        <w:t>投标人所投产品主要技术参数、性能基本符合招标文件要求得基准分5分，</w:t>
      </w:r>
      <w:r>
        <w:rPr>
          <w:rFonts w:hint="eastAsia" w:ascii="宋体" w:hAnsi="宋体" w:cs="宋体"/>
          <w:color w:val="auto"/>
          <w:kern w:val="0"/>
          <w:szCs w:val="21"/>
        </w:rPr>
        <w:t>投标人</w:t>
      </w:r>
      <w:r>
        <w:rPr>
          <w:rFonts w:hint="eastAsia" w:ascii="宋体" w:hAnsi="宋体" w:cs="宋体"/>
          <w:color w:val="auto"/>
          <w:kern w:val="0"/>
          <w:szCs w:val="21"/>
          <w:lang w:eastAsia="zh-CN"/>
        </w:rPr>
        <w:t>投标主材各项技术参数完全符合招标要求并提供相关检测资料得</w:t>
      </w:r>
      <w:r>
        <w:rPr>
          <w:rFonts w:hint="eastAsia" w:ascii="宋体" w:hAnsi="宋体" w:cs="宋体"/>
          <w:color w:val="auto"/>
          <w:kern w:val="0"/>
          <w:szCs w:val="21"/>
          <w:lang w:val="en-US" w:eastAsia="zh-CN"/>
        </w:rPr>
        <w:t>10分，少一种主材的相关检测资料扣2分。</w:t>
      </w:r>
      <w:r>
        <w:rPr>
          <w:rFonts w:hint="eastAsia" w:ascii="宋体" w:hAnsi="宋体" w:cs="宋体"/>
          <w:color w:val="auto"/>
          <w:kern w:val="0"/>
          <w:szCs w:val="21"/>
        </w:rPr>
        <w:t>以投标人提供的公安部门出具的检测报告（提供检验报告复印件加盖厂家公章或投标专用章）或厂家盖章证明材料为准</w:t>
      </w:r>
      <w:r>
        <w:rPr>
          <w:rFonts w:hint="eastAsia" w:ascii="宋体" w:hAnsi="宋体" w:cs="宋体"/>
          <w:color w:val="auto"/>
          <w:kern w:val="0"/>
          <w:szCs w:val="21"/>
          <w:lang w:eastAsia="zh-CN"/>
        </w:rPr>
        <w:t>。</w:t>
      </w:r>
    </w:p>
    <w:p>
      <w:pPr>
        <w:pStyle w:val="18"/>
        <w:numPr>
          <w:ilvl w:val="0"/>
          <w:numId w:val="3"/>
        </w:numPr>
        <w:autoSpaceDE w:val="0"/>
        <w:autoSpaceDN w:val="0"/>
        <w:adjustRightInd w:val="0"/>
        <w:snapToGrid w:val="0"/>
        <w:spacing w:line="360" w:lineRule="auto"/>
        <w:ind w:firstLineChars="0"/>
        <w:rPr>
          <w:rFonts w:ascii="宋体" w:hAnsi="宋体" w:cs="宋体"/>
          <w:b/>
          <w:bCs/>
          <w:color w:val="auto"/>
          <w:kern w:val="0"/>
          <w:szCs w:val="21"/>
        </w:rPr>
      </w:pPr>
      <w:r>
        <w:rPr>
          <w:rFonts w:hint="eastAsia" w:ascii="宋体" w:hAnsi="宋体" w:cs="宋体"/>
          <w:b/>
          <w:bCs/>
          <w:color w:val="auto"/>
          <w:kern w:val="0"/>
          <w:szCs w:val="21"/>
        </w:rPr>
        <w:t>技术和实施方案（15分）</w:t>
      </w:r>
    </w:p>
    <w:p>
      <w:pPr>
        <w:pStyle w:val="18"/>
        <w:spacing w:line="360" w:lineRule="auto"/>
        <w:ind w:left="360" w:firstLine="0" w:firstLineChars="0"/>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1）、投标人提供结构清晰、规范全面的技术方案，深入理解建设目标，明确建设内容等。</w:t>
      </w:r>
    </w:p>
    <w:p>
      <w:pPr>
        <w:pStyle w:val="18"/>
        <w:spacing w:line="360" w:lineRule="auto"/>
        <w:ind w:left="720" w:firstLine="0" w:firstLineChars="0"/>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方案结构清晰，规范全面，提供资料完整，得8分</w:t>
      </w:r>
    </w:p>
    <w:p>
      <w:pPr>
        <w:pStyle w:val="18"/>
        <w:spacing w:line="360" w:lineRule="auto"/>
        <w:ind w:left="720" w:firstLine="0" w:firstLineChars="0"/>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方案比较结构清晰，比较规范全面，提供资料较完整，得4分</w:t>
      </w:r>
    </w:p>
    <w:p>
      <w:pPr>
        <w:pStyle w:val="18"/>
        <w:widowControl/>
        <w:spacing w:line="360" w:lineRule="auto"/>
        <w:ind w:left="720" w:firstLine="0" w:firstLineChars="0"/>
        <w:rPr>
          <w:rFonts w:ascii="宋体" w:hAnsi="宋体"/>
          <w:color w:val="auto"/>
          <w:szCs w:val="21"/>
        </w:rPr>
      </w:pPr>
      <w:r>
        <w:rPr>
          <w:rFonts w:hint="eastAsia" w:ascii="宋体" w:hAnsi="宋体" w:eastAsia="宋体" w:cs="Times New Roman"/>
          <w:color w:val="auto"/>
          <w:kern w:val="2"/>
          <w:sz w:val="21"/>
          <w:szCs w:val="21"/>
          <w:lang w:val="en-US" w:eastAsia="zh-CN" w:bidi="ar-SA"/>
        </w:rPr>
        <w:t>方案整体设计一般，得1分</w:t>
      </w:r>
    </w:p>
    <w:p>
      <w:pPr>
        <w:widowControl/>
        <w:spacing w:line="360" w:lineRule="auto"/>
        <w:ind w:left="315" w:leftChars="150"/>
        <w:rPr>
          <w:rFonts w:ascii="宋体" w:hAnsi="宋体" w:cs="宋体"/>
          <w:color w:val="auto"/>
          <w:kern w:val="0"/>
          <w:szCs w:val="21"/>
        </w:rPr>
      </w:pPr>
      <w:r>
        <w:rPr>
          <w:rFonts w:hint="eastAsia" w:ascii="宋体" w:hAnsi="宋体" w:eastAsia="宋体" w:cs="Times New Roman"/>
          <w:color w:val="auto"/>
          <w:kern w:val="2"/>
          <w:sz w:val="21"/>
          <w:szCs w:val="21"/>
          <w:lang w:val="en-US" w:eastAsia="zh-CN" w:bidi="ar-SA"/>
        </w:rPr>
        <w:t>2）、投标人施工总体部署合理，对本工程特点有针对性措施，主要分项工程的施工方法切实可行、质量安全保证措施完善、施工进度计划及工期保证措施恰当。</w:t>
      </w:r>
      <w:r>
        <w:rPr>
          <w:rFonts w:hint="eastAsia" w:ascii="宋体" w:hAnsi="宋体" w:eastAsia="宋体" w:cs="宋体"/>
          <w:color w:val="auto"/>
          <w:kern w:val="0"/>
          <w:sz w:val="21"/>
          <w:szCs w:val="21"/>
          <w:lang w:val="en-US" w:eastAsia="zh-CN" w:bidi="ar-SA"/>
        </w:rPr>
        <w:t>投标人能够根据招标方以及现场勘探的实际情况提供合理的一水厂氯库安防升级保障方案。</w:t>
      </w:r>
    </w:p>
    <w:p>
      <w:pPr>
        <w:pStyle w:val="18"/>
        <w:widowControl/>
        <w:spacing w:line="360" w:lineRule="auto"/>
        <w:ind w:left="720" w:firstLine="0" w:firstLineChars="0"/>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方案结构清晰，规范全面，提供资料完整，得7分</w:t>
      </w:r>
    </w:p>
    <w:p>
      <w:pPr>
        <w:pStyle w:val="18"/>
        <w:widowControl/>
        <w:spacing w:line="360" w:lineRule="auto"/>
        <w:ind w:left="720" w:firstLine="0" w:firstLineChars="0"/>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方案比较结构清晰，比较规范全面，提供资料较完整，得3分</w:t>
      </w:r>
    </w:p>
    <w:p>
      <w:pPr>
        <w:pStyle w:val="6"/>
        <w:numPr>
          <w:ilvl w:val="0"/>
          <w:numId w:val="0"/>
        </w:numPr>
        <w:spacing w:line="360" w:lineRule="auto"/>
        <w:ind w:left="720"/>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方案整体设计一般，得1分</w:t>
      </w:r>
    </w:p>
    <w:p>
      <w:pPr>
        <w:pStyle w:val="18"/>
        <w:autoSpaceDE w:val="0"/>
        <w:autoSpaceDN w:val="0"/>
        <w:adjustRightInd w:val="0"/>
        <w:snapToGrid w:val="0"/>
        <w:spacing w:line="480" w:lineRule="exact"/>
        <w:ind w:firstLine="0" w:firstLineChars="0"/>
        <w:rPr>
          <w:rFonts w:ascii="宋体" w:hAnsi="宋体"/>
          <w:color w:val="auto"/>
          <w:szCs w:val="21"/>
        </w:rPr>
      </w:pPr>
      <w:r>
        <w:rPr>
          <w:rFonts w:hint="eastAsia" w:ascii="宋体" w:hAnsi="宋体"/>
          <w:b/>
          <w:bCs/>
          <w:color w:val="auto"/>
          <w:szCs w:val="21"/>
        </w:rPr>
        <w:t>六、定标</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rPr>
          <w:rFonts w:hint="eastAsia" w:ascii="宋体" w:hAnsi="宋体"/>
          <w:b/>
          <w:bCs/>
          <w:color w:val="auto"/>
          <w:szCs w:val="21"/>
        </w:rPr>
      </w:pPr>
    </w:p>
    <w:p>
      <w:pPr>
        <w:pStyle w:val="18"/>
        <w:autoSpaceDE w:val="0"/>
        <w:autoSpaceDN w:val="0"/>
        <w:adjustRightInd w:val="0"/>
        <w:snapToGrid w:val="0"/>
        <w:spacing w:line="480" w:lineRule="exact"/>
        <w:ind w:firstLine="0" w:firstLineChars="0"/>
        <w:rPr>
          <w:rFonts w:ascii="宋体" w:hAnsi="宋体"/>
          <w:b/>
          <w:bCs/>
          <w:color w:val="auto"/>
          <w:szCs w:val="21"/>
        </w:rPr>
      </w:pPr>
      <w:r>
        <w:rPr>
          <w:rFonts w:hint="eastAsia" w:ascii="宋体" w:hAnsi="宋体"/>
          <w:b/>
          <w:bCs/>
          <w:color w:val="auto"/>
          <w:szCs w:val="21"/>
        </w:rPr>
        <w:t>七、通用合同条款：</w:t>
      </w:r>
    </w:p>
    <w:p>
      <w:pPr>
        <w:pStyle w:val="6"/>
        <w:numPr>
          <w:ilvl w:val="0"/>
          <w:numId w:val="0"/>
        </w:numPr>
        <w:rPr>
          <w:color w:val="auto"/>
        </w:rPr>
      </w:pPr>
    </w:p>
    <w:p>
      <w:pPr>
        <w:jc w:val="center"/>
        <w:rPr>
          <w:rFonts w:ascii="黑体" w:eastAsia="黑体"/>
          <w:b/>
          <w:color w:val="auto"/>
          <w:sz w:val="36"/>
          <w:szCs w:val="36"/>
        </w:rPr>
      </w:pPr>
      <w:r>
        <w:rPr>
          <w:rFonts w:hint="eastAsia" w:ascii="黑体" w:eastAsia="黑体"/>
          <w:b/>
          <w:color w:val="auto"/>
          <w:sz w:val="36"/>
          <w:szCs w:val="36"/>
        </w:rPr>
        <w:t>合  同</w:t>
      </w:r>
    </w:p>
    <w:p>
      <w:pPr>
        <w:jc w:val="center"/>
        <w:rPr>
          <w:rFonts w:ascii="黑体" w:hAnsi="宋体" w:eastAsia="黑体"/>
          <w:color w:val="auto"/>
          <w:sz w:val="28"/>
          <w:szCs w:val="28"/>
        </w:rPr>
      </w:pPr>
    </w:p>
    <w:p>
      <w:pPr>
        <w:spacing w:line="440" w:lineRule="exact"/>
        <w:ind w:left="420"/>
        <w:rPr>
          <w:rFonts w:ascii="宋体" w:hAnsi="宋体"/>
          <w:color w:val="auto"/>
          <w:sz w:val="24"/>
        </w:rPr>
      </w:pPr>
      <w:r>
        <w:rPr>
          <w:rFonts w:hint="eastAsia" w:ascii="宋体" w:hAnsi="宋体"/>
          <w:color w:val="auto"/>
          <w:sz w:val="24"/>
        </w:rPr>
        <w:t>买方：江苏长江水务股份有限公司</w:t>
      </w:r>
    </w:p>
    <w:p>
      <w:pPr>
        <w:spacing w:line="440" w:lineRule="exact"/>
        <w:ind w:left="420"/>
        <w:rPr>
          <w:rFonts w:ascii="宋体" w:hAnsi="宋体"/>
          <w:color w:val="auto"/>
          <w:sz w:val="24"/>
        </w:rPr>
      </w:pPr>
      <w:r>
        <w:rPr>
          <w:rFonts w:hint="eastAsia" w:ascii="宋体" w:hAnsi="宋体"/>
          <w:color w:val="auto"/>
          <w:sz w:val="24"/>
        </w:rPr>
        <w:t>卖方：</w:t>
      </w:r>
    </w:p>
    <w:p>
      <w:pPr>
        <w:spacing w:line="440" w:lineRule="exact"/>
        <w:ind w:right="-290" w:rightChars="-138"/>
        <w:rPr>
          <w:rFonts w:ascii="宋体" w:hAnsi="宋体"/>
          <w:color w:val="auto"/>
          <w:sz w:val="24"/>
        </w:rPr>
      </w:pPr>
    </w:p>
    <w:p>
      <w:pPr>
        <w:spacing w:line="440" w:lineRule="exact"/>
        <w:ind w:right="-290" w:rightChars="-138"/>
        <w:rPr>
          <w:rFonts w:ascii="宋体" w:hAnsi="宋体"/>
          <w:color w:val="auto"/>
          <w:sz w:val="24"/>
        </w:rPr>
      </w:pPr>
      <w:r>
        <w:rPr>
          <w:rFonts w:hint="eastAsia" w:ascii="宋体" w:hAnsi="宋体"/>
          <w:color w:val="auto"/>
          <w:sz w:val="24"/>
        </w:rPr>
        <w:t xml:space="preserve">    江苏长江水务股份有限公司（以下简称“买方”）通过公开招标方式，确定 公司（以下简称“卖方”）为江苏长江水务股份有限公司一水厂氯库安防系统整改项目的供应方，经买卖双方协商一致，签订本合同。</w:t>
      </w:r>
    </w:p>
    <w:p>
      <w:pPr>
        <w:spacing w:line="440" w:lineRule="exact"/>
        <w:ind w:firstLine="570"/>
        <w:rPr>
          <w:rFonts w:ascii="宋体" w:hAnsi="宋体"/>
          <w:b/>
          <w:color w:val="auto"/>
          <w:sz w:val="24"/>
        </w:rPr>
      </w:pPr>
      <w:r>
        <w:rPr>
          <w:rFonts w:hint="eastAsia" w:ascii="宋体" w:hAnsi="宋体"/>
          <w:b/>
          <w:color w:val="auto"/>
          <w:sz w:val="24"/>
        </w:rPr>
        <w:t>第一条　名词和用语</w:t>
      </w:r>
    </w:p>
    <w:p>
      <w:pPr>
        <w:spacing w:line="440" w:lineRule="exact"/>
        <w:ind w:firstLine="570"/>
        <w:rPr>
          <w:rFonts w:ascii="宋体" w:hAnsi="宋体"/>
          <w:color w:val="auto"/>
          <w:sz w:val="24"/>
        </w:rPr>
      </w:pPr>
      <w:r>
        <w:rPr>
          <w:rFonts w:hint="eastAsia" w:ascii="宋体" w:hAnsi="宋体"/>
          <w:color w:val="auto"/>
          <w:sz w:val="24"/>
        </w:rPr>
        <w:t>下列名词和用语， 除上下文另有规定外，有如下含义：</w:t>
      </w:r>
    </w:p>
    <w:p>
      <w:pPr>
        <w:numPr>
          <w:ilvl w:val="0"/>
          <w:numId w:val="4"/>
        </w:numPr>
        <w:spacing w:line="440" w:lineRule="exact"/>
        <w:ind w:hanging="600"/>
        <w:rPr>
          <w:rFonts w:ascii="宋体" w:hAnsi="宋体"/>
          <w:color w:val="auto"/>
          <w:sz w:val="24"/>
        </w:rPr>
      </w:pPr>
      <w:r>
        <w:rPr>
          <w:rFonts w:hint="eastAsia" w:ascii="宋体" w:hAnsi="宋体"/>
          <w:color w:val="auto"/>
          <w:sz w:val="24"/>
        </w:rPr>
        <w:t>“工程”是指江苏长江水务股份有限公司一水厂氯库安防系统整改项目设备安装采购。</w:t>
      </w:r>
    </w:p>
    <w:p>
      <w:pPr>
        <w:numPr>
          <w:ilvl w:val="0"/>
          <w:numId w:val="4"/>
        </w:numPr>
        <w:spacing w:line="440" w:lineRule="exact"/>
        <w:ind w:hanging="600"/>
        <w:rPr>
          <w:rFonts w:ascii="宋体" w:hAnsi="宋体"/>
          <w:color w:val="auto"/>
          <w:sz w:val="24"/>
        </w:rPr>
      </w:pPr>
      <w:r>
        <w:rPr>
          <w:rFonts w:hint="eastAsia" w:ascii="宋体" w:hAnsi="宋体"/>
          <w:color w:val="auto"/>
          <w:sz w:val="24"/>
        </w:rPr>
        <w:t>“买方”指江苏长江水务股份有限公司或其合法承继者。</w:t>
      </w:r>
    </w:p>
    <w:p>
      <w:pPr>
        <w:numPr>
          <w:ilvl w:val="0"/>
          <w:numId w:val="4"/>
        </w:numPr>
        <w:spacing w:line="440" w:lineRule="exact"/>
        <w:ind w:hanging="600"/>
        <w:rPr>
          <w:rFonts w:ascii="宋体" w:hAnsi="宋体"/>
          <w:color w:val="auto"/>
          <w:sz w:val="24"/>
        </w:rPr>
      </w:pPr>
      <w:r>
        <w:rPr>
          <w:rFonts w:hint="eastAsia" w:ascii="宋体" w:hAnsi="宋体"/>
          <w:color w:val="auto"/>
          <w:sz w:val="24"/>
        </w:rPr>
        <w:t>“卖方”是指公司以及其合法承继者。</w:t>
      </w:r>
    </w:p>
    <w:p>
      <w:pPr>
        <w:numPr>
          <w:ilvl w:val="0"/>
          <w:numId w:val="4"/>
        </w:numPr>
        <w:spacing w:line="440" w:lineRule="exact"/>
        <w:ind w:hanging="600"/>
        <w:rPr>
          <w:rFonts w:ascii="宋体" w:hAnsi="宋体"/>
          <w:color w:val="auto"/>
          <w:sz w:val="24"/>
        </w:rPr>
      </w:pPr>
      <w:r>
        <w:rPr>
          <w:rFonts w:hint="eastAsia" w:ascii="宋体" w:hAnsi="宋体"/>
          <w:color w:val="auto"/>
          <w:sz w:val="24"/>
        </w:rPr>
        <w:t>“中标通知书”：指买方正式接受卖方投标的接受信。</w:t>
      </w:r>
    </w:p>
    <w:p>
      <w:pPr>
        <w:numPr>
          <w:ilvl w:val="0"/>
          <w:numId w:val="4"/>
        </w:numPr>
        <w:tabs>
          <w:tab w:val="left" w:pos="540"/>
        </w:tabs>
        <w:spacing w:line="440" w:lineRule="exact"/>
        <w:ind w:left="540" w:firstLine="0"/>
        <w:rPr>
          <w:rFonts w:ascii="宋体" w:hAnsi="宋体"/>
          <w:color w:val="auto"/>
          <w:sz w:val="24"/>
        </w:rPr>
      </w:pPr>
      <w:r>
        <w:rPr>
          <w:rFonts w:hint="eastAsia" w:ascii="宋体" w:hAnsi="宋体"/>
          <w:color w:val="auto"/>
          <w:sz w:val="24"/>
        </w:rPr>
        <w:t>“不可抗力”：任何一方都不能预见、对其发生及后果不能避免并且超过合理控制范围、且不能克服的自然事件和社会事件。</w:t>
      </w:r>
    </w:p>
    <w:p>
      <w:pPr>
        <w:numPr>
          <w:ilvl w:val="0"/>
          <w:numId w:val="4"/>
        </w:numPr>
        <w:tabs>
          <w:tab w:val="left" w:pos="540"/>
        </w:tabs>
        <w:spacing w:line="440" w:lineRule="exact"/>
        <w:ind w:left="540" w:firstLine="0"/>
        <w:rPr>
          <w:rFonts w:ascii="宋体" w:hAnsi="宋体"/>
          <w:color w:val="auto"/>
          <w:sz w:val="24"/>
        </w:rPr>
      </w:pPr>
      <w:r>
        <w:rPr>
          <w:rFonts w:hint="eastAsia" w:ascii="宋体" w:hAnsi="宋体"/>
          <w:color w:val="auto"/>
          <w:sz w:val="24"/>
        </w:rPr>
        <w:t>“合同价款”：指根据合同条款，用以支付卖方在全面正确地履行合同义务后卖方所应得的金额。</w:t>
      </w:r>
    </w:p>
    <w:p>
      <w:pPr>
        <w:numPr>
          <w:ilvl w:val="0"/>
          <w:numId w:val="4"/>
        </w:numPr>
        <w:spacing w:line="440" w:lineRule="exact"/>
        <w:ind w:hanging="600"/>
        <w:rPr>
          <w:rFonts w:ascii="宋体" w:hAnsi="宋体"/>
          <w:color w:val="auto"/>
          <w:sz w:val="24"/>
        </w:rPr>
      </w:pPr>
      <w:r>
        <w:rPr>
          <w:rFonts w:hint="eastAsia" w:ascii="宋体" w:hAnsi="宋体"/>
          <w:color w:val="auto"/>
          <w:sz w:val="24"/>
        </w:rPr>
        <w:t>“一方”：指买方或卖方的任何一方。</w:t>
      </w:r>
    </w:p>
    <w:p>
      <w:pPr>
        <w:numPr>
          <w:ilvl w:val="0"/>
          <w:numId w:val="4"/>
        </w:numPr>
        <w:tabs>
          <w:tab w:val="left" w:pos="540"/>
        </w:tabs>
        <w:spacing w:line="440" w:lineRule="exact"/>
        <w:ind w:left="540" w:firstLine="0"/>
        <w:rPr>
          <w:rFonts w:ascii="宋体" w:hAnsi="宋体"/>
          <w:color w:val="auto"/>
          <w:sz w:val="24"/>
        </w:rPr>
      </w:pPr>
      <w:r>
        <w:rPr>
          <w:rFonts w:hint="eastAsia" w:ascii="宋体" w:hAnsi="宋体"/>
          <w:color w:val="auto"/>
          <w:sz w:val="24"/>
        </w:rPr>
        <w:t>“服务”：系指合同规定卖方需承担的检验、运输、保险、交接验收、技术援助与保障、培训以及其它类似的在合同中所提到的卖方的义务。</w:t>
      </w:r>
    </w:p>
    <w:p>
      <w:pPr>
        <w:numPr>
          <w:ilvl w:val="0"/>
          <w:numId w:val="4"/>
        </w:numPr>
        <w:spacing w:line="440" w:lineRule="exact"/>
        <w:ind w:hanging="600"/>
        <w:rPr>
          <w:rFonts w:ascii="宋体" w:hAnsi="宋体"/>
          <w:color w:val="auto"/>
          <w:sz w:val="24"/>
        </w:rPr>
      </w:pPr>
      <w:r>
        <w:rPr>
          <w:rFonts w:hint="eastAsia" w:ascii="宋体" w:hAnsi="宋体"/>
          <w:color w:val="auto"/>
          <w:sz w:val="24"/>
        </w:rPr>
        <w:t>“现场”系指将要进行加工或货物使用的地点。</w:t>
      </w:r>
    </w:p>
    <w:p>
      <w:pPr>
        <w:numPr>
          <w:ilvl w:val="0"/>
          <w:numId w:val="4"/>
        </w:numPr>
        <w:tabs>
          <w:tab w:val="left" w:pos="540"/>
        </w:tabs>
        <w:spacing w:line="440" w:lineRule="exact"/>
        <w:ind w:left="540" w:firstLine="0"/>
        <w:rPr>
          <w:rFonts w:ascii="宋体" w:hAnsi="宋体"/>
          <w:color w:val="auto"/>
          <w:sz w:val="24"/>
        </w:rPr>
      </w:pPr>
      <w:r>
        <w:rPr>
          <w:rFonts w:hint="eastAsia" w:ascii="宋体" w:hAnsi="宋体"/>
          <w:color w:val="auto"/>
          <w:sz w:val="24"/>
        </w:rPr>
        <w:t>“技术资料”是指卖方提供的与合同设备及相关的设计、制造、监造、检验、指导安装、调试、验收、性能验收试验和技术指导等文件(包括图纸、各种文字说明、标准、各种软件)。</w:t>
      </w:r>
    </w:p>
    <w:p>
      <w:pPr>
        <w:numPr>
          <w:ilvl w:val="0"/>
          <w:numId w:val="4"/>
        </w:numPr>
        <w:tabs>
          <w:tab w:val="left" w:pos="540"/>
        </w:tabs>
        <w:spacing w:line="440" w:lineRule="exact"/>
        <w:ind w:left="540" w:firstLine="0"/>
        <w:rPr>
          <w:rFonts w:ascii="宋体" w:hAnsi="宋体"/>
          <w:color w:val="auto"/>
          <w:sz w:val="24"/>
        </w:rPr>
      </w:pPr>
      <w:r>
        <w:rPr>
          <w:rFonts w:hint="eastAsia" w:ascii="宋体" w:hAnsi="宋体"/>
          <w:color w:val="auto"/>
          <w:sz w:val="24"/>
        </w:rPr>
        <w:t>“合同设备”是指卖方根据合同所供应的机器、装置、材料、物品、专用工具、备品备件等。</w:t>
      </w:r>
    </w:p>
    <w:p>
      <w:pPr>
        <w:numPr>
          <w:ilvl w:val="0"/>
          <w:numId w:val="4"/>
        </w:numPr>
        <w:tabs>
          <w:tab w:val="left" w:pos="540"/>
        </w:tabs>
        <w:spacing w:line="440" w:lineRule="exact"/>
        <w:ind w:left="540" w:firstLine="0"/>
        <w:rPr>
          <w:rFonts w:ascii="宋体" w:hAnsi="宋体"/>
          <w:color w:val="auto"/>
          <w:sz w:val="24"/>
        </w:rPr>
      </w:pPr>
      <w:r>
        <w:rPr>
          <w:rFonts w:hint="eastAsia" w:ascii="宋体" w:hAnsi="宋体"/>
          <w:color w:val="auto"/>
          <w:sz w:val="24"/>
        </w:rPr>
        <w:t>“技术服务”是指由卖方提供的与本合同设备有关的工程设计、设备监造、检验、土建、指导安装、调试、验收、性能验收试验、运行、检修时相应的技术指导、技术配合、技术培训等全过程的服务。</w:t>
      </w:r>
    </w:p>
    <w:p>
      <w:pPr>
        <w:numPr>
          <w:ilvl w:val="0"/>
          <w:numId w:val="4"/>
        </w:numPr>
        <w:tabs>
          <w:tab w:val="left" w:pos="540"/>
        </w:tabs>
        <w:spacing w:line="440" w:lineRule="exact"/>
        <w:ind w:left="540" w:firstLine="0"/>
        <w:rPr>
          <w:rFonts w:ascii="宋体" w:hAnsi="宋体"/>
          <w:color w:val="auto"/>
          <w:sz w:val="24"/>
        </w:rPr>
      </w:pPr>
      <w:r>
        <w:rPr>
          <w:rFonts w:hint="eastAsia" w:ascii="宋体" w:hAnsi="宋体"/>
          <w:color w:val="auto"/>
          <w:sz w:val="24"/>
        </w:rPr>
        <w:t>“验收”系指买方依据技术规格书规定接受所供货物应依据的程序和检验。</w:t>
      </w:r>
    </w:p>
    <w:p>
      <w:pPr>
        <w:numPr>
          <w:ilvl w:val="0"/>
          <w:numId w:val="4"/>
        </w:numPr>
        <w:tabs>
          <w:tab w:val="left" w:pos="540"/>
        </w:tabs>
        <w:spacing w:line="440" w:lineRule="exact"/>
        <w:ind w:left="540" w:firstLine="0"/>
        <w:rPr>
          <w:rFonts w:ascii="宋体" w:hAnsi="宋体"/>
          <w:color w:val="auto"/>
          <w:sz w:val="24"/>
        </w:rPr>
      </w:pPr>
      <w:r>
        <w:rPr>
          <w:rFonts w:hint="eastAsia" w:ascii="宋体" w:hAnsi="宋体"/>
          <w:color w:val="auto"/>
          <w:sz w:val="24"/>
        </w:rPr>
        <w:t>“日、月、年”是指公历的日、月、年；“天”是指24小时；“周”是指7天。</w:t>
      </w:r>
    </w:p>
    <w:p>
      <w:pPr>
        <w:numPr>
          <w:ilvl w:val="0"/>
          <w:numId w:val="4"/>
        </w:numPr>
        <w:tabs>
          <w:tab w:val="left" w:pos="540"/>
        </w:tabs>
        <w:spacing w:line="440" w:lineRule="exact"/>
        <w:ind w:left="540" w:firstLine="0"/>
        <w:rPr>
          <w:rFonts w:ascii="宋体" w:hAnsi="宋体"/>
          <w:color w:val="auto"/>
          <w:sz w:val="24"/>
        </w:rPr>
      </w:pPr>
      <w:r>
        <w:rPr>
          <w:rFonts w:hint="eastAsia" w:ascii="宋体" w:hAnsi="宋体"/>
          <w:color w:val="auto"/>
          <w:sz w:val="24"/>
        </w:rPr>
        <w:t>“备品备件”是指根据本合同提供的随机备用部件。</w:t>
      </w:r>
    </w:p>
    <w:p>
      <w:pPr>
        <w:numPr>
          <w:ilvl w:val="0"/>
          <w:numId w:val="4"/>
        </w:numPr>
        <w:tabs>
          <w:tab w:val="left" w:pos="540"/>
        </w:tabs>
        <w:spacing w:line="440" w:lineRule="exact"/>
        <w:ind w:left="540" w:firstLine="0"/>
        <w:rPr>
          <w:rFonts w:ascii="宋体" w:hAnsi="宋体"/>
          <w:color w:val="auto"/>
          <w:sz w:val="24"/>
        </w:rPr>
      </w:pPr>
      <w:r>
        <w:rPr>
          <w:rFonts w:hint="eastAsia" w:ascii="宋体" w:hAnsi="宋体"/>
          <w:color w:val="auto"/>
          <w:sz w:val="24"/>
        </w:rPr>
        <w:t>“设备缺陷”是指卖方因设计、制造错误或疏忽所引起的本合同设备（包括部件、原材料、铸锻件、原器件等）达不到本合同及技术附件规定的性能、质量标准要求的情形。</w:t>
      </w:r>
    </w:p>
    <w:p>
      <w:pPr>
        <w:numPr>
          <w:ilvl w:val="0"/>
          <w:numId w:val="4"/>
        </w:numPr>
        <w:tabs>
          <w:tab w:val="left" w:pos="540"/>
        </w:tabs>
        <w:spacing w:line="440" w:lineRule="exact"/>
        <w:ind w:left="540" w:firstLine="0"/>
        <w:rPr>
          <w:rFonts w:ascii="宋体" w:hAnsi="宋体"/>
          <w:color w:val="auto"/>
          <w:sz w:val="24"/>
        </w:rPr>
      </w:pPr>
      <w:r>
        <w:rPr>
          <w:rFonts w:hint="eastAsia" w:ascii="宋体" w:hAnsi="宋体"/>
          <w:color w:val="auto"/>
          <w:sz w:val="24"/>
        </w:rPr>
        <w:t>“初步性能验收”是指当性能验收试验的结果表明已达到了合同附件技术规格书规定的保证值后，买方对合同设备的验收。</w:t>
      </w:r>
    </w:p>
    <w:p>
      <w:pPr>
        <w:numPr>
          <w:ilvl w:val="0"/>
          <w:numId w:val="4"/>
        </w:numPr>
        <w:spacing w:line="440" w:lineRule="exact"/>
        <w:ind w:hanging="600"/>
        <w:rPr>
          <w:rFonts w:ascii="宋体" w:hAnsi="宋体"/>
          <w:color w:val="auto"/>
          <w:sz w:val="24"/>
        </w:rPr>
      </w:pPr>
      <w:r>
        <w:rPr>
          <w:rFonts w:hint="eastAsia" w:ascii="宋体" w:hAnsi="宋体"/>
          <w:color w:val="auto"/>
          <w:sz w:val="24"/>
        </w:rPr>
        <w:t>“最终性能验收”是指买方对每一合同设备质量保证期满后的验收。</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第二条　合同条件的构成及解释顺序</w:t>
      </w:r>
    </w:p>
    <w:p>
      <w:pPr>
        <w:spacing w:line="440" w:lineRule="exact"/>
        <w:ind w:firstLine="570"/>
        <w:rPr>
          <w:rFonts w:ascii="宋体" w:hAnsi="宋体"/>
          <w:color w:val="auto"/>
          <w:sz w:val="24"/>
        </w:rPr>
      </w:pPr>
      <w:r>
        <w:rPr>
          <w:rFonts w:hint="eastAsia" w:ascii="宋体" w:hAnsi="宋体"/>
          <w:color w:val="auto"/>
          <w:sz w:val="24"/>
        </w:rPr>
        <w:t>合同文件应能互相解释，互为说明。除合同另有约定外，其组成和解释顺序如下：</w:t>
      </w:r>
    </w:p>
    <w:p>
      <w:pPr>
        <w:numPr>
          <w:ilvl w:val="0"/>
          <w:numId w:val="5"/>
        </w:numPr>
        <w:tabs>
          <w:tab w:val="left" w:pos="1440"/>
        </w:tabs>
        <w:spacing w:line="440" w:lineRule="exact"/>
        <w:rPr>
          <w:rFonts w:ascii="宋体" w:hAnsi="宋体"/>
          <w:color w:val="auto"/>
          <w:sz w:val="24"/>
        </w:rPr>
      </w:pPr>
      <w:r>
        <w:rPr>
          <w:rFonts w:hint="eastAsia" w:ascii="宋体" w:hAnsi="宋体"/>
          <w:color w:val="auto"/>
          <w:sz w:val="24"/>
        </w:rPr>
        <w:t>双方协商同意的对本合同的变更、补充协议等正式书面文件；</w:t>
      </w:r>
    </w:p>
    <w:p>
      <w:pPr>
        <w:numPr>
          <w:ilvl w:val="0"/>
          <w:numId w:val="5"/>
        </w:numPr>
        <w:tabs>
          <w:tab w:val="left" w:pos="1440"/>
        </w:tabs>
        <w:spacing w:line="440" w:lineRule="exact"/>
        <w:rPr>
          <w:rFonts w:ascii="宋体" w:hAnsi="宋体"/>
          <w:color w:val="auto"/>
          <w:sz w:val="24"/>
        </w:rPr>
      </w:pPr>
      <w:r>
        <w:rPr>
          <w:rFonts w:hint="eastAsia" w:ascii="宋体" w:hAnsi="宋体"/>
          <w:color w:val="auto"/>
          <w:sz w:val="24"/>
        </w:rPr>
        <w:t>本合同；</w:t>
      </w:r>
    </w:p>
    <w:p>
      <w:pPr>
        <w:numPr>
          <w:ilvl w:val="0"/>
          <w:numId w:val="5"/>
        </w:numPr>
        <w:tabs>
          <w:tab w:val="left" w:pos="1440"/>
        </w:tabs>
        <w:spacing w:line="440" w:lineRule="exact"/>
        <w:rPr>
          <w:rFonts w:ascii="宋体" w:hAnsi="宋体"/>
          <w:color w:val="auto"/>
          <w:sz w:val="24"/>
        </w:rPr>
      </w:pPr>
      <w:r>
        <w:rPr>
          <w:rFonts w:hint="eastAsia" w:ascii="宋体" w:hAnsi="宋体"/>
          <w:color w:val="auto"/>
          <w:sz w:val="24"/>
        </w:rPr>
        <w:t>中标通知书；</w:t>
      </w:r>
    </w:p>
    <w:p>
      <w:pPr>
        <w:numPr>
          <w:ilvl w:val="0"/>
          <w:numId w:val="5"/>
        </w:numPr>
        <w:tabs>
          <w:tab w:val="left" w:pos="1440"/>
        </w:tabs>
        <w:spacing w:line="440" w:lineRule="exact"/>
        <w:rPr>
          <w:rFonts w:ascii="宋体" w:hAnsi="宋体"/>
          <w:color w:val="auto"/>
          <w:sz w:val="24"/>
        </w:rPr>
      </w:pPr>
      <w:r>
        <w:rPr>
          <w:rFonts w:hint="eastAsia" w:ascii="宋体" w:hAnsi="宋体"/>
          <w:color w:val="auto"/>
          <w:sz w:val="24"/>
        </w:rPr>
        <w:t>投标文件；</w:t>
      </w:r>
    </w:p>
    <w:p>
      <w:pPr>
        <w:numPr>
          <w:ilvl w:val="0"/>
          <w:numId w:val="5"/>
        </w:numPr>
        <w:tabs>
          <w:tab w:val="left" w:pos="1440"/>
        </w:tabs>
        <w:spacing w:line="440" w:lineRule="exact"/>
        <w:rPr>
          <w:rFonts w:ascii="宋体" w:hAnsi="宋体"/>
          <w:color w:val="auto"/>
          <w:sz w:val="24"/>
        </w:rPr>
      </w:pPr>
      <w:r>
        <w:rPr>
          <w:rFonts w:hint="eastAsia" w:ascii="宋体" w:hAnsi="宋体"/>
          <w:color w:val="auto"/>
          <w:sz w:val="24"/>
        </w:rPr>
        <w:t>买方提供的工程技术资料和技术要求；</w:t>
      </w:r>
    </w:p>
    <w:p>
      <w:pPr>
        <w:numPr>
          <w:ilvl w:val="0"/>
          <w:numId w:val="5"/>
        </w:numPr>
        <w:tabs>
          <w:tab w:val="left" w:pos="1440"/>
        </w:tabs>
        <w:spacing w:line="440" w:lineRule="exact"/>
        <w:rPr>
          <w:rFonts w:ascii="宋体" w:hAnsi="宋体"/>
          <w:color w:val="auto"/>
          <w:sz w:val="24"/>
        </w:rPr>
      </w:pPr>
      <w:r>
        <w:rPr>
          <w:rFonts w:hint="eastAsia" w:ascii="宋体" w:hAnsi="宋体"/>
          <w:color w:val="auto"/>
          <w:sz w:val="24"/>
        </w:rPr>
        <w:t>卖方提供的技术资料；</w:t>
      </w:r>
    </w:p>
    <w:p>
      <w:pPr>
        <w:numPr>
          <w:ilvl w:val="0"/>
          <w:numId w:val="5"/>
        </w:numPr>
        <w:tabs>
          <w:tab w:val="left" w:pos="1440"/>
        </w:tabs>
        <w:spacing w:line="440" w:lineRule="exact"/>
        <w:rPr>
          <w:rFonts w:ascii="宋体" w:hAnsi="宋体"/>
          <w:color w:val="auto"/>
          <w:sz w:val="24"/>
        </w:rPr>
      </w:pPr>
      <w:r>
        <w:rPr>
          <w:rFonts w:hint="eastAsia" w:ascii="宋体" w:hAnsi="宋体"/>
          <w:color w:val="auto"/>
          <w:sz w:val="24"/>
        </w:rPr>
        <w:t>招标文件；</w:t>
      </w:r>
    </w:p>
    <w:p>
      <w:pPr>
        <w:spacing w:line="440" w:lineRule="exact"/>
        <w:ind w:left="540" w:leftChars="257" w:firstLine="508" w:firstLineChars="212"/>
        <w:rPr>
          <w:rFonts w:ascii="宋体" w:hAnsi="宋体"/>
          <w:color w:val="auto"/>
          <w:sz w:val="24"/>
        </w:rPr>
      </w:pPr>
      <w:r>
        <w:rPr>
          <w:rFonts w:hint="eastAsia" w:ascii="宋体" w:hAnsi="宋体"/>
          <w:color w:val="auto"/>
          <w:sz w:val="24"/>
        </w:rPr>
        <w:t>当合同文件出现含糊不清或不相一致，并按上述规定不能解决时，由双方协商解决；双方经协商不能达成一致的，按本合同第二十六条约定的办法解决。</w:t>
      </w:r>
    </w:p>
    <w:p>
      <w:pPr>
        <w:spacing w:line="440" w:lineRule="exact"/>
        <w:ind w:firstLine="570"/>
        <w:rPr>
          <w:rFonts w:ascii="宋体" w:hAnsi="宋体"/>
          <w:color w:val="auto"/>
          <w:sz w:val="24"/>
        </w:rPr>
      </w:pPr>
    </w:p>
    <w:p>
      <w:pPr>
        <w:spacing w:line="440" w:lineRule="exact"/>
        <w:ind w:left="540" w:leftChars="257" w:firstLine="30"/>
        <w:rPr>
          <w:rFonts w:ascii="宋体" w:hAnsi="宋体"/>
          <w:b/>
          <w:color w:val="auto"/>
          <w:sz w:val="24"/>
        </w:rPr>
      </w:pPr>
      <w:r>
        <w:rPr>
          <w:rFonts w:hint="eastAsia" w:ascii="宋体" w:hAnsi="宋体"/>
          <w:b/>
          <w:color w:val="auto"/>
          <w:sz w:val="24"/>
        </w:rPr>
        <w:t>第三条 适用的法律</w:t>
      </w:r>
    </w:p>
    <w:p>
      <w:pPr>
        <w:spacing w:line="440" w:lineRule="exact"/>
        <w:ind w:left="540" w:leftChars="257" w:firstLine="508" w:firstLineChars="212"/>
        <w:rPr>
          <w:rFonts w:ascii="宋体" w:hAnsi="宋体"/>
          <w:color w:val="auto"/>
          <w:sz w:val="24"/>
        </w:rPr>
      </w:pPr>
      <w:r>
        <w:rPr>
          <w:rFonts w:hint="eastAsia" w:ascii="宋体" w:hAnsi="宋体"/>
          <w:color w:val="auto"/>
          <w:sz w:val="24"/>
        </w:rPr>
        <w:t>本合同适用的法律是指中华人民共和国的法律、行政法规，以及双方议定的部门规章或工程所在地的地方法规、地方规章。</w:t>
      </w:r>
    </w:p>
    <w:p>
      <w:pPr>
        <w:spacing w:line="440" w:lineRule="exact"/>
        <w:ind w:left="540" w:leftChars="257" w:firstLine="508" w:firstLineChars="212"/>
        <w:rPr>
          <w:rFonts w:ascii="宋体" w:hAnsi="宋体"/>
          <w:color w:val="auto"/>
          <w:sz w:val="24"/>
        </w:rPr>
      </w:pPr>
      <w:r>
        <w:rPr>
          <w:rFonts w:hint="eastAsia" w:ascii="宋体" w:hAnsi="宋体"/>
          <w:color w:val="auto"/>
          <w:sz w:val="24"/>
        </w:rPr>
        <w:t>本合同文件使用中文书写、解释和说明。除技术规格书中另有规定外，计量单位均使用国际单位制。</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第四条 合同标的</w:t>
      </w:r>
    </w:p>
    <w:p>
      <w:pPr>
        <w:numPr>
          <w:ilvl w:val="0"/>
          <w:numId w:val="6"/>
        </w:numPr>
        <w:tabs>
          <w:tab w:val="left" w:pos="900"/>
          <w:tab w:val="left" w:pos="1440"/>
          <w:tab w:val="clear" w:pos="1080"/>
        </w:tabs>
        <w:spacing w:line="440" w:lineRule="exact"/>
        <w:ind w:hanging="540"/>
        <w:rPr>
          <w:rFonts w:ascii="宋体" w:hAnsi="宋体"/>
          <w:color w:val="auto"/>
          <w:sz w:val="24"/>
        </w:rPr>
      </w:pPr>
      <w:r>
        <w:rPr>
          <w:rFonts w:hint="eastAsia" w:ascii="宋体" w:hAnsi="宋体"/>
          <w:color w:val="auto"/>
          <w:sz w:val="24"/>
        </w:rPr>
        <w:t>设备名称、规格(型号)、数量</w:t>
      </w:r>
    </w:p>
    <w:p>
      <w:pPr>
        <w:tabs>
          <w:tab w:val="left" w:pos="900"/>
        </w:tabs>
        <w:spacing w:line="440" w:lineRule="exact"/>
        <w:ind w:left="2485" w:leftChars="429" w:hanging="1584" w:hangingChars="660"/>
        <w:rPr>
          <w:rFonts w:ascii="宋体" w:hAnsi="宋体"/>
          <w:color w:val="auto"/>
          <w:sz w:val="24"/>
        </w:rPr>
      </w:pPr>
      <w:r>
        <w:rPr>
          <w:rFonts w:hint="eastAsia" w:ascii="宋体" w:hAnsi="宋体"/>
          <w:color w:val="auto"/>
          <w:sz w:val="24"/>
        </w:rPr>
        <w:t xml:space="preserve">设备名称：                        </w:t>
      </w:r>
    </w:p>
    <w:p>
      <w:pPr>
        <w:tabs>
          <w:tab w:val="left" w:pos="900"/>
        </w:tabs>
        <w:spacing w:line="440" w:lineRule="exact"/>
        <w:ind w:left="2485" w:leftChars="429" w:hanging="1584" w:hangingChars="660"/>
        <w:rPr>
          <w:rFonts w:ascii="宋体" w:hAnsi="宋体"/>
          <w:color w:val="auto"/>
          <w:sz w:val="24"/>
        </w:rPr>
      </w:pPr>
      <w:r>
        <w:rPr>
          <w:rFonts w:hint="eastAsia" w:ascii="宋体" w:hAnsi="宋体"/>
          <w:color w:val="auto"/>
          <w:sz w:val="24"/>
        </w:rPr>
        <w:t>设备规格(型号)及数量：。</w:t>
      </w:r>
    </w:p>
    <w:p>
      <w:pPr>
        <w:numPr>
          <w:ilvl w:val="0"/>
          <w:numId w:val="6"/>
        </w:numPr>
        <w:tabs>
          <w:tab w:val="left" w:pos="900"/>
          <w:tab w:val="left" w:pos="1440"/>
          <w:tab w:val="clear" w:pos="1080"/>
        </w:tabs>
        <w:spacing w:line="440" w:lineRule="exact"/>
        <w:ind w:left="900"/>
        <w:rPr>
          <w:rFonts w:ascii="宋体" w:hAnsi="宋体"/>
          <w:color w:val="auto"/>
          <w:sz w:val="24"/>
        </w:rPr>
      </w:pPr>
      <w:r>
        <w:rPr>
          <w:rFonts w:hint="eastAsia" w:ascii="宋体" w:hAnsi="宋体"/>
          <w:color w:val="auto"/>
          <w:sz w:val="24"/>
        </w:rPr>
        <w:t>凡卖方供应的设备应是与投标文件中列出的品牌、型号相符合的全新的、质量完好的货物。</w:t>
      </w:r>
    </w:p>
    <w:p>
      <w:pPr>
        <w:numPr>
          <w:ilvl w:val="0"/>
          <w:numId w:val="6"/>
        </w:numPr>
        <w:tabs>
          <w:tab w:val="left" w:pos="900"/>
          <w:tab w:val="left" w:pos="1440"/>
          <w:tab w:val="clear" w:pos="1080"/>
        </w:tabs>
        <w:spacing w:line="440" w:lineRule="exact"/>
        <w:ind w:left="900"/>
        <w:rPr>
          <w:rFonts w:ascii="宋体" w:hAnsi="宋体"/>
          <w:color w:val="auto"/>
          <w:sz w:val="24"/>
        </w:rPr>
      </w:pPr>
      <w:r>
        <w:rPr>
          <w:rFonts w:hint="eastAsia" w:ascii="宋体" w:hAnsi="宋体"/>
          <w:color w:val="auto"/>
          <w:sz w:val="24"/>
        </w:rPr>
        <w:t>设备的技术规范、技术经济指标和性能、合同设备的供货范围、卖方提供的技术资料和技术服务。</w:t>
      </w:r>
    </w:p>
    <w:p>
      <w:pPr>
        <w:spacing w:line="440" w:lineRule="exact"/>
        <w:ind w:left="540" w:leftChars="257" w:firstLine="30"/>
        <w:rPr>
          <w:rFonts w:ascii="宋体" w:hAnsi="宋体"/>
          <w:color w:val="auto"/>
          <w:sz w:val="24"/>
        </w:rPr>
      </w:pPr>
      <w:r>
        <w:rPr>
          <w:rFonts w:hint="eastAsia" w:ascii="宋体" w:hAnsi="宋体"/>
          <w:b/>
          <w:color w:val="auto"/>
          <w:sz w:val="24"/>
        </w:rPr>
        <w:t>第五条 供货范围</w:t>
      </w:r>
    </w:p>
    <w:p>
      <w:pPr>
        <w:spacing w:line="440" w:lineRule="exact"/>
        <w:ind w:left="540" w:leftChars="257" w:firstLine="508" w:firstLineChars="212"/>
        <w:rPr>
          <w:rFonts w:ascii="宋体" w:hAnsi="宋体"/>
          <w:color w:val="auto"/>
          <w:sz w:val="24"/>
        </w:rPr>
      </w:pPr>
      <w:r>
        <w:rPr>
          <w:rFonts w:hint="eastAsia" w:ascii="宋体" w:hAnsi="宋体"/>
          <w:color w:val="auto"/>
          <w:sz w:val="24"/>
        </w:rPr>
        <w:t>本合同的供货范围包括了所有设备、技术资料、专用工具、备品备件、人员培训及技术协调、技术服务及安装技术指导，但在执行合同过程中如发现有任何漏项和短缺，在发货清单中并未列入而且确实是卖方供货范围中应该有的，并且是满足技术规格书对合同设备的性能保证值要求所必须的，均应由卖方负责将所缺的设备、技术资料、专用工具、备品备件、人员培训及技术协调、技术服务及技术指导等补上，发生的费用由卖方承担。</w:t>
      </w:r>
    </w:p>
    <w:p>
      <w:pPr>
        <w:spacing w:line="440" w:lineRule="exact"/>
        <w:ind w:left="540" w:leftChars="257" w:firstLine="3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第六条  包装</w:t>
      </w:r>
    </w:p>
    <w:p>
      <w:pPr>
        <w:numPr>
          <w:ilvl w:val="0"/>
          <w:numId w:val="7"/>
        </w:numPr>
        <w:tabs>
          <w:tab w:val="left" w:pos="1440"/>
        </w:tabs>
        <w:spacing w:line="440" w:lineRule="exact"/>
        <w:rPr>
          <w:rFonts w:ascii="宋体" w:hAnsi="宋体"/>
          <w:color w:val="auto"/>
          <w:sz w:val="24"/>
        </w:rPr>
      </w:pPr>
      <w:r>
        <w:rPr>
          <w:rFonts w:hint="eastAsia" w:ascii="宋体" w:hAnsi="宋体"/>
          <w:color w:val="auto"/>
          <w:sz w:val="24"/>
        </w:rPr>
        <w:t>除非本合同另有规定外，卖方提供所有货物的包装应符合技术规格书及货物承运部门的有关规定，采用良好的防湿、防潮、防震和防野蛮装卸等保护措施，以确保货物安全运抵现场而不使货物受损。如果由于包装不妥或不合理而引起货物损坏和丢失的责任，卖方应按本合同第十五条的规定承担更换或赔偿的责任。如果因此造成整个工程损失的，卖方应此类损失承担赔偿责任。</w:t>
      </w:r>
    </w:p>
    <w:p>
      <w:pPr>
        <w:numPr>
          <w:ilvl w:val="0"/>
          <w:numId w:val="7"/>
        </w:numPr>
        <w:tabs>
          <w:tab w:val="left" w:pos="1440"/>
        </w:tabs>
        <w:spacing w:line="440" w:lineRule="exact"/>
        <w:rPr>
          <w:rFonts w:ascii="宋体" w:hAnsi="宋体"/>
          <w:color w:val="auto"/>
          <w:sz w:val="24"/>
        </w:rPr>
      </w:pPr>
      <w:r>
        <w:rPr>
          <w:rFonts w:hint="eastAsia" w:ascii="宋体" w:hAnsi="宋体"/>
          <w:color w:val="auto"/>
          <w:sz w:val="24"/>
        </w:rPr>
        <w:t>卖方应提供完整的发货清单、质量证书及相关产品合格证。</w:t>
      </w:r>
    </w:p>
    <w:p>
      <w:pPr>
        <w:numPr>
          <w:ilvl w:val="0"/>
          <w:numId w:val="7"/>
        </w:numPr>
        <w:tabs>
          <w:tab w:val="left" w:pos="1440"/>
        </w:tabs>
        <w:spacing w:line="440" w:lineRule="exact"/>
        <w:rPr>
          <w:rFonts w:ascii="宋体" w:hAnsi="宋体"/>
          <w:color w:val="auto"/>
          <w:sz w:val="24"/>
        </w:rPr>
      </w:pPr>
      <w:r>
        <w:rPr>
          <w:rFonts w:hint="eastAsia" w:ascii="宋体" w:hAnsi="宋体"/>
          <w:color w:val="auto"/>
          <w:sz w:val="24"/>
        </w:rPr>
        <w:t>对裸装货物应以金属标签(金属铭牌)或在设备本身上注明内容上述有关内容。大件货物应带有足够的货物支架或包装垫木。</w:t>
      </w:r>
    </w:p>
    <w:p>
      <w:pPr>
        <w:numPr>
          <w:ilvl w:val="0"/>
          <w:numId w:val="7"/>
        </w:numPr>
        <w:tabs>
          <w:tab w:val="left" w:pos="1440"/>
        </w:tabs>
        <w:spacing w:line="440" w:lineRule="exact"/>
        <w:rPr>
          <w:rFonts w:ascii="宋体" w:hAnsi="宋体"/>
          <w:color w:val="auto"/>
          <w:sz w:val="24"/>
        </w:rPr>
      </w:pPr>
      <w:r>
        <w:rPr>
          <w:rFonts w:hint="eastAsia" w:ascii="宋体" w:hAnsi="宋体"/>
          <w:color w:val="auto"/>
          <w:sz w:val="24"/>
        </w:rPr>
        <w:t>备品备件、专用工具应按设备分别包装，并在包装箱外按7.2条注明内容，并标明“备品配件”或“专用工具”的字样，一次性发货。</w:t>
      </w:r>
    </w:p>
    <w:p>
      <w:pPr>
        <w:numPr>
          <w:ilvl w:val="0"/>
          <w:numId w:val="7"/>
        </w:numPr>
        <w:tabs>
          <w:tab w:val="left" w:pos="1440"/>
        </w:tabs>
        <w:spacing w:line="440" w:lineRule="exact"/>
        <w:rPr>
          <w:rFonts w:ascii="宋体" w:hAnsi="宋体"/>
          <w:color w:val="auto"/>
          <w:sz w:val="24"/>
        </w:rPr>
      </w:pPr>
      <w:r>
        <w:rPr>
          <w:rFonts w:hint="eastAsia" w:ascii="宋体" w:hAnsi="宋体"/>
          <w:color w:val="auto"/>
          <w:sz w:val="24"/>
        </w:rPr>
        <w:t>所有设备的端口必须用保护盖或其它方式妥善防护。</w:t>
      </w:r>
    </w:p>
    <w:p>
      <w:pPr>
        <w:numPr>
          <w:ilvl w:val="0"/>
          <w:numId w:val="7"/>
        </w:numPr>
        <w:tabs>
          <w:tab w:val="left" w:pos="1440"/>
        </w:tabs>
        <w:spacing w:line="440" w:lineRule="exact"/>
        <w:rPr>
          <w:rFonts w:ascii="宋体" w:hAnsi="宋体"/>
          <w:color w:val="auto"/>
          <w:sz w:val="24"/>
        </w:rPr>
      </w:pPr>
      <w:r>
        <w:rPr>
          <w:rFonts w:hint="eastAsia" w:ascii="宋体" w:hAnsi="宋体"/>
          <w:color w:val="auto"/>
          <w:sz w:val="24"/>
        </w:rPr>
        <w:t>卖方不得用同一箱号标明任何两个箱件，包装箱应连续编号，而且在全部装运的过程中，装箱编号的顺序始终是连贯的。</w:t>
      </w:r>
    </w:p>
    <w:p>
      <w:pPr>
        <w:numPr>
          <w:ilvl w:val="0"/>
          <w:numId w:val="7"/>
        </w:numPr>
        <w:tabs>
          <w:tab w:val="left" w:pos="1440"/>
        </w:tabs>
        <w:spacing w:line="440" w:lineRule="exact"/>
        <w:rPr>
          <w:rFonts w:ascii="宋体" w:hAnsi="宋体"/>
          <w:color w:val="auto"/>
          <w:sz w:val="24"/>
        </w:rPr>
      </w:pPr>
      <w:r>
        <w:rPr>
          <w:rFonts w:hint="eastAsia" w:ascii="宋体" w:hAnsi="宋体"/>
          <w:color w:val="auto"/>
          <w:sz w:val="24"/>
        </w:rPr>
        <w:t>对于需要保证精确装配的明亮洁净加工面的货物，加工面应采用优良，耐久的保护层(不得用油漆)以防止在安装前发生锈蚀和损坏。</w:t>
      </w:r>
    </w:p>
    <w:p>
      <w:pPr>
        <w:numPr>
          <w:ilvl w:val="0"/>
          <w:numId w:val="7"/>
        </w:numPr>
        <w:tabs>
          <w:tab w:val="left" w:pos="1440"/>
        </w:tabs>
        <w:spacing w:line="440" w:lineRule="exact"/>
        <w:rPr>
          <w:rFonts w:ascii="宋体" w:hAnsi="宋体"/>
          <w:color w:val="auto"/>
          <w:sz w:val="24"/>
        </w:rPr>
      </w:pPr>
      <w:r>
        <w:rPr>
          <w:rFonts w:hint="eastAsia" w:ascii="宋体" w:hAnsi="宋体"/>
          <w:color w:val="auto"/>
          <w:sz w:val="24"/>
        </w:rPr>
        <w:t>卖方交付的技术资料应使用适合于长途运输、多次搬运、防雨和防潮的包装，并应防止潮气和海水的侵蚀。每包技术资料的封面上应注明下述内容：</w:t>
      </w:r>
    </w:p>
    <w:p>
      <w:pPr>
        <w:numPr>
          <w:ilvl w:val="0"/>
          <w:numId w:val="8"/>
        </w:numPr>
        <w:tabs>
          <w:tab w:val="left" w:pos="1440"/>
        </w:tabs>
        <w:spacing w:line="440" w:lineRule="exact"/>
        <w:rPr>
          <w:rFonts w:ascii="宋体" w:hAnsi="宋体"/>
          <w:color w:val="auto"/>
          <w:sz w:val="24"/>
        </w:rPr>
      </w:pPr>
      <w:r>
        <w:rPr>
          <w:rFonts w:hint="eastAsia" w:ascii="宋体" w:hAnsi="宋体"/>
          <w:color w:val="auto"/>
          <w:sz w:val="24"/>
        </w:rPr>
        <w:t>合同号；</w:t>
      </w:r>
    </w:p>
    <w:p>
      <w:pPr>
        <w:numPr>
          <w:ilvl w:val="0"/>
          <w:numId w:val="8"/>
        </w:numPr>
        <w:tabs>
          <w:tab w:val="left" w:pos="1440"/>
        </w:tabs>
        <w:spacing w:line="440" w:lineRule="exact"/>
        <w:rPr>
          <w:rFonts w:ascii="宋体" w:hAnsi="宋体"/>
          <w:color w:val="auto"/>
          <w:sz w:val="24"/>
        </w:rPr>
      </w:pPr>
      <w:r>
        <w:rPr>
          <w:rFonts w:hint="eastAsia" w:ascii="宋体" w:hAnsi="宋体"/>
          <w:color w:val="auto"/>
          <w:sz w:val="24"/>
        </w:rPr>
        <w:t>供货、收货单位名称；</w:t>
      </w:r>
    </w:p>
    <w:p>
      <w:pPr>
        <w:numPr>
          <w:ilvl w:val="0"/>
          <w:numId w:val="8"/>
        </w:numPr>
        <w:tabs>
          <w:tab w:val="left" w:pos="1440"/>
        </w:tabs>
        <w:spacing w:line="440" w:lineRule="exact"/>
        <w:rPr>
          <w:rFonts w:ascii="宋体" w:hAnsi="宋体"/>
          <w:color w:val="auto"/>
          <w:sz w:val="24"/>
        </w:rPr>
      </w:pPr>
      <w:r>
        <w:rPr>
          <w:rFonts w:hint="eastAsia" w:ascii="宋体" w:hAnsi="宋体"/>
          <w:color w:val="auto"/>
          <w:sz w:val="24"/>
        </w:rPr>
        <w:t>目的地；</w:t>
      </w:r>
    </w:p>
    <w:p>
      <w:pPr>
        <w:numPr>
          <w:ilvl w:val="0"/>
          <w:numId w:val="8"/>
        </w:numPr>
        <w:tabs>
          <w:tab w:val="left" w:pos="1440"/>
        </w:tabs>
        <w:spacing w:line="440" w:lineRule="exact"/>
        <w:rPr>
          <w:rFonts w:ascii="宋体" w:hAnsi="宋体"/>
          <w:color w:val="auto"/>
          <w:sz w:val="24"/>
        </w:rPr>
      </w:pPr>
      <w:r>
        <w:rPr>
          <w:rFonts w:hint="eastAsia" w:ascii="宋体" w:hAnsi="宋体"/>
          <w:color w:val="auto"/>
          <w:sz w:val="24"/>
        </w:rPr>
        <w:t>毛重；</w:t>
      </w:r>
    </w:p>
    <w:p>
      <w:pPr>
        <w:numPr>
          <w:ilvl w:val="0"/>
          <w:numId w:val="8"/>
        </w:numPr>
        <w:tabs>
          <w:tab w:val="left" w:pos="1440"/>
        </w:tabs>
        <w:spacing w:line="440" w:lineRule="exact"/>
        <w:rPr>
          <w:rFonts w:ascii="宋体" w:hAnsi="宋体"/>
          <w:color w:val="auto"/>
          <w:sz w:val="24"/>
        </w:rPr>
      </w:pPr>
      <w:r>
        <w:rPr>
          <w:rFonts w:hint="eastAsia" w:ascii="宋体" w:hAnsi="宋体"/>
          <w:color w:val="auto"/>
          <w:sz w:val="24"/>
        </w:rPr>
        <w:t>箱号/件号。</w:t>
      </w:r>
    </w:p>
    <w:p>
      <w:pPr>
        <w:spacing w:line="440" w:lineRule="exact"/>
        <w:ind w:firstLine="570"/>
        <w:rPr>
          <w:rFonts w:ascii="宋体" w:hAnsi="宋体"/>
          <w:color w:val="auto"/>
          <w:sz w:val="24"/>
        </w:rPr>
      </w:pPr>
      <w:r>
        <w:rPr>
          <w:rFonts w:hint="eastAsia" w:ascii="宋体" w:hAnsi="宋体"/>
          <w:color w:val="auto"/>
          <w:sz w:val="24"/>
        </w:rPr>
        <w:t>每一包资料内应附有技术资料的详细清单一式二份，标明技术资料的序号、文件项号、名称和页数。</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第七条  标记</w:t>
      </w:r>
    </w:p>
    <w:p>
      <w:pPr>
        <w:numPr>
          <w:ilvl w:val="0"/>
          <w:numId w:val="9"/>
        </w:numPr>
        <w:tabs>
          <w:tab w:val="left" w:pos="900"/>
          <w:tab w:val="left" w:pos="1440"/>
          <w:tab w:val="clear" w:pos="1080"/>
        </w:tabs>
        <w:spacing w:line="440" w:lineRule="exact"/>
        <w:ind w:left="900"/>
        <w:rPr>
          <w:rFonts w:ascii="宋体" w:hAnsi="宋体"/>
          <w:color w:val="auto"/>
          <w:sz w:val="24"/>
        </w:rPr>
      </w:pPr>
      <w:r>
        <w:rPr>
          <w:rFonts w:hint="eastAsia" w:ascii="宋体" w:hAnsi="宋体"/>
          <w:color w:val="auto"/>
          <w:sz w:val="24"/>
        </w:rPr>
        <w:t>合同设备的喷漆、标识、验收文件和运输应符合本合同附件技术规范书所列的各项要求。</w:t>
      </w:r>
    </w:p>
    <w:p>
      <w:pPr>
        <w:numPr>
          <w:ilvl w:val="0"/>
          <w:numId w:val="9"/>
        </w:numPr>
        <w:tabs>
          <w:tab w:val="left" w:pos="900"/>
          <w:tab w:val="left" w:pos="1440"/>
          <w:tab w:val="clear" w:pos="1080"/>
        </w:tabs>
        <w:spacing w:line="440" w:lineRule="exact"/>
        <w:ind w:left="900"/>
        <w:rPr>
          <w:rFonts w:ascii="宋体" w:hAnsi="宋体"/>
          <w:color w:val="auto"/>
          <w:sz w:val="24"/>
        </w:rPr>
      </w:pPr>
      <w:r>
        <w:rPr>
          <w:rFonts w:hint="eastAsia" w:ascii="宋体" w:hAnsi="宋体"/>
          <w:color w:val="auto"/>
          <w:sz w:val="24"/>
        </w:rPr>
        <w:t>合同设备若有外包装，卖方应在每件外包装上以醒目的方式用中文印刷字样标明以下各项：</w:t>
      </w:r>
    </w:p>
    <w:p>
      <w:pPr>
        <w:numPr>
          <w:ilvl w:val="1"/>
          <w:numId w:val="10"/>
        </w:numPr>
        <w:spacing w:line="440" w:lineRule="exact"/>
        <w:rPr>
          <w:rFonts w:ascii="宋体" w:hAnsi="宋体"/>
          <w:color w:val="auto"/>
          <w:sz w:val="24"/>
        </w:rPr>
      </w:pPr>
      <w:r>
        <w:rPr>
          <w:rFonts w:hint="eastAsia" w:ascii="宋体" w:hAnsi="宋体"/>
          <w:color w:val="auto"/>
          <w:sz w:val="24"/>
        </w:rPr>
        <w:t>制造厂名称和产品商标，设备名称；</w:t>
      </w:r>
    </w:p>
    <w:p>
      <w:pPr>
        <w:numPr>
          <w:ilvl w:val="1"/>
          <w:numId w:val="10"/>
        </w:numPr>
        <w:spacing w:line="440" w:lineRule="exact"/>
        <w:rPr>
          <w:rFonts w:ascii="宋体" w:hAnsi="宋体"/>
          <w:color w:val="auto"/>
          <w:sz w:val="24"/>
        </w:rPr>
      </w:pPr>
      <w:r>
        <w:rPr>
          <w:rFonts w:hint="eastAsia" w:ascii="宋体" w:hAnsi="宋体"/>
          <w:color w:val="auto"/>
          <w:sz w:val="24"/>
        </w:rPr>
        <w:t>毛重／净重（Kg）；体积(长×宽×高，以毫米表示)；</w:t>
      </w:r>
    </w:p>
    <w:p>
      <w:pPr>
        <w:numPr>
          <w:ilvl w:val="1"/>
          <w:numId w:val="10"/>
        </w:numPr>
        <w:spacing w:line="440" w:lineRule="exact"/>
        <w:rPr>
          <w:rFonts w:ascii="宋体" w:hAnsi="宋体"/>
          <w:color w:val="auto"/>
          <w:sz w:val="24"/>
        </w:rPr>
      </w:pPr>
      <w:r>
        <w:rPr>
          <w:rFonts w:hint="eastAsia" w:ascii="宋体" w:hAnsi="宋体"/>
          <w:color w:val="auto"/>
          <w:sz w:val="24"/>
        </w:rPr>
        <w:t>制造时间</w:t>
      </w:r>
    </w:p>
    <w:p>
      <w:pPr>
        <w:numPr>
          <w:ilvl w:val="1"/>
          <w:numId w:val="10"/>
        </w:numPr>
        <w:spacing w:line="440" w:lineRule="exact"/>
        <w:rPr>
          <w:rFonts w:ascii="宋体" w:hAnsi="宋体"/>
          <w:color w:val="auto"/>
          <w:sz w:val="24"/>
        </w:rPr>
      </w:pPr>
      <w:r>
        <w:rPr>
          <w:rFonts w:hint="eastAsia" w:ascii="宋体" w:hAnsi="宋体"/>
          <w:color w:val="auto"/>
          <w:sz w:val="24"/>
        </w:rPr>
        <w:t>出厂检验合格标志</w:t>
      </w:r>
    </w:p>
    <w:p>
      <w:pPr>
        <w:numPr>
          <w:ilvl w:val="1"/>
          <w:numId w:val="10"/>
        </w:numPr>
        <w:spacing w:line="440" w:lineRule="exact"/>
        <w:rPr>
          <w:rFonts w:ascii="宋体" w:hAnsi="宋体"/>
          <w:color w:val="auto"/>
          <w:sz w:val="24"/>
        </w:rPr>
      </w:pPr>
      <w:r>
        <w:rPr>
          <w:rFonts w:hint="eastAsia" w:ascii="宋体" w:hAnsi="宋体"/>
          <w:color w:val="auto"/>
          <w:sz w:val="24"/>
        </w:rPr>
        <w:t>表示储运安全的其它标志</w:t>
      </w:r>
    </w:p>
    <w:p>
      <w:pPr>
        <w:numPr>
          <w:ilvl w:val="1"/>
          <w:numId w:val="10"/>
        </w:numPr>
        <w:spacing w:line="440" w:lineRule="exact"/>
        <w:rPr>
          <w:rFonts w:ascii="宋体" w:hAnsi="宋体"/>
          <w:color w:val="auto"/>
          <w:sz w:val="24"/>
        </w:rPr>
      </w:pPr>
      <w:r>
        <w:rPr>
          <w:rFonts w:hint="eastAsia" w:ascii="宋体" w:hAnsi="宋体"/>
          <w:color w:val="auto"/>
          <w:sz w:val="24"/>
        </w:rPr>
        <w:t>项目名称</w:t>
      </w:r>
    </w:p>
    <w:p>
      <w:pPr>
        <w:numPr>
          <w:ilvl w:val="1"/>
          <w:numId w:val="10"/>
        </w:numPr>
        <w:spacing w:line="440" w:lineRule="exact"/>
        <w:rPr>
          <w:rFonts w:ascii="宋体" w:hAnsi="宋体"/>
          <w:color w:val="auto"/>
          <w:sz w:val="24"/>
        </w:rPr>
      </w:pPr>
      <w:r>
        <w:rPr>
          <w:rFonts w:hint="eastAsia" w:ascii="宋体" w:hAnsi="宋体"/>
          <w:color w:val="auto"/>
          <w:sz w:val="24"/>
        </w:rPr>
        <w:t>联系方式</w:t>
      </w:r>
    </w:p>
    <w:p>
      <w:pPr>
        <w:numPr>
          <w:ilvl w:val="1"/>
          <w:numId w:val="10"/>
        </w:numPr>
        <w:spacing w:line="440" w:lineRule="exact"/>
        <w:rPr>
          <w:rFonts w:ascii="宋体" w:hAnsi="宋体"/>
          <w:color w:val="auto"/>
          <w:sz w:val="24"/>
        </w:rPr>
      </w:pPr>
      <w:r>
        <w:rPr>
          <w:rFonts w:hint="eastAsia" w:ascii="宋体" w:hAnsi="宋体"/>
          <w:color w:val="auto"/>
          <w:sz w:val="24"/>
        </w:rPr>
        <w:t>箱号/件号；</w:t>
      </w:r>
    </w:p>
    <w:p>
      <w:pPr>
        <w:spacing w:line="440" w:lineRule="exact"/>
        <w:ind w:left="540" w:leftChars="257" w:firstLine="508" w:firstLineChars="212"/>
        <w:rPr>
          <w:rFonts w:ascii="宋体" w:hAnsi="宋体"/>
          <w:color w:val="auto"/>
          <w:sz w:val="24"/>
        </w:rPr>
      </w:pPr>
      <w:r>
        <w:rPr>
          <w:rFonts w:hint="eastAsia" w:ascii="宋体" w:hAnsi="宋体"/>
          <w:color w:val="auto"/>
          <w:sz w:val="24"/>
        </w:rPr>
        <w:t>凡重量为二吨或超过二吨的货物，应在包装箱的侧面以运输常用的标记和图案标明重心位置及起吊点，以便于装卸和搬运。</w:t>
      </w:r>
    </w:p>
    <w:p>
      <w:pPr>
        <w:spacing w:line="440" w:lineRule="exact"/>
        <w:ind w:left="540" w:leftChars="257" w:firstLine="508" w:firstLineChars="212"/>
        <w:rPr>
          <w:rFonts w:ascii="宋体" w:hAnsi="宋体"/>
          <w:color w:val="auto"/>
          <w:sz w:val="24"/>
        </w:rPr>
      </w:pPr>
      <w:r>
        <w:rPr>
          <w:rFonts w:hint="eastAsia" w:ascii="宋体" w:hAnsi="宋体"/>
          <w:color w:val="auto"/>
          <w:sz w:val="24"/>
        </w:rPr>
        <w:t>应按照设备各特性和不同的运输及装卸要求，在箱上明显位置标上“小心”“向上”、“防潮”、“勿倒”、“怕热”、“远离放射源及热源”、“由此起吊”、“重心点”、“堆码重量极限”、“堆码层数极限”、“温度极限”等通用标志。</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第八条  交货和运输</w:t>
      </w:r>
    </w:p>
    <w:p>
      <w:pPr>
        <w:numPr>
          <w:ilvl w:val="0"/>
          <w:numId w:val="11"/>
        </w:numPr>
        <w:tabs>
          <w:tab w:val="left" w:pos="1440"/>
        </w:tabs>
        <w:spacing w:line="440" w:lineRule="exact"/>
        <w:rPr>
          <w:rFonts w:ascii="宋体" w:hAnsi="宋体"/>
          <w:color w:val="auto"/>
          <w:sz w:val="24"/>
        </w:rPr>
      </w:pPr>
      <w:r>
        <w:rPr>
          <w:rFonts w:hint="eastAsia" w:ascii="宋体" w:hAnsi="宋体"/>
          <w:b/>
          <w:color w:val="auto"/>
          <w:sz w:val="24"/>
        </w:rPr>
        <w:t>交货期（峻工期）：合同签订后</w:t>
      </w:r>
      <w:r>
        <w:rPr>
          <w:rFonts w:hint="eastAsia" w:ascii="宋体" w:hAnsi="宋体"/>
          <w:b/>
          <w:color w:val="auto"/>
          <w:sz w:val="24"/>
          <w:u w:val="single"/>
          <w:lang w:val="en-US" w:eastAsia="zh-CN"/>
        </w:rPr>
        <w:t xml:space="preserve"> 40 </w:t>
      </w:r>
      <w:r>
        <w:rPr>
          <w:rFonts w:hint="eastAsia" w:ascii="宋体" w:hAnsi="宋体"/>
          <w:b/>
          <w:color w:val="auto"/>
          <w:sz w:val="24"/>
        </w:rPr>
        <w:t>天内货到用户指定地点并安装调试验收合格；每批货物送达买方指定地点后须经买方指定人员对货物按照合同内容进行品牌、质量、数量的初步验收并签字确认。</w:t>
      </w:r>
    </w:p>
    <w:p>
      <w:pPr>
        <w:numPr>
          <w:ilvl w:val="0"/>
          <w:numId w:val="11"/>
        </w:numPr>
        <w:tabs>
          <w:tab w:val="left" w:pos="1440"/>
        </w:tabs>
        <w:spacing w:line="440" w:lineRule="exact"/>
        <w:rPr>
          <w:rFonts w:ascii="宋体" w:hAnsi="宋体"/>
          <w:color w:val="auto"/>
          <w:szCs w:val="21"/>
        </w:rPr>
      </w:pPr>
      <w:r>
        <w:rPr>
          <w:rFonts w:hint="eastAsia" w:ascii="宋体" w:hAnsi="宋体"/>
          <w:color w:val="auto"/>
          <w:sz w:val="24"/>
        </w:rPr>
        <w:t>本合同项下货物的交货地点为买方指定位置地面，卖方负责将货物运抵交货地点并负责卸车并搬运到指定地点。</w:t>
      </w:r>
    </w:p>
    <w:p>
      <w:pPr>
        <w:tabs>
          <w:tab w:val="left" w:pos="1440"/>
        </w:tabs>
        <w:spacing w:line="440" w:lineRule="exact"/>
        <w:ind w:left="540" w:leftChars="257" w:firstLine="360"/>
        <w:rPr>
          <w:rFonts w:ascii="宋体" w:hAnsi="宋体"/>
          <w:color w:val="auto"/>
          <w:szCs w:val="21"/>
        </w:rPr>
      </w:pPr>
      <w:r>
        <w:rPr>
          <w:rFonts w:hint="eastAsia" w:ascii="宋体" w:hAnsi="宋体"/>
          <w:color w:val="auto"/>
          <w:sz w:val="24"/>
        </w:rPr>
        <w:t>合同设备所有权自合同设备交付时起由卖方转移给买方。合同设备毁损、灭失的风险，在合同设备交付之前由卖方承担，交付之后由买方承担。货物到达目的地后，当场可清点验收的设备，经买卖双方组织人员进行现场验收，由卖方安装人员负责开箱验收后设备的保管、仓储（供方应提出对设备的存放要求）。对未开箱的设备（指需在安装时开箱的设备），经双方清点数量后由供方负责安全保管、仓贮。确定安装时开箱验收的，由双方共同参与对货物进行检验，按开箱清单现场清点核对，并签发字确认。如果货物被证明有缺陷，包括潜在缺陷或使用了不适当的材料不符合合同约定的，需方将保留拒收货物和对供方索赔的权力；</w:t>
      </w:r>
    </w:p>
    <w:p>
      <w:pPr>
        <w:numPr>
          <w:ilvl w:val="0"/>
          <w:numId w:val="11"/>
        </w:numPr>
        <w:tabs>
          <w:tab w:val="left" w:pos="1440"/>
        </w:tabs>
        <w:spacing w:line="440" w:lineRule="exact"/>
        <w:rPr>
          <w:rFonts w:ascii="宋体" w:hAnsi="宋体"/>
          <w:color w:val="auto"/>
          <w:sz w:val="24"/>
        </w:rPr>
      </w:pPr>
      <w:r>
        <w:rPr>
          <w:rFonts w:hint="eastAsia" w:ascii="宋体" w:hAnsi="宋体"/>
          <w:color w:val="auto"/>
          <w:sz w:val="24"/>
        </w:rPr>
        <w:t>在质量保证期内由于卖方的过失或疏忽造成的供应设备（或部件）的损坏或潜在缺陷，而动用了买方库存中的备品备件以调换损坏的设备或部件，则卖方应负责免费将动用的备品备件补齐，最迟不得超过买方通知后1个月运到指定交付点，并且通知买方。</w:t>
      </w:r>
    </w:p>
    <w:p>
      <w:pPr>
        <w:numPr>
          <w:ilvl w:val="0"/>
          <w:numId w:val="11"/>
        </w:numPr>
        <w:tabs>
          <w:tab w:val="left" w:pos="1440"/>
        </w:tabs>
        <w:spacing w:line="440" w:lineRule="exact"/>
        <w:rPr>
          <w:rFonts w:ascii="宋体" w:hAnsi="宋体"/>
          <w:color w:val="auto"/>
          <w:sz w:val="24"/>
        </w:rPr>
      </w:pPr>
      <w:r>
        <w:rPr>
          <w:rFonts w:hint="eastAsia" w:ascii="宋体" w:hAnsi="宋体"/>
          <w:color w:val="auto"/>
          <w:sz w:val="24"/>
        </w:rPr>
        <w:t>卖方应按技术规格书规定，向买方提供满足调试、试验、检验、培训、运行和维修所需的技术资料。技术资料的交付时间按买方要求的时间及时提供。</w:t>
      </w:r>
    </w:p>
    <w:p>
      <w:pPr>
        <w:numPr>
          <w:ilvl w:val="0"/>
          <w:numId w:val="11"/>
        </w:numPr>
        <w:tabs>
          <w:tab w:val="left" w:pos="1440"/>
        </w:tabs>
        <w:spacing w:line="440" w:lineRule="exact"/>
        <w:rPr>
          <w:rFonts w:ascii="宋体" w:hAnsi="宋体"/>
          <w:color w:val="auto"/>
          <w:sz w:val="24"/>
        </w:rPr>
      </w:pPr>
      <w:r>
        <w:rPr>
          <w:rFonts w:hint="eastAsia" w:ascii="宋体" w:hAnsi="宋体"/>
          <w:color w:val="auto"/>
          <w:sz w:val="24"/>
        </w:rPr>
        <w:t>技术资料以快递邮寄（可直送）方式递交,每批技术资料交邮后，卖方应在24小时内将技术资料的交邮日期、邮单号、技术资料的详细清单、件数及重量、合同号等以传真通知买方。</w:t>
      </w:r>
    </w:p>
    <w:p>
      <w:pPr>
        <w:numPr>
          <w:ilvl w:val="0"/>
          <w:numId w:val="11"/>
        </w:numPr>
        <w:tabs>
          <w:tab w:val="left" w:pos="1440"/>
        </w:tabs>
        <w:spacing w:line="440" w:lineRule="exact"/>
        <w:rPr>
          <w:rFonts w:ascii="宋体" w:hAnsi="宋体"/>
          <w:color w:val="auto"/>
          <w:sz w:val="24"/>
        </w:rPr>
      </w:pPr>
      <w:r>
        <w:rPr>
          <w:rFonts w:hint="eastAsia" w:ascii="宋体" w:hAnsi="宋体"/>
          <w:color w:val="auto"/>
          <w:sz w:val="24"/>
        </w:rPr>
        <w:t>技术资料可以邮寄方式或专人送达方式递交，如以邮寄方式递交，则以邮政部门提货通知单时间戳记为技术资料的实际交付日期，如以专人送达方式递交，则以买方代表签收日期为技术资料的实际交付日期。此日期将作为按合同第十五条对任何延期交付资料进行延期违约金计算的依据。</w:t>
      </w:r>
    </w:p>
    <w:p>
      <w:pPr>
        <w:spacing w:line="440" w:lineRule="exact"/>
        <w:ind w:left="540" w:leftChars="257" w:firstLine="388" w:firstLineChars="162"/>
        <w:rPr>
          <w:rFonts w:ascii="宋体" w:hAnsi="宋体"/>
          <w:color w:val="auto"/>
          <w:sz w:val="24"/>
        </w:rPr>
      </w:pPr>
      <w:r>
        <w:rPr>
          <w:rFonts w:hint="eastAsia" w:ascii="宋体" w:hAnsi="宋体"/>
          <w:color w:val="auto"/>
          <w:sz w:val="24"/>
        </w:rPr>
        <w:t>如果技术资料经买方或买方代表检查后发现有缺少、丢失或损坏，且非买方原因，卖方应在收到买方通知后14天内(对急用者应在3天内)免费向现场补充提供缺少、丢失或损坏的部分。</w:t>
      </w:r>
    </w:p>
    <w:p>
      <w:pPr>
        <w:spacing w:line="440" w:lineRule="exact"/>
        <w:ind w:left="540" w:leftChars="257" w:firstLine="388" w:firstLineChars="162"/>
        <w:rPr>
          <w:rFonts w:ascii="宋体" w:hAnsi="宋体"/>
          <w:color w:val="auto"/>
          <w:sz w:val="24"/>
        </w:rPr>
      </w:pPr>
      <w:r>
        <w:rPr>
          <w:rFonts w:hint="eastAsia" w:ascii="宋体" w:hAnsi="宋体"/>
          <w:color w:val="auto"/>
          <w:sz w:val="24"/>
        </w:rPr>
        <w:t>如因买方原因发生缺少、丢失或损坏，卖方应在接到买方通知后14天内(对急用者应在3天内)，向现场补充提供缺少、丢失或损坏部分，费用由买方承担。</w:t>
      </w:r>
    </w:p>
    <w:p>
      <w:pPr>
        <w:numPr>
          <w:ilvl w:val="0"/>
          <w:numId w:val="11"/>
        </w:numPr>
        <w:tabs>
          <w:tab w:val="left" w:pos="1440"/>
        </w:tabs>
        <w:spacing w:line="440" w:lineRule="exact"/>
        <w:rPr>
          <w:rFonts w:ascii="宋体" w:hAnsi="宋体"/>
          <w:color w:val="auto"/>
          <w:sz w:val="24"/>
        </w:rPr>
      </w:pPr>
      <w:r>
        <w:rPr>
          <w:rFonts w:hint="eastAsia" w:ascii="宋体" w:hAnsi="宋体"/>
          <w:color w:val="auto"/>
          <w:sz w:val="24"/>
        </w:rPr>
        <w:t>买方可派遣代表到卖方工厂及装货车站/码头/机场检查包装质量和监督装车情况。卖方应提前15天通知买方交运日期。买方代表的检查与监督不能免除卖方应负的责任。</w:t>
      </w:r>
    </w:p>
    <w:p>
      <w:pPr>
        <w:numPr>
          <w:ilvl w:val="0"/>
          <w:numId w:val="11"/>
        </w:numPr>
        <w:spacing w:line="440" w:lineRule="exact"/>
        <w:rPr>
          <w:rFonts w:ascii="宋体" w:hAnsi="宋体"/>
          <w:color w:val="auto"/>
          <w:sz w:val="24"/>
        </w:rPr>
      </w:pPr>
      <w:r>
        <w:rPr>
          <w:rFonts w:hint="eastAsia" w:ascii="宋体" w:hAnsi="宋体"/>
          <w:color w:val="auto"/>
          <w:sz w:val="24"/>
        </w:rPr>
        <w:t>技术资料收件单位：江苏长江水务股份有限公司（注明技术资料）</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第九条 保险</w:t>
      </w:r>
    </w:p>
    <w:p>
      <w:pPr>
        <w:spacing w:line="440" w:lineRule="exact"/>
        <w:ind w:left="540" w:leftChars="257" w:firstLine="540" w:firstLineChars="225"/>
        <w:rPr>
          <w:rFonts w:ascii="宋体" w:hAnsi="宋体"/>
          <w:color w:val="auto"/>
          <w:sz w:val="24"/>
        </w:rPr>
      </w:pPr>
      <w:r>
        <w:rPr>
          <w:rFonts w:hint="eastAsia" w:ascii="宋体" w:hAnsi="宋体"/>
          <w:color w:val="auto"/>
          <w:sz w:val="24"/>
        </w:rPr>
        <w:t>在货物发运前卖方须对货物，根据水运、陆运和空运等运输方式，向保险公司投保以卖方为受益人，金额为发运货物价格110%的运输一切险(包括卸货至现场地面的最后一吊)，保险区段为卖方仓库到交货地点交货后90天止。</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第十条  交货</w:t>
      </w:r>
    </w:p>
    <w:p>
      <w:pPr>
        <w:numPr>
          <w:ilvl w:val="0"/>
          <w:numId w:val="12"/>
        </w:numPr>
        <w:tabs>
          <w:tab w:val="left" w:pos="1080"/>
        </w:tabs>
        <w:spacing w:line="440" w:lineRule="exact"/>
        <w:ind w:left="540" w:firstLine="0"/>
        <w:rPr>
          <w:rFonts w:ascii="宋体" w:hAnsi="宋体"/>
          <w:color w:val="auto"/>
          <w:sz w:val="24"/>
        </w:rPr>
      </w:pPr>
      <w:r>
        <w:rPr>
          <w:rFonts w:hint="eastAsia" w:ascii="宋体" w:hAnsi="宋体"/>
          <w:color w:val="auto"/>
          <w:sz w:val="24"/>
        </w:rPr>
        <w:t>所有货物在交货之前的所有风险和责任均由卖方承担。如果在交货之前因运输等问题造成货物损失、损害等风险，卖方在本合同项下的义务与责任均不予解除。</w:t>
      </w:r>
    </w:p>
    <w:p>
      <w:pPr>
        <w:spacing w:line="440" w:lineRule="exact"/>
        <w:ind w:firstLine="570"/>
        <w:rPr>
          <w:rFonts w:ascii="宋体" w:hAnsi="宋体"/>
          <w:b/>
          <w:color w:val="auto"/>
          <w:sz w:val="24"/>
        </w:rPr>
      </w:pPr>
    </w:p>
    <w:p>
      <w:pPr>
        <w:spacing w:line="360" w:lineRule="auto"/>
        <w:ind w:firstLine="570"/>
        <w:rPr>
          <w:rFonts w:ascii="宋体" w:hAnsi="宋体"/>
          <w:b/>
          <w:color w:val="auto"/>
          <w:sz w:val="24"/>
        </w:rPr>
      </w:pPr>
      <w:r>
        <w:rPr>
          <w:rFonts w:hint="eastAsia" w:ascii="宋体" w:hAnsi="宋体"/>
          <w:b/>
          <w:color w:val="auto"/>
          <w:sz w:val="24"/>
        </w:rPr>
        <w:t xml:space="preserve">第十一条  合同价款与支付 </w:t>
      </w:r>
    </w:p>
    <w:p>
      <w:pPr>
        <w:numPr>
          <w:ilvl w:val="0"/>
          <w:numId w:val="13"/>
        </w:numPr>
        <w:tabs>
          <w:tab w:val="left" w:pos="540"/>
          <w:tab w:val="left" w:pos="1080"/>
          <w:tab w:val="clear" w:pos="900"/>
        </w:tabs>
        <w:spacing w:line="360" w:lineRule="auto"/>
        <w:ind w:left="540" w:firstLine="0"/>
        <w:rPr>
          <w:rFonts w:ascii="宋体" w:hAnsi="宋体"/>
          <w:color w:val="auto"/>
          <w:sz w:val="24"/>
        </w:rPr>
      </w:pPr>
      <w:r>
        <w:rPr>
          <w:rFonts w:hint="eastAsia" w:ascii="宋体" w:hAnsi="宋体"/>
          <w:color w:val="auto"/>
          <w:sz w:val="24"/>
        </w:rPr>
        <w:t>本合同价款即合同总价为人民币总价：     万元(大写：        )。合同总价为固定不变价格，对投标文件中的清单报价作为质保期外维修或更换的结算依据，除非本合同另有规定，否则在合同期内不因任何原因加以变更或调整。</w:t>
      </w:r>
    </w:p>
    <w:p>
      <w:pPr>
        <w:spacing w:line="360" w:lineRule="auto"/>
        <w:ind w:left="540" w:leftChars="257" w:firstLine="420" w:firstLineChars="175"/>
        <w:rPr>
          <w:rFonts w:ascii="宋体" w:hAnsi="宋体"/>
          <w:color w:val="auto"/>
          <w:sz w:val="24"/>
        </w:rPr>
      </w:pPr>
      <w:r>
        <w:rPr>
          <w:rFonts w:hint="eastAsia" w:ascii="宋体" w:hAnsi="宋体"/>
          <w:color w:val="auto"/>
          <w:sz w:val="24"/>
        </w:rPr>
        <w:t>本合同价款包括合同设备(含备品备件、专用工具)、安装调试、技术资料、技术服务和运输及保险费等费用,还包括合同设备的税费等与本合同中卖方应承担的所有义务和所有工作相关的费用。合同设备的技术服务及备品备件由卖方免费提供。</w:t>
      </w:r>
    </w:p>
    <w:p>
      <w:pPr>
        <w:spacing w:line="360" w:lineRule="auto"/>
        <w:ind w:left="540" w:leftChars="257" w:firstLine="420" w:firstLineChars="175"/>
        <w:rPr>
          <w:rFonts w:ascii="宋体" w:hAnsi="宋体"/>
          <w:color w:val="auto"/>
          <w:sz w:val="24"/>
        </w:rPr>
      </w:pPr>
      <w:r>
        <w:rPr>
          <w:rFonts w:hint="eastAsia" w:ascii="宋体" w:hAnsi="宋体"/>
          <w:color w:val="auto"/>
          <w:sz w:val="24"/>
        </w:rPr>
        <w:t>合同设备运抵项目现场的运输及保险费等杂费已含在合同价款内。运输及保险费是指合同设备从卖方(包括卖方的分包商)始发站（车上）/码头（船上）到交货地点地面所发生的公路、铁路、水路、航空运费，保险费等运输过程中发生的各种费用。</w:t>
      </w:r>
    </w:p>
    <w:p>
      <w:pPr>
        <w:numPr>
          <w:ilvl w:val="0"/>
          <w:numId w:val="13"/>
        </w:numPr>
        <w:tabs>
          <w:tab w:val="left" w:pos="1080"/>
        </w:tabs>
        <w:spacing w:line="360" w:lineRule="auto"/>
        <w:rPr>
          <w:rFonts w:ascii="宋体" w:hAnsi="宋体"/>
          <w:color w:val="auto"/>
          <w:sz w:val="24"/>
        </w:rPr>
      </w:pPr>
      <w:r>
        <w:rPr>
          <w:rFonts w:hint="eastAsia" w:ascii="宋体" w:hAnsi="宋体"/>
          <w:color w:val="auto"/>
          <w:sz w:val="24"/>
        </w:rPr>
        <w:t>支付</w:t>
      </w:r>
    </w:p>
    <w:p>
      <w:pPr>
        <w:spacing w:line="360" w:lineRule="auto"/>
        <w:ind w:left="540" w:leftChars="257" w:firstLine="420" w:firstLineChars="175"/>
        <w:rPr>
          <w:rFonts w:ascii="宋体" w:hAnsi="宋体"/>
          <w:color w:val="auto"/>
          <w:sz w:val="24"/>
        </w:rPr>
      </w:pPr>
      <w:r>
        <w:rPr>
          <w:rFonts w:hint="eastAsia" w:ascii="宋体" w:hAnsi="宋体"/>
          <w:color w:val="auto"/>
          <w:sz w:val="24"/>
        </w:rPr>
        <w:t>所有货到工地经联动调试、验收合格且连续无故障运行30天后支付至合同总价款的95%，余款5%作为质保金，在质保期满且无质量问题后一个月内无息付清。</w:t>
      </w:r>
      <w:r>
        <w:rPr>
          <w:rFonts w:hint="eastAsia" w:ascii="宋体" w:hAnsi="宋体"/>
          <w:color w:val="auto"/>
          <w:sz w:val="24"/>
        </w:rPr>
        <w:t>质保期为联动调试合格试运行后的</w:t>
      </w:r>
      <w:r>
        <w:rPr>
          <w:rFonts w:hint="eastAsia" w:ascii="宋体" w:hAnsi="宋体"/>
          <w:color w:val="auto"/>
          <w:sz w:val="30"/>
          <w:szCs w:val="30"/>
          <w:lang w:val="en-US" w:eastAsia="zh-CN"/>
        </w:rPr>
        <w:t>18</w:t>
      </w:r>
      <w:r>
        <w:rPr>
          <w:rFonts w:hint="eastAsia" w:ascii="宋体" w:hAnsi="宋体"/>
          <w:color w:val="auto"/>
          <w:sz w:val="24"/>
        </w:rPr>
        <w:t>个月。</w:t>
      </w:r>
      <w:r>
        <w:rPr>
          <w:rFonts w:hint="eastAsia" w:ascii="宋体" w:hAnsi="宋体"/>
          <w:color w:val="auto"/>
          <w:sz w:val="24"/>
        </w:rPr>
        <w:t>（备注：本项目在结算支付时，票据为税率为13%增值税专用发票（国家政策若发生变化以相关政策执行）。</w:t>
      </w:r>
    </w:p>
    <w:p>
      <w:pPr>
        <w:spacing w:line="360" w:lineRule="auto"/>
        <w:ind w:firstLine="570"/>
        <w:rPr>
          <w:rFonts w:ascii="宋体" w:hAnsi="宋体"/>
          <w:color w:val="auto"/>
          <w:sz w:val="24"/>
        </w:rPr>
      </w:pPr>
    </w:p>
    <w:p>
      <w:pPr>
        <w:spacing w:line="360" w:lineRule="auto"/>
        <w:ind w:firstLine="570"/>
        <w:rPr>
          <w:rFonts w:ascii="宋体" w:hAnsi="宋体"/>
          <w:b/>
          <w:color w:val="auto"/>
          <w:sz w:val="24"/>
        </w:rPr>
      </w:pPr>
      <w:r>
        <w:rPr>
          <w:rFonts w:hint="eastAsia" w:ascii="宋体" w:hAnsi="宋体"/>
          <w:b/>
          <w:color w:val="auto"/>
          <w:sz w:val="24"/>
        </w:rPr>
        <w:t>第十二条  连带责任</w:t>
      </w:r>
    </w:p>
    <w:p>
      <w:pPr>
        <w:spacing w:line="440" w:lineRule="exact"/>
        <w:ind w:firstLine="480" w:firstLineChars="200"/>
        <w:rPr>
          <w:rFonts w:ascii="宋体" w:hAnsi="宋体"/>
          <w:color w:val="auto"/>
          <w:sz w:val="24"/>
        </w:rPr>
      </w:pPr>
      <w:r>
        <w:rPr>
          <w:rFonts w:hint="eastAsia" w:ascii="宋体" w:hAnsi="宋体"/>
          <w:color w:val="auto"/>
          <w:sz w:val="24"/>
        </w:rPr>
        <w:t>12.1卖方应对本合同项下设备的制造、运输、装卸、交货、安装等承担全部责任。</w:t>
      </w:r>
    </w:p>
    <w:p>
      <w:pPr>
        <w:spacing w:line="440" w:lineRule="exact"/>
        <w:ind w:firstLine="480" w:firstLineChars="200"/>
        <w:rPr>
          <w:rFonts w:ascii="宋体" w:hAnsi="宋体"/>
          <w:color w:val="auto"/>
          <w:sz w:val="24"/>
        </w:rPr>
      </w:pPr>
      <w:r>
        <w:rPr>
          <w:rFonts w:hint="eastAsia" w:ascii="宋体" w:hAnsi="宋体"/>
          <w:color w:val="auto"/>
          <w:sz w:val="24"/>
        </w:rPr>
        <w:t>12.2 卖方应对本合同项下设备安装过程中影响买方安全生产的任何事宜承担全部责任。</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第十三条  质量保证</w:t>
      </w:r>
    </w:p>
    <w:p>
      <w:pPr>
        <w:numPr>
          <w:ilvl w:val="0"/>
          <w:numId w:val="14"/>
        </w:numPr>
        <w:tabs>
          <w:tab w:val="left" w:pos="540"/>
          <w:tab w:val="left" w:pos="1080"/>
          <w:tab w:val="clear" w:pos="900"/>
        </w:tabs>
        <w:spacing w:line="440" w:lineRule="exact"/>
        <w:ind w:left="540" w:firstLine="0"/>
        <w:rPr>
          <w:rFonts w:ascii="宋体" w:hAnsi="宋体"/>
          <w:color w:val="auto"/>
          <w:sz w:val="24"/>
        </w:rPr>
      </w:pPr>
      <w:r>
        <w:rPr>
          <w:rFonts w:hint="eastAsia" w:ascii="宋体" w:hAnsi="宋体"/>
          <w:color w:val="auto"/>
          <w:sz w:val="24"/>
        </w:rPr>
        <w:t>卖方应保证其提供的货物在各个方面符合技术规格书规定的质量、规格和性能要求。</w:t>
      </w:r>
    </w:p>
    <w:p>
      <w:pPr>
        <w:numPr>
          <w:ilvl w:val="0"/>
          <w:numId w:val="14"/>
        </w:numPr>
        <w:tabs>
          <w:tab w:val="left" w:pos="540"/>
          <w:tab w:val="left" w:pos="1080"/>
          <w:tab w:val="clear" w:pos="900"/>
        </w:tabs>
        <w:spacing w:line="440" w:lineRule="exact"/>
        <w:ind w:left="540" w:firstLine="0"/>
        <w:rPr>
          <w:rFonts w:ascii="宋体" w:hAnsi="宋体"/>
          <w:color w:val="auto"/>
          <w:sz w:val="24"/>
        </w:rPr>
      </w:pPr>
      <w:r>
        <w:rPr>
          <w:rFonts w:hint="eastAsia" w:ascii="宋体" w:hAnsi="宋体"/>
          <w:color w:val="auto"/>
          <w:sz w:val="24"/>
        </w:rPr>
        <w:t>合同货物的质量保证期为联动</w:t>
      </w:r>
      <w:r>
        <w:rPr>
          <w:rFonts w:hint="eastAsia" w:ascii="宋体" w:hAnsi="宋体"/>
          <w:color w:val="auto"/>
          <w:sz w:val="24"/>
        </w:rPr>
        <w:t>调试合格试运行后的</w:t>
      </w:r>
      <w:r>
        <w:rPr>
          <w:rFonts w:hint="eastAsia" w:ascii="宋体" w:hAnsi="宋体"/>
          <w:color w:val="auto"/>
          <w:sz w:val="30"/>
          <w:szCs w:val="30"/>
          <w:lang w:val="en-US" w:eastAsia="zh-CN"/>
        </w:rPr>
        <w:t>18</w:t>
      </w:r>
      <w:r>
        <w:rPr>
          <w:rFonts w:hint="eastAsia" w:ascii="宋体" w:hAnsi="宋体"/>
          <w:color w:val="auto"/>
          <w:sz w:val="24"/>
        </w:rPr>
        <w:t>个月。</w:t>
      </w:r>
      <w:r>
        <w:rPr>
          <w:rFonts w:hint="eastAsia" w:ascii="宋体" w:hAnsi="宋体"/>
          <w:color w:val="auto"/>
          <w:sz w:val="24"/>
        </w:rPr>
        <w:t>在质量保证期内，卖方应对由于设计、工艺、生产或运输导致的缺陷负责，出现上述情况，卖方应在7天内对买方提出的要求给予答复并处理。</w:t>
      </w:r>
    </w:p>
    <w:p>
      <w:pPr>
        <w:tabs>
          <w:tab w:val="left" w:pos="1080"/>
        </w:tabs>
        <w:spacing w:line="440" w:lineRule="exact"/>
        <w:ind w:left="54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第十四条  技术服务和检验</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卖方应及时提供与本合同设备有关的安装、调试、验收、性能验收试验、运行、检修等相应的技术指导、技术配合、技术培训等全过程的服务。</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卖方需派代表到现场进行技术服务，指导买方按卖方的技术资料、图纸进行安装、分部试运、调试、启动和试运行，并负责解决合同设备在安装调试、试运行中发现的制造质量及性能等有关问题。</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卖方应在合同生效后1个月内以快递邮寄方式向买方提交执行14.2条规定的服务工作的组织计划一式两份。</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如遇有重大问题需要双方立即研究协商时，任何一方均可建议召开会议，在一般情况下，另一方应同意参加。</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各次会议及其他联络方式双方均应签订会议或联络纪要，所签纪要双方均应执行。如涉及合同条款有修改时，双方需签订补充或更改合同。</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卖方提出并经双方在会议上确定的安装、调试和运行技术服务方案，卖方如有修改，须以书面形式通知买方，经买方确认后方可进行。为适应现场条件的要求，买方有权提出变更或修改意见，并书面通知卖方，卖方应给予充分考虑，应尽量满足买方要求。</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买方有权将对方所提供的一切与本合同设备有关的资料分发给与本工程有关的各方，并不由此而构成任何侵权,但不得向任何与本工程无关的第三方提供。</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对盖有“密件”印章的卖方、买方的资料，双方都有为其保密的义务。</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需要卖方的分包商对合同设备的部分技术服务或去现场工作，应由卖方统一组织并征得买方同意，费用应由卖方负担。</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卖方（包括外购）须对一切与本合同有关的供货、设备及技术接口、技术服务等问题负全部责任。</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凡与本合同设备相连接的其它设备装置，卖方有提供接口和技术配合的义务，并不由此而发生合同价格以外的任何费用。</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卖方派到现场服务的技术人员应是有实践经验、可胜任此项工作的人员。卖方派到现场服务的技术人员名单在本合同生效后1个月内提交买方予以确认。</w:t>
      </w:r>
    </w:p>
    <w:p>
      <w:pPr>
        <w:spacing w:line="440" w:lineRule="exact"/>
        <w:ind w:left="540" w:leftChars="257" w:firstLine="420" w:firstLineChars="175"/>
        <w:rPr>
          <w:rFonts w:ascii="宋体" w:hAnsi="宋体"/>
          <w:color w:val="auto"/>
          <w:sz w:val="24"/>
        </w:rPr>
      </w:pPr>
      <w:r>
        <w:rPr>
          <w:rFonts w:hint="eastAsia" w:ascii="宋体" w:hAnsi="宋体"/>
          <w:color w:val="auto"/>
          <w:sz w:val="24"/>
        </w:rPr>
        <w:t>买方有权提出更换不符合要求的卖方现场服务人员，卖方应根据现场需要，重新选派买方认可的服务人员。如果买方在书面提出该项要求10天内卖方没有答复，将按第十五条视为延误工期等同处理。</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由于卖方技术服务人员对安装、调试、试运的技术指导的疏忽和错误以及卖方未按要求派人指导而造成的损失应由卖方负责。</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卖方应在发货之前对货物的有关质量、规格、性能、数量进行准确的全面的检验，并出具其货物符合规定的质量证明书。该证书将作为提交付款单据的一部分。但不应视为是对质量、规格、性能、数量的定论。质量证书应附有写明制造商的出厂检验结果、细节说明。</w:t>
      </w:r>
    </w:p>
    <w:p>
      <w:pPr>
        <w:spacing w:line="440" w:lineRule="exact"/>
        <w:ind w:left="540" w:leftChars="257" w:firstLine="508" w:firstLineChars="212"/>
        <w:rPr>
          <w:rFonts w:ascii="宋体" w:hAnsi="宋体"/>
          <w:color w:val="auto"/>
          <w:sz w:val="24"/>
        </w:rPr>
      </w:pPr>
      <w:r>
        <w:rPr>
          <w:rFonts w:hint="eastAsia" w:ascii="宋体" w:hAnsi="宋体"/>
          <w:color w:val="auto"/>
          <w:sz w:val="24"/>
        </w:rPr>
        <w:t>由卖方供应的所有合同设备/部件(包括分包与外购),在生产过程中都须进行严格的检验和试验,出厂前须进行部套和/或整机总装和试验。所有检验、试验和总装(装配)必须有正式的记录文件。以上工作完成之后,合格者才能出厂发运。</w:t>
      </w:r>
    </w:p>
    <w:p>
      <w:pPr>
        <w:spacing w:line="440" w:lineRule="exact"/>
        <w:ind w:left="540" w:leftChars="257" w:firstLine="508" w:firstLineChars="212"/>
        <w:rPr>
          <w:rFonts w:ascii="宋体" w:hAnsi="宋体"/>
          <w:color w:val="auto"/>
          <w:sz w:val="24"/>
        </w:rPr>
      </w:pPr>
      <w:r>
        <w:rPr>
          <w:rFonts w:hint="eastAsia" w:ascii="宋体" w:hAnsi="宋体"/>
          <w:color w:val="auto"/>
          <w:sz w:val="24"/>
        </w:rPr>
        <w:t>所有这些正式的记录文件及合格证作为技术资料的一部分，卖方要以快递方式邮寄给买方存档。此外,卖方还应在随机文件中提供合格证和质量证明文件。</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货物运抵现场后，卖方在接到买方通知后应及时到现场，与买方将对货物的有关质量、规格、数量/重量进行检验，并出具检验证书，该检验证书不免除或减轻卖方对货物应承担的任何质量责任。</w:t>
      </w:r>
    </w:p>
    <w:p>
      <w:pPr>
        <w:spacing w:line="440" w:lineRule="exact"/>
        <w:ind w:left="540" w:leftChars="257" w:firstLine="508" w:firstLineChars="212"/>
        <w:rPr>
          <w:rFonts w:ascii="宋体" w:hAnsi="宋体"/>
          <w:color w:val="auto"/>
          <w:sz w:val="24"/>
        </w:rPr>
      </w:pPr>
      <w:r>
        <w:rPr>
          <w:rFonts w:hint="eastAsia" w:ascii="宋体" w:hAnsi="宋体"/>
          <w:color w:val="auto"/>
          <w:sz w:val="24"/>
        </w:rPr>
        <w:t>在现场开箱检验时，如果卖方人员未按时赴现场，买方有权自行开箱检验，检验结果和记录对双方同样有效，并作为买方向卖方提出索赔的有效证据。</w:t>
      </w:r>
    </w:p>
    <w:p>
      <w:pPr>
        <w:spacing w:line="440" w:lineRule="exact"/>
        <w:ind w:left="540" w:leftChars="257" w:firstLine="508" w:firstLineChars="212"/>
        <w:rPr>
          <w:rFonts w:ascii="宋体" w:hAnsi="宋体"/>
          <w:color w:val="auto"/>
          <w:sz w:val="24"/>
        </w:rPr>
      </w:pPr>
      <w:r>
        <w:rPr>
          <w:rFonts w:hint="eastAsia" w:ascii="宋体" w:hAnsi="宋体"/>
          <w:color w:val="auto"/>
          <w:sz w:val="24"/>
        </w:rPr>
        <w:t>如果经检验发现质量、规格或数量不符合技术规格书的规定时，买方有权在货物运抵现场后90日内向卖方提出索赔。</w:t>
      </w:r>
    </w:p>
    <w:p>
      <w:pPr>
        <w:numPr>
          <w:ilvl w:val="0"/>
          <w:numId w:val="15"/>
        </w:numPr>
        <w:tabs>
          <w:tab w:val="left" w:pos="540"/>
          <w:tab w:val="clear" w:pos="1080"/>
        </w:tabs>
        <w:spacing w:line="440" w:lineRule="exact"/>
        <w:ind w:left="540" w:firstLine="0"/>
        <w:rPr>
          <w:rFonts w:ascii="宋体" w:hAnsi="宋体"/>
          <w:color w:val="auto"/>
          <w:sz w:val="24"/>
        </w:rPr>
      </w:pPr>
      <w:r>
        <w:rPr>
          <w:rFonts w:hint="eastAsia" w:ascii="宋体" w:hAnsi="宋体"/>
          <w:color w:val="auto"/>
          <w:sz w:val="24"/>
        </w:rPr>
        <w:t>如果在第十三条规定的质量保证期内，发现货物的质量或规格与合同规定不符，或证明货物有缺陷（包括潜在缺陷），买方有权立即将此情况通知卖方，卖方应负责处理，并对买方因此遭受的损失承担赔偿责任。</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第十五条  索赔</w:t>
      </w:r>
    </w:p>
    <w:p>
      <w:pPr>
        <w:numPr>
          <w:ilvl w:val="0"/>
          <w:numId w:val="16"/>
        </w:numPr>
        <w:tabs>
          <w:tab w:val="left" w:pos="1260"/>
          <w:tab w:val="clear" w:pos="1080"/>
        </w:tabs>
        <w:spacing w:line="440" w:lineRule="exact"/>
        <w:ind w:left="540" w:firstLine="0"/>
        <w:rPr>
          <w:rFonts w:ascii="宋体" w:hAnsi="宋体"/>
          <w:color w:val="auto"/>
          <w:sz w:val="24"/>
        </w:rPr>
      </w:pPr>
      <w:r>
        <w:rPr>
          <w:rFonts w:hint="eastAsia" w:ascii="宋体" w:hAnsi="宋体"/>
          <w:color w:val="auto"/>
          <w:sz w:val="24"/>
        </w:rPr>
        <w:t>如果卖方提供的货物与合同不符，并且买方已于第十三条、第十四条规定的质量保证期内和检验、验收测试期限内提出索赔，卖方应按买方同意的下述一种或多种方法解决索赔事宜。</w:t>
      </w:r>
    </w:p>
    <w:p>
      <w:pPr>
        <w:numPr>
          <w:ilvl w:val="0"/>
          <w:numId w:val="17"/>
        </w:numPr>
        <w:tabs>
          <w:tab w:val="left" w:pos="1260"/>
          <w:tab w:val="clear" w:pos="1080"/>
        </w:tabs>
        <w:spacing w:line="440" w:lineRule="exact"/>
        <w:ind w:left="540" w:firstLine="0"/>
        <w:rPr>
          <w:rFonts w:ascii="宋体" w:hAnsi="宋体"/>
          <w:color w:val="auto"/>
          <w:sz w:val="24"/>
        </w:rPr>
      </w:pPr>
      <w:r>
        <w:rPr>
          <w:rFonts w:hint="eastAsia" w:ascii="宋体" w:hAnsi="宋体"/>
          <w:color w:val="auto"/>
          <w:sz w:val="24"/>
        </w:rPr>
        <w:t>卖方应向买方支付与被拒收货物价值等额的款项，并应负担由此发生的一切损失补偿和费用，包括利息、银行费用、运费和保险费、检验费、仓储费、装卸费以及为保管和保护被拒绝货物所需要的其它必要费用等。如果买方选择按本项解决索赔事宜，则在卖方支付前述款项和费用后，卖方将被免除按本合同交付该批货物的义务。</w:t>
      </w:r>
    </w:p>
    <w:p>
      <w:pPr>
        <w:spacing w:line="440" w:lineRule="exact"/>
        <w:ind w:left="540"/>
        <w:rPr>
          <w:rFonts w:ascii="宋体" w:hAnsi="宋体"/>
          <w:color w:val="auto"/>
          <w:sz w:val="24"/>
        </w:rPr>
      </w:pPr>
      <w:r>
        <w:rPr>
          <w:rFonts w:hint="eastAsia" w:ascii="宋体" w:hAnsi="宋体"/>
          <w:color w:val="auto"/>
          <w:sz w:val="24"/>
        </w:rPr>
        <w:t>15.1.2 更换不合格的货物，以达到合同规定的规格、质量和性能，卖方承担由此产生的一切费用和风险并负担买方遭受的一切直接费用和损失。同时卖方应根据第十三条规定对更换的货物相应地延长质量保证期。</w:t>
      </w:r>
    </w:p>
    <w:p>
      <w:pPr>
        <w:numPr>
          <w:ilvl w:val="0"/>
          <w:numId w:val="16"/>
        </w:numPr>
        <w:tabs>
          <w:tab w:val="left" w:pos="1260"/>
          <w:tab w:val="clear" w:pos="1080"/>
        </w:tabs>
        <w:spacing w:line="440" w:lineRule="exact"/>
        <w:ind w:left="540" w:firstLine="0"/>
        <w:rPr>
          <w:rFonts w:ascii="宋体" w:hAnsi="宋体"/>
          <w:color w:val="auto"/>
          <w:sz w:val="24"/>
        </w:rPr>
      </w:pPr>
      <w:r>
        <w:rPr>
          <w:rFonts w:hint="eastAsia" w:ascii="宋体" w:hAnsi="宋体"/>
          <w:color w:val="auto"/>
          <w:sz w:val="24"/>
        </w:rPr>
        <w:t>由于卖方原因而引起的设备或部件的更换或补齐短少的零部件的时间，以不影响工程建设进度为原则，但最迟不得晚于发现缺陷、损坏或短缺等之后1周或买卖双方商定的更长时间内，否则按延迟交货处理。</w:t>
      </w:r>
    </w:p>
    <w:p>
      <w:pPr>
        <w:numPr>
          <w:ilvl w:val="0"/>
          <w:numId w:val="16"/>
        </w:numPr>
        <w:tabs>
          <w:tab w:val="left" w:pos="1260"/>
          <w:tab w:val="clear" w:pos="1080"/>
        </w:tabs>
        <w:spacing w:line="440" w:lineRule="exact"/>
        <w:ind w:left="540" w:firstLine="0"/>
        <w:rPr>
          <w:rFonts w:ascii="宋体" w:hAnsi="宋体"/>
          <w:color w:val="auto"/>
          <w:sz w:val="24"/>
        </w:rPr>
      </w:pPr>
      <w:r>
        <w:rPr>
          <w:rFonts w:hint="eastAsia" w:ascii="宋体" w:hAnsi="宋体"/>
          <w:color w:val="auto"/>
          <w:sz w:val="24"/>
        </w:rPr>
        <w:t xml:space="preserve"> 如果买方提出索赔通知后个20日内卖方未能答复，该索赔应视为已被卖方接受。若卖方未能在买方提出索赔通知的20日内或买方同意的更长一些的时间内，按买方同意的上述任何一种方式处理索赔事宜，买方将从货款或卖方提供的履约保证金或质量保证金中扣回索赔金额，履约保证金或质量保证金金额不足时，买方有权向卖方进行进一步的索赔。</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第十六条 安装、调试、试运和验收</w:t>
      </w:r>
    </w:p>
    <w:p>
      <w:pPr>
        <w:numPr>
          <w:ilvl w:val="0"/>
          <w:numId w:val="18"/>
        </w:numPr>
        <w:tabs>
          <w:tab w:val="left" w:pos="540"/>
          <w:tab w:val="left" w:pos="1260"/>
          <w:tab w:val="clear" w:pos="1080"/>
        </w:tabs>
        <w:spacing w:line="440" w:lineRule="exact"/>
        <w:ind w:left="540" w:firstLine="0"/>
        <w:rPr>
          <w:rFonts w:ascii="宋体" w:hAnsi="宋体"/>
          <w:color w:val="auto"/>
          <w:sz w:val="24"/>
        </w:rPr>
      </w:pPr>
      <w:r>
        <w:rPr>
          <w:rFonts w:hint="eastAsia" w:ascii="宋体" w:hAnsi="宋体"/>
          <w:color w:val="auto"/>
          <w:sz w:val="24"/>
        </w:rPr>
        <w:t>本合同设备由卖方根据相关设备的技术资料、检验标准、图纸及说明书进行安装、调试、运行和维修。重要工序须经卖方现场技术服务人员签字确认。安装、调试过程中，若卖方未按相关设备的技术资料规定和安装规定而出现问题，卖方自行负责。</w:t>
      </w:r>
    </w:p>
    <w:p>
      <w:pPr>
        <w:numPr>
          <w:ilvl w:val="0"/>
          <w:numId w:val="18"/>
        </w:numPr>
        <w:tabs>
          <w:tab w:val="left" w:pos="540"/>
          <w:tab w:val="left" w:pos="1260"/>
          <w:tab w:val="clear" w:pos="1080"/>
        </w:tabs>
        <w:spacing w:line="440" w:lineRule="exact"/>
        <w:ind w:left="540" w:firstLine="0"/>
        <w:rPr>
          <w:rFonts w:ascii="宋体" w:hAnsi="宋体"/>
          <w:color w:val="auto"/>
          <w:sz w:val="24"/>
        </w:rPr>
      </w:pPr>
      <w:r>
        <w:rPr>
          <w:rFonts w:hint="eastAsia" w:ascii="宋体" w:hAnsi="宋体"/>
          <w:color w:val="auto"/>
          <w:sz w:val="24"/>
        </w:rPr>
        <w:t>在安装之前，卖方技术人员应说明安装方法和要求。在安装过程中，买方技术人员有权对安装工作进行</w:t>
      </w:r>
      <w:r>
        <w:rPr>
          <w:rFonts w:ascii="宋体" w:hAnsi="宋体"/>
          <w:color w:val="auto"/>
          <w:sz w:val="24"/>
        </w:rPr>
        <w:t>监督</w:t>
      </w:r>
      <w:r>
        <w:rPr>
          <w:rFonts w:hint="eastAsia" w:ascii="宋体" w:hAnsi="宋体"/>
          <w:color w:val="auto"/>
          <w:sz w:val="24"/>
        </w:rPr>
        <w:t>。</w:t>
      </w:r>
      <w:r>
        <w:rPr>
          <w:rFonts w:ascii="宋体" w:hAnsi="宋体"/>
          <w:color w:val="auto"/>
          <w:sz w:val="24"/>
        </w:rPr>
        <w:t>在单套合同设备安装完毕后，买卖双方代表将进一步核实、确认安装工作，并共同签署安装完毕证书一式二份，买卖双方各执一份。但此证书不能解除卖方在试运行、性能验收试验和保证期内的责任，以及技术性能和保证与合同规定不相符的责任。本合同设备安装完毕后的验收工作按照技术规格书的要求进行。</w:t>
      </w:r>
    </w:p>
    <w:p>
      <w:pPr>
        <w:numPr>
          <w:ilvl w:val="0"/>
          <w:numId w:val="18"/>
        </w:numPr>
        <w:tabs>
          <w:tab w:val="left" w:pos="540"/>
          <w:tab w:val="left" w:pos="1260"/>
          <w:tab w:val="clear" w:pos="1080"/>
        </w:tabs>
        <w:spacing w:line="440" w:lineRule="exact"/>
        <w:ind w:left="540" w:firstLine="0"/>
        <w:rPr>
          <w:rFonts w:ascii="宋体" w:hAnsi="宋体"/>
          <w:color w:val="auto"/>
          <w:sz w:val="24"/>
        </w:rPr>
      </w:pPr>
      <w:r>
        <w:rPr>
          <w:rFonts w:hint="eastAsia" w:ascii="宋体" w:hAnsi="宋体"/>
          <w:color w:val="auto"/>
          <w:sz w:val="24"/>
        </w:rPr>
        <w:t>合同设备安装完毕后，卖方应派人参加调试进行指导，并应尽快解决调试中出现的因卖方原因引起的设备问题，其所需时间一般不应超过</w:t>
      </w:r>
      <w:r>
        <w:rPr>
          <w:rFonts w:ascii="宋体" w:hAnsi="宋体"/>
          <w:color w:val="auto"/>
          <w:sz w:val="24"/>
        </w:rPr>
        <w:t>1周，对于因卖方原因引起的较大的设备问题，卖方应在双方协商确定的合理期间内解决，否则将视为延误工期进行处理。对于非卖方原因引起的设备问题，卖方应尽快协助买方予以处理。</w:t>
      </w:r>
    </w:p>
    <w:p>
      <w:pPr>
        <w:numPr>
          <w:ilvl w:val="0"/>
          <w:numId w:val="18"/>
        </w:numPr>
        <w:tabs>
          <w:tab w:val="left" w:pos="540"/>
          <w:tab w:val="left" w:pos="1260"/>
          <w:tab w:val="clear" w:pos="1080"/>
        </w:tabs>
        <w:spacing w:line="440" w:lineRule="exact"/>
        <w:ind w:left="540" w:firstLine="0"/>
        <w:rPr>
          <w:rFonts w:ascii="宋体" w:hAnsi="宋体"/>
          <w:color w:val="auto"/>
          <w:sz w:val="24"/>
        </w:rPr>
      </w:pPr>
      <w:r>
        <w:rPr>
          <w:rFonts w:hint="eastAsia" w:ascii="宋体" w:hAnsi="宋体"/>
          <w:color w:val="auto"/>
          <w:sz w:val="24"/>
        </w:rPr>
        <w:t>性能验收试验的目的是为验证合同设备是否能达到各项技术性能和保证指标。验收试验由买方负责，卖方参加。性能验收试验完毕,每套合同设备达到技术规格书所规定的各项性能保证值指标后，买方应在10天内签署由卖方会签的本合同设备初步性能验收合格证书一式二份，双方各执一份。除合同中另有规定外，各方人员所发生的费用均由该方自行负担。</w:t>
      </w:r>
    </w:p>
    <w:p>
      <w:pPr>
        <w:numPr>
          <w:ilvl w:val="0"/>
          <w:numId w:val="18"/>
        </w:numPr>
        <w:tabs>
          <w:tab w:val="left" w:pos="540"/>
          <w:tab w:val="left" w:pos="1260"/>
          <w:tab w:val="clear" w:pos="1080"/>
        </w:tabs>
        <w:spacing w:line="440" w:lineRule="exact"/>
        <w:ind w:left="540" w:firstLine="0"/>
        <w:rPr>
          <w:rFonts w:ascii="宋体" w:hAnsi="宋体"/>
          <w:color w:val="auto"/>
          <w:sz w:val="24"/>
        </w:rPr>
      </w:pPr>
      <w:r>
        <w:rPr>
          <w:rFonts w:hint="eastAsia" w:ascii="宋体" w:hAnsi="宋体"/>
          <w:color w:val="auto"/>
          <w:sz w:val="24"/>
        </w:rPr>
        <w:t>在不影响本合同设备安全、可靠运行的条件下，如有个别微小缺陷，且此缺陷按本合同条款被定为卖方责任,卖方在双方商定的时间内免费修理上述的缺陷，买方则可同意签署初步性能验收合格证书。</w:t>
      </w:r>
    </w:p>
    <w:p>
      <w:pPr>
        <w:numPr>
          <w:ilvl w:val="0"/>
          <w:numId w:val="18"/>
        </w:numPr>
        <w:tabs>
          <w:tab w:val="left" w:pos="540"/>
          <w:tab w:val="left" w:pos="1260"/>
          <w:tab w:val="clear" w:pos="1080"/>
        </w:tabs>
        <w:spacing w:line="440" w:lineRule="exact"/>
        <w:ind w:left="540" w:firstLine="0"/>
        <w:rPr>
          <w:rFonts w:ascii="宋体" w:hAnsi="宋体"/>
          <w:color w:val="auto"/>
          <w:sz w:val="24"/>
        </w:rPr>
      </w:pPr>
      <w:r>
        <w:rPr>
          <w:rFonts w:hint="eastAsia" w:ascii="宋体" w:hAnsi="宋体"/>
          <w:color w:val="auto"/>
          <w:sz w:val="24"/>
        </w:rPr>
        <w:t>如果第一次性能验收试验达不到技术规格书所规定的一项或多项性能保证值，则双方应共同分析原因，澄清责任,由责任一方采取措施，并在第一次验收试验结束后1个月内进行第二次验收试验。</w:t>
      </w:r>
    </w:p>
    <w:p>
      <w:pPr>
        <w:numPr>
          <w:ilvl w:val="0"/>
          <w:numId w:val="19"/>
        </w:numPr>
        <w:tabs>
          <w:tab w:val="left" w:pos="540"/>
          <w:tab w:val="left" w:pos="1260"/>
          <w:tab w:val="clear" w:pos="1080"/>
        </w:tabs>
        <w:spacing w:line="440" w:lineRule="exact"/>
        <w:ind w:left="540" w:firstLine="0"/>
        <w:rPr>
          <w:rFonts w:ascii="宋体" w:hAnsi="宋体"/>
          <w:color w:val="auto"/>
          <w:sz w:val="24"/>
        </w:rPr>
      </w:pPr>
      <w:r>
        <w:rPr>
          <w:rFonts w:hint="eastAsia" w:ascii="宋体" w:hAnsi="宋体"/>
          <w:color w:val="auto"/>
          <w:sz w:val="24"/>
        </w:rPr>
        <w:t>如属卖方责任，卖方需自费采取有效措施以使第二次性能验收试验能达到技术性能和/或保证指标，卖方将负担所有直接的费用，包括但不仅限于下列费用：</w:t>
      </w:r>
    </w:p>
    <w:p>
      <w:pPr>
        <w:numPr>
          <w:ilvl w:val="1"/>
          <w:numId w:val="20"/>
        </w:numPr>
        <w:tabs>
          <w:tab w:val="left" w:pos="1260"/>
          <w:tab w:val="clear" w:pos="1320"/>
        </w:tabs>
        <w:spacing w:line="440" w:lineRule="exact"/>
        <w:rPr>
          <w:rFonts w:ascii="宋体" w:hAnsi="宋体"/>
          <w:color w:val="auto"/>
          <w:sz w:val="24"/>
        </w:rPr>
      </w:pPr>
      <w:r>
        <w:rPr>
          <w:rFonts w:hint="eastAsia" w:ascii="宋体" w:hAnsi="宋体"/>
          <w:color w:val="auto"/>
          <w:sz w:val="24"/>
        </w:rPr>
        <w:t>替换和/或修理的设备和材料的费用；</w:t>
      </w:r>
    </w:p>
    <w:p>
      <w:pPr>
        <w:numPr>
          <w:ilvl w:val="1"/>
          <w:numId w:val="20"/>
        </w:numPr>
        <w:tabs>
          <w:tab w:val="left" w:pos="1260"/>
          <w:tab w:val="clear" w:pos="1320"/>
        </w:tabs>
        <w:spacing w:line="440" w:lineRule="exact"/>
        <w:rPr>
          <w:rFonts w:ascii="宋体" w:hAnsi="宋体"/>
          <w:color w:val="auto"/>
          <w:sz w:val="24"/>
        </w:rPr>
      </w:pPr>
      <w:r>
        <w:rPr>
          <w:rFonts w:hint="eastAsia" w:ascii="宋体" w:hAnsi="宋体"/>
          <w:color w:val="auto"/>
          <w:sz w:val="24"/>
        </w:rPr>
        <w:t>参与第二次性能验收试验的卖方技术人员的费用；</w:t>
      </w:r>
    </w:p>
    <w:p>
      <w:pPr>
        <w:numPr>
          <w:ilvl w:val="1"/>
          <w:numId w:val="20"/>
        </w:numPr>
        <w:tabs>
          <w:tab w:val="left" w:pos="1260"/>
          <w:tab w:val="clear" w:pos="1320"/>
        </w:tabs>
        <w:spacing w:line="440" w:lineRule="exact"/>
        <w:rPr>
          <w:rFonts w:ascii="宋体" w:hAnsi="宋体"/>
          <w:color w:val="auto"/>
          <w:sz w:val="24"/>
        </w:rPr>
      </w:pPr>
      <w:r>
        <w:rPr>
          <w:rFonts w:hint="eastAsia" w:ascii="宋体" w:hAnsi="宋体"/>
          <w:color w:val="auto"/>
          <w:sz w:val="24"/>
        </w:rPr>
        <w:t>参加修理的买方人员的费用；</w:t>
      </w:r>
    </w:p>
    <w:p>
      <w:pPr>
        <w:numPr>
          <w:ilvl w:val="1"/>
          <w:numId w:val="20"/>
        </w:numPr>
        <w:tabs>
          <w:tab w:val="left" w:pos="1260"/>
          <w:tab w:val="clear" w:pos="1320"/>
        </w:tabs>
        <w:spacing w:line="440" w:lineRule="exact"/>
        <w:rPr>
          <w:rFonts w:ascii="宋体" w:hAnsi="宋体"/>
          <w:color w:val="auto"/>
          <w:sz w:val="24"/>
        </w:rPr>
      </w:pPr>
      <w:r>
        <w:rPr>
          <w:rFonts w:hint="eastAsia" w:ascii="宋体" w:hAnsi="宋体"/>
          <w:color w:val="auto"/>
          <w:sz w:val="24"/>
        </w:rPr>
        <w:t>第二次性能验收试验所使用的工具和设备的费用；</w:t>
      </w:r>
    </w:p>
    <w:p>
      <w:pPr>
        <w:numPr>
          <w:ilvl w:val="1"/>
          <w:numId w:val="20"/>
        </w:numPr>
        <w:tabs>
          <w:tab w:val="left" w:pos="1260"/>
          <w:tab w:val="clear" w:pos="1320"/>
        </w:tabs>
        <w:spacing w:line="440" w:lineRule="exact"/>
        <w:rPr>
          <w:rFonts w:ascii="宋体" w:hAnsi="宋体"/>
          <w:color w:val="auto"/>
          <w:sz w:val="24"/>
        </w:rPr>
      </w:pPr>
      <w:r>
        <w:rPr>
          <w:rFonts w:hint="eastAsia" w:ascii="宋体" w:hAnsi="宋体"/>
          <w:color w:val="auto"/>
          <w:sz w:val="24"/>
        </w:rPr>
        <w:t>第二次性能验收试验所使用的材料和消耗品的费用；</w:t>
      </w:r>
    </w:p>
    <w:p>
      <w:pPr>
        <w:numPr>
          <w:ilvl w:val="1"/>
          <w:numId w:val="20"/>
        </w:numPr>
        <w:tabs>
          <w:tab w:val="left" w:pos="1080"/>
          <w:tab w:val="clear" w:pos="1320"/>
        </w:tabs>
        <w:spacing w:line="440" w:lineRule="exact"/>
        <w:ind w:left="1620" w:hanging="720"/>
        <w:rPr>
          <w:rFonts w:ascii="宋体" w:hAnsi="宋体"/>
          <w:color w:val="auto"/>
          <w:sz w:val="24"/>
        </w:rPr>
      </w:pPr>
      <w:r>
        <w:rPr>
          <w:rFonts w:hint="eastAsia" w:ascii="宋体" w:hAnsi="宋体"/>
          <w:color w:val="auto"/>
          <w:sz w:val="24"/>
        </w:rPr>
        <w:t>所更换和/或修理的设备和材料运离/运抵现场的所有运输和保险费用。</w:t>
      </w:r>
    </w:p>
    <w:p>
      <w:pPr>
        <w:numPr>
          <w:ilvl w:val="0"/>
          <w:numId w:val="18"/>
        </w:numPr>
        <w:tabs>
          <w:tab w:val="left" w:pos="540"/>
          <w:tab w:val="left" w:pos="1260"/>
          <w:tab w:val="clear" w:pos="1080"/>
        </w:tabs>
        <w:spacing w:line="440" w:lineRule="exact"/>
        <w:ind w:left="540" w:firstLine="0"/>
        <w:rPr>
          <w:rFonts w:ascii="宋体" w:hAnsi="宋体"/>
          <w:color w:val="auto"/>
          <w:sz w:val="24"/>
        </w:rPr>
      </w:pPr>
      <w:r>
        <w:rPr>
          <w:rFonts w:hint="eastAsia" w:ascii="宋体" w:hAnsi="宋体"/>
          <w:color w:val="auto"/>
          <w:sz w:val="24"/>
        </w:rPr>
        <w:t>第二次性能验收试验后，如仍有一项或多项指标未能达到技术规格书所规定的性能保证值，双方应共同研究，分析原因，澄清责任:</w:t>
      </w:r>
    </w:p>
    <w:p>
      <w:pPr>
        <w:numPr>
          <w:ilvl w:val="1"/>
          <w:numId w:val="21"/>
        </w:numPr>
        <w:spacing w:line="440" w:lineRule="exact"/>
        <w:rPr>
          <w:rFonts w:ascii="宋体" w:hAnsi="宋体"/>
          <w:color w:val="auto"/>
          <w:sz w:val="24"/>
        </w:rPr>
      </w:pPr>
      <w:r>
        <w:rPr>
          <w:rFonts w:hint="eastAsia" w:ascii="宋体" w:hAnsi="宋体"/>
          <w:color w:val="auto"/>
          <w:sz w:val="24"/>
        </w:rPr>
        <w:t>如属卖方原因，则应按本合同第十七条执行。</w:t>
      </w:r>
    </w:p>
    <w:p>
      <w:pPr>
        <w:numPr>
          <w:ilvl w:val="1"/>
          <w:numId w:val="21"/>
        </w:numPr>
        <w:tabs>
          <w:tab w:val="left" w:pos="1620"/>
          <w:tab w:val="clear" w:pos="1320"/>
        </w:tabs>
        <w:spacing w:line="440" w:lineRule="exact"/>
        <w:ind w:left="1620" w:hanging="720"/>
        <w:rPr>
          <w:rFonts w:ascii="宋体" w:hAnsi="宋体"/>
          <w:color w:val="auto"/>
          <w:sz w:val="24"/>
        </w:rPr>
      </w:pPr>
      <w:r>
        <w:rPr>
          <w:rFonts w:hint="eastAsia" w:ascii="宋体" w:hAnsi="宋体"/>
          <w:color w:val="auto"/>
          <w:sz w:val="24"/>
        </w:rPr>
        <w:t>如属买方原因，本合同设备应被认为初步性能验收通过，此后10天内由买方代表签署由卖方代表会签的本合同设备初步性能验收合格证书一式二份，双方各执一份。此时卖方仍有义务向买方提供技术帮助,与买方一起采取各种措施，使合同设备达到本合同规定的技术性能和保证指标。</w:t>
      </w:r>
    </w:p>
    <w:p>
      <w:pPr>
        <w:numPr>
          <w:ilvl w:val="0"/>
          <w:numId w:val="18"/>
        </w:numPr>
        <w:tabs>
          <w:tab w:val="left" w:pos="540"/>
          <w:tab w:val="left" w:pos="1260"/>
          <w:tab w:val="clear" w:pos="1080"/>
        </w:tabs>
        <w:spacing w:line="440" w:lineRule="exact"/>
        <w:ind w:left="540" w:firstLine="0"/>
        <w:rPr>
          <w:rFonts w:ascii="宋体" w:hAnsi="宋体"/>
          <w:color w:val="auto"/>
          <w:sz w:val="24"/>
        </w:rPr>
      </w:pPr>
      <w:r>
        <w:rPr>
          <w:rFonts w:hint="eastAsia" w:ascii="宋体" w:hAnsi="宋体"/>
          <w:color w:val="auto"/>
          <w:sz w:val="24"/>
        </w:rPr>
        <w:t>初步性能验收合格证书只是证明卖方所提供的合同设备性能和参数截至出具初步性能验收证明时可以按合同要求予以接受，但不能视为卖方对合同设备中存在的可能引起合同设备损坏的潜在缺陷所应负的责任解除的证据；同样，最终性能验收合格证书也不能被视为卖方对合同设备中存在可能引起合同设备损坏的潜在缺陷应负责任的解除的证据。</w:t>
      </w:r>
    </w:p>
    <w:p>
      <w:pPr>
        <w:numPr>
          <w:ilvl w:val="0"/>
          <w:numId w:val="18"/>
        </w:numPr>
        <w:tabs>
          <w:tab w:val="left" w:pos="540"/>
          <w:tab w:val="left" w:pos="1260"/>
          <w:tab w:val="clear" w:pos="1080"/>
        </w:tabs>
        <w:spacing w:line="440" w:lineRule="exact"/>
        <w:ind w:left="540" w:firstLine="0"/>
        <w:rPr>
          <w:rFonts w:ascii="宋体" w:hAnsi="宋体"/>
          <w:color w:val="auto"/>
          <w:sz w:val="24"/>
        </w:rPr>
      </w:pPr>
      <w:r>
        <w:rPr>
          <w:rFonts w:hint="eastAsia" w:ascii="宋体" w:hAnsi="宋体"/>
          <w:color w:val="auto"/>
          <w:sz w:val="24"/>
        </w:rPr>
        <w:t>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或修理、更换设备，或由于卖方设计图纸错误或卖方技术服务人员的指导错误造成返工，卖方应按下列公式向买方支付费用：（所有费用按发生时的费率水平计费）</w:t>
      </w:r>
    </w:p>
    <w:p>
      <w:pPr>
        <w:spacing w:line="440" w:lineRule="exact"/>
        <w:ind w:firstLine="570"/>
        <w:rPr>
          <w:rFonts w:ascii="宋体" w:hAnsi="宋体"/>
          <w:color w:val="auto"/>
          <w:sz w:val="24"/>
        </w:rPr>
      </w:pPr>
      <w:r>
        <w:rPr>
          <w:rFonts w:hint="eastAsia" w:ascii="宋体" w:hAnsi="宋体"/>
          <w:color w:val="auto"/>
          <w:sz w:val="24"/>
        </w:rPr>
        <w:t xml:space="preserve">        Ｐ＝ ａh + M + c m</w:t>
      </w:r>
    </w:p>
    <w:p>
      <w:pPr>
        <w:spacing w:line="440" w:lineRule="exact"/>
        <w:ind w:firstLine="570"/>
        <w:rPr>
          <w:rFonts w:ascii="宋体" w:hAnsi="宋体"/>
          <w:color w:val="auto"/>
          <w:sz w:val="24"/>
        </w:rPr>
      </w:pPr>
      <w:r>
        <w:rPr>
          <w:rFonts w:hint="eastAsia" w:ascii="宋体" w:hAnsi="宋体"/>
          <w:color w:val="auto"/>
          <w:sz w:val="24"/>
        </w:rPr>
        <w:t xml:space="preserve">        其中：Ｐ＿＿总费用(元)</w:t>
      </w:r>
    </w:p>
    <w:p>
      <w:pPr>
        <w:spacing w:line="440" w:lineRule="exact"/>
        <w:ind w:firstLine="570"/>
        <w:rPr>
          <w:rFonts w:ascii="宋体" w:hAnsi="宋体"/>
          <w:color w:val="auto"/>
          <w:sz w:val="24"/>
        </w:rPr>
      </w:pPr>
      <w:r>
        <w:rPr>
          <w:rFonts w:hint="eastAsia" w:ascii="宋体" w:hAnsi="宋体"/>
          <w:color w:val="auto"/>
          <w:sz w:val="24"/>
        </w:rPr>
        <w:t xml:space="preserve">              a ＿＿人工费(元/小时.人)</w:t>
      </w:r>
    </w:p>
    <w:p>
      <w:pPr>
        <w:spacing w:line="440" w:lineRule="exact"/>
        <w:ind w:firstLine="570"/>
        <w:rPr>
          <w:rFonts w:ascii="宋体" w:hAnsi="宋体"/>
          <w:color w:val="auto"/>
          <w:sz w:val="24"/>
        </w:rPr>
      </w:pPr>
      <w:r>
        <w:rPr>
          <w:rFonts w:hint="eastAsia" w:ascii="宋体" w:hAnsi="宋体"/>
          <w:color w:val="auto"/>
          <w:sz w:val="24"/>
        </w:rPr>
        <w:t xml:space="preserve">              h ＿＿人时(小时.人)</w:t>
      </w:r>
    </w:p>
    <w:p>
      <w:pPr>
        <w:spacing w:line="440" w:lineRule="exact"/>
        <w:ind w:firstLine="570"/>
        <w:rPr>
          <w:rFonts w:ascii="宋体" w:hAnsi="宋体"/>
          <w:color w:val="auto"/>
          <w:sz w:val="24"/>
        </w:rPr>
      </w:pPr>
      <w:r>
        <w:rPr>
          <w:rFonts w:hint="eastAsia" w:ascii="宋体" w:hAnsi="宋体"/>
          <w:color w:val="auto"/>
          <w:sz w:val="24"/>
        </w:rPr>
        <w:t xml:space="preserve">              M ＿＿材料费(元)</w:t>
      </w:r>
    </w:p>
    <w:p>
      <w:pPr>
        <w:spacing w:line="440" w:lineRule="exact"/>
        <w:ind w:firstLine="570"/>
        <w:rPr>
          <w:rFonts w:ascii="宋体" w:hAnsi="宋体"/>
          <w:color w:val="auto"/>
          <w:sz w:val="24"/>
        </w:rPr>
      </w:pPr>
      <w:r>
        <w:rPr>
          <w:rFonts w:hint="eastAsia" w:ascii="宋体" w:hAnsi="宋体"/>
          <w:color w:val="auto"/>
          <w:sz w:val="24"/>
        </w:rPr>
        <w:t xml:space="preserve">              c ＿＿台班数(台.班)</w:t>
      </w:r>
    </w:p>
    <w:p>
      <w:pPr>
        <w:spacing w:line="440" w:lineRule="exact"/>
        <w:ind w:firstLine="570"/>
        <w:rPr>
          <w:rFonts w:ascii="宋体" w:hAnsi="宋体"/>
          <w:color w:val="auto"/>
          <w:sz w:val="24"/>
        </w:rPr>
      </w:pPr>
      <w:r>
        <w:rPr>
          <w:rFonts w:hint="eastAsia" w:ascii="宋体" w:hAnsi="宋体"/>
          <w:color w:val="auto"/>
          <w:sz w:val="24"/>
        </w:rPr>
        <w:t xml:space="preserve">              m ＿＿每台设备的台班费(元/台.班)</w:t>
      </w:r>
    </w:p>
    <w:p>
      <w:pPr>
        <w:numPr>
          <w:ilvl w:val="0"/>
          <w:numId w:val="18"/>
        </w:numPr>
        <w:tabs>
          <w:tab w:val="left" w:pos="540"/>
          <w:tab w:val="left" w:pos="1260"/>
          <w:tab w:val="clear" w:pos="1080"/>
        </w:tabs>
        <w:spacing w:line="440" w:lineRule="exact"/>
        <w:ind w:left="540" w:firstLine="0"/>
        <w:rPr>
          <w:rFonts w:ascii="宋体" w:hAnsi="宋体"/>
          <w:color w:val="auto"/>
          <w:sz w:val="24"/>
        </w:rPr>
      </w:pPr>
      <w:r>
        <w:rPr>
          <w:rFonts w:hint="eastAsia" w:ascii="宋体" w:hAnsi="宋体"/>
          <w:color w:val="auto"/>
          <w:sz w:val="24"/>
        </w:rPr>
        <w:t>在设备寿命内,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合同设备制造所需的备品备件，且买方制造这些备品备件不构成对专利及工业设计权的侵权。买方在用毕后适当的时候以合理的方式和状况归还以上各项物品。</w:t>
      </w:r>
    </w:p>
    <w:p>
      <w:pPr>
        <w:numPr>
          <w:ilvl w:val="0"/>
          <w:numId w:val="18"/>
        </w:numPr>
        <w:tabs>
          <w:tab w:val="left" w:pos="540"/>
          <w:tab w:val="left" w:pos="1260"/>
          <w:tab w:val="clear" w:pos="1080"/>
        </w:tabs>
        <w:spacing w:line="440" w:lineRule="exact"/>
        <w:ind w:left="540" w:firstLine="0"/>
        <w:rPr>
          <w:rFonts w:ascii="宋体" w:hAnsi="宋体"/>
          <w:color w:val="auto"/>
          <w:sz w:val="24"/>
        </w:rPr>
      </w:pPr>
      <w:r>
        <w:rPr>
          <w:rFonts w:hint="eastAsia" w:ascii="宋体" w:hAnsi="宋体"/>
          <w:color w:val="auto"/>
          <w:sz w:val="24"/>
        </w:rPr>
        <w:t>不论合同设备的损失或损坏的责任在买方或是在卖方，卖方应首先尽快交付更换或补充此损失或损坏的设备，然后确定上述设备的费用由哪一方承担。</w:t>
      </w:r>
    </w:p>
    <w:p>
      <w:pPr>
        <w:spacing w:line="440" w:lineRule="exact"/>
        <w:ind w:firstLine="570"/>
        <w:rPr>
          <w:rFonts w:hint="eastAsia" w:ascii="宋体" w:hAnsi="宋体"/>
          <w:b/>
          <w:color w:val="auto"/>
          <w:sz w:val="24"/>
        </w:rPr>
      </w:pPr>
    </w:p>
    <w:p>
      <w:pPr>
        <w:spacing w:line="440" w:lineRule="exact"/>
        <w:ind w:firstLine="570"/>
        <w:rPr>
          <w:rFonts w:hint="eastAsia" w:ascii="宋体" w:hAnsi="宋体"/>
          <w:b/>
          <w:color w:val="auto"/>
          <w:sz w:val="24"/>
        </w:rPr>
      </w:pPr>
      <w:r>
        <w:rPr>
          <w:rFonts w:hint="eastAsia" w:ascii="宋体" w:hAnsi="宋体"/>
          <w:b/>
          <w:color w:val="auto"/>
          <w:sz w:val="24"/>
        </w:rPr>
        <w:t xml:space="preserve">第十七条  </w:t>
      </w:r>
      <w:r>
        <w:rPr>
          <w:rFonts w:hint="eastAsia" w:ascii="宋体" w:hAnsi="宋体"/>
          <w:b/>
          <w:color w:val="auto"/>
          <w:sz w:val="24"/>
          <w:lang w:val="en-US" w:eastAsia="zh-CN"/>
        </w:rPr>
        <w:t>施工安全</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 xml:space="preserve"> 乙方在施工期间应严格遵守《建筑安装工程安全技术规程》、《建筑安装工人安全操作规程》、《中华人民共和国消防法》和其它相关的法律、行政法规、规范及甲方的有关安全管理规定，确保施工安全。具体应遵守事项包括但不限于：</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乙方在施工生产过程发生安全事故的，乙方应立即向甲方及相关部门报告，并采取相应的应对措施。事故的一切责任及损失均由乙方承担。</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乙方应建立健全安全责任制度，制定有关的安全管理规定，设置专职或兼职的施工现场安全管理人员，加强施工现场的安全管理，确保本方施工人员在施工过程中严格遵守有关的安全生产规章制度。</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乙方在施工过程中必须按规定严格执行甲方制定的工作票制度。对甲方规定可以不使用工作票的工作，开工前应得到甲方负责人的同意。</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乙方应确保所派施工人员业务水平、身体素质及精神状态等满足施工要求，严禁使用未成年工和不适应现场安全施工要求的老、弱、病、残人员进行施工，不得安排60岁以上的人员入场作业。</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 xml:space="preserve"> 乙方开工前必须自上而下进行安全技术交底，全体施工人员均掌握工程特点及施工安全措施；乙方开工前应组织施工人员学习并掌握有关安全生产规程、规定中有关部分。</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复杂的和危险性较大的作业，乙方应制订并采取有效的施工安全技术措施。施工现场必须具有相关的安全标志牌。</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乙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 xml:space="preserve"> 乙方施工人员必须接受安全技术教育，熟知和遵守本工种的各项安全技术操作规程，定期进行安全技术考核，合格者方准上岗操作。特种作业（操作）人员，必须持证上岗。施工人员应按规定佩戴劳动防护用品。</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乙方施工人员必须在规定的施工范围内作业，不得超出施工范围，不得擅自操作施工范围外的设施设备，若确需操作的，需征得甲方值班负责人同意，由值班人员操作或在值班人员的监督下操作。</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乙方必须接受甲方的监督、管理和指导，对甲方提出的意见必须及时整改。发生人身事故或危及生产运行的不安全情况，必须立即报告甲方，并采取有效的防护措施防止事故的进一步扩大，减少损失。</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 xml:space="preserve"> 因本工程施工造成甲方或第三方人身财产损失的，乙方承担全部赔偿责任。</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 xml:space="preserve"> 甲方有权监督乙方的施工行为，对乙方施工实行安全考核。当发生安全生产责任事故、甲方发现乙方有违反安全施工管理规定行为的，甲方可依以下约定在支付进度款、结算款或履约保证金中扣除相应款项作为乙方应支付给甲方的安全违约金。</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 xml:space="preserve"> 在施工过程中，甲方每发现乙方一次违章行为，扣收乙方安全保证金 500 元，严重违章的每次扣收 1000 元。乙方违反甲方有关安全生产规章制度，并且不听从甲方建议，拒绝执行整改的，甲方可要求停工整改，按前述标准加倍扣收安全违约金。如出现违章的行为或不听从甲方建议整改的，甲方以函件形式告知乙方。</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 xml:space="preserve"> 乙方在施工过程中每发生一起轻伤事故，甲方扣收合同暂定总价的1.5%作为乙方的安全违约金；每发生一起重伤事故，甲方扣收合同暂定总价的3%作为乙方的安全违约金；发生死亡及以上事故的，扣收合同暂定总价的5%作为乙方的安全违约金。乙方发生事故隐瞒不报的，按前述标准加倍扣收。</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乙方应严格执行国家、行业的安全标准及甲方安全要求，乙方发生同类违章行为（或甲方安全要求）3次且经甲方指出后仍发生的、或因乙方原因发生轻伤事故2次以上（含本数）或发生重伤事故或死亡事故的，甲方有权按合同扣罚安全违约金后解除本合同，并没收履约保证金。因此而解除合同所造成的损失由乙方自行承担。</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 xml:space="preserve"> 甲方对施工现场的安全监督检查意见（包括施工人员违章及处罚情况、安全隐患情况等），以书面形式通知乙方，作为安全考核依据。</w:t>
      </w:r>
    </w:p>
    <w:p>
      <w:pPr>
        <w:keepNext w:val="0"/>
        <w:keepLines w:val="0"/>
        <w:pageBreakBefore w:val="0"/>
        <w:widowControl w:val="0"/>
        <w:numPr>
          <w:ilvl w:val="0"/>
          <w:numId w:val="22"/>
        </w:numPr>
        <w:tabs>
          <w:tab w:val="left" w:pos="1260"/>
          <w:tab w:val="left" w:pos="1440"/>
        </w:tabs>
        <w:kinsoku/>
        <w:wordWrap/>
        <w:overflowPunct/>
        <w:topLinePunct w:val="0"/>
        <w:autoSpaceDE/>
        <w:autoSpaceDN/>
        <w:bidi w:val="0"/>
        <w:adjustRightInd/>
        <w:snapToGrid/>
        <w:spacing w:line="360" w:lineRule="auto"/>
        <w:ind w:left="0" w:firstLine="420"/>
        <w:textAlignment w:val="auto"/>
        <w:rPr>
          <w:rFonts w:hint="eastAsia" w:ascii="宋体" w:hAnsi="宋体"/>
          <w:color w:val="auto"/>
          <w:sz w:val="24"/>
        </w:rPr>
      </w:pPr>
      <w:r>
        <w:rPr>
          <w:rFonts w:hint="eastAsia" w:ascii="宋体" w:hAnsi="宋体"/>
          <w:color w:val="auto"/>
          <w:sz w:val="24"/>
        </w:rPr>
        <w:t xml:space="preserve"> 甲方对乙方施工的安全监督，属于甲方依自身管理需要的监管行为，其行为不构成责任主体行为，甲方无需对本工程施工中的安全事故承担任何责任。</w:t>
      </w:r>
    </w:p>
    <w:p>
      <w:pPr>
        <w:spacing w:line="440" w:lineRule="exact"/>
        <w:ind w:firstLine="570"/>
        <w:rPr>
          <w:rFonts w:ascii="宋体" w:hAnsi="宋体"/>
          <w:b/>
          <w:color w:val="auto"/>
          <w:sz w:val="24"/>
        </w:rPr>
      </w:pPr>
      <w:r>
        <w:rPr>
          <w:rFonts w:hint="eastAsia" w:ascii="宋体" w:hAnsi="宋体"/>
          <w:b/>
          <w:color w:val="auto"/>
          <w:sz w:val="24"/>
        </w:rPr>
        <w:t>第十</w:t>
      </w:r>
      <w:r>
        <w:rPr>
          <w:rFonts w:hint="eastAsia" w:ascii="宋体" w:hAnsi="宋体"/>
          <w:b/>
          <w:color w:val="auto"/>
          <w:sz w:val="24"/>
          <w:lang w:val="en-US" w:eastAsia="zh-CN"/>
        </w:rPr>
        <w:t>八</w:t>
      </w:r>
      <w:r>
        <w:rPr>
          <w:rFonts w:hint="eastAsia" w:ascii="宋体" w:hAnsi="宋体"/>
          <w:b/>
          <w:color w:val="auto"/>
          <w:sz w:val="24"/>
        </w:rPr>
        <w:t>条  保证与违约金</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质保期为联动调试合格试运行后的</w:t>
      </w:r>
      <w:r>
        <w:rPr>
          <w:rFonts w:hint="eastAsia" w:ascii="宋体" w:hAnsi="宋体"/>
          <w:color w:val="auto"/>
          <w:sz w:val="24"/>
          <w:lang w:val="en-US" w:eastAsia="zh-CN"/>
        </w:rPr>
        <w:t>18</w:t>
      </w:r>
      <w:r>
        <w:rPr>
          <w:rFonts w:hint="eastAsia" w:ascii="宋体" w:hAnsi="宋体"/>
          <w:color w:val="auto"/>
          <w:sz w:val="24"/>
        </w:rPr>
        <w:t>个月。</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卖方保证其供应的本合同设备是全新的，技术水平是先进的、成熟的、质量是优良的，设备的选型均符合安全可靠、经济运行和易于维护的要求。</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卖方保证所提交技术资料完整统一和内容正确、准确并能满足合同设备的设计、安装、调试、运行和维修的要求。</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本合同执行期间，如果卖方提供的设备有缺陷和技术资料有错误，或者由于卖方技术人员指导错误和疏忽，造成工程或合同设备的返工或报废，卖方应立即以最快捷的方式无偿予以更换和修理。如需更换，卖方应负担由此产生的到安装现场更换的一切费用，更换或修理期限应不迟于证实属卖方责任之日起的1周或双方商定的更长时间内。由于买方未按卖方所提供的技术资料、图纸、说明书和卖方现场技术服务人员的指导而进行安装、调试造成的设备损坏，由买方负责修理，更换，但卖方有义务尽快提供所需更换的部件，对于买方要求的紧急部件，卖方应安排最快的方式运输，所有费用均由买方负担。</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合同规定的质量保证期满后，由买方在14天内出具合同设备保证期满最终性能验收合格证书交给卖方。条件是：在此期间卖方应完成买方在保证期满前提出的索赔和赔偿。但卖方对非正常维修和误操作以及由于正常磨损造成的损失不负责任。</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在质量保证期内，如发现设备有缺陷，不符合本合同规定时，如属卖方责任，则买方有权向卖方提出索赔。如卖方对此索赔有异议按第十五条办理。否则卖方在接到买方索赔文件后，应立即无偿修理、更换、赔款或委托买方安排大型修理，由此产生的到安装现场的更换费用、运输费及保险费也由卖方承担。</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如由于卖方责任需要更换、修理有缺陷的设备，而使合同设备停运或推迟安装时，则保证期应按实际修理或更换所延误的时间做相应的延长。</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 xml:space="preserve"> 由于卖方责任，在第十六条规定的性能验收试验后，如经第二次验收试验(由于卖方原因)仍不能达到技术规格书所规定的一项或多项保证指标时，卖方应按下列方式承担违约责任为：卖方应在一周内予以更换设备，同时支付该设备合同价10%的违约金。</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如合同设备在质量保证期内发现属卖方责任的十分严重的缺陷（如设备性能达不到要求等）则其质量保证期将自该缺陷修正后开始重新计算。</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如果不是由于买方原因或买方没有要求推迟交货而卖方未能按本合同规定的交货期交货时（不可抗力除外），买方有权按下列比例向卖方收取违约金(不满一周按比例计算)：</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迟交1－4周，每周违约金金额为迟交货物金额的0.5％；</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迟交5－8周，每周违约金金额为迟交货物金额的1％；</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迟交9周以上，每周违约金金额为迟交货物金额的1.5％；</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每套合同设备迟交货物的违约金总金额不超过每套合同设备价格的10％。卖方支付迟交违约金，并不解除卖方按照合同继续交货的义务。</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对安装、运行有重大影响的设备迟交超过3个月时，卖方除应向买方支付合同价款10%的迟交货违约金外，还应向买方赔偿因此而遭受的损失, 此损失在履约保证金中扣除，履约保证金金额不足时，买方有权向卖方进行进一步的索赔。与此同时,买方有权终止部分或全部合同。</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如由于确属卖方责任未能按本合同规定按时交付经双方确认属严重影响关键技术资料时，买方有权按下列比例向卖方收取违约金(不满一周按比例计算)：</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迟交１周内，违约金金额为人民币2000元/批；</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迟交2－4周，违约金金额为人民币5000元/周；</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迟交4周以上，违约金金额为人民币10000元/周；</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果由于卖方技术服务的延误、疏忽和/或错误，在执行合同中造成延误，每延误工期一周卖方将向买方支付合同价款的0.5％违约金。且卖方需支付由于卖方技术服务错误或违约造成买方的直接损失。如果由于卖方运抵现场的设备包装不符合买、卖双方达成的包装与保管技术标准与规范的要求，则买方有权要求卖方支付合同价款1%的违约金。</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卖方按本合同规定所承担的违约金总额不论单项或多项累计将不超过合同价款的30％。</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卖方支付迟交违约金并不解除按合同所规定的相应义务。</w:t>
      </w:r>
    </w:p>
    <w:p>
      <w:pPr>
        <w:numPr>
          <w:ilvl w:val="0"/>
          <w:numId w:val="23"/>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如果由于买方原因，迟付货款，买方须按下列方式支付违约金(不满一周按比例计算)：</w:t>
      </w:r>
    </w:p>
    <w:p>
      <w:pPr>
        <w:numPr>
          <w:ilvl w:val="1"/>
          <w:numId w:val="24"/>
        </w:numPr>
        <w:spacing w:line="440" w:lineRule="exact"/>
        <w:rPr>
          <w:rFonts w:ascii="宋体" w:hAnsi="宋体"/>
          <w:color w:val="auto"/>
          <w:sz w:val="24"/>
        </w:rPr>
      </w:pPr>
      <w:r>
        <w:rPr>
          <w:rFonts w:hint="eastAsia" w:ascii="宋体" w:hAnsi="宋体"/>
          <w:color w:val="auto"/>
          <w:sz w:val="24"/>
        </w:rPr>
        <w:t>迟付1－4周，每周违约金金额为迟付金额的0.3%；</w:t>
      </w:r>
    </w:p>
    <w:p>
      <w:pPr>
        <w:numPr>
          <w:ilvl w:val="1"/>
          <w:numId w:val="24"/>
        </w:numPr>
        <w:spacing w:line="440" w:lineRule="exact"/>
        <w:rPr>
          <w:rFonts w:ascii="宋体" w:hAnsi="宋体"/>
          <w:color w:val="auto"/>
          <w:sz w:val="24"/>
        </w:rPr>
      </w:pPr>
      <w:r>
        <w:rPr>
          <w:rFonts w:hint="eastAsia" w:ascii="宋体" w:hAnsi="宋体"/>
          <w:color w:val="auto"/>
          <w:sz w:val="24"/>
        </w:rPr>
        <w:t>迟付5－8周，每周违约金金额为迟付金额的0.7%；</w:t>
      </w:r>
    </w:p>
    <w:p>
      <w:pPr>
        <w:numPr>
          <w:ilvl w:val="1"/>
          <w:numId w:val="24"/>
        </w:numPr>
        <w:spacing w:line="440" w:lineRule="exact"/>
        <w:rPr>
          <w:rFonts w:ascii="宋体" w:hAnsi="宋体"/>
          <w:color w:val="auto"/>
          <w:sz w:val="24"/>
        </w:rPr>
      </w:pPr>
      <w:r>
        <w:rPr>
          <w:rFonts w:hint="eastAsia" w:ascii="宋体" w:hAnsi="宋体"/>
          <w:color w:val="auto"/>
          <w:sz w:val="24"/>
        </w:rPr>
        <w:t>迟付9周以上，每周违约金金额为迟付金额的1.0%；</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第十</w:t>
      </w:r>
      <w:r>
        <w:rPr>
          <w:rFonts w:hint="eastAsia" w:ascii="宋体" w:hAnsi="宋体"/>
          <w:b/>
          <w:color w:val="auto"/>
          <w:sz w:val="24"/>
          <w:lang w:val="en-US" w:eastAsia="zh-CN"/>
        </w:rPr>
        <w:t>九</w:t>
      </w:r>
      <w:r>
        <w:rPr>
          <w:rFonts w:hint="eastAsia" w:ascii="宋体" w:hAnsi="宋体"/>
          <w:b/>
          <w:color w:val="auto"/>
          <w:sz w:val="24"/>
        </w:rPr>
        <w:t>条  不可抗力</w:t>
      </w:r>
    </w:p>
    <w:p>
      <w:pPr>
        <w:numPr>
          <w:ilvl w:val="0"/>
          <w:numId w:val="25"/>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任何一方由于不可抗力事件而影响其履行合同义务时，可以延迟履行合同义务，但延迟履行合同义务的期限和范围应仅限于受不可抗力事件影响的时间和范围，无论本合同其他条款如何规定，任何一方均不得因不可抗力事件而要求调整合同价款。</w:t>
      </w:r>
    </w:p>
    <w:p>
      <w:pPr>
        <w:numPr>
          <w:ilvl w:val="0"/>
          <w:numId w:val="25"/>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受不可抗力影响的一方应在不可抗力事故发生后，尽快将所发生的不可抗力事件的情况以传真或电报等方式通知另一方，受影响的一方同时应尽量设法缩小这种影响和由此而引起的延误，一旦不可抗力的影响消除后，应将此情况立即通知对方，并立即恢复履行受不可抗力事件影响的合同义务。</w:t>
      </w:r>
    </w:p>
    <w:p>
      <w:pPr>
        <w:numPr>
          <w:ilvl w:val="0"/>
          <w:numId w:val="25"/>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如果双方对不可抗力事件的影响估计将延续到一百天以上时，双方应通过友好协商解决本合同的执行问题。</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w:t>
      </w:r>
      <w:r>
        <w:rPr>
          <w:rFonts w:hint="eastAsia" w:ascii="宋体" w:hAnsi="宋体"/>
          <w:b/>
          <w:color w:val="auto"/>
          <w:sz w:val="24"/>
          <w:lang w:val="en-US" w:eastAsia="zh-CN"/>
        </w:rPr>
        <w:t>二十</w:t>
      </w:r>
      <w:r>
        <w:rPr>
          <w:rFonts w:hint="eastAsia" w:ascii="宋体" w:hAnsi="宋体"/>
          <w:b/>
          <w:color w:val="auto"/>
          <w:sz w:val="24"/>
        </w:rPr>
        <w:t>条  违约终止合同</w:t>
      </w:r>
    </w:p>
    <w:p>
      <w:pPr>
        <w:numPr>
          <w:ilvl w:val="0"/>
          <w:numId w:val="26"/>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 xml:space="preserve">因卖方违约，买方有权采取任何必要的措施予以补救，在下列卖方违约情况下，买方在向卖方发出书面违约通知后，可立即终止全部或部分合同： </w:t>
      </w:r>
    </w:p>
    <w:p>
      <w:pPr>
        <w:numPr>
          <w:ilvl w:val="1"/>
          <w:numId w:val="27"/>
        </w:numPr>
        <w:tabs>
          <w:tab w:val="left" w:pos="1620"/>
          <w:tab w:val="clear" w:pos="1320"/>
        </w:tabs>
        <w:spacing w:line="440" w:lineRule="exact"/>
        <w:ind w:left="1620" w:hanging="720"/>
        <w:rPr>
          <w:rFonts w:ascii="宋体" w:hAnsi="宋体"/>
          <w:color w:val="auto"/>
          <w:sz w:val="24"/>
        </w:rPr>
      </w:pPr>
      <w:r>
        <w:rPr>
          <w:rFonts w:hint="eastAsia" w:ascii="宋体" w:hAnsi="宋体"/>
          <w:color w:val="auto"/>
          <w:sz w:val="24"/>
        </w:rPr>
        <w:t>卖方原因导致的迟延交货达90天时；</w:t>
      </w:r>
    </w:p>
    <w:p>
      <w:pPr>
        <w:numPr>
          <w:ilvl w:val="1"/>
          <w:numId w:val="27"/>
        </w:numPr>
        <w:tabs>
          <w:tab w:val="left" w:pos="1620"/>
          <w:tab w:val="clear" w:pos="1320"/>
        </w:tabs>
        <w:spacing w:line="440" w:lineRule="exact"/>
        <w:ind w:left="1620" w:hanging="720"/>
        <w:rPr>
          <w:rFonts w:ascii="宋体" w:hAnsi="宋体"/>
          <w:color w:val="auto"/>
          <w:sz w:val="24"/>
        </w:rPr>
      </w:pPr>
      <w:r>
        <w:rPr>
          <w:rFonts w:hint="eastAsia" w:ascii="宋体" w:hAnsi="宋体"/>
          <w:color w:val="auto"/>
          <w:sz w:val="24"/>
        </w:rPr>
        <w:t>卖方未能履行合同项下的任何其它义务，导致买方利益遭受严重损害的；</w:t>
      </w:r>
    </w:p>
    <w:p>
      <w:pPr>
        <w:numPr>
          <w:ilvl w:val="1"/>
          <w:numId w:val="27"/>
        </w:numPr>
        <w:tabs>
          <w:tab w:val="left" w:pos="1620"/>
          <w:tab w:val="clear" w:pos="1320"/>
        </w:tabs>
        <w:spacing w:line="440" w:lineRule="exact"/>
        <w:ind w:left="1620" w:hanging="720"/>
        <w:rPr>
          <w:rFonts w:ascii="宋体" w:hAnsi="宋体"/>
          <w:color w:val="auto"/>
          <w:sz w:val="24"/>
        </w:rPr>
      </w:pPr>
      <w:r>
        <w:rPr>
          <w:rFonts w:hint="eastAsia" w:ascii="宋体" w:hAnsi="宋体"/>
          <w:color w:val="auto"/>
          <w:sz w:val="24"/>
        </w:rPr>
        <w:t>卖方破产或无清偿能力。</w:t>
      </w:r>
    </w:p>
    <w:p>
      <w:pPr>
        <w:numPr>
          <w:ilvl w:val="0"/>
          <w:numId w:val="26"/>
        </w:numPr>
        <w:tabs>
          <w:tab w:val="left" w:pos="540"/>
          <w:tab w:val="left" w:pos="1260"/>
          <w:tab w:val="left" w:pos="1440"/>
          <w:tab w:val="clear" w:pos="1080"/>
        </w:tabs>
        <w:spacing w:line="440" w:lineRule="exact"/>
        <w:ind w:left="540" w:firstLine="0"/>
        <w:rPr>
          <w:rFonts w:hint="eastAsia" w:ascii="宋体" w:hAnsi="宋体"/>
          <w:color w:val="auto"/>
          <w:sz w:val="24"/>
        </w:rPr>
      </w:pPr>
      <w:r>
        <w:rPr>
          <w:rFonts w:hint="eastAsia" w:ascii="宋体" w:hAnsi="宋体"/>
          <w:color w:val="auto"/>
          <w:sz w:val="24"/>
        </w:rPr>
        <w:t>一旦买方根据第19.1款终止部分或全部合同，买方有权按其认为适当的条件和方式采购类似未交付部分货物。卖方应承担买方购买类似货物的额外费用，以及因此而造成的一切损失。但是，卖方应继续履行合同中未终止的部分。</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第二十</w:t>
      </w:r>
      <w:r>
        <w:rPr>
          <w:rFonts w:hint="eastAsia" w:ascii="宋体" w:hAnsi="宋体"/>
          <w:b/>
          <w:color w:val="auto"/>
          <w:sz w:val="24"/>
          <w:lang w:val="en-US" w:eastAsia="zh-CN"/>
        </w:rPr>
        <w:t>一</w:t>
      </w:r>
      <w:r>
        <w:rPr>
          <w:rFonts w:hint="eastAsia" w:ascii="宋体" w:hAnsi="宋体"/>
          <w:b/>
          <w:color w:val="auto"/>
          <w:sz w:val="24"/>
        </w:rPr>
        <w:t>条  变更指示</w:t>
      </w:r>
    </w:p>
    <w:p>
      <w:pPr>
        <w:numPr>
          <w:ilvl w:val="0"/>
          <w:numId w:val="0"/>
        </w:numPr>
        <w:tabs>
          <w:tab w:val="left" w:pos="540"/>
          <w:tab w:val="left" w:pos="1260"/>
          <w:tab w:val="left" w:pos="1440"/>
        </w:tabs>
        <w:spacing w:line="440" w:lineRule="exact"/>
        <w:ind w:left="540" w:leftChars="0"/>
        <w:rPr>
          <w:rFonts w:ascii="宋体" w:hAnsi="宋体"/>
          <w:color w:val="auto"/>
          <w:sz w:val="24"/>
        </w:rPr>
      </w:pPr>
      <w:r>
        <w:rPr>
          <w:rFonts w:hint="eastAsia" w:ascii="宋体" w:hAnsi="宋体"/>
          <w:color w:val="auto"/>
          <w:sz w:val="24"/>
          <w:lang w:val="en-US" w:eastAsia="zh-CN"/>
        </w:rPr>
        <w:t>21.1</w:t>
      </w:r>
      <w:r>
        <w:rPr>
          <w:rFonts w:hint="eastAsia" w:ascii="宋体" w:hAnsi="宋体"/>
          <w:color w:val="auto"/>
          <w:sz w:val="24"/>
        </w:rPr>
        <w:t xml:space="preserve">买方在任何时候可以按第二十三条规定向卖方发出书面指示，对合同的下列内容及相应条款作出变更或修改： </w:t>
      </w:r>
    </w:p>
    <w:p>
      <w:pPr>
        <w:numPr>
          <w:ilvl w:val="1"/>
          <w:numId w:val="28"/>
        </w:numPr>
        <w:tabs>
          <w:tab w:val="left" w:pos="1620"/>
          <w:tab w:val="clear" w:pos="1320"/>
        </w:tabs>
        <w:spacing w:line="440" w:lineRule="exact"/>
        <w:ind w:left="1620" w:hanging="720"/>
        <w:rPr>
          <w:rFonts w:ascii="宋体" w:hAnsi="宋体"/>
          <w:color w:val="auto"/>
          <w:sz w:val="24"/>
        </w:rPr>
      </w:pPr>
      <w:r>
        <w:rPr>
          <w:rFonts w:hint="eastAsia" w:ascii="宋体" w:hAnsi="宋体"/>
          <w:color w:val="auto"/>
          <w:sz w:val="24"/>
        </w:rPr>
        <w:t>装运方式和包装方式；</w:t>
      </w:r>
    </w:p>
    <w:p>
      <w:pPr>
        <w:numPr>
          <w:ilvl w:val="1"/>
          <w:numId w:val="28"/>
        </w:numPr>
        <w:tabs>
          <w:tab w:val="left" w:pos="1620"/>
          <w:tab w:val="clear" w:pos="1320"/>
        </w:tabs>
        <w:spacing w:line="440" w:lineRule="exact"/>
        <w:ind w:left="1620" w:hanging="720"/>
        <w:rPr>
          <w:rFonts w:ascii="宋体" w:hAnsi="宋体"/>
          <w:color w:val="auto"/>
          <w:sz w:val="24"/>
        </w:rPr>
      </w:pPr>
      <w:r>
        <w:rPr>
          <w:rFonts w:hint="eastAsia" w:ascii="宋体" w:hAnsi="宋体"/>
          <w:color w:val="auto"/>
          <w:sz w:val="24"/>
        </w:rPr>
        <w:t>交货地点；</w:t>
      </w:r>
    </w:p>
    <w:p>
      <w:pPr>
        <w:numPr>
          <w:ilvl w:val="1"/>
          <w:numId w:val="28"/>
        </w:numPr>
        <w:tabs>
          <w:tab w:val="left" w:pos="1620"/>
          <w:tab w:val="clear" w:pos="1320"/>
        </w:tabs>
        <w:spacing w:line="440" w:lineRule="exact"/>
        <w:ind w:left="1620" w:hanging="720"/>
        <w:rPr>
          <w:rFonts w:ascii="宋体" w:hAnsi="宋体"/>
          <w:color w:val="auto"/>
          <w:sz w:val="24"/>
        </w:rPr>
      </w:pPr>
      <w:r>
        <w:rPr>
          <w:rFonts w:hint="eastAsia" w:ascii="宋体" w:hAnsi="宋体"/>
          <w:color w:val="auto"/>
          <w:sz w:val="24"/>
        </w:rPr>
        <w:t>卖方须提供的服务。</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第二十</w:t>
      </w:r>
      <w:r>
        <w:rPr>
          <w:rFonts w:hint="eastAsia" w:ascii="宋体" w:hAnsi="宋体"/>
          <w:b/>
          <w:color w:val="auto"/>
          <w:sz w:val="24"/>
          <w:lang w:val="en-US" w:eastAsia="zh-CN"/>
        </w:rPr>
        <w:t>二</w:t>
      </w:r>
      <w:r>
        <w:rPr>
          <w:rFonts w:hint="eastAsia" w:ascii="宋体" w:hAnsi="宋体"/>
          <w:b/>
          <w:color w:val="auto"/>
          <w:sz w:val="24"/>
        </w:rPr>
        <w:t>条  合同修改</w:t>
      </w:r>
    </w:p>
    <w:p>
      <w:pPr>
        <w:spacing w:line="440" w:lineRule="exact"/>
        <w:ind w:firstLine="570"/>
        <w:rPr>
          <w:rFonts w:ascii="宋体" w:hAnsi="宋体"/>
          <w:color w:val="auto"/>
          <w:sz w:val="24"/>
        </w:rPr>
      </w:pPr>
      <w:r>
        <w:rPr>
          <w:rFonts w:hint="eastAsia" w:ascii="宋体" w:hAnsi="宋体"/>
          <w:color w:val="auto"/>
          <w:sz w:val="24"/>
        </w:rPr>
        <w:t>根据第二十条，欲对合同条款作出任何改动或偏离，买卖双方均须签署书面的合同修改书。</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第二十</w:t>
      </w:r>
      <w:r>
        <w:rPr>
          <w:rFonts w:hint="eastAsia" w:ascii="宋体" w:hAnsi="宋体"/>
          <w:b/>
          <w:color w:val="auto"/>
          <w:sz w:val="24"/>
          <w:lang w:val="en-US" w:eastAsia="zh-CN"/>
        </w:rPr>
        <w:t>三</w:t>
      </w:r>
      <w:r>
        <w:rPr>
          <w:rFonts w:hint="eastAsia" w:ascii="宋体" w:hAnsi="宋体"/>
          <w:b/>
          <w:color w:val="auto"/>
          <w:sz w:val="24"/>
        </w:rPr>
        <w:t>条  转包与分包</w:t>
      </w:r>
    </w:p>
    <w:p>
      <w:pPr>
        <w:spacing w:line="440" w:lineRule="exact"/>
        <w:ind w:firstLine="570"/>
        <w:rPr>
          <w:rFonts w:ascii="宋体" w:hAnsi="宋体"/>
          <w:color w:val="auto"/>
          <w:sz w:val="24"/>
        </w:rPr>
      </w:pPr>
      <w:r>
        <w:rPr>
          <w:rFonts w:hint="eastAsia" w:ascii="宋体" w:hAnsi="宋体"/>
          <w:color w:val="auto"/>
          <w:sz w:val="24"/>
        </w:rPr>
        <w:t>卖方不得将其在本合同项下的义务全部转让或分包给任何第三方。</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第二十</w:t>
      </w:r>
      <w:r>
        <w:rPr>
          <w:rFonts w:hint="eastAsia" w:ascii="宋体" w:hAnsi="宋体"/>
          <w:b/>
          <w:color w:val="auto"/>
          <w:sz w:val="24"/>
          <w:lang w:val="en-US" w:eastAsia="zh-CN"/>
        </w:rPr>
        <w:t>四</w:t>
      </w:r>
      <w:r>
        <w:rPr>
          <w:rFonts w:hint="eastAsia" w:ascii="宋体" w:hAnsi="宋体"/>
          <w:b/>
          <w:color w:val="auto"/>
          <w:sz w:val="24"/>
        </w:rPr>
        <w:t>条  通知</w:t>
      </w:r>
    </w:p>
    <w:p>
      <w:pPr>
        <w:spacing w:line="440" w:lineRule="exact"/>
        <w:ind w:firstLine="570"/>
        <w:rPr>
          <w:rFonts w:ascii="宋体" w:hAnsi="宋体"/>
          <w:color w:val="auto"/>
          <w:sz w:val="24"/>
        </w:rPr>
      </w:pPr>
      <w:r>
        <w:rPr>
          <w:rFonts w:hint="eastAsia" w:ascii="宋体" w:hAnsi="宋体"/>
          <w:color w:val="auto"/>
          <w:sz w:val="24"/>
        </w:rPr>
        <w:t>本合同任何一方给另一方的通知都应以信函或电报、传真等书面形式发送，而另一方应以书面形式确认并发送到对方明确的地址。</w:t>
      </w:r>
    </w:p>
    <w:p>
      <w:pPr>
        <w:spacing w:line="440" w:lineRule="exact"/>
        <w:ind w:firstLine="570"/>
        <w:rPr>
          <w:rFonts w:ascii="宋体" w:hAnsi="宋体"/>
          <w:color w:val="auto"/>
          <w:sz w:val="24"/>
        </w:rPr>
      </w:pPr>
    </w:p>
    <w:p>
      <w:pPr>
        <w:spacing w:line="440" w:lineRule="exact"/>
        <w:ind w:firstLine="570"/>
        <w:rPr>
          <w:rFonts w:ascii="宋体" w:hAnsi="宋体"/>
          <w:b/>
          <w:color w:val="auto"/>
          <w:sz w:val="24"/>
        </w:rPr>
      </w:pPr>
      <w:r>
        <w:rPr>
          <w:rFonts w:hint="eastAsia" w:ascii="宋体" w:hAnsi="宋体"/>
          <w:b/>
          <w:color w:val="auto"/>
          <w:sz w:val="24"/>
        </w:rPr>
        <w:t>第二十</w:t>
      </w:r>
      <w:r>
        <w:rPr>
          <w:rFonts w:hint="eastAsia" w:ascii="宋体" w:hAnsi="宋体"/>
          <w:b/>
          <w:color w:val="auto"/>
          <w:sz w:val="24"/>
          <w:lang w:val="en-US" w:eastAsia="zh-CN"/>
        </w:rPr>
        <w:t>五</w:t>
      </w:r>
      <w:r>
        <w:rPr>
          <w:rFonts w:hint="eastAsia" w:ascii="宋体" w:hAnsi="宋体"/>
          <w:b/>
          <w:color w:val="auto"/>
          <w:sz w:val="24"/>
        </w:rPr>
        <w:t>条  合同文件资料的使用</w:t>
      </w:r>
    </w:p>
    <w:p>
      <w:pPr>
        <w:keepNext w:val="0"/>
        <w:keepLines w:val="0"/>
        <w:pageBreakBefore w:val="0"/>
        <w:widowControl w:val="0"/>
        <w:numPr>
          <w:ilvl w:val="0"/>
          <w:numId w:val="29"/>
        </w:numPr>
        <w:tabs>
          <w:tab w:val="left" w:pos="1260"/>
          <w:tab w:val="left" w:pos="1440"/>
        </w:tabs>
        <w:kinsoku/>
        <w:wordWrap/>
        <w:overflowPunct/>
        <w:topLinePunct w:val="0"/>
        <w:autoSpaceDE/>
        <w:autoSpaceDN/>
        <w:bidi w:val="0"/>
        <w:adjustRightInd/>
        <w:snapToGrid/>
        <w:spacing w:line="360" w:lineRule="auto"/>
        <w:ind w:left="0" w:firstLine="539"/>
        <w:textAlignment w:val="auto"/>
        <w:rPr>
          <w:rFonts w:hint="eastAsia" w:ascii="宋体" w:hAnsi="宋体"/>
          <w:color w:val="auto"/>
          <w:sz w:val="24"/>
        </w:rPr>
      </w:pPr>
      <w:r>
        <w:rPr>
          <w:rFonts w:hint="eastAsia" w:ascii="宋体" w:hAnsi="宋体"/>
          <w:color w:val="auto"/>
          <w:sz w:val="24"/>
        </w:rPr>
        <w:t>除了卖方为执行合同所雇人员外，在未经买方同意的情况下，卖方不得将合同、或其中任何规定、或任何有关规格、计划或买方为上述内容向卖方提供的资料透露给任何人。卖方须在对外保密的前提下，对其雇用人员提供有关情况，所提供的情况仅限于执行合同必不可少的范围内。</w:t>
      </w:r>
    </w:p>
    <w:p>
      <w:pPr>
        <w:keepNext w:val="0"/>
        <w:keepLines w:val="0"/>
        <w:pageBreakBefore w:val="0"/>
        <w:widowControl w:val="0"/>
        <w:numPr>
          <w:ilvl w:val="0"/>
          <w:numId w:val="29"/>
        </w:numPr>
        <w:tabs>
          <w:tab w:val="left" w:pos="1260"/>
          <w:tab w:val="left" w:pos="1440"/>
        </w:tabs>
        <w:kinsoku/>
        <w:wordWrap/>
        <w:overflowPunct/>
        <w:topLinePunct w:val="0"/>
        <w:autoSpaceDE/>
        <w:autoSpaceDN/>
        <w:bidi w:val="0"/>
        <w:adjustRightInd/>
        <w:snapToGrid/>
        <w:spacing w:line="360" w:lineRule="auto"/>
        <w:ind w:left="0" w:firstLine="539"/>
        <w:textAlignment w:val="auto"/>
        <w:rPr>
          <w:rFonts w:hint="eastAsia" w:ascii="宋体" w:hAnsi="宋体"/>
          <w:color w:val="auto"/>
          <w:sz w:val="24"/>
        </w:rPr>
      </w:pPr>
      <w:r>
        <w:rPr>
          <w:rFonts w:hint="eastAsia" w:ascii="宋体" w:hAnsi="宋体"/>
          <w:color w:val="auto"/>
          <w:sz w:val="24"/>
        </w:rPr>
        <w:t>除非执行合同需要，在事先未得到买方同意的情况下，卖方不得使用第24.1款中所列的任何文件和资料。</w:t>
      </w:r>
    </w:p>
    <w:p>
      <w:pPr>
        <w:spacing w:line="400" w:lineRule="exact"/>
        <w:ind w:firstLine="570"/>
        <w:rPr>
          <w:rFonts w:ascii="宋体" w:hAnsi="宋体"/>
          <w:color w:val="auto"/>
          <w:sz w:val="24"/>
        </w:rPr>
      </w:pPr>
    </w:p>
    <w:p>
      <w:pPr>
        <w:spacing w:line="400" w:lineRule="exact"/>
        <w:ind w:firstLine="570"/>
        <w:rPr>
          <w:rFonts w:ascii="宋体" w:hAnsi="宋体"/>
          <w:b/>
          <w:color w:val="auto"/>
          <w:sz w:val="24"/>
        </w:rPr>
      </w:pPr>
      <w:r>
        <w:rPr>
          <w:rFonts w:hint="eastAsia" w:ascii="宋体" w:hAnsi="宋体"/>
          <w:b/>
          <w:color w:val="auto"/>
          <w:sz w:val="24"/>
        </w:rPr>
        <w:t>第二十</w:t>
      </w:r>
      <w:r>
        <w:rPr>
          <w:rFonts w:hint="eastAsia" w:ascii="宋体" w:hAnsi="宋体"/>
          <w:b/>
          <w:color w:val="auto"/>
          <w:sz w:val="24"/>
          <w:lang w:val="en-US" w:eastAsia="zh-CN"/>
        </w:rPr>
        <w:t>六</w:t>
      </w:r>
      <w:r>
        <w:rPr>
          <w:rFonts w:hint="eastAsia" w:ascii="宋体" w:hAnsi="宋体"/>
          <w:b/>
          <w:color w:val="auto"/>
          <w:sz w:val="24"/>
        </w:rPr>
        <w:t>条  合同生效及其它</w:t>
      </w:r>
    </w:p>
    <w:p>
      <w:pPr>
        <w:numPr>
          <w:ilvl w:val="0"/>
          <w:numId w:val="0"/>
        </w:numPr>
        <w:tabs>
          <w:tab w:val="left" w:pos="1260"/>
          <w:tab w:val="left" w:pos="1440"/>
        </w:tabs>
        <w:spacing w:line="400" w:lineRule="exact"/>
        <w:ind w:left="540" w:leftChars="0"/>
        <w:rPr>
          <w:rFonts w:ascii="宋体" w:hAnsi="宋体"/>
          <w:color w:val="auto"/>
          <w:sz w:val="24"/>
        </w:rPr>
      </w:pPr>
      <w:r>
        <w:rPr>
          <w:rFonts w:hint="eastAsia" w:ascii="宋体" w:hAnsi="宋体"/>
          <w:color w:val="auto"/>
          <w:sz w:val="24"/>
          <w:lang w:val="en-US" w:eastAsia="zh-CN"/>
        </w:rPr>
        <w:t>26.1</w:t>
      </w:r>
      <w:r>
        <w:rPr>
          <w:rFonts w:hint="eastAsia" w:ascii="宋体" w:hAnsi="宋体"/>
          <w:color w:val="auto"/>
          <w:sz w:val="24"/>
        </w:rPr>
        <w:t>本合同经双方法定代表人或其授权代表签字后，即开始生效。</w:t>
      </w:r>
    </w:p>
    <w:p>
      <w:pPr>
        <w:numPr>
          <w:ilvl w:val="0"/>
          <w:numId w:val="0"/>
        </w:numPr>
        <w:tabs>
          <w:tab w:val="left" w:pos="1260"/>
          <w:tab w:val="left" w:pos="1440"/>
        </w:tabs>
        <w:spacing w:line="400" w:lineRule="exact"/>
        <w:ind w:left="540" w:leftChars="0"/>
        <w:rPr>
          <w:rFonts w:ascii="宋体" w:hAnsi="宋体"/>
          <w:color w:val="auto"/>
          <w:sz w:val="24"/>
        </w:rPr>
      </w:pPr>
      <w:r>
        <w:rPr>
          <w:rFonts w:hint="eastAsia" w:ascii="宋体" w:hAnsi="宋体"/>
          <w:color w:val="auto"/>
          <w:sz w:val="24"/>
          <w:lang w:val="en-US" w:eastAsia="zh-CN"/>
        </w:rPr>
        <w:t>26.2</w:t>
      </w:r>
      <w:r>
        <w:rPr>
          <w:rFonts w:hint="eastAsia" w:ascii="宋体" w:hAnsi="宋体"/>
          <w:color w:val="auto"/>
          <w:sz w:val="24"/>
        </w:rPr>
        <w:t>本合同有效期自合同生效日起到双方之间已完全解决了所有索赔事项并货款两清之日止。</w:t>
      </w:r>
    </w:p>
    <w:p>
      <w:pPr>
        <w:numPr>
          <w:ilvl w:val="0"/>
          <w:numId w:val="0"/>
        </w:numPr>
        <w:tabs>
          <w:tab w:val="left" w:pos="1260"/>
          <w:tab w:val="left" w:pos="1440"/>
        </w:tabs>
        <w:spacing w:line="400" w:lineRule="exact"/>
        <w:ind w:left="540" w:leftChars="0"/>
        <w:rPr>
          <w:rFonts w:ascii="宋体" w:hAnsi="宋体"/>
          <w:color w:val="auto"/>
          <w:sz w:val="24"/>
        </w:rPr>
      </w:pPr>
      <w:r>
        <w:rPr>
          <w:rFonts w:hint="eastAsia" w:ascii="宋体" w:hAnsi="宋体"/>
          <w:color w:val="auto"/>
          <w:sz w:val="24"/>
          <w:lang w:val="en-US" w:eastAsia="zh-CN"/>
        </w:rPr>
        <w:t>26.3</w:t>
      </w:r>
      <w:r>
        <w:rPr>
          <w:rFonts w:hint="eastAsia" w:ascii="宋体" w:hAnsi="宋体"/>
          <w:color w:val="auto"/>
          <w:sz w:val="24"/>
        </w:rPr>
        <w:t>卖方须按技术规格书中的规定，向买方提供与合同项下货物有关的技术服务及其它相关服务。</w:t>
      </w:r>
    </w:p>
    <w:p>
      <w:pPr>
        <w:spacing w:line="400" w:lineRule="exact"/>
        <w:ind w:firstLine="570"/>
        <w:rPr>
          <w:rFonts w:ascii="宋体" w:hAnsi="宋体"/>
          <w:color w:val="auto"/>
          <w:sz w:val="24"/>
        </w:rPr>
      </w:pPr>
    </w:p>
    <w:p>
      <w:pPr>
        <w:spacing w:line="400" w:lineRule="exact"/>
        <w:ind w:firstLine="570"/>
        <w:rPr>
          <w:rFonts w:ascii="宋体" w:hAnsi="宋体"/>
          <w:b/>
          <w:color w:val="auto"/>
          <w:sz w:val="24"/>
        </w:rPr>
      </w:pPr>
      <w:r>
        <w:rPr>
          <w:rFonts w:hint="eastAsia" w:ascii="宋体" w:hAnsi="宋体"/>
          <w:b/>
          <w:color w:val="auto"/>
          <w:sz w:val="24"/>
        </w:rPr>
        <w:t>第二十</w:t>
      </w:r>
      <w:r>
        <w:rPr>
          <w:rFonts w:hint="eastAsia" w:ascii="宋体" w:hAnsi="宋体"/>
          <w:b/>
          <w:color w:val="auto"/>
          <w:sz w:val="24"/>
          <w:lang w:val="en-US" w:eastAsia="zh-CN"/>
        </w:rPr>
        <w:t>七</w:t>
      </w:r>
      <w:r>
        <w:rPr>
          <w:rFonts w:hint="eastAsia" w:ascii="宋体" w:hAnsi="宋体"/>
          <w:b/>
          <w:color w:val="auto"/>
          <w:sz w:val="24"/>
        </w:rPr>
        <w:t>条  争议解决</w:t>
      </w:r>
    </w:p>
    <w:p>
      <w:pPr>
        <w:numPr>
          <w:ilvl w:val="0"/>
          <w:numId w:val="30"/>
        </w:numPr>
        <w:tabs>
          <w:tab w:val="left" w:pos="540"/>
          <w:tab w:val="left" w:pos="1260"/>
          <w:tab w:val="left" w:pos="1440"/>
          <w:tab w:val="clear" w:pos="1080"/>
        </w:tabs>
        <w:spacing w:line="400" w:lineRule="exact"/>
        <w:ind w:left="540" w:firstLine="0"/>
        <w:rPr>
          <w:rFonts w:hint="eastAsia" w:ascii="宋体" w:hAnsi="宋体"/>
          <w:color w:val="auto"/>
          <w:sz w:val="24"/>
        </w:rPr>
      </w:pPr>
      <w:r>
        <w:rPr>
          <w:rFonts w:hint="eastAsia" w:ascii="宋体" w:hAnsi="宋体"/>
          <w:color w:val="auto"/>
          <w:sz w:val="24"/>
        </w:rPr>
        <w:t>因货物的质量问题发生争议的，可在国家认可的质量检测机构对货物质量进行鉴定。货物符合标准的，鉴定费由买方承担；货物不符合质量标准的，鉴定费由卖方承担。</w:t>
      </w:r>
    </w:p>
    <w:p>
      <w:pPr>
        <w:numPr>
          <w:ilvl w:val="0"/>
          <w:numId w:val="30"/>
        </w:numPr>
        <w:tabs>
          <w:tab w:val="left" w:pos="540"/>
          <w:tab w:val="left" w:pos="1260"/>
          <w:tab w:val="left" w:pos="1440"/>
          <w:tab w:val="clear" w:pos="1080"/>
        </w:tabs>
        <w:spacing w:line="400" w:lineRule="exact"/>
        <w:ind w:left="540" w:firstLine="0"/>
        <w:rPr>
          <w:rFonts w:hint="eastAsia" w:ascii="宋体" w:hAnsi="宋体"/>
          <w:color w:val="auto"/>
          <w:sz w:val="24"/>
        </w:rPr>
      </w:pPr>
      <w:r>
        <w:rPr>
          <w:rFonts w:hint="eastAsia" w:ascii="宋体" w:hAnsi="宋体"/>
          <w:color w:val="auto"/>
          <w:sz w:val="24"/>
        </w:rPr>
        <w:t>因履行本合同引起的或与本合同有关的争议，甲、乙双方应首先通过友好协商解决；如果协商不能解决争议，买卖双方同意采取下列两种方式的第（ 1 ）种方式解决争议：</w:t>
      </w:r>
    </w:p>
    <w:p>
      <w:pPr>
        <w:tabs>
          <w:tab w:val="left" w:pos="540"/>
          <w:tab w:val="left" w:pos="1260"/>
          <w:tab w:val="left" w:pos="1440"/>
        </w:tabs>
        <w:spacing w:line="400" w:lineRule="exact"/>
        <w:ind w:left="540"/>
        <w:rPr>
          <w:rFonts w:ascii="宋体" w:hAnsi="宋体"/>
          <w:color w:val="auto"/>
          <w:sz w:val="24"/>
        </w:rPr>
      </w:pPr>
      <w:r>
        <w:rPr>
          <w:rFonts w:hint="eastAsia" w:ascii="宋体" w:hAnsi="宋体"/>
          <w:color w:val="auto"/>
          <w:sz w:val="24"/>
        </w:rPr>
        <w:t>（1）向买方所在地有管辖权的人民法院提起诉讼，适用中华人民共和国法律；</w:t>
      </w:r>
    </w:p>
    <w:p>
      <w:pPr>
        <w:tabs>
          <w:tab w:val="left" w:pos="540"/>
          <w:tab w:val="left" w:pos="1260"/>
          <w:tab w:val="left" w:pos="1440"/>
        </w:tabs>
        <w:spacing w:line="400" w:lineRule="exact"/>
        <w:ind w:left="540"/>
        <w:rPr>
          <w:rFonts w:ascii="宋体" w:hAnsi="宋体"/>
          <w:color w:val="auto"/>
          <w:sz w:val="24"/>
        </w:rPr>
      </w:pPr>
      <w:r>
        <w:rPr>
          <w:rFonts w:hint="eastAsia" w:ascii="宋体" w:hAnsi="宋体"/>
          <w:color w:val="auto"/>
          <w:sz w:val="24"/>
        </w:rPr>
        <w:t>（2）向扬州仲裁委员会按其仲裁规则申请仲裁。</w:t>
      </w:r>
    </w:p>
    <w:p>
      <w:pPr>
        <w:numPr>
          <w:ilvl w:val="0"/>
          <w:numId w:val="30"/>
        </w:numPr>
        <w:tabs>
          <w:tab w:val="left" w:pos="540"/>
          <w:tab w:val="left" w:pos="1260"/>
          <w:tab w:val="left" w:pos="1440"/>
          <w:tab w:val="clear" w:pos="1080"/>
        </w:tabs>
        <w:spacing w:line="400" w:lineRule="exact"/>
        <w:ind w:left="540" w:firstLine="0"/>
        <w:rPr>
          <w:rFonts w:hint="eastAsia" w:ascii="宋体" w:hAnsi="宋体"/>
          <w:color w:val="auto"/>
          <w:sz w:val="24"/>
        </w:rPr>
      </w:pPr>
      <w:r>
        <w:rPr>
          <w:rFonts w:hint="eastAsia" w:ascii="宋体" w:hAnsi="宋体"/>
          <w:color w:val="auto"/>
          <w:sz w:val="24"/>
        </w:rPr>
        <w:t>若买卖双方任何一方都没有选择解除合同的，为避免扩大损失，在诉讼或仲裁期间，双方应继续履行。</w:t>
      </w:r>
    </w:p>
    <w:p>
      <w:pPr>
        <w:tabs>
          <w:tab w:val="left" w:pos="1260"/>
          <w:tab w:val="left" w:pos="1440"/>
        </w:tabs>
        <w:spacing w:line="400" w:lineRule="exact"/>
        <w:ind w:left="720"/>
        <w:rPr>
          <w:rFonts w:ascii="宋体" w:hAnsi="宋体"/>
          <w:color w:val="auto"/>
          <w:sz w:val="24"/>
        </w:rPr>
      </w:pPr>
    </w:p>
    <w:p>
      <w:pPr>
        <w:spacing w:line="400" w:lineRule="exact"/>
        <w:ind w:firstLine="570"/>
        <w:rPr>
          <w:rFonts w:ascii="宋体" w:hAnsi="宋体"/>
          <w:b/>
          <w:color w:val="auto"/>
          <w:sz w:val="24"/>
        </w:rPr>
      </w:pPr>
      <w:r>
        <w:rPr>
          <w:rFonts w:hint="eastAsia" w:ascii="宋体" w:hAnsi="宋体"/>
          <w:b/>
          <w:color w:val="auto"/>
          <w:sz w:val="24"/>
        </w:rPr>
        <w:t>第二十</w:t>
      </w:r>
      <w:r>
        <w:rPr>
          <w:rFonts w:hint="eastAsia" w:ascii="宋体" w:hAnsi="宋体"/>
          <w:b/>
          <w:color w:val="auto"/>
          <w:sz w:val="24"/>
          <w:lang w:val="en-US" w:eastAsia="zh-CN"/>
        </w:rPr>
        <w:t>八</w:t>
      </w:r>
      <w:r>
        <w:rPr>
          <w:rFonts w:hint="eastAsia" w:ascii="宋体" w:hAnsi="宋体"/>
          <w:b/>
          <w:color w:val="auto"/>
          <w:sz w:val="24"/>
        </w:rPr>
        <w:t>条  其他</w:t>
      </w:r>
    </w:p>
    <w:p>
      <w:pPr>
        <w:numPr>
          <w:ilvl w:val="0"/>
          <w:numId w:val="0"/>
        </w:numPr>
        <w:tabs>
          <w:tab w:val="left" w:pos="540"/>
          <w:tab w:val="left" w:pos="1260"/>
          <w:tab w:val="left" w:pos="1440"/>
        </w:tabs>
        <w:spacing w:line="400" w:lineRule="exact"/>
        <w:ind w:left="540" w:leftChars="0"/>
        <w:rPr>
          <w:rFonts w:ascii="宋体" w:hAnsi="宋体"/>
          <w:color w:val="auto"/>
          <w:sz w:val="24"/>
        </w:rPr>
      </w:pPr>
      <w:r>
        <w:rPr>
          <w:rFonts w:hint="eastAsia" w:ascii="宋体" w:hAnsi="宋体"/>
          <w:color w:val="auto"/>
          <w:sz w:val="24"/>
          <w:lang w:val="en-US" w:eastAsia="zh-CN"/>
        </w:rPr>
        <w:t>28.1</w:t>
      </w:r>
      <w:r>
        <w:rPr>
          <w:rFonts w:hint="eastAsia" w:ascii="宋体" w:hAnsi="宋体"/>
          <w:color w:val="auto"/>
          <w:sz w:val="24"/>
        </w:rPr>
        <w:t>本合同一式四份，买方、卖方双方各执两份，下述合同附件为本合同不可分割的部分并与本合同具有同等效力：</w:t>
      </w:r>
    </w:p>
    <w:p>
      <w:pPr>
        <w:numPr>
          <w:ilvl w:val="0"/>
          <w:numId w:val="0"/>
        </w:numPr>
        <w:tabs>
          <w:tab w:val="left" w:pos="540"/>
          <w:tab w:val="left" w:pos="1260"/>
          <w:tab w:val="left" w:pos="1440"/>
        </w:tabs>
        <w:spacing w:line="400" w:lineRule="exact"/>
        <w:ind w:left="540" w:leftChars="0"/>
        <w:rPr>
          <w:rFonts w:ascii="宋体" w:hAnsi="宋体"/>
          <w:color w:val="auto"/>
          <w:sz w:val="24"/>
        </w:rPr>
      </w:pPr>
      <w:r>
        <w:rPr>
          <w:rFonts w:hint="eastAsia" w:ascii="宋体" w:hAnsi="宋体"/>
          <w:color w:val="auto"/>
          <w:sz w:val="24"/>
          <w:lang w:val="en-US" w:eastAsia="zh-CN"/>
        </w:rPr>
        <w:t>28.2</w:t>
      </w:r>
      <w:r>
        <w:rPr>
          <w:rFonts w:hint="eastAsia" w:ascii="宋体" w:hAnsi="宋体"/>
          <w:color w:val="auto"/>
          <w:sz w:val="24"/>
        </w:rPr>
        <w:t>本合同若有未尽事宜，以招标文件为准，或经双方协商一致后签订的补充合同。</w:t>
      </w:r>
    </w:p>
    <w:p>
      <w:pPr>
        <w:autoSpaceDE w:val="0"/>
        <w:autoSpaceDN w:val="0"/>
        <w:adjustRightInd w:val="0"/>
        <w:snapToGrid w:val="0"/>
        <w:spacing w:line="480" w:lineRule="exact"/>
        <w:ind w:firstLine="561"/>
        <w:rPr>
          <w:rFonts w:ascii="宋体" w:hAnsi="宋体"/>
          <w:b/>
          <w:color w:val="auto"/>
          <w:szCs w:val="21"/>
        </w:rPr>
      </w:pPr>
    </w:p>
    <w:p>
      <w:pPr>
        <w:autoSpaceDE w:val="0"/>
        <w:autoSpaceDN w:val="0"/>
        <w:adjustRightInd w:val="0"/>
        <w:snapToGrid w:val="0"/>
        <w:spacing w:line="480" w:lineRule="exact"/>
        <w:outlineLvl w:val="1"/>
        <w:rPr>
          <w:rFonts w:ascii="宋体" w:hAnsi="宋体"/>
          <w:b/>
          <w:color w:val="auto"/>
          <w:szCs w:val="21"/>
        </w:rPr>
      </w:pPr>
      <w:r>
        <w:rPr>
          <w:rFonts w:hint="eastAsia" w:ascii="宋体" w:hAnsi="宋体"/>
          <w:b/>
          <w:color w:val="auto"/>
          <w:szCs w:val="21"/>
        </w:rPr>
        <w:t>八、 投标文件格式</w:t>
      </w:r>
    </w:p>
    <w:p>
      <w:pPr>
        <w:spacing w:line="980" w:lineRule="exact"/>
        <w:jc w:val="center"/>
        <w:rPr>
          <w:rFonts w:ascii="黑体" w:eastAsia="黑体"/>
          <w:color w:val="auto"/>
          <w:sz w:val="30"/>
        </w:rPr>
      </w:pPr>
      <w:r>
        <w:rPr>
          <w:rFonts w:hint="eastAsia" w:ascii="黑体" w:eastAsia="黑体"/>
          <w:color w:val="auto"/>
          <w:sz w:val="30"/>
        </w:rPr>
        <w:t>目   录</w:t>
      </w:r>
    </w:p>
    <w:p>
      <w:pPr>
        <w:spacing w:line="460" w:lineRule="exact"/>
        <w:rPr>
          <w:rFonts w:ascii="宋体" w:hAnsi="宋体"/>
          <w:color w:val="auto"/>
          <w:sz w:val="24"/>
        </w:rPr>
      </w:pPr>
      <w:r>
        <w:rPr>
          <w:rFonts w:hint="eastAsia" w:ascii="宋体" w:hAnsi="宋体"/>
          <w:color w:val="auto"/>
          <w:sz w:val="24"/>
        </w:rPr>
        <w:t>一、投标书及其附件</w:t>
      </w:r>
    </w:p>
    <w:p>
      <w:pPr>
        <w:spacing w:line="460" w:lineRule="exact"/>
        <w:rPr>
          <w:rFonts w:ascii="宋体" w:hAnsi="宋体"/>
          <w:color w:val="auto"/>
          <w:sz w:val="24"/>
        </w:rPr>
      </w:pPr>
      <w:r>
        <w:rPr>
          <w:rFonts w:hint="eastAsia" w:ascii="宋体" w:hAnsi="宋体"/>
          <w:color w:val="auto"/>
          <w:sz w:val="24"/>
        </w:rPr>
        <w:t xml:space="preserve">      1.投标书</w:t>
      </w:r>
    </w:p>
    <w:p>
      <w:pPr>
        <w:spacing w:line="460" w:lineRule="exact"/>
        <w:rPr>
          <w:rFonts w:ascii="宋体" w:hAnsi="宋体"/>
          <w:color w:val="auto"/>
          <w:sz w:val="24"/>
        </w:rPr>
      </w:pPr>
      <w:r>
        <w:rPr>
          <w:rFonts w:hint="eastAsia" w:ascii="宋体" w:hAnsi="宋体"/>
          <w:color w:val="auto"/>
          <w:sz w:val="24"/>
        </w:rPr>
        <w:t xml:space="preserve">      2.开标一览表     </w:t>
      </w:r>
    </w:p>
    <w:p>
      <w:pPr>
        <w:spacing w:line="460" w:lineRule="exact"/>
        <w:rPr>
          <w:rFonts w:ascii="宋体" w:hAnsi="宋体"/>
          <w:color w:val="auto"/>
          <w:sz w:val="24"/>
        </w:rPr>
      </w:pPr>
      <w:r>
        <w:rPr>
          <w:rFonts w:hint="eastAsia" w:ascii="宋体" w:hAnsi="宋体"/>
          <w:color w:val="auto"/>
          <w:sz w:val="24"/>
        </w:rPr>
        <w:t>二、投标人资格证明文件</w:t>
      </w:r>
    </w:p>
    <w:p>
      <w:pPr>
        <w:spacing w:line="460" w:lineRule="exact"/>
        <w:rPr>
          <w:rFonts w:ascii="宋体" w:hAnsi="宋体"/>
          <w:color w:val="auto"/>
          <w:sz w:val="24"/>
        </w:rPr>
      </w:pPr>
      <w:r>
        <w:rPr>
          <w:rFonts w:hint="eastAsia" w:ascii="宋体" w:hAnsi="宋体"/>
          <w:color w:val="auto"/>
          <w:sz w:val="24"/>
        </w:rPr>
        <w:t xml:space="preserve">      1.投标人概况（营业执照副本等材料）</w:t>
      </w:r>
    </w:p>
    <w:p>
      <w:pPr>
        <w:spacing w:line="460" w:lineRule="exact"/>
        <w:rPr>
          <w:rFonts w:ascii="宋体" w:hAnsi="宋体"/>
          <w:color w:val="auto"/>
          <w:sz w:val="24"/>
        </w:rPr>
      </w:pPr>
      <w:r>
        <w:rPr>
          <w:rFonts w:hint="eastAsia" w:ascii="宋体" w:hAnsi="宋体"/>
          <w:color w:val="auto"/>
          <w:sz w:val="24"/>
        </w:rPr>
        <w:t xml:space="preserve">      </w:t>
      </w:r>
      <w:r>
        <w:rPr>
          <w:rFonts w:hint="eastAsia" w:ascii="宋体" w:hAnsi="宋体"/>
          <w:color w:val="auto"/>
          <w:sz w:val="24"/>
          <w:lang w:val="en-US" w:eastAsia="zh-CN"/>
        </w:rPr>
        <w:t>2</w:t>
      </w:r>
      <w:r>
        <w:rPr>
          <w:rFonts w:hint="eastAsia" w:ascii="宋体" w:hAnsi="宋体"/>
          <w:color w:val="auto"/>
          <w:sz w:val="24"/>
        </w:rPr>
        <w:t>、相关资质证书</w:t>
      </w:r>
      <w:r>
        <w:rPr>
          <w:rFonts w:hint="eastAsia" w:ascii="宋体" w:hAnsi="宋体"/>
          <w:color w:val="auto"/>
          <w:sz w:val="24"/>
          <w:lang w:eastAsia="zh-CN"/>
        </w:rPr>
        <w:t>和业绩项目</w:t>
      </w:r>
      <w:r>
        <w:rPr>
          <w:rFonts w:hint="eastAsia" w:ascii="宋体" w:hAnsi="宋体"/>
          <w:color w:val="auto"/>
          <w:sz w:val="24"/>
        </w:rPr>
        <w:t>材料</w:t>
      </w:r>
    </w:p>
    <w:p>
      <w:pPr>
        <w:spacing w:line="460" w:lineRule="exact"/>
        <w:rPr>
          <w:rFonts w:ascii="宋体" w:hAnsi="宋体"/>
          <w:color w:val="auto"/>
          <w:sz w:val="24"/>
        </w:rPr>
      </w:pPr>
      <w:r>
        <w:rPr>
          <w:rFonts w:hint="eastAsia" w:ascii="宋体" w:hAnsi="宋体"/>
          <w:color w:val="auto"/>
          <w:sz w:val="24"/>
        </w:rPr>
        <w:t xml:space="preserve">      </w:t>
      </w:r>
      <w:r>
        <w:rPr>
          <w:rFonts w:hint="eastAsia" w:ascii="宋体" w:hAnsi="宋体"/>
          <w:color w:val="auto"/>
          <w:sz w:val="24"/>
          <w:lang w:val="en-US" w:eastAsia="zh-CN"/>
        </w:rPr>
        <w:t>3</w:t>
      </w:r>
      <w:r>
        <w:rPr>
          <w:rFonts w:hint="eastAsia" w:ascii="宋体" w:hAnsi="宋体"/>
          <w:color w:val="auto"/>
          <w:sz w:val="24"/>
        </w:rPr>
        <w:t>.授权委托书</w:t>
      </w:r>
    </w:p>
    <w:p>
      <w:pPr>
        <w:spacing w:line="460" w:lineRule="exact"/>
        <w:rPr>
          <w:rFonts w:ascii="宋体" w:hAnsi="宋体"/>
          <w:color w:val="auto"/>
          <w:sz w:val="24"/>
        </w:rPr>
      </w:pPr>
      <w:r>
        <w:rPr>
          <w:rFonts w:hint="eastAsia" w:ascii="宋体" w:hAnsi="宋体"/>
          <w:color w:val="auto"/>
          <w:sz w:val="24"/>
        </w:rPr>
        <w:t>三、证明货物的合格性和符合招标文件规定的文件</w:t>
      </w:r>
    </w:p>
    <w:p>
      <w:pPr>
        <w:numPr>
          <w:ilvl w:val="0"/>
          <w:numId w:val="31"/>
        </w:numPr>
        <w:spacing w:line="460" w:lineRule="exact"/>
        <w:rPr>
          <w:rFonts w:ascii="宋体" w:hAnsi="宋体"/>
          <w:color w:val="auto"/>
          <w:sz w:val="24"/>
        </w:rPr>
      </w:pPr>
      <w:r>
        <w:rPr>
          <w:rFonts w:hint="eastAsia" w:ascii="宋体" w:hAnsi="宋体"/>
          <w:color w:val="auto"/>
          <w:sz w:val="24"/>
        </w:rPr>
        <w:t>质量保证书</w:t>
      </w:r>
    </w:p>
    <w:p>
      <w:pPr>
        <w:numPr>
          <w:ilvl w:val="0"/>
          <w:numId w:val="31"/>
        </w:numPr>
        <w:spacing w:line="460" w:lineRule="exact"/>
        <w:rPr>
          <w:rFonts w:ascii="宋体" w:hAnsi="宋体"/>
          <w:color w:val="auto"/>
          <w:sz w:val="24"/>
        </w:rPr>
      </w:pPr>
      <w:r>
        <w:rPr>
          <w:rFonts w:hint="eastAsia" w:ascii="宋体" w:hAnsi="宋体"/>
          <w:color w:val="auto"/>
          <w:sz w:val="24"/>
        </w:rPr>
        <w:t>有关部门的检测报告（如有）</w:t>
      </w:r>
    </w:p>
    <w:p>
      <w:pPr>
        <w:numPr>
          <w:ilvl w:val="0"/>
          <w:numId w:val="31"/>
        </w:numPr>
        <w:spacing w:line="460" w:lineRule="exact"/>
        <w:rPr>
          <w:rFonts w:hint="default" w:ascii="宋体" w:hAnsi="宋体"/>
          <w:color w:val="auto"/>
          <w:sz w:val="24"/>
          <w:lang w:val="en-US" w:eastAsia="zh-CN"/>
        </w:rPr>
      </w:pPr>
      <w:r>
        <w:rPr>
          <w:rFonts w:hint="eastAsia" w:ascii="宋体" w:hAnsi="宋体"/>
          <w:color w:val="auto"/>
          <w:sz w:val="24"/>
          <w:lang w:val="en-US" w:eastAsia="zh-CN"/>
        </w:rPr>
        <w:t>视频设备厂家授权文件</w:t>
      </w:r>
    </w:p>
    <w:p>
      <w:pPr>
        <w:spacing w:line="460" w:lineRule="exact"/>
        <w:rPr>
          <w:rFonts w:ascii="宋体" w:hAnsi="宋体"/>
          <w:color w:val="auto"/>
          <w:sz w:val="24"/>
        </w:rPr>
      </w:pPr>
      <w:r>
        <w:rPr>
          <w:rFonts w:hint="eastAsia" w:ascii="宋体" w:hAnsi="宋体"/>
          <w:color w:val="auto"/>
          <w:sz w:val="24"/>
        </w:rPr>
        <w:t xml:space="preserve">      </w:t>
      </w:r>
      <w:r>
        <w:rPr>
          <w:rFonts w:hint="eastAsia" w:ascii="宋体" w:hAnsi="宋体"/>
          <w:color w:val="auto"/>
          <w:sz w:val="24"/>
          <w:lang w:val="en-US" w:eastAsia="zh-CN"/>
        </w:rPr>
        <w:t>4</w:t>
      </w:r>
      <w:r>
        <w:rPr>
          <w:rFonts w:hint="eastAsia" w:ascii="宋体" w:hAnsi="宋体"/>
          <w:color w:val="auto"/>
          <w:sz w:val="24"/>
        </w:rPr>
        <w:t>. 投标货物规格响应表格式</w:t>
      </w:r>
    </w:p>
    <w:p>
      <w:pPr>
        <w:spacing w:line="460" w:lineRule="exact"/>
        <w:rPr>
          <w:rFonts w:ascii="宋体" w:hAnsi="宋体"/>
          <w:color w:val="auto"/>
          <w:sz w:val="24"/>
        </w:rPr>
      </w:pPr>
      <w:r>
        <w:rPr>
          <w:rFonts w:hint="eastAsia" w:ascii="宋体" w:hAnsi="宋体"/>
          <w:color w:val="auto"/>
          <w:sz w:val="24"/>
        </w:rPr>
        <w:t xml:space="preserve">      </w:t>
      </w:r>
      <w:r>
        <w:rPr>
          <w:rFonts w:hint="eastAsia" w:ascii="宋体" w:hAnsi="宋体"/>
          <w:color w:val="auto"/>
          <w:sz w:val="24"/>
          <w:lang w:val="en-US" w:eastAsia="zh-CN"/>
        </w:rPr>
        <w:t>5</w:t>
      </w:r>
      <w:r>
        <w:rPr>
          <w:rFonts w:hint="eastAsia" w:ascii="宋体" w:hAnsi="宋体"/>
          <w:color w:val="auto"/>
          <w:sz w:val="24"/>
        </w:rPr>
        <w:t>. 商务条款偏离表</w:t>
      </w:r>
    </w:p>
    <w:p>
      <w:pPr>
        <w:spacing w:line="460" w:lineRule="exact"/>
        <w:rPr>
          <w:rFonts w:ascii="宋体" w:hAnsi="宋体"/>
          <w:color w:val="auto"/>
          <w:sz w:val="24"/>
        </w:rPr>
      </w:pPr>
      <w:r>
        <w:rPr>
          <w:rFonts w:hint="eastAsia" w:ascii="宋体" w:hAnsi="宋体"/>
          <w:color w:val="auto"/>
          <w:sz w:val="24"/>
        </w:rPr>
        <w:t xml:space="preserve">     </w:t>
      </w:r>
      <w:r>
        <w:rPr>
          <w:rFonts w:hint="eastAsia" w:ascii="宋体" w:hAnsi="宋体"/>
          <w:color w:val="auto"/>
          <w:sz w:val="24"/>
          <w:lang w:val="en-US" w:eastAsia="zh-CN"/>
        </w:rPr>
        <w:t xml:space="preserve"> 6</w:t>
      </w:r>
      <w:r>
        <w:rPr>
          <w:rFonts w:hint="eastAsia" w:ascii="宋体" w:hAnsi="宋体"/>
          <w:color w:val="auto"/>
          <w:sz w:val="24"/>
        </w:rPr>
        <w:t>. 服务（培训、售后服务等</w:t>
      </w:r>
      <w:r>
        <w:rPr>
          <w:rFonts w:hint="eastAsia" w:ascii="宋体" w:hAnsi="宋体"/>
          <w:color w:val="auto"/>
          <w:sz w:val="24"/>
        </w:rPr>
        <w:t>）</w:t>
      </w:r>
    </w:p>
    <w:p>
      <w:pPr>
        <w:spacing w:line="460" w:lineRule="exact"/>
        <w:rPr>
          <w:rFonts w:hint="eastAsia" w:ascii="宋体" w:hAnsi="宋体"/>
          <w:color w:val="auto"/>
          <w:sz w:val="24"/>
          <w:lang w:eastAsia="zh-CN"/>
        </w:rPr>
      </w:pPr>
      <w:r>
        <w:rPr>
          <w:rFonts w:hint="eastAsia" w:ascii="宋体" w:hAnsi="宋体"/>
          <w:color w:val="auto"/>
          <w:sz w:val="24"/>
          <w:lang w:eastAsia="zh-CN"/>
        </w:rPr>
        <w:t>四、主材清单附件</w:t>
      </w:r>
    </w:p>
    <w:p>
      <w:pPr>
        <w:spacing w:line="460" w:lineRule="exact"/>
        <w:rPr>
          <w:rFonts w:ascii="楷体_GB2312" w:eastAsia="楷体_GB2312"/>
          <w:color w:val="auto"/>
          <w:sz w:val="24"/>
        </w:rPr>
        <w:sectPr>
          <w:headerReference r:id="rId3" w:type="default"/>
          <w:footerReference r:id="rId4" w:type="default"/>
          <w:pgSz w:w="11906" w:h="16838"/>
          <w:pgMar w:top="935" w:right="1406" w:bottom="1091" w:left="1575" w:header="851" w:footer="992" w:gutter="0"/>
          <w:cols w:space="720" w:num="1"/>
          <w:docGrid w:type="lines" w:linePitch="312" w:charSpace="0"/>
        </w:sectPr>
      </w:pPr>
      <w:r>
        <w:rPr>
          <w:rFonts w:hint="eastAsia" w:ascii="宋体" w:hAnsi="宋体"/>
          <w:color w:val="auto"/>
          <w:sz w:val="24"/>
          <w:lang w:eastAsia="zh-CN"/>
        </w:rPr>
        <w:t>五、技术方案文件及附表</w:t>
      </w:r>
    </w:p>
    <w:p>
      <w:pPr>
        <w:spacing w:line="560" w:lineRule="exact"/>
        <w:ind w:left="720" w:leftChars="343" w:firstLine="2700" w:firstLineChars="750"/>
        <w:rPr>
          <w:rFonts w:ascii="黑体" w:eastAsia="黑体"/>
          <w:color w:val="auto"/>
          <w:sz w:val="36"/>
        </w:rPr>
      </w:pPr>
      <w:r>
        <w:rPr>
          <w:rFonts w:hint="eastAsia" w:ascii="黑体" w:eastAsia="黑体"/>
          <w:color w:val="auto"/>
          <w:sz w:val="36"/>
        </w:rPr>
        <w:t>一、投标书及其附件</w:t>
      </w:r>
    </w:p>
    <w:p>
      <w:pPr>
        <w:spacing w:line="560" w:lineRule="exact"/>
        <w:ind w:firstLine="3780" w:firstLineChars="1050"/>
        <w:rPr>
          <w:rFonts w:ascii="黑体" w:eastAsia="黑体"/>
          <w:color w:val="auto"/>
          <w:sz w:val="36"/>
        </w:rPr>
      </w:pPr>
      <w:r>
        <w:rPr>
          <w:rFonts w:hint="eastAsia" w:ascii="黑体" w:eastAsia="黑体"/>
          <w:color w:val="auto"/>
          <w:sz w:val="36"/>
        </w:rPr>
        <w:t>1、投标书格式</w:t>
      </w:r>
    </w:p>
    <w:p>
      <w:pPr>
        <w:spacing w:line="720" w:lineRule="exact"/>
        <w:ind w:firstLine="4518" w:firstLineChars="1500"/>
        <w:rPr>
          <w:rFonts w:ascii="楷体_GB2312" w:eastAsia="楷体_GB2312"/>
          <w:b/>
          <w:color w:val="auto"/>
          <w:sz w:val="30"/>
        </w:rPr>
      </w:pPr>
      <w:r>
        <w:rPr>
          <w:rFonts w:hint="eastAsia" w:ascii="楷体_GB2312" w:eastAsia="楷体_GB2312"/>
          <w:b/>
          <w:color w:val="auto"/>
          <w:sz w:val="30"/>
        </w:rPr>
        <w:t>投标书</w:t>
      </w:r>
    </w:p>
    <w:p>
      <w:pPr>
        <w:spacing w:line="480" w:lineRule="exact"/>
        <w:rPr>
          <w:rFonts w:ascii="楷体_GB2312" w:eastAsia="楷体_GB2312"/>
          <w:color w:val="auto"/>
          <w:sz w:val="24"/>
        </w:rPr>
      </w:pPr>
      <w:r>
        <w:rPr>
          <w:rFonts w:hint="eastAsia" w:ascii="宋体" w:hAnsi="宋体"/>
          <w:color w:val="auto"/>
          <w:spacing w:val="28"/>
          <w:sz w:val="24"/>
        </w:rPr>
        <w:t>江苏长江水务股份有限公司</w:t>
      </w:r>
      <w:r>
        <w:rPr>
          <w:rFonts w:hint="eastAsia" w:ascii="楷体_GB2312" w:eastAsia="楷体_GB2312"/>
          <w:color w:val="auto"/>
          <w:sz w:val="24"/>
        </w:rPr>
        <w:t>：</w:t>
      </w:r>
    </w:p>
    <w:p>
      <w:pPr>
        <w:spacing w:line="480" w:lineRule="exact"/>
        <w:ind w:firstLine="480"/>
        <w:rPr>
          <w:rFonts w:ascii="宋体" w:hAnsi="宋体"/>
          <w:color w:val="auto"/>
          <w:sz w:val="24"/>
        </w:rPr>
      </w:pPr>
      <w:r>
        <w:rPr>
          <w:rFonts w:hint="eastAsia" w:ascii="宋体" w:hAnsi="宋体"/>
          <w:color w:val="auto"/>
          <w:sz w:val="24"/>
        </w:rPr>
        <w:t>你们 招标文件（包括补充文件，如果有的话）收悉，我们经详细审阅和研究，现决定参加投标。</w:t>
      </w:r>
    </w:p>
    <w:p>
      <w:pPr>
        <w:spacing w:line="480" w:lineRule="exact"/>
        <w:rPr>
          <w:rFonts w:ascii="宋体" w:hAnsi="宋体"/>
          <w:color w:val="auto"/>
          <w:sz w:val="24"/>
        </w:rPr>
      </w:pPr>
      <w:r>
        <w:rPr>
          <w:rFonts w:hint="eastAsia" w:ascii="宋体" w:hAnsi="宋体"/>
          <w:color w:val="auto"/>
          <w:sz w:val="24"/>
        </w:rPr>
        <w:t xml:space="preserve">    1.我们愿按照招标文件中的条款、要求，提供所需的招标货物及一切相关的服务，投标价为</w:t>
      </w:r>
      <w:r>
        <w:rPr>
          <w:rFonts w:hint="eastAsia" w:ascii="宋体" w:hAnsi="宋体"/>
          <w:color w:val="auto"/>
          <w:sz w:val="24"/>
          <w:u w:val="single"/>
        </w:rPr>
        <w:t xml:space="preserve">（币种及金额） </w:t>
      </w:r>
      <w:r>
        <w:rPr>
          <w:rFonts w:hint="eastAsia" w:ascii="宋体" w:hAnsi="宋体"/>
          <w:color w:val="auto"/>
          <w:sz w:val="24"/>
        </w:rPr>
        <w:t>。</w:t>
      </w:r>
    </w:p>
    <w:p>
      <w:pPr>
        <w:spacing w:line="480" w:lineRule="exact"/>
        <w:ind w:firstLine="420"/>
        <w:rPr>
          <w:rFonts w:ascii="宋体" w:hAnsi="宋体"/>
          <w:color w:val="auto"/>
          <w:sz w:val="24"/>
        </w:rPr>
      </w:pPr>
      <w:r>
        <w:rPr>
          <w:rFonts w:hint="eastAsia" w:ascii="宋体" w:hAnsi="宋体"/>
          <w:color w:val="auto"/>
          <w:sz w:val="24"/>
        </w:rPr>
        <w:t>2.如果我们中标，我们将在之后的天内交货。</w:t>
      </w:r>
    </w:p>
    <w:p>
      <w:pPr>
        <w:spacing w:line="480" w:lineRule="exact"/>
        <w:ind w:firstLine="420"/>
        <w:rPr>
          <w:rFonts w:ascii="宋体" w:hAnsi="宋体"/>
          <w:color w:val="auto"/>
          <w:sz w:val="24"/>
        </w:rPr>
      </w:pPr>
      <w:r>
        <w:rPr>
          <w:rFonts w:hint="eastAsia" w:ascii="宋体" w:hAnsi="宋体"/>
          <w:color w:val="auto"/>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color w:val="auto"/>
          <w:sz w:val="24"/>
        </w:rPr>
      </w:pPr>
      <w:r>
        <w:rPr>
          <w:rFonts w:hint="eastAsia" w:ascii="宋体" w:hAnsi="宋体"/>
          <w:color w:val="auto"/>
          <w:sz w:val="24"/>
        </w:rPr>
        <w:t xml:space="preserve">    4.我们同意提供招标人要求的有关本次招标的所有资料。</w:t>
      </w:r>
    </w:p>
    <w:p>
      <w:pPr>
        <w:spacing w:line="480" w:lineRule="exact"/>
        <w:ind w:firstLine="480"/>
        <w:rPr>
          <w:rFonts w:ascii="宋体" w:hAnsi="宋体"/>
          <w:color w:val="auto"/>
          <w:sz w:val="24"/>
        </w:rPr>
      </w:pPr>
      <w:r>
        <w:rPr>
          <w:rFonts w:hint="eastAsia" w:ascii="宋体" w:hAnsi="宋体"/>
          <w:color w:val="auto"/>
          <w:sz w:val="24"/>
        </w:rPr>
        <w:t>5.我们理解，你们无义务必须接受投标价最低的投标，并有权拒绝所有的投标。</w:t>
      </w:r>
    </w:p>
    <w:p>
      <w:pPr>
        <w:spacing w:line="480" w:lineRule="exact"/>
        <w:ind w:firstLine="480"/>
        <w:rPr>
          <w:rFonts w:ascii="宋体" w:hAnsi="宋体"/>
          <w:color w:val="auto"/>
          <w:sz w:val="24"/>
        </w:rPr>
      </w:pPr>
      <w:r>
        <w:rPr>
          <w:rFonts w:hint="eastAsia" w:ascii="宋体" w:hAnsi="宋体"/>
          <w:color w:val="auto"/>
          <w:sz w:val="24"/>
        </w:rPr>
        <w:t>6.如果我们中标，为执行合同，我们将按招标文件的要求提供必要的履约保证。</w:t>
      </w:r>
    </w:p>
    <w:p>
      <w:pPr>
        <w:spacing w:line="480" w:lineRule="exact"/>
        <w:rPr>
          <w:rFonts w:ascii="楷体_GB2312" w:eastAsia="楷体_GB2312"/>
          <w:color w:val="auto"/>
          <w:sz w:val="24"/>
        </w:rPr>
      </w:pPr>
    </w:p>
    <w:p>
      <w:pPr>
        <w:spacing w:line="480" w:lineRule="exact"/>
        <w:rPr>
          <w:rFonts w:ascii="楷体_GB2312" w:eastAsia="楷体_GB2312"/>
          <w:color w:val="auto"/>
          <w:sz w:val="24"/>
        </w:rPr>
      </w:pPr>
    </w:p>
    <w:p>
      <w:pPr>
        <w:spacing w:line="480" w:lineRule="exact"/>
        <w:rPr>
          <w:rFonts w:ascii="楷体_GB2312" w:eastAsia="楷体_GB2312"/>
          <w:color w:val="auto"/>
          <w:sz w:val="24"/>
        </w:rPr>
      </w:pPr>
    </w:p>
    <w:p>
      <w:pPr>
        <w:spacing w:line="480" w:lineRule="exact"/>
        <w:jc w:val="center"/>
        <w:rPr>
          <w:rFonts w:ascii="宋体" w:hAnsi="宋体"/>
          <w:color w:val="auto"/>
          <w:sz w:val="24"/>
        </w:rPr>
      </w:pPr>
      <w:r>
        <w:rPr>
          <w:rFonts w:hint="eastAsia" w:ascii="宋体" w:hAnsi="宋体"/>
          <w:color w:val="auto"/>
          <w:sz w:val="24"/>
        </w:rPr>
        <w:t xml:space="preserve">  投标人名称：</w:t>
      </w:r>
    </w:p>
    <w:p>
      <w:pPr>
        <w:spacing w:line="480" w:lineRule="exact"/>
        <w:rPr>
          <w:rFonts w:ascii="宋体" w:hAnsi="宋体"/>
          <w:color w:val="auto"/>
          <w:sz w:val="24"/>
        </w:rPr>
      </w:pPr>
      <w:r>
        <w:rPr>
          <w:rFonts w:hint="eastAsia" w:ascii="宋体" w:hAnsi="宋体"/>
          <w:color w:val="auto"/>
          <w:sz w:val="24"/>
        </w:rPr>
        <w:t xml:space="preserve">                             （盖章）</w:t>
      </w:r>
    </w:p>
    <w:p>
      <w:pPr>
        <w:spacing w:line="480" w:lineRule="exact"/>
        <w:rPr>
          <w:rFonts w:ascii="宋体" w:hAnsi="宋体"/>
          <w:color w:val="auto"/>
          <w:sz w:val="24"/>
        </w:rPr>
      </w:pPr>
      <w:r>
        <w:rPr>
          <w:rFonts w:hint="eastAsia" w:ascii="宋体" w:hAnsi="宋体"/>
          <w:color w:val="auto"/>
          <w:sz w:val="24"/>
        </w:rPr>
        <w:t xml:space="preserve">                              地址：               邮编：</w:t>
      </w:r>
    </w:p>
    <w:p>
      <w:pPr>
        <w:spacing w:line="480" w:lineRule="exact"/>
        <w:rPr>
          <w:rFonts w:ascii="宋体" w:hAnsi="宋体"/>
          <w:color w:val="auto"/>
          <w:sz w:val="24"/>
        </w:rPr>
      </w:pPr>
      <w:r>
        <w:rPr>
          <w:rFonts w:hint="eastAsia" w:ascii="宋体" w:hAnsi="宋体"/>
          <w:color w:val="auto"/>
          <w:sz w:val="24"/>
        </w:rPr>
        <w:t xml:space="preserve">                              电话：               传真：</w:t>
      </w:r>
    </w:p>
    <w:p>
      <w:pPr>
        <w:spacing w:line="480" w:lineRule="exact"/>
        <w:rPr>
          <w:rFonts w:ascii="宋体" w:hAnsi="宋体"/>
          <w:color w:val="auto"/>
          <w:sz w:val="24"/>
        </w:rPr>
      </w:pPr>
      <w:r>
        <w:rPr>
          <w:rFonts w:hint="eastAsia" w:ascii="宋体" w:hAnsi="宋体"/>
          <w:color w:val="auto"/>
          <w:sz w:val="24"/>
        </w:rPr>
        <w:t xml:space="preserve">                              授权代表签字：</w:t>
      </w:r>
    </w:p>
    <w:p>
      <w:pPr>
        <w:spacing w:line="480" w:lineRule="exact"/>
        <w:rPr>
          <w:rFonts w:ascii="宋体" w:hAnsi="宋体"/>
          <w:color w:val="auto"/>
          <w:sz w:val="24"/>
        </w:rPr>
      </w:pPr>
      <w:r>
        <w:rPr>
          <w:rFonts w:hint="eastAsia" w:ascii="宋体" w:hAnsi="宋体"/>
          <w:color w:val="auto"/>
          <w:sz w:val="24"/>
        </w:rPr>
        <w:t xml:space="preserve">                              职务：</w:t>
      </w:r>
    </w:p>
    <w:p>
      <w:pPr>
        <w:spacing w:line="480" w:lineRule="exact"/>
        <w:rPr>
          <w:rFonts w:ascii="宋体" w:hAnsi="宋体"/>
          <w:color w:val="auto"/>
          <w:sz w:val="24"/>
        </w:rPr>
      </w:pPr>
      <w:r>
        <w:rPr>
          <w:rFonts w:hint="eastAsia" w:ascii="宋体" w:hAnsi="宋体"/>
          <w:color w:val="auto"/>
          <w:sz w:val="24"/>
        </w:rPr>
        <w:t xml:space="preserve">                              日期：</w:t>
      </w:r>
    </w:p>
    <w:p>
      <w:pPr>
        <w:spacing w:line="480" w:lineRule="exact"/>
        <w:rPr>
          <w:rFonts w:ascii="宋体" w:hAnsi="宋体"/>
          <w:color w:val="auto"/>
          <w:sz w:val="24"/>
        </w:rPr>
      </w:pPr>
    </w:p>
    <w:p>
      <w:pPr>
        <w:spacing w:line="480" w:lineRule="exact"/>
        <w:rPr>
          <w:rFonts w:ascii="宋体" w:hAnsi="宋体"/>
          <w:color w:val="auto"/>
          <w:sz w:val="24"/>
        </w:rPr>
      </w:pPr>
    </w:p>
    <w:p>
      <w:pPr>
        <w:spacing w:line="480" w:lineRule="exact"/>
        <w:rPr>
          <w:rFonts w:ascii="宋体" w:hAnsi="宋体"/>
          <w:color w:val="auto"/>
          <w:sz w:val="24"/>
        </w:rPr>
      </w:pPr>
    </w:p>
    <w:p>
      <w:pPr>
        <w:spacing w:line="560" w:lineRule="exact"/>
        <w:jc w:val="center"/>
        <w:rPr>
          <w:rFonts w:ascii="黑体" w:eastAsia="黑体"/>
          <w:color w:val="auto"/>
          <w:sz w:val="36"/>
        </w:rPr>
      </w:pPr>
      <w:r>
        <w:rPr>
          <w:rFonts w:hint="eastAsia" w:ascii="黑体" w:eastAsia="黑体"/>
          <w:color w:val="auto"/>
          <w:sz w:val="36"/>
        </w:rPr>
        <w:t>2、开标一览表</w:t>
      </w:r>
    </w:p>
    <w:tbl>
      <w:tblPr>
        <w:tblStyle w:val="11"/>
        <w:tblW w:w="10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844"/>
        <w:gridCol w:w="2051"/>
        <w:gridCol w:w="1680"/>
        <w:gridCol w:w="2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序号</w:t>
            </w:r>
          </w:p>
        </w:tc>
        <w:tc>
          <w:tcPr>
            <w:tcW w:w="2672"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类 别</w:t>
            </w:r>
          </w:p>
        </w:tc>
        <w:tc>
          <w:tcPr>
            <w:tcW w:w="2051"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制 造 厂 商</w:t>
            </w:r>
          </w:p>
        </w:tc>
        <w:tc>
          <w:tcPr>
            <w:tcW w:w="1680"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单位价格</w:t>
            </w:r>
          </w:p>
        </w:tc>
        <w:tc>
          <w:tcPr>
            <w:tcW w:w="285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2</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3</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4</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5</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6</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7</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8</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9</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10</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11</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12</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highlight w:val="lightGray"/>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13</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highlight w:val="lightGray"/>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14</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15</w:t>
            </w:r>
          </w:p>
        </w:tc>
        <w:tc>
          <w:tcPr>
            <w:tcW w:w="2672"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auto"/>
                <w:sz w:val="24"/>
              </w:rPr>
            </w:pPr>
          </w:p>
        </w:tc>
        <w:tc>
          <w:tcPr>
            <w:tcW w:w="2051"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rPr>
            </w:pPr>
          </w:p>
        </w:tc>
        <w:tc>
          <w:tcPr>
            <w:tcW w:w="285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r>
              <w:rPr>
                <w:rFonts w:hint="eastAsia" w:ascii="宋体" w:hAnsi="宋体"/>
                <w:color w:val="auto"/>
                <w:szCs w:val="21"/>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r>
              <w:rPr>
                <w:rFonts w:hint="eastAsia" w:ascii="宋体" w:hAnsi="宋体"/>
                <w:color w:val="auto"/>
                <w:sz w:val="24"/>
              </w:rPr>
              <w:t>交 货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auto"/>
                <w:sz w:val="24"/>
              </w:rPr>
            </w:pP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auto"/>
                <w:sz w:val="24"/>
              </w:rPr>
            </w:pPr>
          </w:p>
        </w:tc>
      </w:tr>
    </w:tbl>
    <w:p>
      <w:pPr>
        <w:spacing w:line="480" w:lineRule="exact"/>
        <w:rPr>
          <w:rFonts w:ascii="宋体" w:hAnsi="宋体"/>
          <w:color w:val="auto"/>
          <w:sz w:val="24"/>
        </w:rPr>
      </w:pPr>
      <w:r>
        <w:rPr>
          <w:rFonts w:hint="eastAsia" w:ascii="宋体" w:hAnsi="宋体"/>
          <w:color w:val="auto"/>
          <w:sz w:val="24"/>
        </w:rPr>
        <w:t>投标人全称：（盖章或签字）</w:t>
      </w:r>
    </w:p>
    <w:p>
      <w:pPr>
        <w:spacing w:line="480" w:lineRule="exact"/>
        <w:rPr>
          <w:rFonts w:ascii="宋体" w:hAnsi="宋体"/>
          <w:color w:val="auto"/>
          <w:sz w:val="24"/>
        </w:rPr>
      </w:pPr>
      <w:r>
        <w:rPr>
          <w:rFonts w:hint="eastAsia" w:ascii="宋体" w:hAnsi="宋体"/>
          <w:color w:val="auto"/>
          <w:sz w:val="24"/>
        </w:rPr>
        <w:t>授权代表签字：</w:t>
      </w:r>
    </w:p>
    <w:p>
      <w:pPr>
        <w:spacing w:line="480" w:lineRule="exact"/>
        <w:rPr>
          <w:rFonts w:ascii="宋体" w:hAnsi="宋体"/>
          <w:color w:val="auto"/>
          <w:sz w:val="24"/>
        </w:rPr>
      </w:pPr>
      <w:r>
        <w:rPr>
          <w:rFonts w:hint="eastAsia" w:ascii="宋体" w:hAnsi="宋体"/>
          <w:color w:val="auto"/>
          <w:sz w:val="24"/>
        </w:rPr>
        <w:t>日  期：</w:t>
      </w:r>
    </w:p>
    <w:p>
      <w:pPr>
        <w:spacing w:line="480" w:lineRule="exact"/>
        <w:rPr>
          <w:rFonts w:ascii="宋体" w:hAnsi="宋体"/>
          <w:color w:val="auto"/>
          <w:sz w:val="24"/>
        </w:rPr>
      </w:pPr>
      <w:r>
        <w:rPr>
          <w:rFonts w:hint="eastAsia" w:ascii="宋体" w:hAnsi="宋体"/>
          <w:color w:val="auto"/>
          <w:sz w:val="24"/>
        </w:rPr>
        <w:t>说明：1、各投标单位须根据招标货物清单进行报单价和总价，且须对清单中未尽但项目必须的货物自动补齐，如有因缺漏项造成工程项目费用增加，由中标方承担；不得填报选择性报价方案；此价格含13%增值税。</w:t>
      </w:r>
    </w:p>
    <w:p>
      <w:pPr>
        <w:spacing w:line="480" w:lineRule="exact"/>
        <w:ind w:firstLine="720" w:firstLineChars="300"/>
        <w:rPr>
          <w:rFonts w:ascii="宋体" w:hAnsi="宋体"/>
          <w:color w:val="auto"/>
          <w:sz w:val="24"/>
        </w:rPr>
      </w:pPr>
      <w:r>
        <w:rPr>
          <w:rFonts w:hint="eastAsia" w:ascii="宋体" w:hAnsi="宋体"/>
          <w:color w:val="auto"/>
          <w:sz w:val="24"/>
        </w:rPr>
        <w:t>2、此表一式两份，按招标文件要求封装，装入正本袋中。</w:t>
      </w:r>
    </w:p>
    <w:p>
      <w:pPr>
        <w:spacing w:line="480" w:lineRule="exact"/>
        <w:ind w:firstLine="720" w:firstLineChars="300"/>
        <w:rPr>
          <w:rFonts w:ascii="宋体" w:hAnsi="宋体"/>
          <w:color w:val="auto"/>
          <w:sz w:val="24"/>
        </w:rPr>
      </w:pPr>
      <w:r>
        <w:rPr>
          <w:rFonts w:hint="eastAsia" w:ascii="宋体" w:hAnsi="宋体"/>
          <w:color w:val="auto"/>
          <w:sz w:val="24"/>
        </w:rPr>
        <w:t>3、如因投标人填写有误，导致无法唱标，责任由投标人自负。</w:t>
      </w:r>
    </w:p>
    <w:p>
      <w:pPr>
        <w:spacing w:line="560" w:lineRule="exact"/>
        <w:rPr>
          <w:rFonts w:ascii="楷体_GB2312" w:eastAsia="楷体_GB2312"/>
          <w:color w:val="auto"/>
          <w:sz w:val="24"/>
        </w:rPr>
      </w:pPr>
    </w:p>
    <w:p>
      <w:pPr>
        <w:spacing w:line="560" w:lineRule="exact"/>
        <w:jc w:val="center"/>
        <w:rPr>
          <w:rFonts w:ascii="楷体_GB2312" w:eastAsia="楷体_GB2312"/>
          <w:b/>
          <w:color w:val="auto"/>
          <w:sz w:val="44"/>
        </w:rPr>
      </w:pPr>
      <w:r>
        <w:rPr>
          <w:rFonts w:hint="eastAsia" w:ascii="楷体_GB2312" w:eastAsia="楷体_GB2312"/>
          <w:b/>
          <w:color w:val="auto"/>
          <w:sz w:val="44"/>
        </w:rPr>
        <w:t>二、投标人资格证明文件</w:t>
      </w:r>
    </w:p>
    <w:p>
      <w:pPr>
        <w:spacing w:line="460" w:lineRule="exact"/>
        <w:rPr>
          <w:rFonts w:hint="eastAsia" w:ascii="宋体" w:hAnsi="宋体"/>
          <w:b/>
          <w:bCs/>
          <w:color w:val="auto"/>
          <w:sz w:val="24"/>
        </w:rPr>
      </w:pPr>
      <w:r>
        <w:rPr>
          <w:rFonts w:hint="eastAsia" w:ascii="宋体" w:hAnsi="宋体"/>
          <w:color w:val="auto"/>
          <w:sz w:val="24"/>
        </w:rPr>
        <w:t xml:space="preserve">   </w:t>
      </w:r>
      <w:r>
        <w:rPr>
          <w:rFonts w:hint="eastAsia" w:ascii="宋体" w:hAnsi="宋体"/>
          <w:color w:val="auto"/>
          <w:sz w:val="24"/>
          <w:lang w:val="en-US" w:eastAsia="zh-CN"/>
        </w:rPr>
        <w:t xml:space="preserve">              </w:t>
      </w:r>
      <w:r>
        <w:rPr>
          <w:rFonts w:hint="eastAsia" w:ascii="宋体" w:hAnsi="宋体"/>
          <w:b/>
          <w:bCs/>
          <w:color w:val="auto"/>
          <w:sz w:val="24"/>
        </w:rPr>
        <w:t xml:space="preserve"> 1.投标人概况（营业执照副本等材料）</w:t>
      </w:r>
    </w:p>
    <w:p>
      <w:pPr>
        <w:pStyle w:val="3"/>
        <w:rPr>
          <w:color w:val="auto"/>
        </w:rPr>
      </w:pPr>
    </w:p>
    <w:p>
      <w:pPr>
        <w:spacing w:line="460" w:lineRule="exact"/>
        <w:rPr>
          <w:rFonts w:ascii="宋体" w:hAnsi="宋体"/>
          <w:b/>
          <w:bCs/>
          <w:color w:val="auto"/>
          <w:sz w:val="24"/>
        </w:rPr>
      </w:pPr>
      <w:r>
        <w:rPr>
          <w:rFonts w:hint="eastAsia" w:ascii="宋体" w:hAnsi="宋体"/>
          <w:color w:val="auto"/>
          <w:sz w:val="24"/>
        </w:rPr>
        <w:t xml:space="preserve">    </w:t>
      </w:r>
      <w:r>
        <w:rPr>
          <w:rFonts w:hint="eastAsia" w:ascii="宋体" w:hAnsi="宋体"/>
          <w:color w:val="auto"/>
          <w:sz w:val="24"/>
          <w:lang w:val="en-US" w:eastAsia="zh-CN"/>
        </w:rPr>
        <w:t xml:space="preserve">           </w:t>
      </w:r>
      <w:r>
        <w:rPr>
          <w:rFonts w:hint="eastAsia" w:ascii="宋体" w:hAnsi="宋体"/>
          <w:b/>
          <w:bCs/>
          <w:color w:val="auto"/>
          <w:sz w:val="24"/>
          <w:lang w:val="en-US" w:eastAsia="zh-CN"/>
        </w:rPr>
        <w:t xml:space="preserve">   </w:t>
      </w:r>
      <w:r>
        <w:rPr>
          <w:rFonts w:hint="eastAsia" w:ascii="宋体" w:hAnsi="宋体"/>
          <w:b/>
          <w:bCs/>
          <w:color w:val="auto"/>
          <w:sz w:val="24"/>
        </w:rPr>
        <w:t xml:space="preserve">  </w:t>
      </w:r>
      <w:r>
        <w:rPr>
          <w:rFonts w:hint="eastAsia" w:ascii="宋体" w:hAnsi="宋体"/>
          <w:b/>
          <w:bCs/>
          <w:color w:val="auto"/>
          <w:sz w:val="24"/>
          <w:lang w:val="en-US" w:eastAsia="zh-CN"/>
        </w:rPr>
        <w:t>2</w:t>
      </w:r>
      <w:r>
        <w:rPr>
          <w:rFonts w:hint="eastAsia" w:ascii="宋体" w:hAnsi="宋体"/>
          <w:b/>
          <w:bCs/>
          <w:color w:val="auto"/>
          <w:sz w:val="24"/>
        </w:rPr>
        <w:t>、相关资质证书</w:t>
      </w:r>
      <w:r>
        <w:rPr>
          <w:rFonts w:hint="eastAsia" w:ascii="宋体" w:hAnsi="宋体"/>
          <w:b/>
          <w:bCs/>
          <w:color w:val="auto"/>
          <w:sz w:val="24"/>
          <w:lang w:eastAsia="zh-CN"/>
        </w:rPr>
        <w:t>和业绩项目</w:t>
      </w:r>
      <w:r>
        <w:rPr>
          <w:rFonts w:hint="eastAsia" w:ascii="宋体" w:hAnsi="宋体"/>
          <w:b/>
          <w:bCs/>
          <w:color w:val="auto"/>
          <w:sz w:val="24"/>
        </w:rPr>
        <w:t>材料</w:t>
      </w:r>
    </w:p>
    <w:p>
      <w:pPr>
        <w:spacing w:line="560" w:lineRule="exact"/>
        <w:rPr>
          <w:rFonts w:ascii="楷体_GB2312" w:eastAsia="楷体_GB2312"/>
          <w:color w:val="auto"/>
          <w:sz w:val="24"/>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p>
    <w:p>
      <w:pPr>
        <w:pStyle w:val="2"/>
        <w:rPr>
          <w:rFonts w:ascii="黑体" w:eastAsia="黑体"/>
          <w:color w:val="auto"/>
          <w:sz w:val="36"/>
        </w:rPr>
      </w:pPr>
    </w:p>
    <w:p>
      <w:pPr>
        <w:pStyle w:val="2"/>
        <w:rPr>
          <w:rFonts w:ascii="黑体" w:eastAsia="黑体"/>
          <w:color w:val="auto"/>
          <w:sz w:val="36"/>
        </w:rPr>
      </w:pPr>
    </w:p>
    <w:p>
      <w:pPr>
        <w:pStyle w:val="2"/>
        <w:rPr>
          <w:rFonts w:ascii="黑体" w:eastAsia="黑体"/>
          <w:color w:val="auto"/>
          <w:sz w:val="36"/>
        </w:rPr>
      </w:pPr>
    </w:p>
    <w:p>
      <w:pPr>
        <w:pStyle w:val="2"/>
        <w:rPr>
          <w:rFonts w:ascii="黑体" w:eastAsia="黑体"/>
          <w:color w:val="auto"/>
          <w:sz w:val="36"/>
        </w:rPr>
      </w:pPr>
    </w:p>
    <w:p>
      <w:pPr>
        <w:pStyle w:val="2"/>
        <w:rPr>
          <w:rFonts w:ascii="黑体" w:eastAsia="黑体"/>
          <w:color w:val="auto"/>
          <w:sz w:val="36"/>
        </w:rPr>
      </w:pPr>
    </w:p>
    <w:p>
      <w:pPr>
        <w:pStyle w:val="2"/>
        <w:rPr>
          <w:rFonts w:ascii="黑体" w:eastAsia="黑体"/>
          <w:color w:val="auto"/>
          <w:sz w:val="36"/>
        </w:rPr>
      </w:pPr>
    </w:p>
    <w:p>
      <w:pPr>
        <w:spacing w:line="560" w:lineRule="exact"/>
        <w:jc w:val="center"/>
        <w:rPr>
          <w:rFonts w:ascii="黑体" w:eastAsia="黑体"/>
          <w:color w:val="auto"/>
          <w:sz w:val="36"/>
        </w:rPr>
      </w:pPr>
    </w:p>
    <w:p>
      <w:pPr>
        <w:spacing w:line="560" w:lineRule="exact"/>
        <w:jc w:val="center"/>
        <w:rPr>
          <w:rFonts w:ascii="黑体" w:eastAsia="黑体"/>
          <w:color w:val="auto"/>
          <w:sz w:val="36"/>
        </w:rPr>
      </w:pPr>
      <w:r>
        <w:rPr>
          <w:rFonts w:hint="eastAsia" w:ascii="黑体" w:eastAsia="黑体"/>
          <w:color w:val="auto"/>
          <w:sz w:val="36"/>
          <w:lang w:val="en-US" w:eastAsia="zh-CN"/>
        </w:rPr>
        <w:t>3</w:t>
      </w:r>
      <w:r>
        <w:rPr>
          <w:rFonts w:hint="eastAsia" w:ascii="黑体" w:eastAsia="黑体"/>
          <w:color w:val="auto"/>
          <w:sz w:val="36"/>
        </w:rPr>
        <w:t>.授权委托书(如有)</w:t>
      </w:r>
    </w:p>
    <w:p>
      <w:pPr>
        <w:spacing w:line="560" w:lineRule="exact"/>
        <w:rPr>
          <w:rFonts w:ascii="楷体_GB2312" w:eastAsia="楷体_GB2312"/>
          <w:color w:val="auto"/>
          <w:sz w:val="24"/>
        </w:rPr>
      </w:pPr>
    </w:p>
    <w:p>
      <w:pPr>
        <w:spacing w:after="240" w:line="360" w:lineRule="auto"/>
        <w:jc w:val="center"/>
        <w:rPr>
          <w:rFonts w:ascii="宋体" w:hAnsi="宋体"/>
          <w:b/>
          <w:color w:val="auto"/>
          <w:sz w:val="32"/>
        </w:rPr>
      </w:pPr>
      <w:r>
        <w:rPr>
          <w:rFonts w:hint="eastAsia" w:ascii="宋体" w:hAnsi="宋体"/>
          <w:b/>
          <w:color w:val="auto"/>
          <w:sz w:val="32"/>
        </w:rPr>
        <w:t>授 权 委 托 书</w:t>
      </w:r>
    </w:p>
    <w:p>
      <w:pPr>
        <w:topLinePunct/>
        <w:spacing w:line="360" w:lineRule="auto"/>
        <w:ind w:firstLine="480" w:firstLineChars="200"/>
        <w:rPr>
          <w:color w:val="auto"/>
          <w:sz w:val="24"/>
          <w:u w:val="single"/>
        </w:rPr>
      </w:pPr>
      <w:r>
        <w:rPr>
          <w:rFonts w:hint="eastAsia"/>
          <w:color w:val="auto"/>
          <w:sz w:val="24"/>
        </w:rPr>
        <w:t>本人（姓名）系（投标人名称）的法定代表人，现委托</w:t>
      </w:r>
    </w:p>
    <w:p>
      <w:pPr>
        <w:topLinePunct/>
        <w:spacing w:line="360" w:lineRule="auto"/>
        <w:rPr>
          <w:color w:val="auto"/>
          <w:sz w:val="24"/>
        </w:rPr>
      </w:pPr>
      <w:r>
        <w:rPr>
          <w:rFonts w:hint="eastAsia"/>
          <w:color w:val="auto"/>
          <w:sz w:val="24"/>
        </w:rPr>
        <w:t>（姓名）为我方代理人。代理人根据授权，以我方名义签署、澄清、说明、补正、递交、撤回、修改</w:t>
      </w:r>
      <w:r>
        <w:rPr>
          <w:rFonts w:hint="eastAsia" w:ascii="宋体" w:hAnsi="宋体"/>
          <w:color w:val="auto"/>
          <w:sz w:val="24"/>
        </w:rPr>
        <w:t>项目（项目名称）</w:t>
      </w:r>
      <w:r>
        <w:rPr>
          <w:rFonts w:hint="eastAsia"/>
          <w:color w:val="auto"/>
          <w:sz w:val="24"/>
        </w:rPr>
        <w:t>投标文件、签订合同和处理有关事宜，其法律后果由我方承担。</w:t>
      </w:r>
    </w:p>
    <w:p>
      <w:pPr>
        <w:spacing w:line="360" w:lineRule="auto"/>
        <w:rPr>
          <w:color w:val="auto"/>
          <w:sz w:val="24"/>
        </w:rPr>
      </w:pPr>
      <w:r>
        <w:rPr>
          <w:rFonts w:hint="eastAsia"/>
          <w:color w:val="auto"/>
          <w:sz w:val="24"/>
        </w:rPr>
        <w:t>代理人无转委托权。</w:t>
      </w:r>
    </w:p>
    <w:p>
      <w:pPr>
        <w:spacing w:line="360" w:lineRule="auto"/>
        <w:rPr>
          <w:color w:val="auto"/>
          <w:sz w:val="24"/>
        </w:rPr>
      </w:pPr>
    </w:p>
    <w:p>
      <w:pPr>
        <w:spacing w:line="440" w:lineRule="exact"/>
        <w:rPr>
          <w:color w:val="auto"/>
          <w:sz w:val="24"/>
        </w:rPr>
      </w:pPr>
      <w:r>
        <w:rPr>
          <w:rFonts w:hint="eastAsia"/>
          <w:color w:val="auto"/>
          <w:sz w:val="24"/>
        </w:rPr>
        <w:t>投标人：（盖单位章）</w:t>
      </w:r>
    </w:p>
    <w:p>
      <w:pPr>
        <w:spacing w:line="440" w:lineRule="exact"/>
        <w:rPr>
          <w:color w:val="auto"/>
          <w:sz w:val="24"/>
        </w:rPr>
      </w:pPr>
    </w:p>
    <w:p>
      <w:pPr>
        <w:spacing w:line="440" w:lineRule="exact"/>
        <w:rPr>
          <w:color w:val="auto"/>
          <w:sz w:val="24"/>
        </w:rPr>
      </w:pPr>
      <w:r>
        <w:rPr>
          <w:rFonts w:hint="eastAsia"/>
          <w:color w:val="auto"/>
          <w:sz w:val="24"/>
        </w:rPr>
        <w:t>法定代表人：（签字）</w:t>
      </w:r>
    </w:p>
    <w:p>
      <w:pPr>
        <w:spacing w:line="440" w:lineRule="exact"/>
        <w:rPr>
          <w:color w:val="auto"/>
          <w:sz w:val="24"/>
        </w:rPr>
      </w:pPr>
    </w:p>
    <w:p>
      <w:pPr>
        <w:spacing w:line="440" w:lineRule="exact"/>
        <w:rPr>
          <w:color w:val="auto"/>
          <w:sz w:val="24"/>
        </w:rPr>
      </w:pPr>
      <w:r>
        <w:rPr>
          <w:rFonts w:hint="eastAsia"/>
          <w:color w:val="auto"/>
          <w:sz w:val="24"/>
        </w:rPr>
        <w:t>身份证号码：</w:t>
      </w:r>
    </w:p>
    <w:p>
      <w:pPr>
        <w:spacing w:line="440" w:lineRule="exact"/>
        <w:rPr>
          <w:color w:val="auto"/>
          <w:sz w:val="24"/>
        </w:rPr>
      </w:pPr>
    </w:p>
    <w:p>
      <w:pPr>
        <w:spacing w:line="440" w:lineRule="exact"/>
        <w:rPr>
          <w:color w:val="auto"/>
          <w:sz w:val="24"/>
        </w:rPr>
      </w:pPr>
      <w:r>
        <w:rPr>
          <w:rFonts w:hint="eastAsia"/>
          <w:color w:val="auto"/>
          <w:sz w:val="24"/>
        </w:rPr>
        <w:t>委托代理人：（签字）</w:t>
      </w:r>
    </w:p>
    <w:p>
      <w:pPr>
        <w:spacing w:line="440" w:lineRule="exact"/>
        <w:rPr>
          <w:color w:val="auto"/>
          <w:sz w:val="24"/>
        </w:rPr>
      </w:pPr>
    </w:p>
    <w:p>
      <w:pPr>
        <w:spacing w:line="440" w:lineRule="exact"/>
        <w:rPr>
          <w:color w:val="auto"/>
          <w:sz w:val="24"/>
        </w:rPr>
      </w:pPr>
      <w:r>
        <w:rPr>
          <w:rFonts w:hint="eastAsia"/>
          <w:color w:val="auto"/>
          <w:sz w:val="24"/>
        </w:rPr>
        <w:t>身份证号码：附身份证复印件</w:t>
      </w:r>
    </w:p>
    <w:p>
      <w:pPr>
        <w:spacing w:line="440" w:lineRule="exact"/>
        <w:rPr>
          <w:color w:val="auto"/>
          <w:sz w:val="24"/>
        </w:rPr>
      </w:pPr>
    </w:p>
    <w:p>
      <w:pPr>
        <w:spacing w:line="440" w:lineRule="exact"/>
        <w:rPr>
          <w:color w:val="auto"/>
          <w:sz w:val="24"/>
        </w:rPr>
      </w:pPr>
    </w:p>
    <w:p>
      <w:pPr>
        <w:spacing w:line="560" w:lineRule="exact"/>
        <w:rPr>
          <w:rFonts w:ascii="楷体_GB2312" w:eastAsia="楷体_GB2312"/>
          <w:color w:val="auto"/>
          <w:sz w:val="24"/>
        </w:rPr>
      </w:pPr>
      <w:r>
        <w:rPr>
          <w:rFonts w:hint="eastAsia"/>
          <w:color w:val="auto"/>
          <w:sz w:val="24"/>
        </w:rPr>
        <w:t>年月日</w:t>
      </w:r>
    </w:p>
    <w:p>
      <w:pPr>
        <w:spacing w:line="560" w:lineRule="exact"/>
        <w:rPr>
          <w:rFonts w:ascii="楷体_GB2312" w:eastAsia="楷体_GB2312"/>
          <w:color w:val="auto"/>
          <w:sz w:val="24"/>
        </w:rPr>
      </w:pPr>
    </w:p>
    <w:p>
      <w:pPr>
        <w:spacing w:line="560" w:lineRule="exact"/>
        <w:rPr>
          <w:rFonts w:ascii="楷体_GB2312" w:eastAsia="楷体_GB2312"/>
          <w:color w:val="auto"/>
          <w:sz w:val="24"/>
        </w:rPr>
      </w:pPr>
    </w:p>
    <w:p>
      <w:pPr>
        <w:spacing w:line="460" w:lineRule="exact"/>
        <w:rPr>
          <w:rFonts w:ascii="宋体" w:hAnsi="宋体"/>
          <w:b/>
          <w:bCs/>
          <w:color w:val="auto"/>
          <w:sz w:val="24"/>
        </w:rPr>
      </w:pPr>
      <w:r>
        <w:rPr>
          <w:rFonts w:hint="eastAsia" w:ascii="宋体" w:hAnsi="宋体"/>
          <w:color w:val="auto"/>
          <w:sz w:val="24"/>
        </w:rPr>
        <w:t xml:space="preserve">   </w:t>
      </w:r>
    </w:p>
    <w:p>
      <w:pPr>
        <w:rPr>
          <w:rFonts w:ascii="楷体_GB2312" w:eastAsia="楷体_GB2312"/>
          <w:color w:val="auto"/>
          <w:sz w:val="24"/>
        </w:rPr>
      </w:pPr>
    </w:p>
    <w:p>
      <w:pPr>
        <w:pStyle w:val="3"/>
        <w:rPr>
          <w:color w:val="auto"/>
        </w:rPr>
      </w:pPr>
    </w:p>
    <w:p>
      <w:pPr>
        <w:spacing w:line="560" w:lineRule="exact"/>
        <w:rPr>
          <w:rFonts w:ascii="楷体_GB2312" w:eastAsia="楷体_GB2312"/>
          <w:color w:val="auto"/>
          <w:sz w:val="24"/>
        </w:rPr>
      </w:pPr>
    </w:p>
    <w:p>
      <w:pPr>
        <w:spacing w:line="560" w:lineRule="exact"/>
        <w:jc w:val="center"/>
        <w:rPr>
          <w:rFonts w:ascii="楷体_GB2312" w:eastAsia="楷体_GB2312"/>
          <w:color w:val="auto"/>
          <w:sz w:val="24"/>
        </w:rPr>
      </w:pPr>
    </w:p>
    <w:p>
      <w:pPr>
        <w:spacing w:line="560" w:lineRule="exact"/>
        <w:rPr>
          <w:rFonts w:ascii="楷体_GB2312" w:eastAsia="楷体_GB2312"/>
          <w:b/>
          <w:color w:val="auto"/>
          <w:sz w:val="36"/>
        </w:rPr>
      </w:pPr>
      <w:r>
        <w:rPr>
          <w:rFonts w:hint="eastAsia" w:ascii="楷体_GB2312" w:eastAsia="楷体_GB2312"/>
          <w:b/>
          <w:color w:val="auto"/>
          <w:sz w:val="36"/>
        </w:rPr>
        <w:t>三、证明货物的合格性和符合招标文件规定的文件</w:t>
      </w:r>
    </w:p>
    <w:p>
      <w:pPr>
        <w:spacing w:line="560" w:lineRule="exact"/>
        <w:rPr>
          <w:rFonts w:ascii="楷体_GB2312" w:eastAsia="楷体_GB2312"/>
          <w:color w:val="auto"/>
          <w:sz w:val="24"/>
        </w:rPr>
      </w:pPr>
    </w:p>
    <w:p>
      <w:pPr>
        <w:numPr>
          <w:ilvl w:val="0"/>
          <w:numId w:val="32"/>
        </w:numPr>
        <w:spacing w:line="560" w:lineRule="exact"/>
        <w:jc w:val="center"/>
        <w:rPr>
          <w:rFonts w:ascii="黑体" w:eastAsia="黑体"/>
          <w:color w:val="auto"/>
          <w:sz w:val="36"/>
        </w:rPr>
      </w:pPr>
      <w:r>
        <w:rPr>
          <w:rFonts w:hint="eastAsia" w:ascii="黑体" w:eastAsia="黑体"/>
          <w:color w:val="auto"/>
          <w:sz w:val="36"/>
        </w:rPr>
        <w:t>质量保证书</w:t>
      </w:r>
    </w:p>
    <w:p>
      <w:pPr>
        <w:spacing w:line="560" w:lineRule="exact"/>
        <w:rPr>
          <w:rFonts w:ascii="楷体_GB2312" w:eastAsia="楷体_GB2312"/>
          <w:color w:val="auto"/>
          <w:sz w:val="24"/>
        </w:rPr>
      </w:pPr>
    </w:p>
    <w:p>
      <w:pPr>
        <w:numPr>
          <w:ilvl w:val="0"/>
          <w:numId w:val="32"/>
        </w:numPr>
        <w:spacing w:line="560" w:lineRule="exact"/>
        <w:jc w:val="center"/>
        <w:rPr>
          <w:rFonts w:ascii="宋体" w:hAnsi="宋体"/>
          <w:b/>
          <w:color w:val="auto"/>
          <w:sz w:val="32"/>
          <w:szCs w:val="32"/>
        </w:rPr>
      </w:pPr>
      <w:r>
        <w:rPr>
          <w:rFonts w:hint="eastAsia" w:ascii="黑体" w:eastAsia="黑体"/>
          <w:color w:val="auto"/>
          <w:sz w:val="36"/>
        </w:rPr>
        <w:t>有关部门的检测报告</w:t>
      </w: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spacing w:line="560" w:lineRule="exact"/>
        <w:rPr>
          <w:rFonts w:ascii="宋体" w:hAnsi="宋体"/>
          <w:b/>
          <w:color w:val="auto"/>
          <w:sz w:val="32"/>
          <w:szCs w:val="32"/>
        </w:rPr>
      </w:pPr>
    </w:p>
    <w:p>
      <w:pPr>
        <w:numPr>
          <w:ilvl w:val="0"/>
          <w:numId w:val="33"/>
        </w:numPr>
        <w:spacing w:line="560" w:lineRule="exact"/>
        <w:ind w:left="300" w:leftChars="0" w:firstLine="3060" w:firstLineChars="0"/>
        <w:rPr>
          <w:rFonts w:ascii="黑体" w:eastAsia="黑体"/>
          <w:color w:val="auto"/>
          <w:sz w:val="36"/>
        </w:rPr>
      </w:pPr>
      <w:r>
        <w:rPr>
          <w:rFonts w:hint="eastAsia" w:ascii="黑体" w:eastAsia="黑体"/>
          <w:color w:val="auto"/>
          <w:sz w:val="36"/>
        </w:rPr>
        <w:t>制造商授权书</w:t>
      </w:r>
    </w:p>
    <w:p>
      <w:pPr>
        <w:spacing w:line="720" w:lineRule="exact"/>
        <w:jc w:val="center"/>
        <w:rPr>
          <w:rFonts w:ascii="宋体" w:hAnsi="宋体"/>
          <w:b/>
          <w:color w:val="auto"/>
          <w:sz w:val="24"/>
        </w:rPr>
      </w:pPr>
    </w:p>
    <w:p>
      <w:pPr>
        <w:spacing w:line="560" w:lineRule="exact"/>
        <w:rPr>
          <w:rFonts w:ascii="宋体" w:hAnsi="宋体"/>
          <w:color w:val="auto"/>
          <w:sz w:val="24"/>
        </w:rPr>
      </w:pPr>
      <w:r>
        <w:rPr>
          <w:rFonts w:hint="eastAsia" w:ascii="宋体" w:hAnsi="宋体"/>
          <w:color w:val="auto"/>
          <w:sz w:val="24"/>
          <w:u w:val="single"/>
        </w:rPr>
        <w:t>江苏长江水务股份有限公司</w:t>
      </w:r>
      <w:r>
        <w:rPr>
          <w:rFonts w:hint="eastAsia" w:ascii="宋体" w:hAnsi="宋体"/>
          <w:color w:val="auto"/>
          <w:sz w:val="24"/>
        </w:rPr>
        <w:t>：</w:t>
      </w:r>
    </w:p>
    <w:p>
      <w:pPr>
        <w:spacing w:line="560" w:lineRule="exact"/>
        <w:rPr>
          <w:rFonts w:ascii="宋体" w:hAnsi="宋体"/>
          <w:color w:val="auto"/>
          <w:sz w:val="24"/>
        </w:rPr>
      </w:pPr>
    </w:p>
    <w:p>
      <w:pPr>
        <w:rPr>
          <w:rFonts w:ascii="宋体" w:hAnsi="宋体"/>
          <w:color w:val="auto"/>
          <w:sz w:val="24"/>
        </w:rPr>
      </w:pPr>
      <w:r>
        <w:rPr>
          <w:rFonts w:hint="eastAsia" w:ascii="宋体" w:hAnsi="宋体"/>
          <w:color w:val="auto"/>
          <w:sz w:val="24"/>
        </w:rPr>
        <w:t xml:space="preserve">    位于</w:t>
      </w:r>
      <w:r>
        <w:rPr>
          <w:rFonts w:hint="eastAsia" w:ascii="宋体" w:hAnsi="宋体"/>
          <w:color w:val="auto"/>
          <w:sz w:val="24"/>
          <w:u w:val="single"/>
        </w:rPr>
        <w:t>（制造厂家地址）</w:t>
      </w:r>
      <w:r>
        <w:rPr>
          <w:rFonts w:hint="eastAsia" w:ascii="宋体" w:hAnsi="宋体"/>
          <w:color w:val="auto"/>
          <w:sz w:val="24"/>
        </w:rPr>
        <w:t>的</w:t>
      </w:r>
      <w:r>
        <w:rPr>
          <w:rFonts w:hint="eastAsia" w:ascii="宋体" w:hAnsi="宋体"/>
          <w:color w:val="auto"/>
          <w:sz w:val="24"/>
          <w:u w:val="single"/>
        </w:rPr>
        <w:t>（制造厂家名称）</w:t>
      </w:r>
      <w:r>
        <w:rPr>
          <w:rFonts w:hint="eastAsia" w:ascii="宋体" w:hAnsi="宋体"/>
          <w:color w:val="auto"/>
          <w:sz w:val="24"/>
        </w:rPr>
        <w:t>是有声望的制造（货物名称和描述）的制造者，在此</w:t>
      </w:r>
      <w:r>
        <w:rPr>
          <w:rFonts w:hint="eastAsia" w:ascii="宋体" w:hAnsi="宋体"/>
          <w:color w:val="auto"/>
          <w:sz w:val="24"/>
          <w:u w:val="single"/>
        </w:rPr>
        <w:t>（投标公司名称及地址）</w:t>
      </w:r>
      <w:r>
        <w:rPr>
          <w:rFonts w:hint="eastAsia" w:ascii="宋体" w:hAnsi="宋体"/>
          <w:color w:val="auto"/>
          <w:sz w:val="24"/>
        </w:rPr>
        <w:t>用我厂制造的货物递交投标文件，并与买方进行后续合同谈判和签订合同。</w:t>
      </w:r>
    </w:p>
    <w:p>
      <w:pPr>
        <w:spacing w:line="560" w:lineRule="exact"/>
        <w:rPr>
          <w:rFonts w:ascii="宋体" w:hAnsi="宋体"/>
          <w:color w:val="auto"/>
          <w:sz w:val="24"/>
        </w:rPr>
      </w:pPr>
      <w:r>
        <w:rPr>
          <w:rFonts w:hint="eastAsia" w:ascii="宋体" w:hAnsi="宋体"/>
          <w:color w:val="auto"/>
          <w:sz w:val="24"/>
        </w:rPr>
        <w:t xml:space="preserve">    我方在此保证为上述公司响应本次招标项目提供的货物提供质量保证。</w:t>
      </w:r>
    </w:p>
    <w:p>
      <w:pPr>
        <w:spacing w:line="560" w:lineRule="exact"/>
        <w:rPr>
          <w:rFonts w:ascii="宋体" w:hAnsi="宋体"/>
          <w:color w:val="auto"/>
          <w:sz w:val="24"/>
        </w:rPr>
      </w:pPr>
      <w:r>
        <w:rPr>
          <w:rFonts w:ascii="Arial" w:hAnsi="Arial" w:cs="Arial"/>
          <w:color w:val="auto"/>
          <w:sz w:val="22"/>
          <w:szCs w:val="22"/>
        </w:rPr>
        <w:t>本授权书于</w:t>
      </w:r>
      <w:r>
        <w:rPr>
          <w:rFonts w:ascii="Arial" w:hAnsi="Arial" w:cs="Arial"/>
          <w:color w:val="auto"/>
          <w:sz w:val="22"/>
          <w:szCs w:val="22"/>
          <w:u w:val="single"/>
        </w:rPr>
        <w:t>20</w:t>
      </w:r>
      <w:r>
        <w:rPr>
          <w:rFonts w:hint="eastAsia" w:ascii="Arial" w:hAnsi="Arial" w:cs="Arial"/>
          <w:color w:val="auto"/>
          <w:sz w:val="22"/>
          <w:szCs w:val="22"/>
          <w:u w:val="single"/>
        </w:rPr>
        <w:t>21</w:t>
      </w:r>
      <w:r>
        <w:rPr>
          <w:rFonts w:ascii="Arial" w:hAnsi="Arial" w:cs="Arial"/>
          <w:color w:val="auto"/>
          <w:sz w:val="22"/>
          <w:szCs w:val="22"/>
        </w:rPr>
        <w:t>年月日签字生效，特此声明。</w:t>
      </w: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r>
        <w:rPr>
          <w:rFonts w:hint="eastAsia" w:ascii="宋体" w:hAnsi="宋体"/>
          <w:color w:val="auto"/>
          <w:sz w:val="24"/>
        </w:rPr>
        <w:t xml:space="preserve">                                         制造厂家：</w:t>
      </w:r>
    </w:p>
    <w:p>
      <w:pPr>
        <w:spacing w:line="560" w:lineRule="exact"/>
        <w:rPr>
          <w:rFonts w:ascii="宋体" w:hAnsi="宋体"/>
          <w:color w:val="auto"/>
          <w:sz w:val="24"/>
        </w:rPr>
      </w:pPr>
      <w:r>
        <w:rPr>
          <w:rFonts w:hint="eastAsia" w:ascii="宋体" w:hAnsi="宋体"/>
          <w:color w:val="auto"/>
          <w:sz w:val="24"/>
        </w:rPr>
        <w:t xml:space="preserve">                                     授权代表签字：</w:t>
      </w:r>
    </w:p>
    <w:p>
      <w:pPr>
        <w:spacing w:line="560" w:lineRule="exact"/>
        <w:rPr>
          <w:rFonts w:ascii="宋体" w:hAnsi="宋体"/>
          <w:color w:val="auto"/>
          <w:sz w:val="24"/>
        </w:rPr>
      </w:pPr>
      <w:r>
        <w:rPr>
          <w:rFonts w:hint="eastAsia" w:ascii="宋体" w:hAnsi="宋体"/>
          <w:color w:val="auto"/>
          <w:sz w:val="24"/>
        </w:rPr>
        <w:t xml:space="preserve">                                             职务：</w:t>
      </w:r>
    </w:p>
    <w:p>
      <w:pPr>
        <w:spacing w:line="560" w:lineRule="exact"/>
        <w:jc w:val="center"/>
        <w:rPr>
          <w:rFonts w:ascii="宋体" w:hAnsi="宋体"/>
          <w:color w:val="auto"/>
          <w:sz w:val="24"/>
        </w:rPr>
      </w:pPr>
      <w:r>
        <w:rPr>
          <w:rFonts w:hint="eastAsia" w:ascii="宋体" w:hAnsi="宋体"/>
          <w:color w:val="auto"/>
          <w:sz w:val="24"/>
        </w:rPr>
        <w:t xml:space="preserve">                日期：</w:t>
      </w:r>
    </w:p>
    <w:p>
      <w:pPr>
        <w:rPr>
          <w:color w:val="auto"/>
        </w:rPr>
      </w:pPr>
    </w:p>
    <w:p>
      <w:pPr>
        <w:spacing w:line="460" w:lineRule="exact"/>
        <w:ind w:right="964"/>
        <w:jc w:val="center"/>
        <w:rPr>
          <w:rFonts w:ascii="宋体" w:hAnsi="宋体"/>
          <w:b/>
          <w:bCs/>
          <w:color w:val="auto"/>
          <w:sz w:val="24"/>
        </w:rPr>
      </w:pPr>
    </w:p>
    <w:p>
      <w:pPr>
        <w:spacing w:line="560" w:lineRule="exact"/>
        <w:rPr>
          <w:rFonts w:ascii="黑体" w:eastAsia="黑体"/>
          <w:color w:val="auto"/>
          <w:sz w:val="36"/>
        </w:rPr>
      </w:pPr>
      <w:r>
        <w:rPr>
          <w:rFonts w:hint="eastAsia" w:ascii="黑体" w:eastAsia="黑体"/>
          <w:color w:val="auto"/>
          <w:sz w:val="36"/>
        </w:rPr>
        <w:br w:type="page"/>
      </w:r>
      <w:r>
        <w:rPr>
          <w:rFonts w:hint="eastAsia" w:ascii="黑体" w:eastAsia="黑体"/>
          <w:color w:val="auto"/>
          <w:sz w:val="36"/>
        </w:rPr>
        <w:t xml:space="preserve">             </w:t>
      </w:r>
      <w:r>
        <w:rPr>
          <w:rFonts w:hint="eastAsia" w:ascii="黑体" w:eastAsia="黑体"/>
          <w:color w:val="auto"/>
          <w:sz w:val="36"/>
          <w:lang w:val="en-US" w:eastAsia="zh-CN"/>
        </w:rPr>
        <w:t>4</w:t>
      </w:r>
      <w:r>
        <w:rPr>
          <w:rFonts w:hint="eastAsia" w:ascii="黑体" w:eastAsia="黑体"/>
          <w:color w:val="auto"/>
          <w:sz w:val="36"/>
        </w:rPr>
        <w:t>.投标货物规格响应表格式</w:t>
      </w:r>
    </w:p>
    <w:p>
      <w:pPr>
        <w:spacing w:line="560" w:lineRule="exact"/>
        <w:jc w:val="center"/>
        <w:rPr>
          <w:rFonts w:ascii="宋体" w:hAnsi="宋体"/>
          <w:color w:val="auto"/>
          <w:sz w:val="24"/>
        </w:rPr>
      </w:pPr>
      <w:r>
        <w:rPr>
          <w:rFonts w:hint="eastAsia" w:ascii="宋体" w:hAnsi="宋体"/>
          <w:color w:val="auto"/>
          <w:sz w:val="24"/>
        </w:rPr>
        <w:t>投标货物技术规格响应表</w:t>
      </w:r>
    </w:p>
    <w:p>
      <w:pPr>
        <w:spacing w:line="560" w:lineRule="exact"/>
        <w:rPr>
          <w:rFonts w:ascii="宋体" w:hAnsi="宋体"/>
          <w:color w:val="auto"/>
          <w:sz w:val="24"/>
          <w:u w:val="single"/>
        </w:rPr>
      </w:pPr>
      <w:r>
        <w:rPr>
          <w:rFonts w:hint="eastAsia" w:ascii="宋体" w:hAnsi="宋体"/>
          <w:color w:val="auto"/>
          <w:sz w:val="24"/>
        </w:rPr>
        <w:t>投标人名称：   招标编号： 标段号：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24"/>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p>
            <w:pPr>
              <w:spacing w:line="560" w:lineRule="exact"/>
              <w:rPr>
                <w:rFonts w:ascii="宋体" w:hAnsi="宋体"/>
                <w:color w:val="auto"/>
                <w:sz w:val="24"/>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widowControl/>
              <w:jc w:val="left"/>
              <w:rPr>
                <w:rFonts w:ascii="宋体" w:hAnsi="宋体"/>
                <w:color w:val="auto"/>
                <w:sz w:val="24"/>
              </w:rPr>
            </w:pPr>
          </w:p>
          <w:p>
            <w:pPr>
              <w:spacing w:line="560" w:lineRule="exact"/>
              <w:rPr>
                <w:rFonts w:ascii="宋体" w:hAnsi="宋体"/>
                <w:color w:val="auto"/>
                <w:sz w:val="24"/>
              </w:rPr>
            </w:pPr>
          </w:p>
        </w:tc>
      </w:tr>
    </w:tbl>
    <w:p>
      <w:pPr>
        <w:spacing w:line="560" w:lineRule="exact"/>
        <w:jc w:val="center"/>
        <w:rPr>
          <w:rFonts w:ascii="宋体" w:hAnsi="宋体"/>
          <w:color w:val="auto"/>
          <w:sz w:val="36"/>
        </w:rPr>
      </w:pPr>
    </w:p>
    <w:p>
      <w:pPr>
        <w:spacing w:line="560" w:lineRule="exact"/>
        <w:rPr>
          <w:rFonts w:ascii="楷体_GB2312" w:eastAsia="楷体_GB2312"/>
          <w:color w:val="auto"/>
          <w:sz w:val="24"/>
          <w:u w:val="single"/>
        </w:rPr>
      </w:pPr>
      <w:r>
        <w:rPr>
          <w:rFonts w:hint="eastAsia" w:ascii="宋体" w:hAnsi="宋体"/>
          <w:color w:val="auto"/>
          <w:sz w:val="24"/>
        </w:rPr>
        <w:t>投标人代表签字：</w:t>
      </w:r>
    </w:p>
    <w:p>
      <w:pPr>
        <w:spacing w:line="560" w:lineRule="exact"/>
        <w:rPr>
          <w:rFonts w:ascii="黑体" w:eastAsia="黑体"/>
          <w:color w:val="auto"/>
          <w:sz w:val="36"/>
        </w:rPr>
      </w:pPr>
    </w:p>
    <w:p>
      <w:pPr>
        <w:spacing w:line="560" w:lineRule="exact"/>
        <w:rPr>
          <w:rFonts w:ascii="黑体" w:eastAsia="黑体"/>
          <w:color w:val="auto"/>
          <w:sz w:val="36"/>
        </w:rPr>
      </w:pPr>
    </w:p>
    <w:p>
      <w:pPr>
        <w:numPr>
          <w:ilvl w:val="0"/>
          <w:numId w:val="0"/>
        </w:numPr>
        <w:spacing w:line="560" w:lineRule="exact"/>
        <w:ind w:left="3360" w:leftChars="0"/>
        <w:rPr>
          <w:rFonts w:ascii="黑体" w:eastAsia="黑体"/>
          <w:color w:val="auto"/>
          <w:sz w:val="36"/>
        </w:rPr>
      </w:pPr>
      <w:r>
        <w:rPr>
          <w:rFonts w:hint="eastAsia" w:ascii="黑体" w:eastAsia="黑体"/>
          <w:color w:val="auto"/>
          <w:sz w:val="36"/>
          <w:lang w:val="en-US" w:eastAsia="zh-CN"/>
        </w:rPr>
        <w:t>5.</w:t>
      </w:r>
      <w:r>
        <w:rPr>
          <w:rFonts w:hint="eastAsia" w:ascii="黑体" w:eastAsia="黑体"/>
          <w:color w:val="auto"/>
          <w:sz w:val="36"/>
        </w:rPr>
        <w:t>商务条款偏离表</w:t>
      </w:r>
    </w:p>
    <w:p>
      <w:pPr>
        <w:spacing w:line="560" w:lineRule="exact"/>
        <w:rPr>
          <w:rFonts w:ascii="宋体" w:hAnsi="宋体"/>
          <w:color w:val="auto"/>
          <w:sz w:val="24"/>
          <w:u w:val="single"/>
        </w:rPr>
      </w:pPr>
      <w:r>
        <w:rPr>
          <w:rFonts w:hint="eastAsia" w:ascii="宋体" w:hAnsi="宋体"/>
          <w:color w:val="auto"/>
          <w:sz w:val="24"/>
        </w:rPr>
        <w:t>投标人名称：   招标编号：   标度号：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auto"/>
                <w:sz w:val="24"/>
              </w:rPr>
            </w:pPr>
            <w:r>
              <w:rPr>
                <w:rFonts w:hint="eastAsia" w:ascii="宋体" w:hAnsi="宋体"/>
                <w:color w:val="auto"/>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auto"/>
                <w:sz w:val="36"/>
              </w:rPr>
            </w:pPr>
          </w:p>
        </w:tc>
      </w:tr>
    </w:tbl>
    <w:p>
      <w:pPr>
        <w:pStyle w:val="5"/>
        <w:rPr>
          <w:rFonts w:hint="eastAsia" w:ascii="宋体" w:hAnsi="宋体" w:eastAsia="宋体"/>
          <w:color w:val="auto"/>
        </w:rPr>
      </w:pPr>
      <w:r>
        <w:rPr>
          <w:rFonts w:hint="eastAsia" w:ascii="宋体" w:hAnsi="宋体" w:eastAsia="宋体"/>
          <w:color w:val="auto"/>
        </w:rPr>
        <w:t>投标人名称：</w:t>
      </w:r>
    </w:p>
    <w:p>
      <w:pPr>
        <w:spacing w:line="560" w:lineRule="exact"/>
        <w:rPr>
          <w:rFonts w:hint="eastAsia" w:ascii="黑体" w:eastAsia="黑体"/>
          <w:color w:val="auto"/>
          <w:sz w:val="36"/>
        </w:rPr>
      </w:pPr>
    </w:p>
    <w:p>
      <w:pPr>
        <w:spacing w:line="560" w:lineRule="exact"/>
        <w:rPr>
          <w:rFonts w:hint="eastAsia" w:ascii="黑体" w:eastAsia="黑体"/>
          <w:color w:val="auto"/>
          <w:sz w:val="36"/>
        </w:rPr>
      </w:pPr>
    </w:p>
    <w:p>
      <w:pPr>
        <w:spacing w:line="560" w:lineRule="exact"/>
        <w:rPr>
          <w:rFonts w:ascii="黑体" w:eastAsia="黑体"/>
          <w:color w:val="auto"/>
          <w:sz w:val="36"/>
        </w:rPr>
      </w:pPr>
      <w:r>
        <w:rPr>
          <w:rFonts w:hint="eastAsia" w:ascii="黑体" w:eastAsia="黑体"/>
          <w:color w:val="auto"/>
          <w:sz w:val="36"/>
          <w:lang w:val="en-US" w:eastAsia="zh-CN"/>
        </w:rPr>
        <w:t>6.</w:t>
      </w:r>
      <w:r>
        <w:rPr>
          <w:rFonts w:hint="eastAsia" w:ascii="黑体" w:eastAsia="黑体"/>
          <w:color w:val="auto"/>
          <w:sz w:val="36"/>
        </w:rPr>
        <w:t>服  务</w:t>
      </w:r>
    </w:p>
    <w:p>
      <w:pPr>
        <w:spacing w:line="560" w:lineRule="exact"/>
        <w:rPr>
          <w:rFonts w:ascii="宋体" w:hAnsi="宋体"/>
          <w:color w:val="auto"/>
          <w:sz w:val="24"/>
        </w:rPr>
      </w:pPr>
      <w:r>
        <w:rPr>
          <w:rFonts w:hint="eastAsia" w:ascii="宋体" w:hAnsi="宋体"/>
          <w:color w:val="auto"/>
          <w:sz w:val="24"/>
        </w:rPr>
        <w:t>注：1、投标人可提供的培训、售后服务等技术服务情况。</w:t>
      </w:r>
    </w:p>
    <w:p>
      <w:pPr>
        <w:spacing w:line="560" w:lineRule="exact"/>
        <w:rPr>
          <w:rFonts w:ascii="宋体" w:hAnsi="宋体"/>
          <w:color w:val="auto"/>
          <w:sz w:val="24"/>
        </w:rPr>
      </w:pPr>
      <w:r>
        <w:rPr>
          <w:rFonts w:hint="eastAsia" w:ascii="宋体" w:hAnsi="宋体"/>
          <w:color w:val="auto"/>
          <w:sz w:val="24"/>
        </w:rPr>
        <w:t xml:space="preserve">    2、须提供培训、售后服务等详细计划，包括时间、人员等安排，及须买方预先做的准备工作等（如有）。</w:t>
      </w:r>
    </w:p>
    <w:p>
      <w:pPr>
        <w:spacing w:line="440" w:lineRule="exact"/>
        <w:rPr>
          <w:rFonts w:ascii="仿宋_GB2312" w:hAnsi="宋体" w:eastAsia="仿宋_GB2312"/>
          <w:b/>
          <w:color w:val="auto"/>
          <w:sz w:val="36"/>
          <w:szCs w:val="36"/>
        </w:rPr>
      </w:pPr>
    </w:p>
    <w:p>
      <w:pPr>
        <w:pStyle w:val="5"/>
        <w:rPr>
          <w:rFonts w:ascii="黑体" w:eastAsia="黑体"/>
          <w:color w:val="auto"/>
          <w:sz w:val="36"/>
        </w:rPr>
      </w:pPr>
      <w:r>
        <w:rPr>
          <w:rFonts w:hint="eastAsia" w:ascii="黑体" w:eastAsia="黑体"/>
          <w:color w:val="auto"/>
          <w:sz w:val="36"/>
        </w:rPr>
        <w:br w:type="page"/>
      </w:r>
    </w:p>
    <w:p>
      <w:pPr>
        <w:pStyle w:val="6"/>
        <w:numPr>
          <w:ilvl w:val="0"/>
          <w:numId w:val="0"/>
        </w:numPr>
        <w:rPr>
          <w:rFonts w:ascii="宋体" w:hAnsi="宋体"/>
          <w:b/>
          <w:color w:val="auto"/>
          <w:sz w:val="28"/>
          <w:szCs w:val="28"/>
        </w:rPr>
      </w:pPr>
      <w:r>
        <w:rPr>
          <w:rFonts w:hint="eastAsia" w:ascii="宋体" w:hAnsi="宋体"/>
          <w:b/>
          <w:color w:val="auto"/>
          <w:sz w:val="28"/>
          <w:szCs w:val="28"/>
        </w:rPr>
        <w:t>四、主材清单附件</w:t>
      </w:r>
    </w:p>
    <w:tbl>
      <w:tblPr>
        <w:tblStyle w:val="11"/>
        <w:tblW w:w="9135" w:type="dxa"/>
        <w:jc w:val="center"/>
        <w:shd w:val="clear" w:color="auto" w:fill="auto"/>
        <w:tblLayout w:type="autofit"/>
        <w:tblCellMar>
          <w:top w:w="0" w:type="dxa"/>
          <w:left w:w="0" w:type="dxa"/>
          <w:bottom w:w="0" w:type="dxa"/>
          <w:right w:w="0" w:type="dxa"/>
        </w:tblCellMar>
      </w:tblPr>
      <w:tblGrid>
        <w:gridCol w:w="577"/>
        <w:gridCol w:w="1628"/>
        <w:gridCol w:w="1567"/>
        <w:gridCol w:w="1997"/>
        <w:gridCol w:w="1259"/>
        <w:gridCol w:w="1074"/>
        <w:gridCol w:w="1033"/>
      </w:tblGrid>
      <w:tr>
        <w:tblPrEx>
          <w:shd w:val="clear" w:color="auto" w:fill="auto"/>
          <w:tblCellMar>
            <w:top w:w="0" w:type="dxa"/>
            <w:left w:w="0" w:type="dxa"/>
            <w:bottom w:w="0" w:type="dxa"/>
            <w:right w:w="0" w:type="dxa"/>
          </w:tblCellMar>
        </w:tblPrEx>
        <w:trPr>
          <w:trHeight w:val="420" w:hRule="atLeast"/>
          <w:jc w:val="center"/>
        </w:trPr>
        <w:tc>
          <w:tcPr>
            <w:tcW w:w="9135" w:type="dxa"/>
            <w:gridSpan w:val="7"/>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氯库门禁、入侵、监控联动安防方案清单</w:t>
            </w:r>
          </w:p>
        </w:tc>
      </w:tr>
      <w:tr>
        <w:tblPrEx>
          <w:shd w:val="clear" w:color="auto" w:fill="auto"/>
          <w:tblCellMar>
            <w:top w:w="0" w:type="dxa"/>
            <w:left w:w="0" w:type="dxa"/>
            <w:bottom w:w="0" w:type="dxa"/>
            <w:right w:w="0" w:type="dxa"/>
          </w:tblCellMar>
        </w:tblPrEx>
        <w:trPr>
          <w:trHeight w:val="240" w:hRule="atLeast"/>
          <w:jc w:val="center"/>
        </w:trPr>
        <w:tc>
          <w:tcPr>
            <w:tcW w:w="0" w:type="auto"/>
            <w:gridSpan w:val="7"/>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auto"/>
                <w:sz w:val="20"/>
                <w:szCs w:val="20"/>
                <w:u w:val="none"/>
              </w:rPr>
            </w:pPr>
          </w:p>
        </w:tc>
      </w:tr>
      <w:tr>
        <w:tblPrEx>
          <w:shd w:val="clear" w:color="auto" w:fill="auto"/>
          <w:tblCellMar>
            <w:top w:w="0" w:type="dxa"/>
            <w:left w:w="0" w:type="dxa"/>
            <w:bottom w:w="0" w:type="dxa"/>
            <w:right w:w="0" w:type="dxa"/>
          </w:tblCellMar>
        </w:tblPrEx>
        <w:trPr>
          <w:trHeight w:val="45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99CCFF"/>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99CC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bdr w:val="single" w:color="000000" w:sz="4" w:space="0"/>
                <w:shd w:val="clear" w:fill="99CCFF"/>
                <w:lang w:val="en-US" w:eastAsia="zh-CN" w:bidi="ar"/>
              </w:rPr>
              <w:drawing>
                <wp:anchor distT="0" distB="0" distL="114300" distR="114300" simplePos="0" relativeHeight="251659264" behindDoc="0" locked="0" layoutInCell="1" allowOverlap="1">
                  <wp:simplePos x="0" y="0"/>
                  <wp:positionH relativeFrom="column">
                    <wp:posOffset>180340</wp:posOffset>
                  </wp:positionH>
                  <wp:positionV relativeFrom="paragraph">
                    <wp:posOffset>266700</wp:posOffset>
                  </wp:positionV>
                  <wp:extent cx="906145" cy="766445"/>
                  <wp:effectExtent l="0" t="0" r="0" b="0"/>
                  <wp:wrapNone/>
                  <wp:docPr id="1" name="Picture_1"/>
                  <wp:cNvGraphicFramePr/>
                  <a:graphic xmlns:a="http://schemas.openxmlformats.org/drawingml/2006/main">
                    <a:graphicData uri="http://schemas.openxmlformats.org/drawingml/2006/picture">
                      <pic:pic xmlns:pic="http://schemas.openxmlformats.org/drawingml/2006/picture">
                        <pic:nvPicPr>
                          <pic:cNvPr id="1" name="Picture_1"/>
                          <pic:cNvPicPr/>
                        </pic:nvPicPr>
                        <pic:blipFill>
                          <a:blip r:embed="rId8"/>
                          <a:stretch>
                            <a:fillRect/>
                          </a:stretch>
                        </pic:blipFill>
                        <pic:spPr>
                          <a:xfrm>
                            <a:off x="0" y="0"/>
                            <a:ext cx="906145" cy="766445"/>
                          </a:xfrm>
                          <a:prstGeom prst="rect">
                            <a:avLst/>
                          </a:prstGeom>
                          <a:noFill/>
                          <a:ln>
                            <a:noFill/>
                          </a:ln>
                        </pic:spPr>
                      </pic:pic>
                    </a:graphicData>
                  </a:graphic>
                </wp:anchor>
              </w:drawing>
            </w:r>
            <w:r>
              <w:rPr>
                <w:rFonts w:hint="eastAsia" w:ascii="黑体" w:hAnsi="宋体" w:eastAsia="黑体" w:cs="黑体"/>
                <w:i w:val="0"/>
                <w:color w:val="auto"/>
                <w:kern w:val="0"/>
                <w:sz w:val="20"/>
                <w:szCs w:val="20"/>
                <w:u w:val="none"/>
                <w:lang w:val="en-US" w:eastAsia="zh-CN" w:bidi="ar"/>
              </w:rPr>
              <w:t>图片</w:t>
            </w:r>
          </w:p>
        </w:tc>
        <w:tc>
          <w:tcPr>
            <w:tcW w:w="0" w:type="auto"/>
            <w:tcBorders>
              <w:top w:val="single" w:color="000000" w:sz="4" w:space="0"/>
              <w:left w:val="single" w:color="000000" w:sz="4" w:space="0"/>
              <w:bottom w:val="single" w:color="000000" w:sz="4" w:space="0"/>
              <w:right w:val="single" w:color="000000" w:sz="4" w:space="0"/>
            </w:tcBorders>
            <w:shd w:val="clear" w:color="auto" w:fill="99CC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99CC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型号</w:t>
            </w:r>
          </w:p>
        </w:tc>
        <w:tc>
          <w:tcPr>
            <w:tcW w:w="0" w:type="auto"/>
            <w:tcBorders>
              <w:top w:val="single" w:color="000000" w:sz="4" w:space="0"/>
              <w:left w:val="single" w:color="000000" w:sz="4" w:space="0"/>
              <w:bottom w:val="single" w:color="000000" w:sz="4" w:space="0"/>
              <w:right w:val="single" w:color="000000" w:sz="4" w:space="0"/>
            </w:tcBorders>
            <w:shd w:val="clear" w:color="auto" w:fill="99CC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品牌</w:t>
            </w:r>
          </w:p>
        </w:tc>
        <w:tc>
          <w:tcPr>
            <w:tcW w:w="0" w:type="auto"/>
            <w:tcBorders>
              <w:top w:val="single" w:color="000000" w:sz="4" w:space="0"/>
              <w:left w:val="single" w:color="000000" w:sz="4" w:space="0"/>
              <w:bottom w:val="single" w:color="000000" w:sz="4" w:space="0"/>
              <w:right w:val="single" w:color="000000" w:sz="4" w:space="0"/>
            </w:tcBorders>
            <w:shd w:val="clear" w:color="auto" w:fill="99CC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99CC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数量</w:t>
            </w:r>
          </w:p>
        </w:tc>
      </w:tr>
      <w:tr>
        <w:tblPrEx>
          <w:shd w:val="clear" w:color="auto" w:fill="auto"/>
          <w:tblCellMar>
            <w:top w:w="0" w:type="dxa"/>
            <w:left w:w="0" w:type="dxa"/>
            <w:bottom w:w="0" w:type="dxa"/>
            <w:right w:w="0" w:type="dxa"/>
          </w:tblCellMar>
        </w:tblPrEx>
        <w:trPr>
          <w:trHeight w:val="12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2系列网络摄像机</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r>
      <w:tr>
        <w:tblPrEx>
          <w:shd w:val="clear" w:color="auto" w:fill="auto"/>
          <w:tblCellMar>
            <w:top w:w="0" w:type="dxa"/>
            <w:left w:w="0" w:type="dxa"/>
            <w:bottom w:w="0" w:type="dxa"/>
            <w:right w:w="0" w:type="dxa"/>
          </w:tblCellMar>
        </w:tblPrEx>
        <w:trPr>
          <w:trHeight w:val="12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85090</wp:posOffset>
                  </wp:positionH>
                  <wp:positionV relativeFrom="paragraph">
                    <wp:posOffset>56515</wp:posOffset>
                  </wp:positionV>
                  <wp:extent cx="779780" cy="586740"/>
                  <wp:effectExtent l="0" t="0" r="1270" b="3810"/>
                  <wp:wrapNone/>
                  <wp:docPr id="2" name="Picture_1_SpCnt_1"/>
                  <wp:cNvGraphicFramePr/>
                  <a:graphic xmlns:a="http://schemas.openxmlformats.org/drawingml/2006/main">
                    <a:graphicData uri="http://schemas.openxmlformats.org/drawingml/2006/picture">
                      <pic:pic xmlns:pic="http://schemas.openxmlformats.org/drawingml/2006/picture">
                        <pic:nvPicPr>
                          <pic:cNvPr id="2" name="Picture_1_SpCnt_1"/>
                          <pic:cNvPicPr/>
                        </pic:nvPicPr>
                        <pic:blipFill>
                          <a:blip r:embed="rId9"/>
                          <a:stretch>
                            <a:fillRect/>
                          </a:stretch>
                        </pic:blipFill>
                        <pic:spPr>
                          <a:xfrm>
                            <a:off x="0" y="0"/>
                            <a:ext cx="779780" cy="58674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防爆智能警戒摄像机</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w:t>
            </w:r>
          </w:p>
        </w:tc>
      </w:tr>
      <w:tr>
        <w:tblPrEx>
          <w:shd w:val="clear" w:color="auto" w:fill="auto"/>
          <w:tblCellMar>
            <w:top w:w="0" w:type="dxa"/>
            <w:left w:w="0" w:type="dxa"/>
            <w:bottom w:w="0" w:type="dxa"/>
            <w:right w:w="0" w:type="dxa"/>
          </w:tblCellMar>
        </w:tblPrEx>
        <w:trPr>
          <w:trHeight w:val="12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85090</wp:posOffset>
                  </wp:positionH>
                  <wp:positionV relativeFrom="paragraph">
                    <wp:posOffset>220345</wp:posOffset>
                  </wp:positionV>
                  <wp:extent cx="711200" cy="318770"/>
                  <wp:effectExtent l="0" t="0" r="12700" b="5080"/>
                  <wp:wrapNone/>
                  <wp:docPr id="3" name="Picture_215"/>
                  <wp:cNvGraphicFramePr/>
                  <a:graphic xmlns:a="http://schemas.openxmlformats.org/drawingml/2006/main">
                    <a:graphicData uri="http://schemas.openxmlformats.org/drawingml/2006/picture">
                      <pic:pic xmlns:pic="http://schemas.openxmlformats.org/drawingml/2006/picture">
                        <pic:nvPicPr>
                          <pic:cNvPr id="3" name="Picture_215"/>
                          <pic:cNvPicPr/>
                        </pic:nvPicPr>
                        <pic:blipFill>
                          <a:blip r:embed="rId10"/>
                          <a:stretch>
                            <a:fillRect/>
                          </a:stretch>
                        </pic:blipFill>
                        <pic:spPr>
                          <a:xfrm>
                            <a:off x="0" y="0"/>
                            <a:ext cx="711200" cy="318770"/>
                          </a:xfrm>
                          <a:prstGeom prst="rect">
                            <a:avLst/>
                          </a:prstGeom>
                          <a:noFill/>
                          <a:ln>
                            <a:noFill/>
                          </a:ln>
                        </pic:spPr>
                      </pic:pic>
                    </a:graphicData>
                  </a:graphic>
                </wp:anchor>
              </w:drawing>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硬盘录像机</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r>
      <w:tr>
        <w:tblPrEx>
          <w:shd w:val="clear" w:color="auto" w:fill="auto"/>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248920</wp:posOffset>
                  </wp:positionH>
                  <wp:positionV relativeFrom="paragraph">
                    <wp:posOffset>193675</wp:posOffset>
                  </wp:positionV>
                  <wp:extent cx="733425" cy="602615"/>
                  <wp:effectExtent l="0" t="0" r="9525" b="6985"/>
                  <wp:wrapNone/>
                  <wp:docPr id="9" name="图片_2"/>
                  <wp:cNvGraphicFramePr/>
                  <a:graphic xmlns:a="http://schemas.openxmlformats.org/drawingml/2006/main">
                    <a:graphicData uri="http://schemas.openxmlformats.org/drawingml/2006/picture">
                      <pic:pic xmlns:pic="http://schemas.openxmlformats.org/drawingml/2006/picture">
                        <pic:nvPicPr>
                          <pic:cNvPr id="9" name="图片_2"/>
                          <pic:cNvPicPr/>
                        </pic:nvPicPr>
                        <pic:blipFill>
                          <a:blip r:embed="rId11"/>
                          <a:stretch>
                            <a:fillRect/>
                          </a:stretch>
                        </pic:blipFill>
                        <pic:spPr>
                          <a:xfrm>
                            <a:off x="0" y="0"/>
                            <a:ext cx="733425" cy="60261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6T监控硬盘</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块</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w:t>
            </w:r>
          </w:p>
        </w:tc>
      </w:tr>
      <w:tr>
        <w:tblPrEx>
          <w:shd w:val="clear" w:color="auto" w:fill="auto"/>
          <w:tblCellMar>
            <w:top w:w="0" w:type="dxa"/>
            <w:left w:w="0" w:type="dxa"/>
            <w:bottom w:w="0" w:type="dxa"/>
            <w:right w:w="0" w:type="dxa"/>
          </w:tblCellMar>
        </w:tblPrEx>
        <w:trPr>
          <w:trHeight w:val="11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190500</wp:posOffset>
                  </wp:positionH>
                  <wp:positionV relativeFrom="paragraph">
                    <wp:posOffset>105410</wp:posOffset>
                  </wp:positionV>
                  <wp:extent cx="721360" cy="541020"/>
                  <wp:effectExtent l="0" t="0" r="2540" b="11430"/>
                  <wp:wrapNone/>
                  <wp:docPr id="4" name="Picture_1_SpCnt_2"/>
                  <wp:cNvGraphicFramePr/>
                  <a:graphic xmlns:a="http://schemas.openxmlformats.org/drawingml/2006/main">
                    <a:graphicData uri="http://schemas.openxmlformats.org/drawingml/2006/picture">
                      <pic:pic xmlns:pic="http://schemas.openxmlformats.org/drawingml/2006/picture">
                        <pic:nvPicPr>
                          <pic:cNvPr id="4" name="Picture_1_SpCnt_2"/>
                          <pic:cNvPicPr/>
                        </pic:nvPicPr>
                        <pic:blipFill>
                          <a:blip r:embed="rId12"/>
                          <a:stretch>
                            <a:fillRect/>
                          </a:stretch>
                        </pic:blipFill>
                        <pic:spPr>
                          <a:xfrm>
                            <a:off x="0" y="0"/>
                            <a:ext cx="721360" cy="54102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防爆支架</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台</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w:t>
            </w:r>
          </w:p>
        </w:tc>
      </w:tr>
      <w:tr>
        <w:tblPrEx>
          <w:shd w:val="clear" w:color="auto" w:fill="auto"/>
          <w:tblCellMar>
            <w:top w:w="0" w:type="dxa"/>
            <w:left w:w="0" w:type="dxa"/>
            <w:bottom w:w="0" w:type="dxa"/>
            <w:right w:w="0" w:type="dxa"/>
          </w:tblCellMar>
        </w:tblPrEx>
        <w:trPr>
          <w:trHeight w:val="12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136525</wp:posOffset>
                  </wp:positionH>
                  <wp:positionV relativeFrom="paragraph">
                    <wp:posOffset>142875</wp:posOffset>
                  </wp:positionV>
                  <wp:extent cx="641985" cy="494665"/>
                  <wp:effectExtent l="0" t="0" r="5715" b="0"/>
                  <wp:wrapNone/>
                  <wp:docPr id="27" name="Picture_1_SpCnt_3"/>
                  <wp:cNvGraphicFramePr/>
                  <a:graphic xmlns:a="http://schemas.openxmlformats.org/drawingml/2006/main">
                    <a:graphicData uri="http://schemas.openxmlformats.org/drawingml/2006/picture">
                      <pic:pic xmlns:pic="http://schemas.openxmlformats.org/drawingml/2006/picture">
                        <pic:nvPicPr>
                          <pic:cNvPr id="27" name="Picture_1_SpCnt_3"/>
                          <pic:cNvPicPr/>
                        </pic:nvPicPr>
                        <pic:blipFill>
                          <a:blip r:embed="rId13"/>
                          <a:stretch>
                            <a:fillRect/>
                          </a:stretch>
                        </pic:blipFill>
                        <pic:spPr>
                          <a:xfrm>
                            <a:off x="0" y="0"/>
                            <a:ext cx="641985" cy="49466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防爆支架</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台</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w:t>
            </w:r>
          </w:p>
        </w:tc>
      </w:tr>
      <w:tr>
        <w:tblPrEx>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123825</wp:posOffset>
                  </wp:positionH>
                  <wp:positionV relativeFrom="paragraph">
                    <wp:posOffset>96520</wp:posOffset>
                  </wp:positionV>
                  <wp:extent cx="727710" cy="728980"/>
                  <wp:effectExtent l="0" t="0" r="15240" b="0"/>
                  <wp:wrapNone/>
                  <wp:docPr id="28" name="Picture_1_SpCnt_4"/>
                  <wp:cNvGraphicFramePr/>
                  <a:graphic xmlns:a="http://schemas.openxmlformats.org/drawingml/2006/main">
                    <a:graphicData uri="http://schemas.openxmlformats.org/drawingml/2006/picture">
                      <pic:pic xmlns:pic="http://schemas.openxmlformats.org/drawingml/2006/picture">
                        <pic:nvPicPr>
                          <pic:cNvPr id="28" name="Picture_1_SpCnt_4"/>
                          <pic:cNvPicPr/>
                        </pic:nvPicPr>
                        <pic:blipFill>
                          <a:blip r:embed="rId14"/>
                          <a:stretch>
                            <a:fillRect/>
                          </a:stretch>
                        </pic:blipFill>
                        <pic:spPr>
                          <a:xfrm>
                            <a:off x="0" y="0"/>
                            <a:ext cx="727710" cy="72898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网络高清摄像机支架</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r>
      <w:tr>
        <w:tblPrEx>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28575</wp:posOffset>
                  </wp:positionH>
                  <wp:positionV relativeFrom="paragraph">
                    <wp:posOffset>55880</wp:posOffset>
                  </wp:positionV>
                  <wp:extent cx="779780" cy="739140"/>
                  <wp:effectExtent l="0" t="0" r="1270" b="3810"/>
                  <wp:wrapNone/>
                  <wp:docPr id="12" name="Picture_1_SpCnt_5"/>
                  <wp:cNvGraphicFramePr/>
                  <a:graphic xmlns:a="http://schemas.openxmlformats.org/drawingml/2006/main">
                    <a:graphicData uri="http://schemas.openxmlformats.org/drawingml/2006/picture">
                      <pic:pic xmlns:pic="http://schemas.openxmlformats.org/drawingml/2006/picture">
                        <pic:nvPicPr>
                          <pic:cNvPr id="12" name="Picture_1_SpCnt_5"/>
                          <pic:cNvPicPr/>
                        </pic:nvPicPr>
                        <pic:blipFill>
                          <a:blip r:embed="rId15"/>
                          <a:stretch>
                            <a:fillRect/>
                          </a:stretch>
                        </pic:blipFill>
                        <pic:spPr>
                          <a:xfrm>
                            <a:off x="0" y="0"/>
                            <a:ext cx="779780" cy="73914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红外幕帘探测器</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只</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5</w:t>
            </w:r>
          </w:p>
        </w:tc>
      </w:tr>
      <w:tr>
        <w:tblPrEx>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95250</wp:posOffset>
                  </wp:positionH>
                  <wp:positionV relativeFrom="paragraph">
                    <wp:posOffset>74295</wp:posOffset>
                  </wp:positionV>
                  <wp:extent cx="704215" cy="690245"/>
                  <wp:effectExtent l="0" t="0" r="635" b="14605"/>
                  <wp:wrapNone/>
                  <wp:docPr id="25" name="Picture_1_SpCnt_6"/>
                  <wp:cNvGraphicFramePr/>
                  <a:graphic xmlns:a="http://schemas.openxmlformats.org/drawingml/2006/main">
                    <a:graphicData uri="http://schemas.openxmlformats.org/drawingml/2006/picture">
                      <pic:pic xmlns:pic="http://schemas.openxmlformats.org/drawingml/2006/picture">
                        <pic:nvPicPr>
                          <pic:cNvPr id="25" name="Picture_1_SpCnt_6"/>
                          <pic:cNvPicPr/>
                        </pic:nvPicPr>
                        <pic:blipFill>
                          <a:blip r:embed="rId16"/>
                          <a:stretch>
                            <a:fillRect/>
                          </a:stretch>
                        </pic:blipFill>
                        <pic:spPr>
                          <a:xfrm>
                            <a:off x="0" y="0"/>
                            <a:ext cx="704215" cy="69024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红外对射</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对</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5</w:t>
            </w:r>
          </w:p>
        </w:tc>
      </w:tr>
      <w:tr>
        <w:tblPrEx>
          <w:shd w:val="clear" w:color="auto" w:fill="auto"/>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85090</wp:posOffset>
                  </wp:positionH>
                  <wp:positionV relativeFrom="paragraph">
                    <wp:posOffset>104140</wp:posOffset>
                  </wp:positionV>
                  <wp:extent cx="723265" cy="628015"/>
                  <wp:effectExtent l="0" t="0" r="635" b="635"/>
                  <wp:wrapNone/>
                  <wp:docPr id="29" name="Picture_1_SpCnt_7"/>
                  <wp:cNvGraphicFramePr/>
                  <a:graphic xmlns:a="http://schemas.openxmlformats.org/drawingml/2006/main">
                    <a:graphicData uri="http://schemas.openxmlformats.org/drawingml/2006/picture">
                      <pic:pic xmlns:pic="http://schemas.openxmlformats.org/drawingml/2006/picture">
                        <pic:nvPicPr>
                          <pic:cNvPr id="29" name="Picture_1_SpCnt_7"/>
                          <pic:cNvPicPr/>
                        </pic:nvPicPr>
                        <pic:blipFill>
                          <a:blip r:embed="rId17"/>
                          <a:stretch>
                            <a:fillRect/>
                          </a:stretch>
                        </pic:blipFill>
                        <pic:spPr>
                          <a:xfrm>
                            <a:off x="0" y="0"/>
                            <a:ext cx="723265" cy="62801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红外对射支架</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对</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5</w:t>
            </w:r>
          </w:p>
        </w:tc>
      </w:tr>
      <w:tr>
        <w:tblPrEx>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180340</wp:posOffset>
                  </wp:positionH>
                  <wp:positionV relativeFrom="paragraph">
                    <wp:posOffset>29845</wp:posOffset>
                  </wp:positionV>
                  <wp:extent cx="953135" cy="829945"/>
                  <wp:effectExtent l="0" t="0" r="0" b="0"/>
                  <wp:wrapNone/>
                  <wp:docPr id="18" name="Picture_1_SpCnt_8"/>
                  <wp:cNvGraphicFramePr/>
                  <a:graphic xmlns:a="http://schemas.openxmlformats.org/drawingml/2006/main">
                    <a:graphicData uri="http://schemas.openxmlformats.org/drawingml/2006/picture">
                      <pic:pic xmlns:pic="http://schemas.openxmlformats.org/drawingml/2006/picture">
                        <pic:nvPicPr>
                          <pic:cNvPr id="18" name="Picture_1_SpCnt_8"/>
                          <pic:cNvPicPr/>
                        </pic:nvPicPr>
                        <pic:blipFill>
                          <a:blip r:embed="rId18"/>
                          <a:stretch>
                            <a:fillRect/>
                          </a:stretch>
                        </pic:blipFill>
                        <pic:spPr>
                          <a:xfrm>
                            <a:off x="0" y="0"/>
                            <a:ext cx="953135" cy="82994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总线报警主机</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台</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1</w:t>
            </w:r>
          </w:p>
        </w:tc>
      </w:tr>
      <w:tr>
        <w:tblPrEx>
          <w:shd w:val="clear" w:color="auto" w:fill="auto"/>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85090</wp:posOffset>
                  </wp:positionH>
                  <wp:positionV relativeFrom="paragraph">
                    <wp:posOffset>50165</wp:posOffset>
                  </wp:positionV>
                  <wp:extent cx="753745" cy="724535"/>
                  <wp:effectExtent l="0" t="0" r="8255" b="18415"/>
                  <wp:wrapNone/>
                  <wp:docPr id="13" name="Picture_1_SpCnt_9"/>
                  <wp:cNvGraphicFramePr/>
                  <a:graphic xmlns:a="http://schemas.openxmlformats.org/drawingml/2006/main">
                    <a:graphicData uri="http://schemas.openxmlformats.org/drawingml/2006/picture">
                      <pic:pic xmlns:pic="http://schemas.openxmlformats.org/drawingml/2006/picture">
                        <pic:nvPicPr>
                          <pic:cNvPr id="13" name="Picture_1_SpCnt_9"/>
                          <pic:cNvPicPr/>
                        </pic:nvPicPr>
                        <pic:blipFill>
                          <a:blip r:embed="rId19"/>
                          <a:stretch>
                            <a:fillRect/>
                          </a:stretch>
                        </pic:blipFill>
                        <pic:spPr>
                          <a:xfrm>
                            <a:off x="0" y="0"/>
                            <a:ext cx="753745" cy="72453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总线扩展模块</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台</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10</w:t>
            </w:r>
          </w:p>
        </w:tc>
      </w:tr>
      <w:tr>
        <w:tblPrEx>
          <w:shd w:val="clear" w:color="auto" w:fill="auto"/>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105410</wp:posOffset>
                  </wp:positionH>
                  <wp:positionV relativeFrom="paragraph">
                    <wp:posOffset>48260</wp:posOffset>
                  </wp:positionV>
                  <wp:extent cx="767715" cy="683895"/>
                  <wp:effectExtent l="0" t="0" r="13335" b="1905"/>
                  <wp:wrapNone/>
                  <wp:docPr id="21" name="Picture_1_SpCnt_10"/>
                  <wp:cNvGraphicFramePr/>
                  <a:graphic xmlns:a="http://schemas.openxmlformats.org/drawingml/2006/main">
                    <a:graphicData uri="http://schemas.openxmlformats.org/drawingml/2006/picture">
                      <pic:pic xmlns:pic="http://schemas.openxmlformats.org/drawingml/2006/picture">
                        <pic:nvPicPr>
                          <pic:cNvPr id="21" name="Picture_1_SpCnt_10"/>
                          <pic:cNvPicPr/>
                        </pic:nvPicPr>
                        <pic:blipFill>
                          <a:blip r:embed="rId20"/>
                          <a:stretch>
                            <a:fillRect/>
                          </a:stretch>
                        </pic:blipFill>
                        <pic:spPr>
                          <a:xfrm>
                            <a:off x="0" y="0"/>
                            <a:ext cx="767715" cy="68389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刷卡读卡器</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台</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5</w:t>
            </w:r>
          </w:p>
        </w:tc>
      </w:tr>
      <w:tr>
        <w:tblPrEx>
          <w:shd w:val="clear" w:color="auto" w:fill="auto"/>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133350</wp:posOffset>
                  </wp:positionH>
                  <wp:positionV relativeFrom="paragraph">
                    <wp:posOffset>96520</wp:posOffset>
                  </wp:positionV>
                  <wp:extent cx="656590" cy="654685"/>
                  <wp:effectExtent l="0" t="0" r="10160" b="12065"/>
                  <wp:wrapNone/>
                  <wp:docPr id="6" name="Picture_1_SpCnt_11"/>
                  <wp:cNvGraphicFramePr/>
                  <a:graphic xmlns:a="http://schemas.openxmlformats.org/drawingml/2006/main">
                    <a:graphicData uri="http://schemas.openxmlformats.org/drawingml/2006/picture">
                      <pic:pic xmlns:pic="http://schemas.openxmlformats.org/drawingml/2006/picture">
                        <pic:nvPicPr>
                          <pic:cNvPr id="6" name="Picture_1_SpCnt_11"/>
                          <pic:cNvPicPr/>
                        </pic:nvPicPr>
                        <pic:blipFill>
                          <a:blip r:embed="rId21"/>
                          <a:stretch>
                            <a:fillRect/>
                          </a:stretch>
                        </pic:blipFill>
                        <pic:spPr>
                          <a:xfrm>
                            <a:off x="0" y="0"/>
                            <a:ext cx="656590" cy="65468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门禁主机</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台</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5</w:t>
            </w:r>
          </w:p>
        </w:tc>
      </w:tr>
      <w:tr>
        <w:tblPrEx>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180340</wp:posOffset>
                  </wp:positionH>
                  <wp:positionV relativeFrom="paragraph">
                    <wp:posOffset>141605</wp:posOffset>
                  </wp:positionV>
                  <wp:extent cx="598170" cy="583565"/>
                  <wp:effectExtent l="0" t="0" r="11430" b="6985"/>
                  <wp:wrapNone/>
                  <wp:docPr id="19" name="Picture_1_SpCnt_12"/>
                  <wp:cNvGraphicFramePr/>
                  <a:graphic xmlns:a="http://schemas.openxmlformats.org/drawingml/2006/main">
                    <a:graphicData uri="http://schemas.openxmlformats.org/drawingml/2006/picture">
                      <pic:pic xmlns:pic="http://schemas.openxmlformats.org/drawingml/2006/picture">
                        <pic:nvPicPr>
                          <pic:cNvPr id="19" name="Picture_1_SpCnt_12"/>
                          <pic:cNvPicPr/>
                        </pic:nvPicPr>
                        <pic:blipFill>
                          <a:blip r:embed="rId22"/>
                          <a:stretch>
                            <a:fillRect/>
                          </a:stretch>
                        </pic:blipFill>
                        <pic:spPr>
                          <a:xfrm>
                            <a:off x="0" y="0"/>
                            <a:ext cx="598170" cy="58356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门禁-开门按钮</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只</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5</w:t>
            </w:r>
          </w:p>
        </w:tc>
      </w:tr>
      <w:tr>
        <w:tblPrEx>
          <w:shd w:val="clear" w:color="auto" w:fill="auto"/>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113665</wp:posOffset>
                  </wp:positionH>
                  <wp:positionV relativeFrom="paragraph">
                    <wp:posOffset>85725</wp:posOffset>
                  </wp:positionV>
                  <wp:extent cx="915670" cy="796290"/>
                  <wp:effectExtent l="0" t="0" r="17780" b="3810"/>
                  <wp:wrapNone/>
                  <wp:docPr id="15" name="Picture_1_SpCnt_13"/>
                  <wp:cNvGraphicFramePr/>
                  <a:graphic xmlns:a="http://schemas.openxmlformats.org/drawingml/2006/main">
                    <a:graphicData uri="http://schemas.openxmlformats.org/drawingml/2006/picture">
                      <pic:pic xmlns:pic="http://schemas.openxmlformats.org/drawingml/2006/picture">
                        <pic:nvPicPr>
                          <pic:cNvPr id="15" name="Picture_1_SpCnt_13"/>
                          <pic:cNvPicPr/>
                        </pic:nvPicPr>
                        <pic:blipFill>
                          <a:blip r:embed="rId23"/>
                          <a:stretch>
                            <a:fillRect/>
                          </a:stretch>
                        </pic:blipFill>
                        <pic:spPr>
                          <a:xfrm>
                            <a:off x="0" y="0"/>
                            <a:ext cx="915670" cy="79629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双门磁力锁</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把</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4</w:t>
            </w:r>
          </w:p>
        </w:tc>
      </w:tr>
      <w:tr>
        <w:tblPrEx>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105410</wp:posOffset>
                  </wp:positionH>
                  <wp:positionV relativeFrom="paragraph">
                    <wp:posOffset>48260</wp:posOffset>
                  </wp:positionV>
                  <wp:extent cx="723265" cy="705485"/>
                  <wp:effectExtent l="0" t="0" r="635" b="18415"/>
                  <wp:wrapNone/>
                  <wp:docPr id="14" name="Picture_1_SpCnt_14"/>
                  <wp:cNvGraphicFramePr/>
                  <a:graphic xmlns:a="http://schemas.openxmlformats.org/drawingml/2006/main">
                    <a:graphicData uri="http://schemas.openxmlformats.org/drawingml/2006/picture">
                      <pic:pic xmlns:pic="http://schemas.openxmlformats.org/drawingml/2006/picture">
                        <pic:nvPicPr>
                          <pic:cNvPr id="14" name="Picture_1_SpCnt_14"/>
                          <pic:cNvPicPr/>
                        </pic:nvPicPr>
                        <pic:blipFill>
                          <a:blip r:embed="rId24"/>
                          <a:stretch>
                            <a:fillRect/>
                          </a:stretch>
                        </pic:blipFill>
                        <pic:spPr>
                          <a:xfrm>
                            <a:off x="0" y="0"/>
                            <a:ext cx="723265" cy="70548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双门磁力锁支架</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只</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4</w:t>
            </w:r>
          </w:p>
        </w:tc>
      </w:tr>
      <w:tr>
        <w:tblPrEx>
          <w:shd w:val="clear" w:color="auto" w:fill="auto"/>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208915</wp:posOffset>
                  </wp:positionH>
                  <wp:positionV relativeFrom="paragraph">
                    <wp:posOffset>85725</wp:posOffset>
                  </wp:positionV>
                  <wp:extent cx="662940" cy="659765"/>
                  <wp:effectExtent l="0" t="0" r="3810" b="6985"/>
                  <wp:wrapNone/>
                  <wp:docPr id="5" name="Picture_1_SpCnt_15"/>
                  <wp:cNvGraphicFramePr/>
                  <a:graphic xmlns:a="http://schemas.openxmlformats.org/drawingml/2006/main">
                    <a:graphicData uri="http://schemas.openxmlformats.org/drawingml/2006/picture">
                      <pic:pic xmlns:pic="http://schemas.openxmlformats.org/drawingml/2006/picture">
                        <pic:nvPicPr>
                          <pic:cNvPr id="5" name="Picture_1_SpCnt_15"/>
                          <pic:cNvPicPr/>
                        </pic:nvPicPr>
                        <pic:blipFill>
                          <a:blip r:embed="rId25"/>
                          <a:stretch>
                            <a:fillRect/>
                          </a:stretch>
                        </pic:blipFill>
                        <pic:spPr>
                          <a:xfrm>
                            <a:off x="0" y="0"/>
                            <a:ext cx="662940" cy="65976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单门磁力锁</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把</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1</w:t>
            </w:r>
          </w:p>
        </w:tc>
      </w:tr>
      <w:tr>
        <w:tblPrEx>
          <w:shd w:val="clear" w:color="auto" w:fill="auto"/>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133350</wp:posOffset>
                  </wp:positionH>
                  <wp:positionV relativeFrom="paragraph">
                    <wp:posOffset>96520</wp:posOffset>
                  </wp:positionV>
                  <wp:extent cx="791210" cy="656590"/>
                  <wp:effectExtent l="0" t="0" r="8890" b="10160"/>
                  <wp:wrapNone/>
                  <wp:docPr id="20" name="Picture_1_SpCnt_16"/>
                  <wp:cNvGraphicFramePr/>
                  <a:graphic xmlns:a="http://schemas.openxmlformats.org/drawingml/2006/main">
                    <a:graphicData uri="http://schemas.openxmlformats.org/drawingml/2006/picture">
                      <pic:pic xmlns:pic="http://schemas.openxmlformats.org/drawingml/2006/picture">
                        <pic:nvPicPr>
                          <pic:cNvPr id="20" name="Picture_1_SpCnt_16"/>
                          <pic:cNvPicPr/>
                        </pic:nvPicPr>
                        <pic:blipFill>
                          <a:blip r:embed="rId26"/>
                          <a:stretch>
                            <a:fillRect/>
                          </a:stretch>
                        </pic:blipFill>
                        <pic:spPr>
                          <a:xfrm>
                            <a:off x="0" y="0"/>
                            <a:ext cx="791210" cy="65659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单门磁力锁支架</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只</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1</w:t>
            </w:r>
          </w:p>
        </w:tc>
      </w:tr>
      <w:tr>
        <w:tblPrEx>
          <w:shd w:val="clear" w:color="auto" w:fill="auto"/>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172085</wp:posOffset>
                  </wp:positionH>
                  <wp:positionV relativeFrom="paragraph">
                    <wp:posOffset>48260</wp:posOffset>
                  </wp:positionV>
                  <wp:extent cx="692150" cy="764540"/>
                  <wp:effectExtent l="0" t="0" r="12700" b="16510"/>
                  <wp:wrapNone/>
                  <wp:docPr id="7" name="Picture_1_SpCnt_17"/>
                  <wp:cNvGraphicFramePr/>
                  <a:graphic xmlns:a="http://schemas.openxmlformats.org/drawingml/2006/main">
                    <a:graphicData uri="http://schemas.openxmlformats.org/drawingml/2006/picture">
                      <pic:pic xmlns:pic="http://schemas.openxmlformats.org/drawingml/2006/picture">
                        <pic:nvPicPr>
                          <pic:cNvPr id="7" name="Picture_1_SpCnt_17"/>
                          <pic:cNvPicPr/>
                        </pic:nvPicPr>
                        <pic:blipFill>
                          <a:blip r:embed="rId27"/>
                          <a:stretch>
                            <a:fillRect/>
                          </a:stretch>
                        </pic:blipFill>
                        <pic:spPr>
                          <a:xfrm>
                            <a:off x="0" y="0"/>
                            <a:ext cx="692150" cy="76454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卡片发卡器</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台</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1</w:t>
            </w:r>
          </w:p>
        </w:tc>
      </w:tr>
      <w:tr>
        <w:tblPrEx>
          <w:shd w:val="clear" w:color="auto" w:fill="auto"/>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172085</wp:posOffset>
                  </wp:positionH>
                  <wp:positionV relativeFrom="paragraph">
                    <wp:posOffset>115570</wp:posOffset>
                  </wp:positionV>
                  <wp:extent cx="637540" cy="566420"/>
                  <wp:effectExtent l="0" t="0" r="10160" b="5080"/>
                  <wp:wrapNone/>
                  <wp:docPr id="8" name="Picture_1_SpCnt_18"/>
                  <wp:cNvGraphicFramePr/>
                  <a:graphic xmlns:a="http://schemas.openxmlformats.org/drawingml/2006/main">
                    <a:graphicData uri="http://schemas.openxmlformats.org/drawingml/2006/picture">
                      <pic:pic xmlns:pic="http://schemas.openxmlformats.org/drawingml/2006/picture">
                        <pic:nvPicPr>
                          <pic:cNvPr id="8" name="Picture_1_SpCnt_18"/>
                          <pic:cNvPicPr/>
                        </pic:nvPicPr>
                        <pic:blipFill>
                          <a:blip r:embed="rId28"/>
                          <a:stretch>
                            <a:fillRect/>
                          </a:stretch>
                        </pic:blipFill>
                        <pic:spPr>
                          <a:xfrm>
                            <a:off x="0" y="0"/>
                            <a:ext cx="637540" cy="56642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卡片</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张</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20</w:t>
            </w:r>
          </w:p>
        </w:tc>
      </w:tr>
      <w:tr>
        <w:tblPrEx>
          <w:shd w:val="clear" w:color="auto" w:fill="auto"/>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85090</wp:posOffset>
                  </wp:positionH>
                  <wp:positionV relativeFrom="paragraph">
                    <wp:posOffset>122555</wp:posOffset>
                  </wp:positionV>
                  <wp:extent cx="962660" cy="777875"/>
                  <wp:effectExtent l="0" t="0" r="0" b="0"/>
                  <wp:wrapNone/>
                  <wp:docPr id="22" name="Picture_1_SpCnt_19"/>
                  <wp:cNvGraphicFramePr/>
                  <a:graphic xmlns:a="http://schemas.openxmlformats.org/drawingml/2006/main">
                    <a:graphicData uri="http://schemas.openxmlformats.org/drawingml/2006/picture">
                      <pic:pic xmlns:pic="http://schemas.openxmlformats.org/drawingml/2006/picture">
                        <pic:nvPicPr>
                          <pic:cNvPr id="22" name="Picture_1_SpCnt_19"/>
                          <pic:cNvPicPr/>
                        </pic:nvPicPr>
                        <pic:blipFill>
                          <a:blip r:embed="rId29"/>
                          <a:stretch>
                            <a:fillRect/>
                          </a:stretch>
                        </pic:blipFill>
                        <pic:spPr>
                          <a:xfrm>
                            <a:off x="0" y="0"/>
                            <a:ext cx="962660" cy="77787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警灯警号</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个</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1</w:t>
            </w:r>
          </w:p>
        </w:tc>
      </w:tr>
      <w:tr>
        <w:tblPrEx>
          <w:shd w:val="clear" w:color="auto" w:fill="auto"/>
          <w:tblCellMar>
            <w:top w:w="0" w:type="dxa"/>
            <w:left w:w="0" w:type="dxa"/>
            <w:bottom w:w="0" w:type="dxa"/>
            <w:right w:w="0"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95250</wp:posOffset>
                  </wp:positionH>
                  <wp:positionV relativeFrom="paragraph">
                    <wp:posOffset>96520</wp:posOffset>
                  </wp:positionV>
                  <wp:extent cx="887095" cy="733425"/>
                  <wp:effectExtent l="0" t="0" r="8255" b="9525"/>
                  <wp:wrapNone/>
                  <wp:docPr id="23" name="Picture_1_SpCnt_20"/>
                  <wp:cNvGraphicFramePr/>
                  <a:graphic xmlns:a="http://schemas.openxmlformats.org/drawingml/2006/main">
                    <a:graphicData uri="http://schemas.openxmlformats.org/drawingml/2006/picture">
                      <pic:pic xmlns:pic="http://schemas.openxmlformats.org/drawingml/2006/picture">
                        <pic:nvPicPr>
                          <pic:cNvPr id="23" name="Picture_1_SpCnt_20"/>
                          <pic:cNvPicPr/>
                        </pic:nvPicPr>
                        <pic:blipFill>
                          <a:blip r:embed="rId30"/>
                          <a:stretch>
                            <a:fillRect/>
                          </a:stretch>
                        </pic:blipFill>
                        <pic:spPr>
                          <a:xfrm>
                            <a:off x="0" y="0"/>
                            <a:ext cx="887095" cy="73342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有线紧急按钮</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个</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1</w:t>
            </w:r>
          </w:p>
        </w:tc>
      </w:tr>
      <w:tr>
        <w:tblPrEx>
          <w:tblCellMar>
            <w:top w:w="0" w:type="dxa"/>
            <w:left w:w="0" w:type="dxa"/>
            <w:bottom w:w="0" w:type="dxa"/>
            <w:right w:w="0" w:type="dxa"/>
          </w:tblCellMar>
        </w:tblPrEx>
        <w:trPr>
          <w:trHeight w:val="12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24</w:t>
            </w:r>
          </w:p>
        </w:tc>
        <w:tc>
          <w:tcPr>
            <w:tcW w:w="1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219075</wp:posOffset>
                  </wp:positionH>
                  <wp:positionV relativeFrom="paragraph">
                    <wp:posOffset>95250</wp:posOffset>
                  </wp:positionV>
                  <wp:extent cx="781685" cy="631190"/>
                  <wp:effectExtent l="0" t="0" r="18415" b="16510"/>
                  <wp:wrapNone/>
                  <wp:docPr id="24" name="图片_2_SpCnt_1"/>
                  <wp:cNvGraphicFramePr/>
                  <a:graphic xmlns:a="http://schemas.openxmlformats.org/drawingml/2006/main">
                    <a:graphicData uri="http://schemas.openxmlformats.org/drawingml/2006/picture">
                      <pic:pic xmlns:pic="http://schemas.openxmlformats.org/drawingml/2006/picture">
                        <pic:nvPicPr>
                          <pic:cNvPr id="24" name="图片_2_SpCnt_1"/>
                          <pic:cNvPicPr/>
                        </pic:nvPicPr>
                        <pic:blipFill>
                          <a:blip r:embed="rId31"/>
                          <a:stretch>
                            <a:fillRect/>
                          </a:stretch>
                        </pic:blipFill>
                        <pic:spPr>
                          <a:xfrm>
                            <a:off x="0" y="0"/>
                            <a:ext cx="781685" cy="63119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主控电脑</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微软雅黑" w:hAnsi="微软雅黑" w:eastAsia="微软雅黑" w:cs="微软雅黑"/>
                <w:i w:val="0"/>
                <w:color w:val="auto"/>
                <w:sz w:val="20"/>
                <w:szCs w:val="20"/>
                <w:u w:val="none"/>
                <w:lang w:val="en-US" w:eastAsia="zh-CN"/>
              </w:rPr>
            </w:pPr>
            <w:r>
              <w:rPr>
                <w:rFonts w:hint="eastAsia" w:ascii="微软雅黑" w:hAnsi="微软雅黑" w:eastAsia="微软雅黑" w:cs="微软雅黑"/>
                <w:i w:val="0"/>
                <w:color w:val="auto"/>
                <w:sz w:val="20"/>
                <w:szCs w:val="20"/>
                <w:u w:val="none"/>
                <w:lang w:eastAsia="zh-CN"/>
              </w:rPr>
              <w:t>规格参数：</w:t>
            </w:r>
            <w:r>
              <w:rPr>
                <w:rFonts w:hint="eastAsia" w:ascii="微软雅黑" w:hAnsi="微软雅黑" w:eastAsia="微软雅黑" w:cs="微软雅黑"/>
                <w:i w:val="0"/>
                <w:color w:val="auto"/>
                <w:sz w:val="20"/>
                <w:szCs w:val="20"/>
                <w:u w:val="none"/>
                <w:lang w:val="en-US" w:eastAsia="zh-CN"/>
              </w:rPr>
              <w:t>I5，8G，独显2G，显示器21.5寸，固态硬盘≥200G</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lang w:eastAsia="zh-CN"/>
              </w:rPr>
            </w:pPr>
            <w:r>
              <w:rPr>
                <w:rFonts w:hint="eastAsia" w:ascii="微软雅黑" w:hAnsi="微软雅黑" w:eastAsia="微软雅黑" w:cs="微软雅黑"/>
                <w:i w:val="0"/>
                <w:color w:val="auto"/>
                <w:sz w:val="20"/>
                <w:szCs w:val="20"/>
                <w:u w:val="none"/>
                <w:lang w:eastAsia="zh-CN"/>
              </w:rPr>
              <w:t>国产品牌电脑</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台</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r>
      <w:tr>
        <w:tblPrEx>
          <w:tblCellMar>
            <w:top w:w="0" w:type="dxa"/>
            <w:left w:w="0" w:type="dxa"/>
            <w:bottom w:w="0" w:type="dxa"/>
            <w:right w:w="0" w:type="dxa"/>
          </w:tblCellMar>
        </w:tblPrEx>
        <w:trPr>
          <w:trHeight w:val="127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95250</wp:posOffset>
                  </wp:positionH>
                  <wp:positionV relativeFrom="paragraph">
                    <wp:posOffset>47625</wp:posOffset>
                  </wp:positionV>
                  <wp:extent cx="782955" cy="643255"/>
                  <wp:effectExtent l="0" t="0" r="17145" b="4445"/>
                  <wp:wrapNone/>
                  <wp:docPr id="16" name="图片_3"/>
                  <wp:cNvGraphicFramePr/>
                  <a:graphic xmlns:a="http://schemas.openxmlformats.org/drawingml/2006/main">
                    <a:graphicData uri="http://schemas.openxmlformats.org/drawingml/2006/picture">
                      <pic:pic xmlns:pic="http://schemas.openxmlformats.org/drawingml/2006/picture">
                        <pic:nvPicPr>
                          <pic:cNvPr id="16" name="图片_3"/>
                          <pic:cNvPicPr/>
                        </pic:nvPicPr>
                        <pic:blipFill>
                          <a:blip r:embed="rId32"/>
                          <a:stretch>
                            <a:fillRect/>
                          </a:stretch>
                        </pic:blipFill>
                        <pic:spPr>
                          <a:xfrm>
                            <a:off x="0" y="0"/>
                            <a:ext cx="782955" cy="64325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千兆24口交换机</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台</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r>
      <w:tr>
        <w:tblPrEx>
          <w:shd w:val="clear" w:color="auto" w:fill="auto"/>
          <w:tblCellMar>
            <w:top w:w="0" w:type="dxa"/>
            <w:left w:w="0" w:type="dxa"/>
            <w:bottom w:w="0" w:type="dxa"/>
            <w:right w:w="0" w:type="dxa"/>
          </w:tblCellMar>
        </w:tblPrEx>
        <w:trPr>
          <w:trHeight w:val="127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57150</wp:posOffset>
                  </wp:positionH>
                  <wp:positionV relativeFrom="paragraph">
                    <wp:posOffset>238125</wp:posOffset>
                  </wp:positionV>
                  <wp:extent cx="839470" cy="299085"/>
                  <wp:effectExtent l="0" t="0" r="17780" b="5715"/>
                  <wp:wrapNone/>
                  <wp:docPr id="26" name="图片_2_SpCnt_2"/>
                  <wp:cNvGraphicFramePr/>
                  <a:graphic xmlns:a="http://schemas.openxmlformats.org/drawingml/2006/main">
                    <a:graphicData uri="http://schemas.openxmlformats.org/drawingml/2006/picture">
                      <pic:pic xmlns:pic="http://schemas.openxmlformats.org/drawingml/2006/picture">
                        <pic:nvPicPr>
                          <pic:cNvPr id="26" name="图片_2_SpCnt_2"/>
                          <pic:cNvPicPr/>
                        </pic:nvPicPr>
                        <pic:blipFill>
                          <a:blip r:embed="rId33"/>
                          <a:stretch>
                            <a:fillRect/>
                          </a:stretch>
                        </pic:blipFill>
                        <pic:spPr>
                          <a:xfrm>
                            <a:off x="0" y="0"/>
                            <a:ext cx="839470" cy="29908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千兆光纤传输器</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对</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r>
      <w:tr>
        <w:tblPrEx>
          <w:shd w:val="clear" w:color="auto" w:fill="auto"/>
          <w:tblCellMar>
            <w:top w:w="0" w:type="dxa"/>
            <w:left w:w="0" w:type="dxa"/>
            <w:bottom w:w="0" w:type="dxa"/>
            <w:right w:w="0" w:type="dxa"/>
          </w:tblCellMar>
        </w:tblPrEx>
        <w:trPr>
          <w:trHeight w:val="12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143510</wp:posOffset>
                  </wp:positionH>
                  <wp:positionV relativeFrom="paragraph">
                    <wp:posOffset>83185</wp:posOffset>
                  </wp:positionV>
                  <wp:extent cx="726440" cy="577850"/>
                  <wp:effectExtent l="0" t="0" r="16510" b="12700"/>
                  <wp:wrapNone/>
                  <wp:docPr id="30" name="图片_1"/>
                  <wp:cNvGraphicFramePr/>
                  <a:graphic xmlns:a="http://schemas.openxmlformats.org/drawingml/2006/main">
                    <a:graphicData uri="http://schemas.openxmlformats.org/drawingml/2006/picture">
                      <pic:pic xmlns:pic="http://schemas.openxmlformats.org/drawingml/2006/picture">
                        <pic:nvPicPr>
                          <pic:cNvPr id="30" name="图片_1"/>
                          <pic:cNvPicPr/>
                        </pic:nvPicPr>
                        <pic:blipFill>
                          <a:blip r:embed="rId34"/>
                          <a:stretch>
                            <a:fillRect/>
                          </a:stretch>
                        </pic:blipFill>
                        <pic:spPr>
                          <a:xfrm>
                            <a:off x="0" y="0"/>
                            <a:ext cx="726440" cy="57785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UPS电源</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CIKS(SANTAK)</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山特</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台</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1</w:t>
            </w:r>
          </w:p>
        </w:tc>
      </w:tr>
      <w:tr>
        <w:tblPrEx>
          <w:shd w:val="clear" w:color="auto" w:fill="auto"/>
          <w:tblCellMar>
            <w:top w:w="0" w:type="dxa"/>
            <w:left w:w="0" w:type="dxa"/>
            <w:bottom w:w="0" w:type="dxa"/>
            <w:right w:w="0" w:type="dxa"/>
          </w:tblCellMar>
        </w:tblPrEx>
        <w:trPr>
          <w:trHeight w:val="12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178435</wp:posOffset>
                  </wp:positionH>
                  <wp:positionV relativeFrom="paragraph">
                    <wp:posOffset>142240</wp:posOffset>
                  </wp:positionV>
                  <wp:extent cx="697230" cy="503555"/>
                  <wp:effectExtent l="0" t="0" r="7620" b="10795"/>
                  <wp:wrapNone/>
                  <wp:docPr id="10" name="图片_2_SpCnt_3"/>
                  <wp:cNvGraphicFramePr/>
                  <a:graphic xmlns:a="http://schemas.openxmlformats.org/drawingml/2006/main">
                    <a:graphicData uri="http://schemas.openxmlformats.org/drawingml/2006/picture">
                      <pic:pic xmlns:pic="http://schemas.openxmlformats.org/drawingml/2006/picture">
                        <pic:nvPicPr>
                          <pic:cNvPr id="10" name="图片_2_SpCnt_3"/>
                          <pic:cNvPicPr/>
                        </pic:nvPicPr>
                        <pic:blipFill>
                          <a:blip r:embed="rId35"/>
                          <a:stretch>
                            <a:fillRect/>
                          </a:stretch>
                        </pic:blipFill>
                        <pic:spPr>
                          <a:xfrm>
                            <a:off x="0" y="0"/>
                            <a:ext cx="697230" cy="50355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原装电池</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12V/100AH(足量）</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耐普（NPP)</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台</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9</w:t>
            </w:r>
          </w:p>
        </w:tc>
      </w:tr>
      <w:tr>
        <w:tblPrEx>
          <w:shd w:val="clear" w:color="auto" w:fill="auto"/>
          <w:tblCellMar>
            <w:top w:w="0" w:type="dxa"/>
            <w:left w:w="0" w:type="dxa"/>
            <w:bottom w:w="0" w:type="dxa"/>
            <w:right w:w="0"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电池箱（含电</w:t>
            </w:r>
            <w:r>
              <w:rPr>
                <w:rFonts w:hint="eastAsia" w:ascii="微软雅黑" w:hAnsi="微软雅黑" w:eastAsia="微软雅黑" w:cs="微软雅黑"/>
                <w:i w:val="0"/>
                <w:color w:val="auto"/>
                <w:kern w:val="0"/>
                <w:sz w:val="20"/>
                <w:szCs w:val="20"/>
                <w:u w:val="none"/>
                <w:lang w:val="en-US" w:eastAsia="zh-CN" w:bidi="ar"/>
              </w:rPr>
              <w:br w:type="textWrapping"/>
            </w:r>
            <w:r>
              <w:rPr>
                <w:rFonts w:hint="eastAsia" w:ascii="微软雅黑" w:hAnsi="微软雅黑" w:eastAsia="微软雅黑" w:cs="微软雅黑"/>
                <w:i w:val="0"/>
                <w:color w:val="auto"/>
                <w:kern w:val="0"/>
                <w:sz w:val="20"/>
                <w:szCs w:val="20"/>
                <w:u w:val="none"/>
                <w:lang w:val="en-US" w:eastAsia="zh-CN" w:bidi="ar"/>
              </w:rPr>
              <w:t>池连接线）</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A12</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微软雅黑" w:hAnsi="微软雅黑" w:eastAsia="微软雅黑" w:cs="微软雅黑"/>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套</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微软雅黑" w:hAnsi="微软雅黑" w:eastAsia="微软雅黑" w:cs="微软雅黑"/>
                <w:i w:val="0"/>
                <w:color w:val="auto"/>
                <w:sz w:val="20"/>
                <w:szCs w:val="20"/>
                <w:u w:val="none"/>
              </w:rPr>
            </w:pPr>
            <w:r>
              <w:rPr>
                <w:rFonts w:hint="eastAsia" w:ascii="微软雅黑" w:hAnsi="微软雅黑" w:eastAsia="微软雅黑" w:cs="微软雅黑"/>
                <w:i w:val="0"/>
                <w:color w:val="auto"/>
                <w:kern w:val="0"/>
                <w:sz w:val="20"/>
                <w:szCs w:val="20"/>
                <w:u w:val="none"/>
                <w:lang w:val="en-US" w:eastAsia="zh-CN" w:bidi="ar"/>
              </w:rPr>
              <w:t>1</w:t>
            </w:r>
          </w:p>
        </w:tc>
      </w:tr>
      <w:tr>
        <w:tblPrEx>
          <w:tblCellMar>
            <w:top w:w="0" w:type="dxa"/>
            <w:left w:w="0" w:type="dxa"/>
            <w:bottom w:w="0" w:type="dxa"/>
            <w:right w:w="0" w:type="dxa"/>
          </w:tblCellMar>
        </w:tblPrEx>
        <w:trPr>
          <w:trHeight w:val="132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85090</wp:posOffset>
                  </wp:positionH>
                  <wp:positionV relativeFrom="paragraph">
                    <wp:posOffset>209550</wp:posOffset>
                  </wp:positionV>
                  <wp:extent cx="823595" cy="450215"/>
                  <wp:effectExtent l="0" t="0" r="14605" b="6985"/>
                  <wp:wrapNone/>
                  <wp:docPr id="31" name="图片_6"/>
                  <wp:cNvGraphicFramePr/>
                  <a:graphic xmlns:a="http://schemas.openxmlformats.org/drawingml/2006/main">
                    <a:graphicData uri="http://schemas.openxmlformats.org/drawingml/2006/picture">
                      <pic:pic xmlns:pic="http://schemas.openxmlformats.org/drawingml/2006/picture">
                        <pic:nvPicPr>
                          <pic:cNvPr id="31" name="图片_6"/>
                          <pic:cNvPicPr/>
                        </pic:nvPicPr>
                        <pic:blipFill>
                          <a:blip r:embed="rId36"/>
                          <a:stretch>
                            <a:fillRect/>
                          </a:stretch>
                        </pic:blipFill>
                        <pic:spPr>
                          <a:xfrm>
                            <a:off x="0" y="0"/>
                            <a:ext cx="823595" cy="45021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四芯光纤</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SG04</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GYXTW</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米</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500</w:t>
            </w:r>
          </w:p>
        </w:tc>
      </w:tr>
      <w:tr>
        <w:tblPrEx>
          <w:shd w:val="clear" w:color="auto" w:fill="auto"/>
          <w:tblCellMar>
            <w:top w:w="0" w:type="dxa"/>
            <w:left w:w="0" w:type="dxa"/>
            <w:bottom w:w="0" w:type="dxa"/>
            <w:right w:w="0" w:type="dxa"/>
          </w:tblCellMar>
        </w:tblPrEx>
        <w:trPr>
          <w:trHeight w:val="12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105410</wp:posOffset>
                  </wp:positionH>
                  <wp:positionV relativeFrom="paragraph">
                    <wp:posOffset>125095</wp:posOffset>
                  </wp:positionV>
                  <wp:extent cx="833120" cy="535940"/>
                  <wp:effectExtent l="0" t="0" r="5080" b="16510"/>
                  <wp:wrapNone/>
                  <wp:docPr id="11" name="图片_3_SpCnt_1"/>
                  <wp:cNvGraphicFramePr/>
                  <a:graphic xmlns:a="http://schemas.openxmlformats.org/drawingml/2006/main">
                    <a:graphicData uri="http://schemas.openxmlformats.org/drawingml/2006/picture">
                      <pic:pic xmlns:pic="http://schemas.openxmlformats.org/drawingml/2006/picture">
                        <pic:nvPicPr>
                          <pic:cNvPr id="11" name="图片_3_SpCnt_1"/>
                          <pic:cNvPicPr/>
                        </pic:nvPicPr>
                        <pic:blipFill>
                          <a:blip r:embed="rId37"/>
                          <a:stretch>
                            <a:fillRect/>
                          </a:stretch>
                        </pic:blipFill>
                        <pic:spPr>
                          <a:xfrm>
                            <a:off x="0" y="0"/>
                            <a:ext cx="833120" cy="53594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光纤熔接盒（含尾纤）</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24芯机架式</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海奈</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只</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r>
      <w:tr>
        <w:tblPrEx>
          <w:shd w:val="clear" w:color="auto" w:fill="auto"/>
          <w:tblCellMar>
            <w:top w:w="0" w:type="dxa"/>
            <w:left w:w="0" w:type="dxa"/>
            <w:bottom w:w="0" w:type="dxa"/>
            <w:right w:w="0" w:type="dxa"/>
          </w:tblCellMar>
        </w:tblPrEx>
        <w:trPr>
          <w:trHeight w:val="141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105410</wp:posOffset>
                  </wp:positionH>
                  <wp:positionV relativeFrom="paragraph">
                    <wp:posOffset>209550</wp:posOffset>
                  </wp:positionV>
                  <wp:extent cx="767715" cy="410210"/>
                  <wp:effectExtent l="0" t="0" r="13335" b="8890"/>
                  <wp:wrapNone/>
                  <wp:docPr id="32" name="图片_1_SpCnt_1"/>
                  <wp:cNvGraphicFramePr/>
                  <a:graphic xmlns:a="http://schemas.openxmlformats.org/drawingml/2006/main">
                    <a:graphicData uri="http://schemas.openxmlformats.org/drawingml/2006/picture">
                      <pic:pic xmlns:pic="http://schemas.openxmlformats.org/drawingml/2006/picture">
                        <pic:nvPicPr>
                          <pic:cNvPr id="32" name="图片_1_SpCnt_1"/>
                          <pic:cNvPicPr/>
                        </pic:nvPicPr>
                        <pic:blipFill>
                          <a:blip r:embed="rId38"/>
                          <a:stretch>
                            <a:fillRect/>
                          </a:stretch>
                        </pic:blipFill>
                        <pic:spPr>
                          <a:xfrm>
                            <a:off x="0" y="0"/>
                            <a:ext cx="767715" cy="41021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光纤熔接盒（含尾纤）</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四芯</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海奈</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只</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r>
      <w:tr>
        <w:tblPrEx>
          <w:tblCellMar>
            <w:top w:w="0" w:type="dxa"/>
            <w:left w:w="0" w:type="dxa"/>
            <w:bottom w:w="0" w:type="dxa"/>
            <w:right w:w="0" w:type="dxa"/>
          </w:tblCellMar>
        </w:tblPrEx>
        <w:trPr>
          <w:trHeight w:val="141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76835</wp:posOffset>
                  </wp:positionH>
                  <wp:positionV relativeFrom="paragraph">
                    <wp:posOffset>160655</wp:posOffset>
                  </wp:positionV>
                  <wp:extent cx="756285" cy="454660"/>
                  <wp:effectExtent l="0" t="0" r="5715" b="2540"/>
                  <wp:wrapNone/>
                  <wp:docPr id="33" name="图片_8"/>
                  <wp:cNvGraphicFramePr/>
                  <a:graphic xmlns:a="http://schemas.openxmlformats.org/drawingml/2006/main">
                    <a:graphicData uri="http://schemas.openxmlformats.org/drawingml/2006/picture">
                      <pic:pic xmlns:pic="http://schemas.openxmlformats.org/drawingml/2006/picture">
                        <pic:nvPicPr>
                          <pic:cNvPr id="33" name="图片_8"/>
                          <pic:cNvPicPr/>
                        </pic:nvPicPr>
                        <pic:blipFill>
                          <a:blip r:embed="rId39"/>
                          <a:stretch>
                            <a:fillRect/>
                          </a:stretch>
                        </pic:blipFill>
                        <pic:spPr>
                          <a:xfrm>
                            <a:off x="0" y="0"/>
                            <a:ext cx="756285" cy="45466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光纤熔接（含单芯跳线）</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标准</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标准</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芯</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w:t>
            </w:r>
          </w:p>
        </w:tc>
      </w:tr>
      <w:tr>
        <w:tblPrEx>
          <w:shd w:val="clear" w:color="auto" w:fill="auto"/>
          <w:tblCellMar>
            <w:top w:w="0" w:type="dxa"/>
            <w:left w:w="0" w:type="dxa"/>
            <w:bottom w:w="0" w:type="dxa"/>
            <w:right w:w="0" w:type="dxa"/>
          </w:tblCellMar>
        </w:tblPrEx>
        <w:trPr>
          <w:trHeight w:val="141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152400</wp:posOffset>
                  </wp:positionH>
                  <wp:positionV relativeFrom="paragraph">
                    <wp:posOffset>94615</wp:posOffset>
                  </wp:positionV>
                  <wp:extent cx="687070" cy="645160"/>
                  <wp:effectExtent l="0" t="0" r="17780" b="2540"/>
                  <wp:wrapNone/>
                  <wp:docPr id="17" name="图片_5"/>
                  <wp:cNvGraphicFramePr/>
                  <a:graphic xmlns:a="http://schemas.openxmlformats.org/drawingml/2006/main">
                    <a:graphicData uri="http://schemas.openxmlformats.org/drawingml/2006/picture">
                      <pic:pic xmlns:pic="http://schemas.openxmlformats.org/drawingml/2006/picture">
                        <pic:nvPicPr>
                          <pic:cNvPr id="17" name="图片_5"/>
                          <pic:cNvPicPr/>
                        </pic:nvPicPr>
                        <pic:blipFill>
                          <a:blip r:embed="rId40"/>
                          <a:stretch>
                            <a:fillRect/>
                          </a:stretch>
                        </pic:blipFill>
                        <pic:spPr>
                          <a:xfrm>
                            <a:off x="0" y="0"/>
                            <a:ext cx="687070" cy="64516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机柜内多路电源模块一套（10路）</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标准</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正泰</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套</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r>
      <w:tr>
        <w:tblPrEx>
          <w:shd w:val="clear" w:color="auto" w:fill="auto"/>
          <w:tblCellMar>
            <w:top w:w="0" w:type="dxa"/>
            <w:left w:w="0" w:type="dxa"/>
            <w:bottom w:w="0" w:type="dxa"/>
            <w:right w:w="0" w:type="dxa"/>
          </w:tblCellMar>
        </w:tblPrEx>
        <w:trPr>
          <w:trHeight w:val="136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133350</wp:posOffset>
                  </wp:positionH>
                  <wp:positionV relativeFrom="paragraph">
                    <wp:posOffset>114935</wp:posOffset>
                  </wp:positionV>
                  <wp:extent cx="824230" cy="680085"/>
                  <wp:effectExtent l="0" t="0" r="13970" b="5715"/>
                  <wp:wrapNone/>
                  <wp:docPr id="34" name="图片_4"/>
                  <wp:cNvGraphicFramePr/>
                  <a:graphic xmlns:a="http://schemas.openxmlformats.org/drawingml/2006/main">
                    <a:graphicData uri="http://schemas.openxmlformats.org/drawingml/2006/picture">
                      <pic:pic xmlns:pic="http://schemas.openxmlformats.org/drawingml/2006/picture">
                        <pic:nvPicPr>
                          <pic:cNvPr id="34" name="图片_4"/>
                          <pic:cNvPicPr/>
                        </pic:nvPicPr>
                        <pic:blipFill>
                          <a:blip r:embed="rId41"/>
                          <a:stretch>
                            <a:fillRect/>
                          </a:stretch>
                        </pic:blipFill>
                        <pic:spPr>
                          <a:xfrm>
                            <a:off x="0" y="0"/>
                            <a:ext cx="824230" cy="68008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电源</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12V20A</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德力西</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块</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r>
      <w:tr>
        <w:tblPrEx>
          <w:tblCellMar>
            <w:top w:w="0" w:type="dxa"/>
            <w:left w:w="0" w:type="dxa"/>
            <w:bottom w:w="0" w:type="dxa"/>
            <w:right w:w="0" w:type="dxa"/>
          </w:tblCellMar>
        </w:tblPrEx>
        <w:trPr>
          <w:trHeight w:val="142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448945</wp:posOffset>
                  </wp:positionH>
                  <wp:positionV relativeFrom="paragraph">
                    <wp:posOffset>109220</wp:posOffset>
                  </wp:positionV>
                  <wp:extent cx="400685" cy="755015"/>
                  <wp:effectExtent l="0" t="0" r="18415" b="6985"/>
                  <wp:wrapNone/>
                  <wp:docPr id="35" name="图片_3_SpCnt_2"/>
                  <wp:cNvGraphicFramePr/>
                  <a:graphic xmlns:a="http://schemas.openxmlformats.org/drawingml/2006/main">
                    <a:graphicData uri="http://schemas.openxmlformats.org/drawingml/2006/picture">
                      <pic:pic xmlns:pic="http://schemas.openxmlformats.org/drawingml/2006/picture">
                        <pic:nvPicPr>
                          <pic:cNvPr id="35" name="图片_3_SpCnt_2"/>
                          <pic:cNvPicPr/>
                        </pic:nvPicPr>
                        <pic:blipFill>
                          <a:blip r:embed="rId42"/>
                          <a:stretch>
                            <a:fillRect/>
                          </a:stretch>
                        </pic:blipFill>
                        <pic:spPr>
                          <a:xfrm>
                            <a:off x="0" y="0"/>
                            <a:ext cx="400685" cy="75501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室内服务器2米标准机柜</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600*800*2000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图腾</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个</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r>
      <w:tr>
        <w:tblPrEx>
          <w:tblCellMar>
            <w:top w:w="0" w:type="dxa"/>
            <w:left w:w="0" w:type="dxa"/>
            <w:bottom w:w="0" w:type="dxa"/>
            <w:right w:w="0" w:type="dxa"/>
          </w:tblCellMar>
        </w:tblPrEx>
        <w:trPr>
          <w:trHeight w:val="142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172085</wp:posOffset>
                  </wp:positionH>
                  <wp:positionV relativeFrom="paragraph">
                    <wp:posOffset>172720</wp:posOffset>
                  </wp:positionV>
                  <wp:extent cx="1029335" cy="610235"/>
                  <wp:effectExtent l="0" t="0" r="18415" b="18415"/>
                  <wp:wrapNone/>
                  <wp:docPr id="37" name="图片_12"/>
                  <wp:cNvGraphicFramePr/>
                  <a:graphic xmlns:a="http://schemas.openxmlformats.org/drawingml/2006/main">
                    <a:graphicData uri="http://schemas.openxmlformats.org/drawingml/2006/picture">
                      <pic:pic xmlns:pic="http://schemas.openxmlformats.org/drawingml/2006/picture">
                        <pic:nvPicPr>
                          <pic:cNvPr id="37" name="图片_12"/>
                          <pic:cNvPicPr/>
                        </pic:nvPicPr>
                        <pic:blipFill>
                          <a:blip r:embed="rId43"/>
                          <a:stretch>
                            <a:fillRect/>
                          </a:stretch>
                        </pic:blipFill>
                        <pic:spPr>
                          <a:xfrm>
                            <a:off x="0" y="0"/>
                            <a:ext cx="1029335" cy="610235"/>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室外监控信号线</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无氧UTP5</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lang w:eastAsia="zh-CN"/>
              </w:rPr>
            </w:pPr>
            <w:r>
              <w:rPr>
                <w:rFonts w:hint="eastAsia" w:ascii="宋体" w:hAnsi="宋体" w:cs="宋体"/>
                <w:i w:val="0"/>
                <w:color w:val="auto"/>
                <w:sz w:val="20"/>
                <w:szCs w:val="20"/>
                <w:u w:val="none"/>
                <w:lang w:eastAsia="zh-CN"/>
              </w:rPr>
              <w:t>国标无氧化铜线</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箱</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r>
      <w:tr>
        <w:tblPrEx>
          <w:shd w:val="clear" w:color="auto" w:fill="auto"/>
          <w:tblCellMar>
            <w:top w:w="0" w:type="dxa"/>
            <w:left w:w="0" w:type="dxa"/>
            <w:bottom w:w="0" w:type="dxa"/>
            <w:right w:w="0" w:type="dxa"/>
          </w:tblCellMar>
        </w:tblPrEx>
        <w:trPr>
          <w:trHeight w:val="12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257175</wp:posOffset>
                  </wp:positionH>
                  <wp:positionV relativeFrom="paragraph">
                    <wp:posOffset>154940</wp:posOffset>
                  </wp:positionV>
                  <wp:extent cx="762000" cy="580390"/>
                  <wp:effectExtent l="0" t="0" r="0" b="10160"/>
                  <wp:wrapNone/>
                  <wp:docPr id="36" name="Picture_41"/>
                  <wp:cNvGraphicFramePr/>
                  <a:graphic xmlns:a="http://schemas.openxmlformats.org/drawingml/2006/main">
                    <a:graphicData uri="http://schemas.openxmlformats.org/drawingml/2006/picture">
                      <pic:pic xmlns:pic="http://schemas.openxmlformats.org/drawingml/2006/picture">
                        <pic:nvPicPr>
                          <pic:cNvPr id="36" name="Picture_41"/>
                          <pic:cNvPicPr/>
                        </pic:nvPicPr>
                        <pic:blipFill>
                          <a:blip r:embed="rId44"/>
                          <a:stretch>
                            <a:fillRect/>
                          </a:stretch>
                        </pic:blipFill>
                        <pic:spPr>
                          <a:xfrm>
                            <a:off x="0" y="0"/>
                            <a:ext cx="762000" cy="58039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监控220V主电源线</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RVV3*2.5</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cs="宋体"/>
                <w:i w:val="0"/>
                <w:color w:val="auto"/>
                <w:sz w:val="20"/>
                <w:szCs w:val="20"/>
                <w:u w:val="none"/>
                <w:lang w:eastAsia="zh-CN"/>
              </w:rPr>
              <w:t>国标无氧化铜线</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米</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500</w:t>
            </w:r>
          </w:p>
        </w:tc>
      </w:tr>
      <w:tr>
        <w:tblPrEx>
          <w:shd w:val="clear" w:color="auto" w:fill="auto"/>
          <w:tblCellMar>
            <w:top w:w="0" w:type="dxa"/>
            <w:left w:w="0" w:type="dxa"/>
            <w:bottom w:w="0" w:type="dxa"/>
            <w:right w:w="0" w:type="dxa"/>
          </w:tblCellMar>
        </w:tblPrEx>
        <w:trPr>
          <w:trHeight w:val="12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162560</wp:posOffset>
                  </wp:positionV>
                  <wp:extent cx="762635" cy="584200"/>
                  <wp:effectExtent l="0" t="0" r="18415" b="6350"/>
                  <wp:wrapNone/>
                  <wp:docPr id="39" name="Picture_41_SpCnt_1"/>
                  <wp:cNvGraphicFramePr/>
                  <a:graphic xmlns:a="http://schemas.openxmlformats.org/drawingml/2006/main">
                    <a:graphicData uri="http://schemas.openxmlformats.org/drawingml/2006/picture">
                      <pic:pic xmlns:pic="http://schemas.openxmlformats.org/drawingml/2006/picture">
                        <pic:nvPicPr>
                          <pic:cNvPr id="39" name="Picture_41_SpCnt_1"/>
                          <pic:cNvPicPr/>
                        </pic:nvPicPr>
                        <pic:blipFill>
                          <a:blip r:embed="rId45"/>
                          <a:stretch>
                            <a:fillRect/>
                          </a:stretch>
                        </pic:blipFill>
                        <pic:spPr>
                          <a:xfrm>
                            <a:off x="0" y="0"/>
                            <a:ext cx="762635" cy="58420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监控电源线</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RVV2*1.5</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cs="宋体"/>
                <w:i w:val="0"/>
                <w:color w:val="auto"/>
                <w:sz w:val="20"/>
                <w:szCs w:val="20"/>
                <w:u w:val="none"/>
                <w:lang w:eastAsia="zh-CN"/>
              </w:rPr>
              <w:t>国标无氧化铜线</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米</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500</w:t>
            </w:r>
          </w:p>
        </w:tc>
      </w:tr>
      <w:tr>
        <w:tblPrEx>
          <w:shd w:val="clear" w:color="auto" w:fill="auto"/>
          <w:tblCellMar>
            <w:top w:w="0" w:type="dxa"/>
            <w:left w:w="0" w:type="dxa"/>
            <w:bottom w:w="0" w:type="dxa"/>
            <w:right w:w="0" w:type="dxa"/>
          </w:tblCellMar>
        </w:tblPrEx>
        <w:trPr>
          <w:trHeight w:val="12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38100</wp:posOffset>
                  </wp:positionH>
                  <wp:positionV relativeFrom="paragraph">
                    <wp:posOffset>134620</wp:posOffset>
                  </wp:positionV>
                  <wp:extent cx="1019810" cy="617220"/>
                  <wp:effectExtent l="0" t="0" r="8890" b="11430"/>
                  <wp:wrapNone/>
                  <wp:docPr id="38" name="图片_6_SpCnt_1"/>
                  <wp:cNvGraphicFramePr/>
                  <a:graphic xmlns:a="http://schemas.openxmlformats.org/drawingml/2006/main">
                    <a:graphicData uri="http://schemas.openxmlformats.org/drawingml/2006/picture">
                      <pic:pic xmlns:pic="http://schemas.openxmlformats.org/drawingml/2006/picture">
                        <pic:nvPicPr>
                          <pic:cNvPr id="38" name="图片_6_SpCnt_1"/>
                          <pic:cNvPicPr/>
                        </pic:nvPicPr>
                        <pic:blipFill>
                          <a:blip r:embed="rId46"/>
                          <a:stretch>
                            <a:fillRect/>
                          </a:stretch>
                        </pic:blipFill>
                        <pic:spPr>
                          <a:xfrm>
                            <a:off x="0" y="0"/>
                            <a:ext cx="1019810" cy="617220"/>
                          </a:xfrm>
                          <a:prstGeom prst="rect">
                            <a:avLst/>
                          </a:prstGeom>
                          <a:noFill/>
                          <a:ln>
                            <a:noFill/>
                          </a:ln>
                        </pic:spPr>
                      </pic:pic>
                    </a:graphicData>
                  </a:graphic>
                </wp:anchor>
              </w:drawing>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PVC管(含配件）</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直径16-20</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公元</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米</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300</w:t>
            </w:r>
          </w:p>
        </w:tc>
      </w:tr>
      <w:tr>
        <w:tblPrEx>
          <w:tblCellMar>
            <w:top w:w="0" w:type="dxa"/>
            <w:left w:w="0" w:type="dxa"/>
            <w:bottom w:w="0" w:type="dxa"/>
            <w:right w:w="0"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辅材</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批</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r>
    </w:tbl>
    <w:p>
      <w:pPr>
        <w:rPr>
          <w:color w:val="auto"/>
          <w:szCs w:val="21"/>
        </w:rPr>
      </w:pPr>
    </w:p>
    <w:p>
      <w:pPr>
        <w:rPr>
          <w:rFonts w:hint="eastAsia"/>
          <w:color w:val="auto"/>
          <w:lang w:val="en-US" w:eastAsia="zh-CN"/>
        </w:rPr>
      </w:pPr>
      <w:r>
        <w:rPr>
          <w:rFonts w:hint="eastAsia"/>
          <w:color w:val="auto"/>
          <w:lang w:eastAsia="zh-CN"/>
        </w:rPr>
        <w:t>注：</w:t>
      </w:r>
      <w:r>
        <w:rPr>
          <w:rFonts w:hint="eastAsia"/>
          <w:color w:val="auto"/>
          <w:lang w:val="en-US" w:eastAsia="zh-CN"/>
        </w:rPr>
        <w:t>所投标安防主要设备、线缆均需提供合格证、检验报告；</w:t>
      </w:r>
    </w:p>
    <w:p>
      <w:pPr>
        <w:pStyle w:val="2"/>
        <w:rPr>
          <w:rFonts w:hint="default"/>
          <w:color w:val="auto"/>
          <w:lang w:val="en-US" w:eastAsia="zh-CN"/>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0490" cy="262890"/>
              <wp:effectExtent l="0" t="0" r="0" b="0"/>
              <wp:wrapNone/>
              <wp:docPr id="41" name="文本框 1"/>
              <wp:cNvGraphicFramePr/>
              <a:graphic xmlns:a="http://schemas.openxmlformats.org/drawingml/2006/main">
                <a:graphicData uri="http://schemas.microsoft.com/office/word/2010/wordprocessingShape">
                  <wps:wsp>
                    <wps:cNvSpPr txBox="1"/>
                    <wps:spPr>
                      <a:xfrm>
                        <a:off x="0" y="0"/>
                        <a:ext cx="110490" cy="262890"/>
                      </a:xfrm>
                      <a:prstGeom prst="rect">
                        <a:avLst/>
                      </a:prstGeom>
                      <a:noFill/>
                      <a:ln>
                        <a:noFill/>
                      </a:ln>
                      <a:effectLst/>
                    </wps:spPr>
                    <wps:txbx>
                      <w:txbxContent>
                        <w:p>
                          <w:pPr>
                            <w:pStyle w:val="8"/>
                          </w:pPr>
                          <w:r>
                            <w:fldChar w:fldCharType="begin"/>
                          </w:r>
                          <w:r>
                            <w:instrText xml:space="preserve"> PAGE  \* MERGEFORMAT </w:instrText>
                          </w:r>
                          <w:r>
                            <w:fldChar w:fldCharType="separate"/>
                          </w:r>
                          <w:r>
                            <w:t>24</w:t>
                          </w:r>
                          <w: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20.7pt;width:8.7pt;mso-position-horizontal:center;mso-position-horizontal-relative:margin;mso-wrap-style:none;z-index:251661312;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1TYZf9EAAAADAQAADwAAAAAAAAABACAAAAAiAAAAZHJz&#10;L2Rvd25yZXYueG1sUEsBAhQAFAAAAAgAh07iQL2SqNvSAQAApgMAAA4AAAAAAAAAAQAgAAAAIAEA&#10;AGRycy9lMm9Eb2MueG1sUEsFBgAAAAAGAAYAWQEAAGQ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0490" cy="262890"/>
              <wp:effectExtent l="0" t="0" r="0" b="0"/>
              <wp:wrapNone/>
              <wp:docPr id="40" name="文本框 1"/>
              <wp:cNvGraphicFramePr/>
              <a:graphic xmlns:a="http://schemas.openxmlformats.org/drawingml/2006/main">
                <a:graphicData uri="http://schemas.microsoft.com/office/word/2010/wordprocessingShape">
                  <wps:wsp>
                    <wps:cNvSpPr txBox="1"/>
                    <wps:spPr>
                      <a:xfrm>
                        <a:off x="0" y="0"/>
                        <a:ext cx="110490" cy="262890"/>
                      </a:xfrm>
                      <a:prstGeom prst="rect">
                        <a:avLst/>
                      </a:prstGeom>
                      <a:noFill/>
                      <a:ln>
                        <a:noFill/>
                      </a:ln>
                      <a:effectLst/>
                    </wps:spPr>
                    <wps:txbx>
                      <w:txbxContent>
                        <w:p>
                          <w:pPr>
                            <w:pStyle w:val="8"/>
                          </w:pPr>
                          <w:r>
                            <w:fldChar w:fldCharType="begin"/>
                          </w:r>
                          <w:r>
                            <w:instrText xml:space="preserve"> PAGE  \* MERGEFORMAT </w:instrText>
                          </w:r>
                          <w:r>
                            <w:fldChar w:fldCharType="separate"/>
                          </w:r>
                          <w:r>
                            <w:t>25</w:t>
                          </w:r>
                          <w: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20.7pt;width:8.7pt;mso-position-horizontal:center;mso-position-horizontal-relative:margin;mso-wrap-style:none;z-index:251660288;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VNhl/0QAAAAMBAAAPAAAAAAAAAAEAIAAAACIAAABkcnMv&#10;ZG93bnJldi54bWxQSwECFAAUAAAACACHTuJArAUyQdEBAACmAwAADgAAAAAAAAABACAAAAAgAQAA&#10;ZHJzL2Uyb0RvYy54bWxQSwUGAAAAAAYABgBZAQAAYwU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25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28E01C"/>
    <w:multiLevelType w:val="singleLevel"/>
    <w:tmpl w:val="B328E01C"/>
    <w:lvl w:ilvl="0" w:tentative="0">
      <w:start w:val="1"/>
      <w:numFmt w:val="bullet"/>
      <w:pStyle w:val="6"/>
      <w:lvlText w:val=""/>
      <w:lvlJc w:val="left"/>
      <w:pPr>
        <w:tabs>
          <w:tab w:val="left" w:pos="780"/>
        </w:tabs>
        <w:ind w:left="780" w:hanging="360"/>
      </w:pPr>
      <w:rPr>
        <w:rFonts w:hint="default" w:ascii="Wingdings" w:hAnsi="Wingdings"/>
      </w:rPr>
    </w:lvl>
  </w:abstractNum>
  <w:abstractNum w:abstractNumId="1">
    <w:nsid w:val="0000000B"/>
    <w:multiLevelType w:val="multilevel"/>
    <w:tmpl w:val="0000000B"/>
    <w:lvl w:ilvl="0" w:tentative="0">
      <w:start w:val="1"/>
      <w:numFmt w:val="decimal"/>
      <w:lvlText w:val="19.%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C"/>
    <w:multiLevelType w:val="multilevel"/>
    <w:tmpl w:val="0000000C"/>
    <w:lvl w:ilvl="0" w:tentative="0">
      <w:start w:val="1"/>
      <w:numFmt w:val="decimal"/>
      <w:lvlText w:val="15.1.%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D"/>
    <w:multiLevelType w:val="multilevel"/>
    <w:tmpl w:val="0000000D"/>
    <w:lvl w:ilvl="0" w:tentative="0">
      <w:start w:val="1"/>
      <w:numFmt w:val="decimal"/>
      <w:lvlText w:val="7.%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11"/>
    <w:multiLevelType w:val="multilevel"/>
    <w:tmpl w:val="00000011"/>
    <w:lvl w:ilvl="0" w:tentative="0">
      <w:start w:val="1"/>
      <w:numFmt w:val="decimal"/>
      <w:lvlText w:val="10.%1"/>
      <w:lvlJc w:val="left"/>
      <w:pPr>
        <w:tabs>
          <w:tab w:val="left" w:pos="900"/>
        </w:tabs>
        <w:ind w:left="90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12"/>
    <w:multiLevelType w:val="multilevel"/>
    <w:tmpl w:val="00000012"/>
    <w:lvl w:ilvl="0" w:tentative="0">
      <w:start w:val="1"/>
      <w:numFmt w:val="decimal"/>
      <w:lvlText w:val="8.%1"/>
      <w:lvlJc w:val="left"/>
      <w:pPr>
        <w:tabs>
          <w:tab w:val="left" w:pos="900"/>
        </w:tabs>
        <w:ind w:left="900" w:hanging="360"/>
      </w:pPr>
      <w:rPr>
        <w:rFonts w:hint="eastAsia" w:ascii="宋体" w:hAnsi="宋体" w:eastAsia="宋体"/>
        <w:b w:val="0"/>
        <w:i w:val="0"/>
        <w:sz w:val="24"/>
        <w:szCs w:val="24"/>
      </w:rPr>
    </w:lvl>
    <w:lvl w:ilvl="1" w:tentative="0">
      <w:start w:val="1"/>
      <w:numFmt w:val="lowerLetter"/>
      <w:lvlText w:val="%2)"/>
      <w:lvlJc w:val="left"/>
      <w:pPr>
        <w:tabs>
          <w:tab w:val="left" w:pos="660"/>
        </w:tabs>
        <w:ind w:left="660" w:hanging="420"/>
      </w:p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abstractNum w:abstractNumId="6">
    <w:nsid w:val="00000015"/>
    <w:multiLevelType w:val="multilevel"/>
    <w:tmpl w:val="00000015"/>
    <w:lvl w:ilvl="0" w:tentative="0">
      <w:start w:val="1"/>
      <w:numFmt w:val="decimal"/>
      <w:lvlText w:val="18.%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16"/>
    <w:multiLevelType w:val="multilevel"/>
    <w:tmpl w:val="00000016"/>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8">
    <w:nsid w:val="00000017"/>
    <w:multiLevelType w:val="multilevel"/>
    <w:tmpl w:val="00000017"/>
    <w:lvl w:ilvl="0" w:tentative="0">
      <w:start w:val="1"/>
      <w:numFmt w:val="decimal"/>
      <w:lvlText w:val="17.%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0000019"/>
    <w:multiLevelType w:val="multilevel"/>
    <w:tmpl w:val="00000019"/>
    <w:lvl w:ilvl="0" w:tentative="0">
      <w:start w:val="1"/>
      <w:numFmt w:val="decimal"/>
      <w:lvlText w:val="25.%1"/>
      <w:lvlJc w:val="left"/>
      <w:pPr>
        <w:tabs>
          <w:tab w:val="left" w:pos="1080"/>
        </w:tabs>
        <w:ind w:left="1080" w:hanging="360"/>
      </w:pPr>
      <w:rPr>
        <w:rFonts w:hint="eastAsia" w:ascii="宋体" w:hAnsi="宋体" w:eastAsia="宋体"/>
        <w:b w:val="0"/>
        <w:i w:val="0"/>
        <w:sz w:val="24"/>
        <w:szCs w:val="24"/>
      </w:rPr>
    </w:lvl>
    <w:lvl w:ilvl="1" w:tentative="0">
      <w:start w:val="5"/>
      <w:numFmt w:val="japaneseCounting"/>
      <w:lvlText w:val="第%2章"/>
      <w:lvlJc w:val="left"/>
      <w:pPr>
        <w:tabs>
          <w:tab w:val="left" w:pos="1860"/>
        </w:tabs>
        <w:ind w:left="1860" w:hanging="144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0000001A"/>
    <w:multiLevelType w:val="multilevel"/>
    <w:tmpl w:val="0000001A"/>
    <w:lvl w:ilvl="0" w:tentative="0">
      <w:start w:val="1"/>
      <w:numFmt w:val="decimal"/>
      <w:lvlText w:val="16.%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0000001E"/>
    <w:multiLevelType w:val="multilevel"/>
    <w:tmpl w:val="0000001E"/>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12">
    <w:nsid w:val="00000020"/>
    <w:multiLevelType w:val="multilevel"/>
    <w:tmpl w:val="00000020"/>
    <w:lvl w:ilvl="0" w:tentative="0">
      <w:start w:val="1"/>
      <w:numFmt w:val="decimal"/>
      <w:lvlText w:val="13.%1"/>
      <w:lvlJc w:val="left"/>
      <w:pPr>
        <w:tabs>
          <w:tab w:val="left" w:pos="900"/>
        </w:tabs>
        <w:ind w:left="90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00000021"/>
    <w:multiLevelType w:val="multilevel"/>
    <w:tmpl w:val="00000021"/>
    <w:lvl w:ilvl="0" w:tentative="0">
      <w:start w:val="1"/>
      <w:numFmt w:val="decimal"/>
      <w:lvlText w:val="4.%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00000025"/>
    <w:multiLevelType w:val="multilevel"/>
    <w:tmpl w:val="00000025"/>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15">
    <w:nsid w:val="00000028"/>
    <w:multiLevelType w:val="multilevel"/>
    <w:tmpl w:val="00000028"/>
    <w:lvl w:ilvl="0" w:tentative="0">
      <w:start w:val="1"/>
      <w:numFmt w:val="decimal"/>
      <w:lvlText w:val="14.%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00000029"/>
    <w:multiLevelType w:val="multilevel"/>
    <w:tmpl w:val="00000029"/>
    <w:lvl w:ilvl="0" w:tentative="0">
      <w:start w:val="1"/>
      <w:numFmt w:val="decimal"/>
      <w:lvlText w:val="27.%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0000002A"/>
    <w:multiLevelType w:val="multilevel"/>
    <w:tmpl w:val="0000002A"/>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18">
    <w:nsid w:val="0000002E"/>
    <w:multiLevelType w:val="multilevel"/>
    <w:tmpl w:val="0000002E"/>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0000002F"/>
    <w:multiLevelType w:val="multilevel"/>
    <w:tmpl w:val="0000002F"/>
    <w:lvl w:ilvl="0" w:tentative="0">
      <w:start w:val="1"/>
      <w:numFmt w:val="decimal"/>
      <w:lvlText w:val="11.%1"/>
      <w:lvlJc w:val="left"/>
      <w:pPr>
        <w:tabs>
          <w:tab w:val="left" w:pos="900"/>
        </w:tabs>
        <w:ind w:left="90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00000030"/>
    <w:multiLevelType w:val="multilevel"/>
    <w:tmpl w:val="00000030"/>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00000031"/>
    <w:multiLevelType w:val="multilevel"/>
    <w:tmpl w:val="00000031"/>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22">
    <w:nsid w:val="00000032"/>
    <w:multiLevelType w:val="multilevel"/>
    <w:tmpl w:val="00000032"/>
    <w:lvl w:ilvl="0" w:tentative="0">
      <w:start w:val="1"/>
      <w:numFmt w:val="decimal"/>
      <w:lvlText w:val="20.%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00000034"/>
    <w:multiLevelType w:val="multilevel"/>
    <w:tmpl w:val="00000034"/>
    <w:lvl w:ilvl="0" w:tentative="0">
      <w:start w:val="1"/>
      <w:numFmt w:val="decimal"/>
      <w:lvlText w:val="15.%1"/>
      <w:lvlJc w:val="left"/>
      <w:pPr>
        <w:tabs>
          <w:tab w:val="left" w:pos="1080"/>
        </w:tabs>
        <w:ind w:left="1080" w:hanging="360"/>
      </w:pPr>
      <w:rPr>
        <w:rFonts w:hint="eastAsia" w:ascii="宋体" w:hAnsi="宋体"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00000035"/>
    <w:multiLevelType w:val="multilevel"/>
    <w:tmpl w:val="00000035"/>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25">
    <w:nsid w:val="00000036"/>
    <w:multiLevelType w:val="multilevel"/>
    <w:tmpl w:val="00000036"/>
    <w:lvl w:ilvl="0" w:tentative="0">
      <w:start w:val="1"/>
      <w:numFmt w:val="decimal"/>
      <w:lvlText w:val="（%1）"/>
      <w:lvlJc w:val="left"/>
      <w:pPr>
        <w:tabs>
          <w:tab w:val="left" w:pos="960"/>
        </w:tabs>
        <w:ind w:left="960" w:hanging="420"/>
      </w:pPr>
      <w:rPr>
        <w:rFonts w:hint="eastAsia"/>
      </w:rPr>
    </w:lvl>
    <w:lvl w:ilvl="1" w:tentative="0">
      <w:start w:val="1"/>
      <w:numFmt w:val="lowerLetter"/>
      <w:lvlText w:val="%2)"/>
      <w:lvlJc w:val="left"/>
      <w:pPr>
        <w:tabs>
          <w:tab w:val="left" w:pos="679"/>
        </w:tabs>
        <w:ind w:left="679" w:hanging="420"/>
      </w:pPr>
    </w:lvl>
    <w:lvl w:ilvl="2" w:tentative="0">
      <w:start w:val="1"/>
      <w:numFmt w:val="lowerRoman"/>
      <w:lvlText w:val="%3."/>
      <w:lvlJc w:val="right"/>
      <w:pPr>
        <w:tabs>
          <w:tab w:val="left" w:pos="1099"/>
        </w:tabs>
        <w:ind w:left="1099" w:hanging="420"/>
      </w:pPr>
    </w:lvl>
    <w:lvl w:ilvl="3" w:tentative="0">
      <w:start w:val="1"/>
      <w:numFmt w:val="decimal"/>
      <w:lvlText w:val="%4."/>
      <w:lvlJc w:val="left"/>
      <w:pPr>
        <w:tabs>
          <w:tab w:val="left" w:pos="1519"/>
        </w:tabs>
        <w:ind w:left="1519" w:hanging="420"/>
      </w:pPr>
    </w:lvl>
    <w:lvl w:ilvl="4" w:tentative="0">
      <w:start w:val="1"/>
      <w:numFmt w:val="lowerLetter"/>
      <w:lvlText w:val="%5)"/>
      <w:lvlJc w:val="left"/>
      <w:pPr>
        <w:tabs>
          <w:tab w:val="left" w:pos="1939"/>
        </w:tabs>
        <w:ind w:left="1939" w:hanging="420"/>
      </w:pPr>
    </w:lvl>
    <w:lvl w:ilvl="5" w:tentative="0">
      <w:start w:val="1"/>
      <w:numFmt w:val="lowerRoman"/>
      <w:lvlText w:val="%6."/>
      <w:lvlJc w:val="right"/>
      <w:pPr>
        <w:tabs>
          <w:tab w:val="left" w:pos="2359"/>
        </w:tabs>
        <w:ind w:left="2359" w:hanging="420"/>
      </w:pPr>
    </w:lvl>
    <w:lvl w:ilvl="6" w:tentative="0">
      <w:start w:val="1"/>
      <w:numFmt w:val="decimal"/>
      <w:lvlText w:val="%7."/>
      <w:lvlJc w:val="left"/>
      <w:pPr>
        <w:tabs>
          <w:tab w:val="left" w:pos="2779"/>
        </w:tabs>
        <w:ind w:left="2779" w:hanging="420"/>
      </w:pPr>
    </w:lvl>
    <w:lvl w:ilvl="7" w:tentative="0">
      <w:start w:val="1"/>
      <w:numFmt w:val="lowerLetter"/>
      <w:lvlText w:val="%8)"/>
      <w:lvlJc w:val="left"/>
      <w:pPr>
        <w:tabs>
          <w:tab w:val="left" w:pos="3199"/>
        </w:tabs>
        <w:ind w:left="3199" w:hanging="420"/>
      </w:pPr>
    </w:lvl>
    <w:lvl w:ilvl="8" w:tentative="0">
      <w:start w:val="1"/>
      <w:numFmt w:val="lowerRoman"/>
      <w:lvlText w:val="%9."/>
      <w:lvlJc w:val="right"/>
      <w:pPr>
        <w:tabs>
          <w:tab w:val="left" w:pos="3619"/>
        </w:tabs>
        <w:ind w:left="3619" w:hanging="420"/>
      </w:pPr>
    </w:lvl>
  </w:abstractNum>
  <w:abstractNum w:abstractNumId="26">
    <w:nsid w:val="00000037"/>
    <w:multiLevelType w:val="multilevel"/>
    <w:tmpl w:val="00000037"/>
    <w:lvl w:ilvl="0" w:tentative="0">
      <w:start w:val="1"/>
      <w:numFmt w:val="decimal"/>
      <w:lvlText w:val="6.%1"/>
      <w:lvlJc w:val="left"/>
      <w:pPr>
        <w:tabs>
          <w:tab w:val="left" w:pos="900"/>
        </w:tabs>
        <w:ind w:left="900" w:hanging="360"/>
      </w:pPr>
      <w:rPr>
        <w:rFonts w:hint="eastAsia" w:ascii="宋体" w:hAnsi="宋体" w:eastAsia="宋体"/>
        <w:b w:val="0"/>
        <w:i w:val="0"/>
      </w:rPr>
    </w:lvl>
    <w:lvl w:ilvl="1" w:tentative="0">
      <w:start w:val="1"/>
      <w:numFmt w:val="lowerLetter"/>
      <w:lvlText w:val="%2)"/>
      <w:lvlJc w:val="left"/>
      <w:pPr>
        <w:tabs>
          <w:tab w:val="left" w:pos="660"/>
        </w:tabs>
        <w:ind w:left="660" w:hanging="420"/>
      </w:p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abstractNum w:abstractNumId="27">
    <w:nsid w:val="0000003A"/>
    <w:multiLevelType w:val="multilevel"/>
    <w:tmpl w:val="0000003A"/>
    <w:lvl w:ilvl="0" w:tentative="0">
      <w:start w:val="1"/>
      <w:numFmt w:val="decimal"/>
      <w:lvlText w:val="16.6.%1"/>
      <w:lvlJc w:val="left"/>
      <w:pPr>
        <w:tabs>
          <w:tab w:val="left" w:pos="1080"/>
        </w:tabs>
        <w:ind w:left="1080" w:hanging="360"/>
      </w:pPr>
      <w:rPr>
        <w:rFonts w:hint="eastAsia" w:ascii="宋体" w:hAnsi="宋体" w:eastAsia="宋体"/>
        <w:b w:val="0"/>
        <w:i w:val="0"/>
        <w:sz w:val="24"/>
        <w:szCs w:val="24"/>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27467021"/>
    <w:multiLevelType w:val="multilevel"/>
    <w:tmpl w:val="27467021"/>
    <w:lvl w:ilvl="0" w:tentative="0">
      <w:start w:val="2"/>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9">
    <w:nsid w:val="2B5F13CB"/>
    <w:multiLevelType w:val="singleLevel"/>
    <w:tmpl w:val="2B5F13CB"/>
    <w:lvl w:ilvl="0" w:tentative="0">
      <w:start w:val="1"/>
      <w:numFmt w:val="decimal"/>
      <w:lvlText w:val="%1．"/>
      <w:lvlJc w:val="left"/>
      <w:pPr>
        <w:tabs>
          <w:tab w:val="left" w:pos="1080"/>
        </w:tabs>
        <w:ind w:left="1080" w:hanging="360"/>
      </w:pPr>
    </w:lvl>
  </w:abstractNum>
  <w:abstractNum w:abstractNumId="30">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31">
    <w:nsid w:val="5CDC1658"/>
    <w:multiLevelType w:val="singleLevel"/>
    <w:tmpl w:val="5CDC1658"/>
    <w:lvl w:ilvl="0" w:tentative="0">
      <w:start w:val="3"/>
      <w:numFmt w:val="decimal"/>
      <w:suff w:val="nothing"/>
      <w:lvlText w:val="%1．"/>
      <w:lvlJc w:val="left"/>
      <w:pPr>
        <w:ind w:left="300"/>
      </w:pPr>
    </w:lvl>
  </w:abstractNum>
  <w:abstractNum w:abstractNumId="32">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2"/>
  </w:num>
  <w:num w:numId="3">
    <w:abstractNumId w:val="28"/>
  </w:num>
  <w:num w:numId="4">
    <w:abstractNumId w:val="25"/>
  </w:num>
  <w:num w:numId="5">
    <w:abstractNumId w:val="18"/>
  </w:num>
  <w:num w:numId="6">
    <w:abstractNumId w:val="13"/>
  </w:num>
  <w:num w:numId="7">
    <w:abstractNumId w:val="26"/>
  </w:num>
  <w:num w:numId="8">
    <w:abstractNumId w:val="20"/>
  </w:num>
  <w:num w:numId="9">
    <w:abstractNumId w:val="3"/>
  </w:num>
  <w:num w:numId="10">
    <w:abstractNumId w:val="14"/>
  </w:num>
  <w:num w:numId="11">
    <w:abstractNumId w:val="5"/>
  </w:num>
  <w:num w:numId="12">
    <w:abstractNumId w:val="4"/>
  </w:num>
  <w:num w:numId="13">
    <w:abstractNumId w:val="19"/>
  </w:num>
  <w:num w:numId="14">
    <w:abstractNumId w:val="12"/>
  </w:num>
  <w:num w:numId="15">
    <w:abstractNumId w:val="15"/>
  </w:num>
  <w:num w:numId="16">
    <w:abstractNumId w:val="23"/>
  </w:num>
  <w:num w:numId="17">
    <w:abstractNumId w:val="2"/>
  </w:num>
  <w:num w:numId="18">
    <w:abstractNumId w:val="10"/>
  </w:num>
  <w:num w:numId="19">
    <w:abstractNumId w:val="27"/>
  </w:num>
  <w:num w:numId="20">
    <w:abstractNumId w:val="21"/>
  </w:num>
  <w:num w:numId="21">
    <w:abstractNumId w:val="24"/>
  </w:num>
  <w:num w:numId="22">
    <w:abstractNumId w:val="8"/>
  </w:num>
  <w:num w:numId="23">
    <w:abstractNumId w:val="6"/>
  </w:num>
  <w:num w:numId="24">
    <w:abstractNumId w:val="17"/>
  </w:num>
  <w:num w:numId="25">
    <w:abstractNumId w:val="1"/>
  </w:num>
  <w:num w:numId="26">
    <w:abstractNumId w:val="22"/>
  </w:num>
  <w:num w:numId="27">
    <w:abstractNumId w:val="7"/>
  </w:num>
  <w:num w:numId="28">
    <w:abstractNumId w:val="11"/>
  </w:num>
  <w:num w:numId="29">
    <w:abstractNumId w:val="9"/>
  </w:num>
  <w:num w:numId="30">
    <w:abstractNumId w:val="16"/>
  </w:num>
  <w:num w:numId="31">
    <w:abstractNumId w:val="29"/>
    <w:lvlOverride w:ilvl="0">
      <w:startOverride w:val="1"/>
    </w:lvlOverride>
  </w:num>
  <w:num w:numId="32">
    <w:abstractNumId w:val="3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F2F"/>
    <w:rsid w:val="0000111F"/>
    <w:rsid w:val="0000275A"/>
    <w:rsid w:val="00053BF3"/>
    <w:rsid w:val="00063451"/>
    <w:rsid w:val="00076E79"/>
    <w:rsid w:val="000A501C"/>
    <w:rsid w:val="000C3D87"/>
    <w:rsid w:val="000C5B7C"/>
    <w:rsid w:val="000C6176"/>
    <w:rsid w:val="000F598D"/>
    <w:rsid w:val="000F7353"/>
    <w:rsid w:val="00174A9A"/>
    <w:rsid w:val="00194E58"/>
    <w:rsid w:val="00197A69"/>
    <w:rsid w:val="001A4C7F"/>
    <w:rsid w:val="00216020"/>
    <w:rsid w:val="002536CA"/>
    <w:rsid w:val="002A02CC"/>
    <w:rsid w:val="0030258E"/>
    <w:rsid w:val="00311732"/>
    <w:rsid w:val="00340AA8"/>
    <w:rsid w:val="0034249E"/>
    <w:rsid w:val="0034267E"/>
    <w:rsid w:val="00366AA6"/>
    <w:rsid w:val="003B18BB"/>
    <w:rsid w:val="003D75DF"/>
    <w:rsid w:val="0040035B"/>
    <w:rsid w:val="00494DC0"/>
    <w:rsid w:val="00517684"/>
    <w:rsid w:val="005632F8"/>
    <w:rsid w:val="005830DD"/>
    <w:rsid w:val="005A403D"/>
    <w:rsid w:val="005E11BF"/>
    <w:rsid w:val="00614D6E"/>
    <w:rsid w:val="00633619"/>
    <w:rsid w:val="00654659"/>
    <w:rsid w:val="0067618E"/>
    <w:rsid w:val="006766DC"/>
    <w:rsid w:val="006B3DA9"/>
    <w:rsid w:val="006D449B"/>
    <w:rsid w:val="006F7369"/>
    <w:rsid w:val="00711D5C"/>
    <w:rsid w:val="00722208"/>
    <w:rsid w:val="007560BE"/>
    <w:rsid w:val="0076114D"/>
    <w:rsid w:val="007618C1"/>
    <w:rsid w:val="00762A1F"/>
    <w:rsid w:val="0077021F"/>
    <w:rsid w:val="00783483"/>
    <w:rsid w:val="00795C80"/>
    <w:rsid w:val="007C1156"/>
    <w:rsid w:val="007C2648"/>
    <w:rsid w:val="008079E6"/>
    <w:rsid w:val="00852F8B"/>
    <w:rsid w:val="00857829"/>
    <w:rsid w:val="008660D9"/>
    <w:rsid w:val="00882B6E"/>
    <w:rsid w:val="008A1598"/>
    <w:rsid w:val="008E7ACD"/>
    <w:rsid w:val="00904709"/>
    <w:rsid w:val="00907698"/>
    <w:rsid w:val="00955604"/>
    <w:rsid w:val="009A5736"/>
    <w:rsid w:val="00A37F39"/>
    <w:rsid w:val="00A64E67"/>
    <w:rsid w:val="00A65FAD"/>
    <w:rsid w:val="00A941FF"/>
    <w:rsid w:val="00AA60B8"/>
    <w:rsid w:val="00AB3CDA"/>
    <w:rsid w:val="00AC2B2E"/>
    <w:rsid w:val="00AF29DF"/>
    <w:rsid w:val="00AF3B5B"/>
    <w:rsid w:val="00B11E47"/>
    <w:rsid w:val="00B147C8"/>
    <w:rsid w:val="00B150D4"/>
    <w:rsid w:val="00B51D55"/>
    <w:rsid w:val="00B53191"/>
    <w:rsid w:val="00B62ABB"/>
    <w:rsid w:val="00BE7603"/>
    <w:rsid w:val="00BF4989"/>
    <w:rsid w:val="00C16D01"/>
    <w:rsid w:val="00C9308F"/>
    <w:rsid w:val="00CB672E"/>
    <w:rsid w:val="00CC2E9C"/>
    <w:rsid w:val="00CF2F2F"/>
    <w:rsid w:val="00CF6DA9"/>
    <w:rsid w:val="00D11273"/>
    <w:rsid w:val="00D23A24"/>
    <w:rsid w:val="00DC4616"/>
    <w:rsid w:val="00DD0B83"/>
    <w:rsid w:val="00DE6A34"/>
    <w:rsid w:val="00E13988"/>
    <w:rsid w:val="00E24F5E"/>
    <w:rsid w:val="00E64D46"/>
    <w:rsid w:val="00E921F1"/>
    <w:rsid w:val="00EC4990"/>
    <w:rsid w:val="00ED2F5B"/>
    <w:rsid w:val="00EE120A"/>
    <w:rsid w:val="00F070CB"/>
    <w:rsid w:val="00F120FB"/>
    <w:rsid w:val="00F25CA4"/>
    <w:rsid w:val="00F41761"/>
    <w:rsid w:val="00F44F39"/>
    <w:rsid w:val="00F72C31"/>
    <w:rsid w:val="00FA3FFB"/>
    <w:rsid w:val="00FC3DEB"/>
    <w:rsid w:val="00FD593F"/>
    <w:rsid w:val="012E298A"/>
    <w:rsid w:val="01673324"/>
    <w:rsid w:val="02B541EC"/>
    <w:rsid w:val="02CE7ECD"/>
    <w:rsid w:val="0311029D"/>
    <w:rsid w:val="03576A18"/>
    <w:rsid w:val="03A65ED4"/>
    <w:rsid w:val="044B1E4E"/>
    <w:rsid w:val="047C1530"/>
    <w:rsid w:val="04DC0B81"/>
    <w:rsid w:val="04FA78F5"/>
    <w:rsid w:val="054F71D3"/>
    <w:rsid w:val="05AD0647"/>
    <w:rsid w:val="05D76827"/>
    <w:rsid w:val="06D76AC1"/>
    <w:rsid w:val="07323E9B"/>
    <w:rsid w:val="08110C1F"/>
    <w:rsid w:val="0813319D"/>
    <w:rsid w:val="08C904D3"/>
    <w:rsid w:val="09313FF9"/>
    <w:rsid w:val="099001DB"/>
    <w:rsid w:val="0AD9534F"/>
    <w:rsid w:val="0B4F48D2"/>
    <w:rsid w:val="0C4238E0"/>
    <w:rsid w:val="0D002546"/>
    <w:rsid w:val="0D4F0E39"/>
    <w:rsid w:val="0DF0189E"/>
    <w:rsid w:val="0E450FE4"/>
    <w:rsid w:val="0E56211C"/>
    <w:rsid w:val="10074268"/>
    <w:rsid w:val="10672D8C"/>
    <w:rsid w:val="111D73A8"/>
    <w:rsid w:val="1174040E"/>
    <w:rsid w:val="12065EE2"/>
    <w:rsid w:val="129D60B8"/>
    <w:rsid w:val="133D758D"/>
    <w:rsid w:val="13FE3D35"/>
    <w:rsid w:val="14423522"/>
    <w:rsid w:val="14B41820"/>
    <w:rsid w:val="15583DA4"/>
    <w:rsid w:val="165C3A30"/>
    <w:rsid w:val="16C66AD5"/>
    <w:rsid w:val="17404F47"/>
    <w:rsid w:val="186D7A2A"/>
    <w:rsid w:val="187129E5"/>
    <w:rsid w:val="19867363"/>
    <w:rsid w:val="199449A0"/>
    <w:rsid w:val="1BB44801"/>
    <w:rsid w:val="1BCB79F0"/>
    <w:rsid w:val="1DB53B3F"/>
    <w:rsid w:val="1E1C2817"/>
    <w:rsid w:val="1F594C9E"/>
    <w:rsid w:val="1F733775"/>
    <w:rsid w:val="20852E6A"/>
    <w:rsid w:val="20B03624"/>
    <w:rsid w:val="21CB29C6"/>
    <w:rsid w:val="22232B02"/>
    <w:rsid w:val="22804F69"/>
    <w:rsid w:val="25320252"/>
    <w:rsid w:val="255715B0"/>
    <w:rsid w:val="25CA4AC8"/>
    <w:rsid w:val="25E767AF"/>
    <w:rsid w:val="263A4848"/>
    <w:rsid w:val="272551A1"/>
    <w:rsid w:val="27A20177"/>
    <w:rsid w:val="27E54E57"/>
    <w:rsid w:val="28AC730D"/>
    <w:rsid w:val="299E6DAF"/>
    <w:rsid w:val="2A4117AA"/>
    <w:rsid w:val="2AD943A0"/>
    <w:rsid w:val="2AEF3466"/>
    <w:rsid w:val="2B0B0FD5"/>
    <w:rsid w:val="2B4475CD"/>
    <w:rsid w:val="2BE31A97"/>
    <w:rsid w:val="2C731BEC"/>
    <w:rsid w:val="2D2E4738"/>
    <w:rsid w:val="2EB36AB7"/>
    <w:rsid w:val="2F6B3601"/>
    <w:rsid w:val="2F807893"/>
    <w:rsid w:val="2FE343BC"/>
    <w:rsid w:val="31C063B2"/>
    <w:rsid w:val="31EE7FDF"/>
    <w:rsid w:val="32A76D70"/>
    <w:rsid w:val="32B123C7"/>
    <w:rsid w:val="331C76E4"/>
    <w:rsid w:val="33F33281"/>
    <w:rsid w:val="346F1D0A"/>
    <w:rsid w:val="349A3DBC"/>
    <w:rsid w:val="34BF10F2"/>
    <w:rsid w:val="35856DD3"/>
    <w:rsid w:val="36081351"/>
    <w:rsid w:val="36102BE1"/>
    <w:rsid w:val="37AC543D"/>
    <w:rsid w:val="388C1A8B"/>
    <w:rsid w:val="38CE4581"/>
    <w:rsid w:val="38E27E56"/>
    <w:rsid w:val="394352FA"/>
    <w:rsid w:val="3994602F"/>
    <w:rsid w:val="3AC513C8"/>
    <w:rsid w:val="3BC7269B"/>
    <w:rsid w:val="3C56079B"/>
    <w:rsid w:val="3D412BF5"/>
    <w:rsid w:val="3D4B010C"/>
    <w:rsid w:val="3D827C9E"/>
    <w:rsid w:val="3E235F8D"/>
    <w:rsid w:val="3E4F5E9F"/>
    <w:rsid w:val="3F78155E"/>
    <w:rsid w:val="401A0F90"/>
    <w:rsid w:val="409E769D"/>
    <w:rsid w:val="41FE7DFD"/>
    <w:rsid w:val="42832340"/>
    <w:rsid w:val="43762B8D"/>
    <w:rsid w:val="437F7325"/>
    <w:rsid w:val="439A623F"/>
    <w:rsid w:val="43D23F5A"/>
    <w:rsid w:val="440022BD"/>
    <w:rsid w:val="442D551B"/>
    <w:rsid w:val="44AF797A"/>
    <w:rsid w:val="454B0988"/>
    <w:rsid w:val="464277F0"/>
    <w:rsid w:val="46673DB5"/>
    <w:rsid w:val="47197118"/>
    <w:rsid w:val="48456BAE"/>
    <w:rsid w:val="492F1647"/>
    <w:rsid w:val="49407AAB"/>
    <w:rsid w:val="49AA1A19"/>
    <w:rsid w:val="49DC2FF9"/>
    <w:rsid w:val="4A2B00F8"/>
    <w:rsid w:val="4B57376D"/>
    <w:rsid w:val="4B7F1B08"/>
    <w:rsid w:val="4C891F6B"/>
    <w:rsid w:val="4CC87EE5"/>
    <w:rsid w:val="4D345519"/>
    <w:rsid w:val="4D386511"/>
    <w:rsid w:val="4D524675"/>
    <w:rsid w:val="4E4A4ECE"/>
    <w:rsid w:val="4E8E57E3"/>
    <w:rsid w:val="50D92759"/>
    <w:rsid w:val="521F78ED"/>
    <w:rsid w:val="52A94E87"/>
    <w:rsid w:val="52B46224"/>
    <w:rsid w:val="5504544E"/>
    <w:rsid w:val="55572836"/>
    <w:rsid w:val="55683E96"/>
    <w:rsid w:val="564A3DCE"/>
    <w:rsid w:val="568E410A"/>
    <w:rsid w:val="56F23774"/>
    <w:rsid w:val="57A1418E"/>
    <w:rsid w:val="59182ECD"/>
    <w:rsid w:val="59C92BAD"/>
    <w:rsid w:val="5A427FD9"/>
    <w:rsid w:val="5A510E52"/>
    <w:rsid w:val="5B9B3A6A"/>
    <w:rsid w:val="5BBC1970"/>
    <w:rsid w:val="5DC82BF3"/>
    <w:rsid w:val="5DFD6496"/>
    <w:rsid w:val="5E1D0166"/>
    <w:rsid w:val="5E947CC5"/>
    <w:rsid w:val="5FC84370"/>
    <w:rsid w:val="607C17CD"/>
    <w:rsid w:val="61DE4CDD"/>
    <w:rsid w:val="628247F2"/>
    <w:rsid w:val="63BF7DBF"/>
    <w:rsid w:val="642B1042"/>
    <w:rsid w:val="64592895"/>
    <w:rsid w:val="6555079F"/>
    <w:rsid w:val="65F800FF"/>
    <w:rsid w:val="668227CE"/>
    <w:rsid w:val="669D3E60"/>
    <w:rsid w:val="67A051FC"/>
    <w:rsid w:val="68625290"/>
    <w:rsid w:val="69C66A05"/>
    <w:rsid w:val="6A5B024F"/>
    <w:rsid w:val="6A825CAB"/>
    <w:rsid w:val="6B324A12"/>
    <w:rsid w:val="6B867E95"/>
    <w:rsid w:val="6B9B05CA"/>
    <w:rsid w:val="6BAA5413"/>
    <w:rsid w:val="6C000FB7"/>
    <w:rsid w:val="6D8E5EA0"/>
    <w:rsid w:val="6DC45CBC"/>
    <w:rsid w:val="6F6D02ED"/>
    <w:rsid w:val="70E84C3F"/>
    <w:rsid w:val="728E67FB"/>
    <w:rsid w:val="72E97DC1"/>
    <w:rsid w:val="7336307B"/>
    <w:rsid w:val="736246B7"/>
    <w:rsid w:val="73A92AC1"/>
    <w:rsid w:val="73E42944"/>
    <w:rsid w:val="73F57F20"/>
    <w:rsid w:val="749B51F1"/>
    <w:rsid w:val="74C2772E"/>
    <w:rsid w:val="74DC75EE"/>
    <w:rsid w:val="751063CC"/>
    <w:rsid w:val="760C7C60"/>
    <w:rsid w:val="76314C28"/>
    <w:rsid w:val="76775A82"/>
    <w:rsid w:val="77320D6B"/>
    <w:rsid w:val="77757728"/>
    <w:rsid w:val="79077D92"/>
    <w:rsid w:val="79B54035"/>
    <w:rsid w:val="7A2128F3"/>
    <w:rsid w:val="7A281640"/>
    <w:rsid w:val="7A7C3B10"/>
    <w:rsid w:val="7B044955"/>
    <w:rsid w:val="7BE05FE5"/>
    <w:rsid w:val="7CB1503B"/>
    <w:rsid w:val="7D0C77C7"/>
    <w:rsid w:val="7D491E50"/>
    <w:rsid w:val="7D773477"/>
    <w:rsid w:val="7DBB4E6F"/>
    <w:rsid w:val="7DF2434A"/>
    <w:rsid w:val="7F024CE5"/>
    <w:rsid w:val="7FE94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4">
    <w:name w:val="annotation text"/>
    <w:basedOn w:val="1"/>
    <w:qFormat/>
    <w:uiPriority w:val="0"/>
    <w:pPr>
      <w:jc w:val="left"/>
    </w:pPr>
  </w:style>
  <w:style w:type="paragraph" w:styleId="5">
    <w:name w:val="Body Text"/>
    <w:basedOn w:val="1"/>
    <w:qFormat/>
    <w:uiPriority w:val="0"/>
    <w:rPr>
      <w:rFonts w:eastAsia="仿宋_GB2312"/>
      <w:sz w:val="30"/>
    </w:rPr>
  </w:style>
  <w:style w:type="paragraph" w:styleId="6">
    <w:name w:val="List Bullet 2"/>
    <w:basedOn w:val="1"/>
    <w:qFormat/>
    <w:uiPriority w:val="0"/>
    <w:pPr>
      <w:numPr>
        <w:ilvl w:val="0"/>
        <w:numId w:val="1"/>
      </w:numPr>
    </w:pPr>
  </w:style>
  <w:style w:type="paragraph" w:styleId="7">
    <w:name w:val="Date"/>
    <w:basedOn w:val="1"/>
    <w:next w:val="1"/>
    <w:link w:val="19"/>
    <w:qFormat/>
    <w:uiPriority w:val="0"/>
    <w:pPr>
      <w:ind w:left="100" w:leftChars="2500"/>
    </w:pPr>
  </w:style>
  <w:style w:type="paragraph" w:styleId="8">
    <w:name w:val="footer"/>
    <w:basedOn w:val="1"/>
    <w:link w:val="17"/>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pPr>
      <w:jc w:val="center"/>
    </w:pPr>
    <w:rPr>
      <w:rFonts w:eastAsia="黑体"/>
      <w:sz w:val="24"/>
    </w:rPr>
  </w:style>
  <w:style w:type="paragraph" w:customStyle="1" w:styleId="13">
    <w:name w:val="标题 3_0_0"/>
    <w:basedOn w:val="14"/>
    <w:next w:val="14"/>
    <w:qFormat/>
    <w:uiPriority w:val="0"/>
    <w:pPr>
      <w:keepNext/>
      <w:keepLines/>
      <w:spacing w:before="260" w:after="260" w:line="413" w:lineRule="auto"/>
      <w:outlineLvl w:val="2"/>
    </w:pPr>
    <w:rPr>
      <w:rFonts w:ascii="Times New Roman" w:hAnsi="Times New Roman"/>
      <w:b/>
      <w:kern w:val="0"/>
      <w:sz w:val="32"/>
      <w:szCs w:val="20"/>
    </w:rPr>
  </w:style>
  <w:style w:type="paragraph" w:customStyle="1" w:styleId="14">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标题 4_0_0"/>
    <w:basedOn w:val="14"/>
    <w:next w:val="14"/>
    <w:qFormat/>
    <w:uiPriority w:val="0"/>
    <w:pPr>
      <w:keepNext/>
      <w:keepLines/>
      <w:spacing w:before="280" w:after="290" w:line="372" w:lineRule="auto"/>
      <w:outlineLvl w:val="3"/>
    </w:pPr>
    <w:rPr>
      <w:rFonts w:ascii="Cambria" w:hAnsi="Cambria"/>
      <w:b/>
      <w:kern w:val="0"/>
      <w:sz w:val="28"/>
      <w:szCs w:val="20"/>
    </w:rPr>
  </w:style>
  <w:style w:type="paragraph" w:customStyle="1" w:styleId="16">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character" w:customStyle="1" w:styleId="17">
    <w:name w:val="页脚 Char"/>
    <w:basedOn w:val="12"/>
    <w:link w:val="8"/>
    <w:qFormat/>
    <w:uiPriority w:val="99"/>
    <w:rPr>
      <w:kern w:val="2"/>
      <w:sz w:val="18"/>
      <w:szCs w:val="18"/>
    </w:rPr>
  </w:style>
  <w:style w:type="paragraph" w:styleId="18">
    <w:name w:val="List Paragraph"/>
    <w:basedOn w:val="1"/>
    <w:unhideWhenUsed/>
    <w:qFormat/>
    <w:uiPriority w:val="99"/>
    <w:pPr>
      <w:ind w:firstLine="420" w:firstLineChars="200"/>
    </w:pPr>
  </w:style>
  <w:style w:type="character" w:customStyle="1" w:styleId="19">
    <w:name w:val="日期 Char"/>
    <w:basedOn w:val="12"/>
    <w:link w:val="7"/>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9" Type="http://schemas.openxmlformats.org/officeDocument/2006/relationships/fontTable" Target="fontTable.xml"/><Relationship Id="rId48" Type="http://schemas.openxmlformats.org/officeDocument/2006/relationships/numbering" Target="numbering.xml"/><Relationship Id="rId47" Type="http://schemas.openxmlformats.org/officeDocument/2006/relationships/customXml" Target="../customXml/item1.xml"/><Relationship Id="rId46" Type="http://schemas.openxmlformats.org/officeDocument/2006/relationships/image" Target="media/image39.png"/><Relationship Id="rId45" Type="http://schemas.openxmlformats.org/officeDocument/2006/relationships/image" Target="media/image38.png"/><Relationship Id="rId44" Type="http://schemas.openxmlformats.org/officeDocument/2006/relationships/image" Target="media/image37.png"/><Relationship Id="rId43" Type="http://schemas.openxmlformats.org/officeDocument/2006/relationships/image" Target="media/image36.png"/><Relationship Id="rId42" Type="http://schemas.openxmlformats.org/officeDocument/2006/relationships/image" Target="media/image35.png"/><Relationship Id="rId41" Type="http://schemas.openxmlformats.org/officeDocument/2006/relationships/image" Target="media/image34.png"/><Relationship Id="rId40" Type="http://schemas.openxmlformats.org/officeDocument/2006/relationships/image" Target="media/image33.png"/><Relationship Id="rId4" Type="http://schemas.openxmlformats.org/officeDocument/2006/relationships/footer" Target="footer1.xml"/><Relationship Id="rId39" Type="http://schemas.openxmlformats.org/officeDocument/2006/relationships/image" Target="media/image32.png"/><Relationship Id="rId38" Type="http://schemas.openxmlformats.org/officeDocument/2006/relationships/image" Target="media/image31.png"/><Relationship Id="rId37" Type="http://schemas.openxmlformats.org/officeDocument/2006/relationships/image" Target="media/image30.png"/><Relationship Id="rId36" Type="http://schemas.openxmlformats.org/officeDocument/2006/relationships/image" Target="media/image29.png"/><Relationship Id="rId35" Type="http://schemas.openxmlformats.org/officeDocument/2006/relationships/image" Target="media/image28.png"/><Relationship Id="rId34" Type="http://schemas.openxmlformats.org/officeDocument/2006/relationships/image" Target="media/image27.png"/><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3140</Words>
  <Characters>17901</Characters>
  <Lines>149</Lines>
  <Paragraphs>41</Paragraphs>
  <TotalTime>6</TotalTime>
  <ScaleCrop>false</ScaleCrop>
  <LinksUpToDate>false</LinksUpToDate>
  <CharactersWithSpaces>21000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2021-05-16T08:38:00Z</dcterms:created>
  <dc:creator>Administrator.USER-20190422VN</dc:creator>
  <cp:lastModifiedBy>Lenovo</cp:lastModifiedBy>
  <cp:lastPrinted>2021-07-24T02:11:00Z</cp:lastPrinted>
  <dcterms:modified xsi:type="dcterms:W3CDTF">2021-07-27T08:43:41Z</dcterms:modified>
  <cp:revision>168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D6D138ACF400478BA9B546C98F75B393</vt:lpwstr>
  </property>
</Properties>
</file>