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right"/>
        <w:rPr>
          <w:rFonts w:ascii="宋体" w:hAnsi="宋体"/>
          <w:color w:val="auto"/>
          <w:sz w:val="36"/>
          <w:highlight w:val="none"/>
        </w:rPr>
      </w:pPr>
      <w:bookmarkStart w:id="0" w:name="_Hlk101799578"/>
      <w:bookmarkStart w:id="1" w:name="_Toc497133090"/>
      <w:bookmarkStart w:id="2" w:name="OLE_LINK1"/>
      <w:r>
        <w:rPr>
          <w:rFonts w:hint="eastAsia" w:ascii="宋体" w:hAnsi="宋体"/>
          <w:color w:val="auto"/>
          <w:sz w:val="32"/>
          <w:szCs w:val="32"/>
          <w:highlight w:val="none"/>
        </w:rPr>
        <w:t>JSZX-230</w:t>
      </w:r>
      <w:r>
        <w:rPr>
          <w:rFonts w:hint="eastAsia" w:ascii="宋体" w:hAnsi="宋体"/>
          <w:color w:val="auto"/>
          <w:sz w:val="32"/>
          <w:szCs w:val="32"/>
          <w:highlight w:val="none"/>
          <w:lang w:val="en-US" w:eastAsia="zh-CN"/>
        </w:rPr>
        <w:t>10</w:t>
      </w:r>
      <w:r>
        <w:rPr>
          <w:rFonts w:hint="eastAsia" w:ascii="宋体" w:hAnsi="宋体"/>
          <w:color w:val="auto"/>
          <w:sz w:val="32"/>
          <w:szCs w:val="32"/>
          <w:highlight w:val="none"/>
        </w:rPr>
        <w:t>-DL0</w:t>
      </w:r>
      <w:r>
        <w:rPr>
          <w:rFonts w:hint="eastAsia" w:ascii="宋体" w:hAnsi="宋体"/>
          <w:color w:val="auto"/>
          <w:sz w:val="32"/>
          <w:szCs w:val="32"/>
          <w:highlight w:val="none"/>
          <w:lang w:val="en-US" w:eastAsia="zh-CN"/>
        </w:rPr>
        <w:t>9</w:t>
      </w:r>
      <w:r>
        <w:rPr>
          <w:rFonts w:hint="eastAsia" w:ascii="宋体" w:hAnsi="宋体"/>
          <w:color w:val="auto"/>
          <w:sz w:val="32"/>
          <w:szCs w:val="32"/>
          <w:highlight w:val="none"/>
        </w:rPr>
        <w:t>号</w:t>
      </w:r>
    </w:p>
    <w:p>
      <w:pPr>
        <w:adjustRightInd w:val="0"/>
        <w:snapToGrid w:val="0"/>
        <w:spacing w:line="480" w:lineRule="auto"/>
        <w:jc w:val="center"/>
        <w:rPr>
          <w:rFonts w:hAnsi="宋体" w:cs="宋体"/>
          <w:b/>
          <w:color w:val="auto"/>
          <w:sz w:val="44"/>
          <w:szCs w:val="44"/>
          <w:highlight w:val="none"/>
        </w:rPr>
      </w:pPr>
      <w:r>
        <w:rPr>
          <w:rFonts w:hint="eastAsia" w:ascii="宋体" w:hAnsi="宋体"/>
          <w:b/>
          <w:bCs/>
          <w:color w:val="auto"/>
          <w:sz w:val="44"/>
          <w:szCs w:val="44"/>
          <w:highlight w:val="none"/>
        </w:rPr>
        <w:t>江苏长江水务股份有限公司</w:t>
      </w:r>
      <w:bookmarkEnd w:id="0"/>
      <w:r>
        <w:rPr>
          <w:rFonts w:hint="eastAsia" w:ascii="宋体" w:hAnsi="宋体"/>
          <w:b/>
          <w:bCs/>
          <w:color w:val="auto"/>
          <w:sz w:val="44"/>
          <w:szCs w:val="44"/>
          <w:highlight w:val="none"/>
        </w:rPr>
        <w:t>扬州市第六水厂水资源论证报告编制项目</w:t>
      </w:r>
      <w:r>
        <w:rPr>
          <w:rFonts w:hint="eastAsia" w:hAnsi="宋体" w:cs="宋体"/>
          <w:b/>
          <w:bCs/>
          <w:color w:val="auto"/>
          <w:sz w:val="44"/>
          <w:szCs w:val="44"/>
          <w:highlight w:val="none"/>
        </w:rPr>
        <w:t>公开招标文件</w:t>
      </w:r>
    </w:p>
    <w:p>
      <w:pPr>
        <w:rPr>
          <w:color w:val="auto"/>
          <w:highlight w:val="none"/>
        </w:rPr>
      </w:pPr>
    </w:p>
    <w:p>
      <w:pPr>
        <w:jc w:val="center"/>
        <w:rPr>
          <w:rFonts w:ascii="宋体" w:hAnsi="宋体" w:cs="宋体"/>
          <w:b/>
          <w:color w:val="auto"/>
          <w:sz w:val="36"/>
          <w:szCs w:val="36"/>
          <w:highlight w:val="none"/>
        </w:rPr>
      </w:pPr>
      <w:r>
        <w:rPr>
          <w:rFonts w:ascii="宋体" w:hAnsi="宋体"/>
          <w:color w:val="auto"/>
          <w:sz w:val="36"/>
          <w:highlight w:val="none"/>
        </w:rPr>
        <w:drawing>
          <wp:inline distT="0" distB="0" distL="114300" distR="114300">
            <wp:extent cx="5612765" cy="3753485"/>
            <wp:effectExtent l="0" t="0" r="6985" b="18415"/>
            <wp:docPr id="1" name="图片 1" descr="1313568539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13568539512"/>
                    <pic:cNvPicPr>
                      <a:picLocks noChangeAspect="1"/>
                    </pic:cNvPicPr>
                  </pic:nvPicPr>
                  <pic:blipFill>
                    <a:blip r:embed="rId6" cstate="print"/>
                    <a:stretch>
                      <a:fillRect/>
                    </a:stretch>
                  </pic:blipFill>
                  <pic:spPr>
                    <a:xfrm>
                      <a:off x="0" y="0"/>
                      <a:ext cx="5612765" cy="3753485"/>
                    </a:xfrm>
                    <a:prstGeom prst="rect">
                      <a:avLst/>
                    </a:prstGeom>
                    <a:noFill/>
                    <a:ln>
                      <a:noFill/>
                    </a:ln>
                  </pic:spPr>
                </pic:pic>
              </a:graphicData>
            </a:graphic>
          </wp:inline>
        </w:drawing>
      </w:r>
    </w:p>
    <w:p>
      <w:pPr>
        <w:ind w:firstLine="1285" w:firstLineChars="400"/>
        <w:jc w:val="left"/>
        <w:rPr>
          <w:rFonts w:ascii="宋体" w:hAnsi="宋体"/>
          <w:b/>
          <w:bCs/>
          <w:color w:val="auto"/>
          <w:sz w:val="32"/>
          <w:szCs w:val="32"/>
          <w:highlight w:val="none"/>
        </w:rPr>
      </w:pPr>
    </w:p>
    <w:p>
      <w:pPr>
        <w:ind w:firstLine="1285" w:firstLineChars="400"/>
        <w:jc w:val="left"/>
        <w:rPr>
          <w:rFonts w:ascii="宋体" w:hAnsi="宋体"/>
          <w:b/>
          <w:bCs/>
          <w:color w:val="auto"/>
          <w:sz w:val="32"/>
          <w:szCs w:val="32"/>
          <w:highlight w:val="none"/>
        </w:rPr>
      </w:pPr>
      <w:r>
        <w:rPr>
          <w:rFonts w:hint="eastAsia" w:ascii="宋体" w:hAnsi="宋体"/>
          <w:b/>
          <w:bCs/>
          <w:color w:val="auto"/>
          <w:sz w:val="32"/>
          <w:szCs w:val="32"/>
          <w:highlight w:val="none"/>
        </w:rPr>
        <w:t>采购人：江苏长江水务股份有限公司</w:t>
      </w:r>
    </w:p>
    <w:p>
      <w:pPr>
        <w:ind w:firstLine="1285" w:firstLineChars="400"/>
        <w:jc w:val="left"/>
        <w:rPr>
          <w:rFonts w:ascii="宋体" w:hAnsi="宋体"/>
          <w:b/>
          <w:bCs/>
          <w:color w:val="auto"/>
          <w:sz w:val="32"/>
          <w:szCs w:val="32"/>
          <w:highlight w:val="none"/>
        </w:rPr>
      </w:pPr>
      <w:r>
        <w:rPr>
          <w:rFonts w:hint="eastAsia" w:ascii="宋体" w:hAnsi="宋体"/>
          <w:b/>
          <w:bCs/>
          <w:color w:val="auto"/>
          <w:sz w:val="32"/>
          <w:szCs w:val="32"/>
          <w:highlight w:val="none"/>
        </w:rPr>
        <w:t>采购代理机构：江苏中鑫项目管理有限公司</w:t>
      </w:r>
    </w:p>
    <w:p>
      <w:pPr>
        <w:ind w:firstLine="1285" w:firstLineChars="400"/>
        <w:jc w:val="left"/>
        <w:rPr>
          <w:rFonts w:ascii="宋体" w:hAnsi="宋体"/>
          <w:b/>
          <w:bCs/>
          <w:color w:val="auto"/>
          <w:sz w:val="32"/>
          <w:szCs w:val="32"/>
          <w:highlight w:val="none"/>
        </w:rPr>
      </w:pPr>
      <w:r>
        <w:rPr>
          <w:rFonts w:hint="eastAsia" w:ascii="宋体" w:hAnsi="宋体"/>
          <w:b/>
          <w:bCs/>
          <w:color w:val="auto"/>
          <w:sz w:val="32"/>
          <w:szCs w:val="32"/>
          <w:highlight w:val="none"/>
        </w:rPr>
        <w:t>发放日期：202</w:t>
      </w:r>
      <w:r>
        <w:rPr>
          <w:rFonts w:hint="eastAsia" w:ascii="宋体" w:hAnsi="宋体"/>
          <w:b/>
          <w:bCs/>
          <w:color w:val="auto"/>
          <w:sz w:val="32"/>
          <w:szCs w:val="32"/>
          <w:highlight w:val="none"/>
          <w:lang w:val="en-US" w:eastAsia="zh-CN"/>
        </w:rPr>
        <w:t>4</w:t>
      </w:r>
      <w:r>
        <w:rPr>
          <w:rFonts w:hint="eastAsia" w:ascii="宋体" w:hAnsi="宋体"/>
          <w:b/>
          <w:bCs/>
          <w:color w:val="auto"/>
          <w:sz w:val="32"/>
          <w:szCs w:val="32"/>
          <w:highlight w:val="none"/>
        </w:rPr>
        <w:t>年</w:t>
      </w:r>
      <w:r>
        <w:rPr>
          <w:rFonts w:hint="eastAsia" w:ascii="宋体" w:hAnsi="宋体"/>
          <w:b/>
          <w:bCs/>
          <w:color w:val="auto"/>
          <w:sz w:val="32"/>
          <w:szCs w:val="32"/>
          <w:highlight w:val="none"/>
          <w:lang w:val="en-US" w:eastAsia="zh-CN"/>
        </w:rPr>
        <w:t>4</w:t>
      </w:r>
      <w:r>
        <w:rPr>
          <w:rFonts w:hint="eastAsia" w:ascii="宋体" w:hAnsi="宋体"/>
          <w:b/>
          <w:bCs/>
          <w:color w:val="auto"/>
          <w:sz w:val="32"/>
          <w:szCs w:val="32"/>
          <w:highlight w:val="none"/>
        </w:rPr>
        <w:t>月</w:t>
      </w:r>
      <w:r>
        <w:rPr>
          <w:rFonts w:hint="eastAsia" w:ascii="宋体" w:hAnsi="宋体"/>
          <w:b/>
          <w:bCs/>
          <w:color w:val="auto"/>
          <w:sz w:val="32"/>
          <w:szCs w:val="32"/>
          <w:highlight w:val="none"/>
          <w:lang w:val="en-US" w:eastAsia="zh-CN"/>
        </w:rPr>
        <w:t>23</w:t>
      </w:r>
      <w:r>
        <w:rPr>
          <w:rFonts w:hint="eastAsia" w:ascii="宋体" w:hAnsi="宋体"/>
          <w:b/>
          <w:bCs/>
          <w:color w:val="auto"/>
          <w:sz w:val="32"/>
          <w:szCs w:val="32"/>
          <w:highlight w:val="none"/>
        </w:rPr>
        <w:t>日</w:t>
      </w:r>
    </w:p>
    <w:p>
      <w:pPr>
        <w:spacing w:line="360" w:lineRule="auto"/>
        <w:ind w:firstLine="1302" w:firstLineChars="400"/>
        <w:rPr>
          <w:rFonts w:ascii="宋体" w:hAnsi="宋体" w:cs="宋体"/>
          <w:b/>
          <w:bCs/>
          <w:color w:val="auto"/>
          <w:w w:val="90"/>
          <w:sz w:val="36"/>
          <w:szCs w:val="36"/>
          <w:highlight w:val="none"/>
        </w:rPr>
      </w:pPr>
    </w:p>
    <w:p>
      <w:pPr>
        <w:pStyle w:val="19"/>
        <w:rPr>
          <w:color w:val="auto"/>
          <w:highlight w:val="none"/>
        </w:rPr>
        <w:sectPr>
          <w:pgSz w:w="11906" w:h="16838"/>
          <w:pgMar w:top="1134" w:right="1417" w:bottom="1134" w:left="1417" w:header="851" w:footer="992" w:gutter="0"/>
          <w:pgNumType w:start="1"/>
          <w:cols w:space="720" w:num="1"/>
          <w:docGrid w:type="lines" w:linePitch="312" w:charSpace="0"/>
        </w:sectPr>
      </w:pPr>
    </w:p>
    <w:p>
      <w:pPr>
        <w:pStyle w:val="19"/>
        <w:rPr>
          <w:color w:val="auto"/>
          <w:highlight w:val="none"/>
        </w:rPr>
      </w:pPr>
      <w:r>
        <w:rPr>
          <w:rFonts w:hint="eastAsia"/>
          <w:color w:val="auto"/>
          <w:highlight w:val="none"/>
        </w:rPr>
        <w:t>目 录</w:t>
      </w:r>
    </w:p>
    <w:p>
      <w:pPr>
        <w:pStyle w:val="19"/>
        <w:tabs>
          <w:tab w:val="right" w:leader="dot" w:pos="8306"/>
          <w:tab w:val="clear" w:pos="8296"/>
        </w:tabs>
        <w:spacing w:line="600" w:lineRule="auto"/>
        <w:rPr>
          <w:color w:val="auto"/>
          <w:sz w:val="24"/>
          <w:szCs w:val="24"/>
          <w:highlight w:val="none"/>
        </w:rPr>
      </w:pPr>
      <w:r>
        <w:rPr>
          <w:color w:val="auto"/>
          <w:sz w:val="36"/>
          <w:highlight w:val="none"/>
        </w:rPr>
        <w:fldChar w:fldCharType="begin"/>
      </w:r>
      <w:r>
        <w:rPr>
          <w:color w:val="auto"/>
          <w:sz w:val="36"/>
          <w:highlight w:val="none"/>
        </w:rPr>
        <w:instrText xml:space="preserve">TOC \o "1-1" \h \u </w:instrText>
      </w:r>
      <w:r>
        <w:rPr>
          <w:color w:val="auto"/>
          <w:sz w:val="36"/>
          <w:highlight w:val="none"/>
        </w:rPr>
        <w:fldChar w:fldCharType="separate"/>
      </w:r>
      <w:r>
        <w:rPr>
          <w:color w:val="auto"/>
          <w:highlight w:val="none"/>
        </w:rPr>
        <w:fldChar w:fldCharType="begin"/>
      </w:r>
      <w:r>
        <w:rPr>
          <w:color w:val="auto"/>
          <w:highlight w:val="none"/>
        </w:rPr>
        <w:instrText xml:space="preserve"> HYPERLINK \l "_Toc30566" </w:instrText>
      </w:r>
      <w:r>
        <w:rPr>
          <w:color w:val="auto"/>
          <w:highlight w:val="none"/>
        </w:rPr>
        <w:fldChar w:fldCharType="separate"/>
      </w:r>
      <w:r>
        <w:rPr>
          <w:rFonts w:hint="eastAsia"/>
          <w:color w:val="auto"/>
          <w:sz w:val="24"/>
          <w:szCs w:val="24"/>
          <w:highlight w:val="none"/>
        </w:rPr>
        <w:t>第一章 招标公告</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_Toc30566 \h </w:instrText>
      </w:r>
      <w:r>
        <w:rPr>
          <w:color w:val="auto"/>
          <w:sz w:val="24"/>
          <w:szCs w:val="24"/>
          <w:highlight w:val="none"/>
        </w:rPr>
        <w:fldChar w:fldCharType="separate"/>
      </w:r>
      <w:r>
        <w:rPr>
          <w:color w:val="auto"/>
          <w:sz w:val="24"/>
          <w:szCs w:val="24"/>
          <w:highlight w:val="none"/>
        </w:rPr>
        <w:t>3</w:t>
      </w:r>
      <w:r>
        <w:rPr>
          <w:color w:val="auto"/>
          <w:sz w:val="24"/>
          <w:szCs w:val="24"/>
          <w:highlight w:val="none"/>
        </w:rPr>
        <w:fldChar w:fldCharType="end"/>
      </w:r>
      <w:r>
        <w:rPr>
          <w:color w:val="auto"/>
          <w:sz w:val="24"/>
          <w:szCs w:val="24"/>
          <w:highlight w:val="none"/>
        </w:rPr>
        <w:fldChar w:fldCharType="end"/>
      </w:r>
    </w:p>
    <w:p>
      <w:pPr>
        <w:pStyle w:val="19"/>
        <w:tabs>
          <w:tab w:val="right" w:leader="dot" w:pos="8306"/>
          <w:tab w:val="clear" w:pos="8296"/>
        </w:tabs>
        <w:spacing w:line="600" w:lineRule="auto"/>
        <w:rPr>
          <w:color w:val="auto"/>
          <w:sz w:val="24"/>
          <w:szCs w:val="24"/>
          <w:highlight w:val="none"/>
        </w:rPr>
      </w:pPr>
      <w:r>
        <w:rPr>
          <w:color w:val="auto"/>
          <w:highlight w:val="none"/>
        </w:rPr>
        <w:fldChar w:fldCharType="begin"/>
      </w:r>
      <w:r>
        <w:rPr>
          <w:color w:val="auto"/>
          <w:highlight w:val="none"/>
        </w:rPr>
        <w:instrText xml:space="preserve"> HYPERLINK \l "_Toc29432" </w:instrText>
      </w:r>
      <w:r>
        <w:rPr>
          <w:color w:val="auto"/>
          <w:highlight w:val="none"/>
        </w:rPr>
        <w:fldChar w:fldCharType="separate"/>
      </w:r>
      <w:r>
        <w:rPr>
          <w:rFonts w:hint="eastAsia"/>
          <w:color w:val="auto"/>
          <w:sz w:val="24"/>
          <w:szCs w:val="24"/>
          <w:highlight w:val="none"/>
        </w:rPr>
        <w:t>第二章 投标人须知</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_Toc29432 \h </w:instrText>
      </w:r>
      <w:r>
        <w:rPr>
          <w:color w:val="auto"/>
          <w:sz w:val="24"/>
          <w:szCs w:val="24"/>
          <w:highlight w:val="none"/>
        </w:rPr>
        <w:fldChar w:fldCharType="separate"/>
      </w:r>
      <w:r>
        <w:rPr>
          <w:color w:val="auto"/>
          <w:sz w:val="24"/>
          <w:szCs w:val="24"/>
          <w:highlight w:val="none"/>
        </w:rPr>
        <w:t>6</w:t>
      </w:r>
      <w:r>
        <w:rPr>
          <w:color w:val="auto"/>
          <w:sz w:val="24"/>
          <w:szCs w:val="24"/>
          <w:highlight w:val="none"/>
        </w:rPr>
        <w:fldChar w:fldCharType="end"/>
      </w:r>
      <w:r>
        <w:rPr>
          <w:color w:val="auto"/>
          <w:sz w:val="24"/>
          <w:szCs w:val="24"/>
          <w:highlight w:val="none"/>
        </w:rPr>
        <w:fldChar w:fldCharType="end"/>
      </w:r>
    </w:p>
    <w:p>
      <w:pPr>
        <w:pStyle w:val="19"/>
        <w:tabs>
          <w:tab w:val="right" w:leader="dot" w:pos="8306"/>
          <w:tab w:val="clear" w:pos="8296"/>
        </w:tabs>
        <w:spacing w:line="600" w:lineRule="auto"/>
        <w:rPr>
          <w:color w:val="auto"/>
          <w:sz w:val="24"/>
          <w:szCs w:val="24"/>
          <w:highlight w:val="none"/>
        </w:rPr>
      </w:pPr>
      <w:r>
        <w:rPr>
          <w:color w:val="auto"/>
          <w:highlight w:val="none"/>
        </w:rPr>
        <w:fldChar w:fldCharType="begin"/>
      </w:r>
      <w:r>
        <w:rPr>
          <w:color w:val="auto"/>
          <w:highlight w:val="none"/>
        </w:rPr>
        <w:instrText xml:space="preserve"> HYPERLINK \l "_Toc23126" </w:instrText>
      </w:r>
      <w:r>
        <w:rPr>
          <w:color w:val="auto"/>
          <w:highlight w:val="none"/>
        </w:rPr>
        <w:fldChar w:fldCharType="separate"/>
      </w:r>
      <w:r>
        <w:rPr>
          <w:rFonts w:hint="eastAsia"/>
          <w:bCs/>
          <w:color w:val="auto"/>
          <w:kern w:val="44"/>
          <w:sz w:val="24"/>
          <w:szCs w:val="24"/>
          <w:highlight w:val="none"/>
        </w:rPr>
        <w:t>第三章 合同条款及格式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_Toc23126 \h </w:instrText>
      </w:r>
      <w:r>
        <w:rPr>
          <w:color w:val="auto"/>
          <w:sz w:val="24"/>
          <w:szCs w:val="24"/>
          <w:highlight w:val="none"/>
        </w:rPr>
        <w:fldChar w:fldCharType="separate"/>
      </w:r>
      <w:r>
        <w:rPr>
          <w:color w:val="auto"/>
          <w:sz w:val="24"/>
          <w:szCs w:val="24"/>
          <w:highlight w:val="none"/>
        </w:rPr>
        <w:t>17</w:t>
      </w:r>
      <w:r>
        <w:rPr>
          <w:color w:val="auto"/>
          <w:sz w:val="24"/>
          <w:szCs w:val="24"/>
          <w:highlight w:val="none"/>
        </w:rPr>
        <w:fldChar w:fldCharType="end"/>
      </w:r>
      <w:r>
        <w:rPr>
          <w:color w:val="auto"/>
          <w:sz w:val="24"/>
          <w:szCs w:val="24"/>
          <w:highlight w:val="none"/>
        </w:rPr>
        <w:fldChar w:fldCharType="end"/>
      </w:r>
    </w:p>
    <w:p>
      <w:pPr>
        <w:pStyle w:val="19"/>
        <w:tabs>
          <w:tab w:val="right" w:leader="dot" w:pos="8306"/>
          <w:tab w:val="clear" w:pos="8296"/>
        </w:tabs>
        <w:spacing w:line="600" w:lineRule="auto"/>
        <w:rPr>
          <w:color w:val="auto"/>
          <w:sz w:val="24"/>
          <w:szCs w:val="24"/>
          <w:highlight w:val="none"/>
        </w:rPr>
      </w:pPr>
      <w:r>
        <w:rPr>
          <w:color w:val="auto"/>
          <w:highlight w:val="none"/>
        </w:rPr>
        <w:fldChar w:fldCharType="begin"/>
      </w:r>
      <w:r>
        <w:rPr>
          <w:color w:val="auto"/>
          <w:highlight w:val="none"/>
        </w:rPr>
        <w:instrText xml:space="preserve"> HYPERLINK \l "_Toc16750" </w:instrText>
      </w:r>
      <w:r>
        <w:rPr>
          <w:color w:val="auto"/>
          <w:highlight w:val="none"/>
        </w:rPr>
        <w:fldChar w:fldCharType="separate"/>
      </w:r>
      <w:r>
        <w:rPr>
          <w:rFonts w:hint="eastAsia"/>
          <w:bCs/>
          <w:color w:val="auto"/>
          <w:kern w:val="44"/>
          <w:sz w:val="24"/>
          <w:szCs w:val="24"/>
          <w:highlight w:val="none"/>
        </w:rPr>
        <w:t>第四章 项目需求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_Toc16750 \h </w:instrText>
      </w:r>
      <w:r>
        <w:rPr>
          <w:color w:val="auto"/>
          <w:sz w:val="24"/>
          <w:szCs w:val="24"/>
          <w:highlight w:val="none"/>
        </w:rPr>
        <w:fldChar w:fldCharType="separate"/>
      </w:r>
      <w:r>
        <w:rPr>
          <w:color w:val="auto"/>
          <w:sz w:val="24"/>
          <w:szCs w:val="24"/>
          <w:highlight w:val="none"/>
        </w:rPr>
        <w:t>17</w:t>
      </w:r>
      <w:r>
        <w:rPr>
          <w:color w:val="auto"/>
          <w:sz w:val="24"/>
          <w:szCs w:val="24"/>
          <w:highlight w:val="none"/>
        </w:rPr>
        <w:fldChar w:fldCharType="end"/>
      </w:r>
      <w:r>
        <w:rPr>
          <w:color w:val="auto"/>
          <w:sz w:val="24"/>
          <w:szCs w:val="24"/>
          <w:highlight w:val="none"/>
        </w:rPr>
        <w:fldChar w:fldCharType="end"/>
      </w:r>
    </w:p>
    <w:p>
      <w:pPr>
        <w:pStyle w:val="19"/>
        <w:tabs>
          <w:tab w:val="right" w:leader="dot" w:pos="8306"/>
          <w:tab w:val="clear" w:pos="8296"/>
        </w:tabs>
        <w:spacing w:line="600" w:lineRule="auto"/>
        <w:rPr>
          <w:color w:val="auto"/>
          <w:sz w:val="24"/>
          <w:szCs w:val="24"/>
          <w:highlight w:val="none"/>
        </w:rPr>
      </w:pPr>
      <w:r>
        <w:rPr>
          <w:color w:val="auto"/>
          <w:highlight w:val="none"/>
        </w:rPr>
        <w:fldChar w:fldCharType="begin"/>
      </w:r>
      <w:r>
        <w:rPr>
          <w:color w:val="auto"/>
          <w:highlight w:val="none"/>
        </w:rPr>
        <w:instrText xml:space="preserve"> HYPERLINK \l "_Toc29243" </w:instrText>
      </w:r>
      <w:r>
        <w:rPr>
          <w:color w:val="auto"/>
          <w:highlight w:val="none"/>
        </w:rPr>
        <w:fldChar w:fldCharType="separate"/>
      </w:r>
      <w:r>
        <w:rPr>
          <w:rFonts w:hint="eastAsia"/>
          <w:bCs/>
          <w:color w:val="auto"/>
          <w:kern w:val="44"/>
          <w:sz w:val="24"/>
          <w:szCs w:val="24"/>
          <w:highlight w:val="none"/>
        </w:rPr>
        <w:t>第五章 评标方法及评标标准</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_Toc29243 \h </w:instrText>
      </w:r>
      <w:r>
        <w:rPr>
          <w:color w:val="auto"/>
          <w:sz w:val="24"/>
          <w:szCs w:val="24"/>
          <w:highlight w:val="none"/>
        </w:rPr>
        <w:fldChar w:fldCharType="separate"/>
      </w:r>
      <w:r>
        <w:rPr>
          <w:color w:val="auto"/>
          <w:sz w:val="24"/>
          <w:szCs w:val="24"/>
          <w:highlight w:val="none"/>
        </w:rPr>
        <w:t>31</w:t>
      </w:r>
      <w:r>
        <w:rPr>
          <w:color w:val="auto"/>
          <w:sz w:val="24"/>
          <w:szCs w:val="24"/>
          <w:highlight w:val="none"/>
        </w:rPr>
        <w:fldChar w:fldCharType="end"/>
      </w:r>
      <w:r>
        <w:rPr>
          <w:color w:val="auto"/>
          <w:sz w:val="24"/>
          <w:szCs w:val="24"/>
          <w:highlight w:val="none"/>
        </w:rPr>
        <w:fldChar w:fldCharType="end"/>
      </w:r>
    </w:p>
    <w:p>
      <w:pPr>
        <w:pStyle w:val="19"/>
        <w:tabs>
          <w:tab w:val="right" w:leader="dot" w:pos="8306"/>
          <w:tab w:val="clear" w:pos="8296"/>
        </w:tabs>
        <w:spacing w:line="600" w:lineRule="auto"/>
        <w:rPr>
          <w:color w:val="auto"/>
          <w:highlight w:val="none"/>
        </w:rPr>
      </w:pPr>
      <w:r>
        <w:rPr>
          <w:color w:val="auto"/>
          <w:highlight w:val="none"/>
        </w:rPr>
        <w:fldChar w:fldCharType="begin"/>
      </w:r>
      <w:r>
        <w:rPr>
          <w:color w:val="auto"/>
          <w:highlight w:val="none"/>
        </w:rPr>
        <w:instrText xml:space="preserve"> HYPERLINK \l "_Toc13446" </w:instrText>
      </w:r>
      <w:r>
        <w:rPr>
          <w:color w:val="auto"/>
          <w:highlight w:val="none"/>
        </w:rPr>
        <w:fldChar w:fldCharType="separate"/>
      </w:r>
      <w:r>
        <w:rPr>
          <w:rFonts w:hint="eastAsia"/>
          <w:bCs/>
          <w:color w:val="auto"/>
          <w:kern w:val="44"/>
          <w:sz w:val="24"/>
          <w:szCs w:val="24"/>
          <w:highlight w:val="none"/>
        </w:rPr>
        <w:t>第六章 投标文件格式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_Toc13446 \h </w:instrText>
      </w:r>
      <w:r>
        <w:rPr>
          <w:color w:val="auto"/>
          <w:sz w:val="24"/>
          <w:szCs w:val="24"/>
          <w:highlight w:val="none"/>
        </w:rPr>
        <w:fldChar w:fldCharType="separate"/>
      </w:r>
      <w:r>
        <w:rPr>
          <w:color w:val="auto"/>
          <w:sz w:val="24"/>
          <w:szCs w:val="24"/>
          <w:highlight w:val="none"/>
        </w:rPr>
        <w:t>33</w:t>
      </w:r>
      <w:r>
        <w:rPr>
          <w:color w:val="auto"/>
          <w:sz w:val="24"/>
          <w:szCs w:val="24"/>
          <w:highlight w:val="none"/>
        </w:rPr>
        <w:fldChar w:fldCharType="end"/>
      </w:r>
      <w:r>
        <w:rPr>
          <w:color w:val="auto"/>
          <w:sz w:val="24"/>
          <w:szCs w:val="24"/>
          <w:highlight w:val="none"/>
        </w:rPr>
        <w:fldChar w:fldCharType="end"/>
      </w:r>
    </w:p>
    <w:p>
      <w:pPr>
        <w:widowControl/>
        <w:jc w:val="left"/>
        <w:rPr>
          <w:rFonts w:ascii="宋体" w:hAnsi="宋体" w:cs="宋体"/>
          <w:color w:val="auto"/>
          <w:sz w:val="36"/>
          <w:highlight w:val="none"/>
        </w:rPr>
      </w:pPr>
      <w:r>
        <w:rPr>
          <w:rFonts w:ascii="宋体" w:hAnsi="宋体" w:cs="宋体"/>
          <w:color w:val="auto"/>
          <w:highlight w:val="none"/>
        </w:rPr>
        <w:fldChar w:fldCharType="end"/>
      </w:r>
    </w:p>
    <w:p>
      <w:pPr>
        <w:widowControl/>
        <w:jc w:val="left"/>
        <w:rPr>
          <w:rFonts w:ascii="宋体" w:hAnsi="宋体" w:cs="宋体"/>
          <w:color w:val="auto"/>
          <w:sz w:val="36"/>
          <w:highlight w:val="none"/>
        </w:rPr>
      </w:pPr>
      <w:r>
        <w:rPr>
          <w:rFonts w:ascii="宋体" w:hAnsi="宋体" w:cs="宋体"/>
          <w:color w:val="auto"/>
          <w:sz w:val="36"/>
          <w:highlight w:val="none"/>
        </w:rPr>
        <w:br w:type="page"/>
      </w:r>
    </w:p>
    <w:p>
      <w:pPr>
        <w:pStyle w:val="3"/>
        <w:spacing w:line="360" w:lineRule="auto"/>
        <w:jc w:val="center"/>
        <w:rPr>
          <w:rFonts w:ascii="宋体" w:hAnsi="宋体" w:cs="宋体"/>
          <w:color w:val="auto"/>
          <w:sz w:val="36"/>
          <w:highlight w:val="none"/>
        </w:rPr>
      </w:pPr>
      <w:bookmarkStart w:id="3" w:name="_Toc100135567"/>
      <w:bookmarkStart w:id="4" w:name="_Toc30566"/>
      <w:bookmarkStart w:id="5" w:name="_Toc99380847"/>
      <w:r>
        <w:rPr>
          <w:rFonts w:hint="eastAsia" w:ascii="宋体" w:hAnsi="宋体" w:cs="宋体"/>
          <w:color w:val="auto"/>
          <w:sz w:val="36"/>
          <w:highlight w:val="none"/>
        </w:rPr>
        <w:t>第一章 招标公告</w:t>
      </w:r>
      <w:bookmarkEnd w:id="1"/>
      <w:bookmarkEnd w:id="3"/>
      <w:bookmarkEnd w:id="4"/>
      <w:bookmarkEnd w:id="5"/>
    </w:p>
    <w:bookmarkEnd w:id="2"/>
    <w:p>
      <w:pPr>
        <w:spacing w:line="360" w:lineRule="auto"/>
        <w:ind w:firstLine="420" w:firstLineChars="200"/>
        <w:rPr>
          <w:rFonts w:ascii="宋体" w:hAnsi="宋体" w:cs="宋体"/>
          <w:color w:val="auto"/>
          <w:szCs w:val="21"/>
          <w:highlight w:val="none"/>
        </w:rPr>
      </w:pPr>
      <w:bookmarkStart w:id="6" w:name="_Toc497133091"/>
      <w:r>
        <w:rPr>
          <w:rFonts w:hint="eastAsia" w:ascii="宋体" w:hAnsi="宋体" w:cs="宋体"/>
          <w:color w:val="auto"/>
          <w:szCs w:val="21"/>
          <w:highlight w:val="none"/>
        </w:rPr>
        <w:t>江苏中鑫项目管理有限公司（以下简称“代理机构”）受</w:t>
      </w:r>
      <w:r>
        <w:rPr>
          <w:rFonts w:hint="eastAsia" w:hAnsi="宋体"/>
          <w:color w:val="auto"/>
          <w:szCs w:val="21"/>
          <w:highlight w:val="none"/>
          <w:u w:val="single"/>
        </w:rPr>
        <w:t>江苏长江水务股份有限公司</w:t>
      </w:r>
      <w:r>
        <w:rPr>
          <w:rFonts w:hint="eastAsia" w:ascii="宋体" w:hAnsi="宋体" w:cs="宋体"/>
          <w:color w:val="auto"/>
          <w:szCs w:val="21"/>
          <w:highlight w:val="none"/>
        </w:rPr>
        <w:t>委托，就</w:t>
      </w:r>
      <w:r>
        <w:rPr>
          <w:rFonts w:hint="eastAsia" w:ascii="宋体" w:hAnsi="宋体" w:cs="宋体"/>
          <w:color w:val="auto"/>
          <w:highlight w:val="none"/>
          <w:u w:val="single"/>
          <w:lang w:val="en-US" w:eastAsia="zh-CN"/>
        </w:rPr>
        <w:t>扬州市第六水厂水资源论证报告编制项目</w:t>
      </w:r>
      <w:r>
        <w:rPr>
          <w:rFonts w:hint="eastAsia" w:ascii="宋体" w:hAnsi="宋体" w:cs="宋体"/>
          <w:color w:val="auto"/>
          <w:szCs w:val="21"/>
          <w:highlight w:val="none"/>
        </w:rPr>
        <w:t>进行公开招标，欢迎符合相关条件的投标人参与竞标。</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一、项目基本情况</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1.项目编号：JSZX-230</w:t>
      </w:r>
      <w:r>
        <w:rPr>
          <w:rFonts w:hint="eastAsia" w:ascii="宋体" w:hAnsi="宋体" w:cs="宋体"/>
          <w:color w:val="auto"/>
          <w:highlight w:val="none"/>
          <w:lang w:val="en-US" w:eastAsia="zh-CN"/>
        </w:rPr>
        <w:t>10</w:t>
      </w:r>
      <w:r>
        <w:rPr>
          <w:rFonts w:hint="eastAsia" w:ascii="宋体" w:hAnsi="宋体" w:cs="宋体"/>
          <w:color w:val="auto"/>
          <w:highlight w:val="none"/>
        </w:rPr>
        <w:t>-DL0</w:t>
      </w:r>
      <w:r>
        <w:rPr>
          <w:rFonts w:hint="eastAsia" w:ascii="宋体" w:hAnsi="宋体" w:cs="宋体"/>
          <w:color w:val="auto"/>
          <w:highlight w:val="none"/>
          <w:lang w:val="en-US" w:eastAsia="zh-CN"/>
        </w:rPr>
        <w:t>9</w:t>
      </w:r>
      <w:r>
        <w:rPr>
          <w:rFonts w:hint="eastAsia" w:ascii="宋体" w:hAnsi="宋体" w:cs="宋体"/>
          <w:color w:val="auto"/>
          <w:highlight w:val="none"/>
        </w:rPr>
        <w:t>号</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2.项目名称：江苏长江水务股份有限公司</w:t>
      </w:r>
      <w:r>
        <w:rPr>
          <w:rFonts w:hint="eastAsia" w:ascii="宋体" w:hAnsi="宋体" w:cs="宋体"/>
          <w:color w:val="auto"/>
          <w:highlight w:val="none"/>
          <w:lang w:val="en-US" w:eastAsia="zh-CN"/>
        </w:rPr>
        <w:t xml:space="preserve">扬州市第六水厂水资源论证报告编制项目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w:t>
      </w:r>
      <w:r>
        <w:rPr>
          <w:rFonts w:ascii="宋体" w:hAnsi="宋体" w:cs="宋体"/>
          <w:color w:val="auto"/>
          <w:highlight w:val="none"/>
        </w:rPr>
        <w:t>.</w:t>
      </w:r>
      <w:r>
        <w:rPr>
          <w:rFonts w:hint="eastAsia" w:ascii="宋体" w:hAnsi="宋体" w:cs="宋体"/>
          <w:color w:val="auto"/>
          <w:highlight w:val="none"/>
        </w:rPr>
        <w:t>项目预算：</w:t>
      </w:r>
      <w:r>
        <w:rPr>
          <w:rFonts w:hint="eastAsia" w:ascii="宋体" w:hAnsi="宋体" w:cs="宋体"/>
          <w:color w:val="auto"/>
          <w:highlight w:val="none"/>
          <w:lang w:val="en-US" w:eastAsia="zh-CN"/>
        </w:rPr>
        <w:t>7</w:t>
      </w:r>
      <w:r>
        <w:rPr>
          <w:rFonts w:hint="eastAsia" w:ascii="宋体" w:hAnsi="宋体" w:cs="宋体"/>
          <w:color w:val="auto"/>
          <w:highlight w:val="none"/>
        </w:rPr>
        <w:t>0万元</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w:t>
      </w:r>
      <w:r>
        <w:rPr>
          <w:rFonts w:hint="eastAsia" w:ascii="宋体" w:hAnsi="宋体" w:cs="宋体"/>
          <w:color w:val="auto"/>
          <w:szCs w:val="21"/>
          <w:highlight w:val="none"/>
        </w:rPr>
        <w:t>采购需求：</w:t>
      </w:r>
      <w:r>
        <w:rPr>
          <w:rFonts w:hint="eastAsia" w:ascii="宋体" w:hAnsi="宋体"/>
          <w:color w:val="auto"/>
          <w:szCs w:val="21"/>
          <w:highlight w:val="none"/>
          <w:lang w:val="zh-CN"/>
        </w:rPr>
        <w:t>详</w:t>
      </w:r>
      <w:r>
        <w:rPr>
          <w:rFonts w:hint="eastAsia" w:ascii="宋体" w:hAnsi="宋体"/>
          <w:color w:val="auto"/>
          <w:szCs w:val="21"/>
          <w:highlight w:val="none"/>
        </w:rPr>
        <w:t>见</w:t>
      </w:r>
      <w:r>
        <w:rPr>
          <w:rFonts w:hint="eastAsia" w:ascii="宋体" w:hAnsi="宋体"/>
          <w:color w:val="auto"/>
          <w:szCs w:val="21"/>
          <w:highlight w:val="none"/>
          <w:lang w:val="zh-CN"/>
        </w:rPr>
        <w:t>招标文件第四章</w:t>
      </w:r>
    </w:p>
    <w:p>
      <w:pPr>
        <w:spacing w:line="360" w:lineRule="auto"/>
        <w:ind w:firstLine="420" w:firstLineChars="200"/>
        <w:rPr>
          <w:rFonts w:hint="default" w:ascii="宋体" w:hAnsi="宋体" w:eastAsia="宋体"/>
          <w:color w:val="auto"/>
          <w:szCs w:val="21"/>
          <w:highlight w:val="none"/>
          <w:lang w:val="en-US" w:eastAsia="zh-CN"/>
        </w:rPr>
      </w:pPr>
      <w:r>
        <w:rPr>
          <w:rFonts w:ascii="宋体" w:hAnsi="宋体" w:cs="宋体"/>
          <w:color w:val="auto"/>
          <w:szCs w:val="21"/>
          <w:highlight w:val="none"/>
        </w:rPr>
        <w:t>5.</w:t>
      </w:r>
      <w:r>
        <w:rPr>
          <w:rFonts w:hint="eastAsia" w:ascii="宋体" w:hAnsi="宋体" w:cs="宋体"/>
          <w:color w:val="auto"/>
          <w:szCs w:val="21"/>
          <w:highlight w:val="none"/>
          <w:lang w:val="en-US" w:eastAsia="zh-CN"/>
        </w:rPr>
        <w:t>服务周期</w:t>
      </w:r>
      <w:r>
        <w:rPr>
          <w:rFonts w:hint="eastAsia" w:ascii="宋体" w:hAnsi="宋体"/>
          <w:color w:val="auto"/>
          <w:szCs w:val="21"/>
          <w:highlight w:val="none"/>
        </w:rPr>
        <w:t>：合同签订之日起</w:t>
      </w:r>
      <w:r>
        <w:rPr>
          <w:rFonts w:hint="eastAsia" w:ascii="宋体" w:hAnsi="宋体"/>
          <w:color w:val="auto"/>
          <w:szCs w:val="21"/>
          <w:highlight w:val="none"/>
          <w:lang w:val="en-US" w:eastAsia="zh-CN"/>
        </w:rPr>
        <w:t>40天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rPr>
        <w:t>本项目不接受联合体投标</w:t>
      </w:r>
    </w:p>
    <w:p>
      <w:pPr>
        <w:spacing w:line="360" w:lineRule="auto"/>
        <w:ind w:firstLine="422" w:firstLineChars="200"/>
        <w:rPr>
          <w:rFonts w:ascii="宋体" w:hAnsi="宋体" w:cs="宋体"/>
          <w:color w:val="auto"/>
          <w:szCs w:val="21"/>
          <w:highlight w:val="none"/>
        </w:rPr>
      </w:pPr>
      <w:bookmarkStart w:id="7" w:name="_Toc35393622"/>
      <w:bookmarkStart w:id="8" w:name="_Toc28359080"/>
      <w:bookmarkStart w:id="9" w:name="_Toc35393791"/>
      <w:bookmarkStart w:id="10" w:name="_Toc28359003"/>
      <w:r>
        <w:rPr>
          <w:rFonts w:hint="eastAsia" w:ascii="宋体" w:hAnsi="宋体" w:cs="宋体"/>
          <w:b/>
          <w:bCs/>
          <w:color w:val="auto"/>
          <w:szCs w:val="21"/>
          <w:highlight w:val="none"/>
        </w:rPr>
        <w:t>二、申请人的资格要求</w:t>
      </w:r>
      <w:bookmarkEnd w:id="7"/>
      <w:bookmarkEnd w:id="8"/>
      <w:bookmarkEnd w:id="9"/>
      <w:bookmarkEnd w:id="10"/>
    </w:p>
    <w:p>
      <w:pPr>
        <w:spacing w:line="360" w:lineRule="auto"/>
        <w:ind w:firstLine="420" w:firstLineChars="200"/>
        <w:rPr>
          <w:rFonts w:ascii="宋体" w:hAnsi="宋体" w:cs="宋体"/>
          <w:color w:val="auto"/>
          <w:szCs w:val="21"/>
          <w:highlight w:val="none"/>
        </w:rPr>
      </w:pPr>
      <w:bookmarkStart w:id="11" w:name="_Toc28359004"/>
      <w:bookmarkStart w:id="12" w:name="_Toc28359081"/>
      <w:r>
        <w:rPr>
          <w:rFonts w:hint="eastAsia" w:ascii="宋体" w:hAnsi="宋体" w:cs="宋体"/>
          <w:color w:val="auto"/>
          <w:szCs w:val="21"/>
          <w:highlight w:val="none"/>
        </w:rPr>
        <w:t>1、提供下列材料：</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1.1投标函(原件)</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1.2 资格声明(原件)</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1.3法人</w:t>
      </w:r>
      <w:r>
        <w:rPr>
          <w:rFonts w:hint="eastAsia" w:ascii="宋体" w:hAnsi="宋体" w:cs="宋体"/>
          <w:i/>
          <w:iCs/>
          <w:color w:val="auto"/>
          <w:szCs w:val="21"/>
          <w:highlight w:val="none"/>
          <w:u w:val="single"/>
          <w:lang w:val="en-US" w:eastAsia="zh-CN"/>
        </w:rPr>
        <w:t>或其他组织的营业执照等</w:t>
      </w:r>
      <w:r>
        <w:rPr>
          <w:rFonts w:hint="eastAsia" w:ascii="宋体" w:hAnsi="宋体" w:cs="宋体"/>
          <w:i/>
          <w:iCs/>
          <w:color w:val="auto"/>
          <w:szCs w:val="21"/>
          <w:highlight w:val="none"/>
          <w:u w:val="single"/>
        </w:rPr>
        <w:t>证明材料(复印件加盖供应商公章)，自然人的身份证明</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1.5 投标人依法缴纳职工社会保障资金的证明材料 （复印件加盖投标人公章）(税务、银行或社会保险基金管理部门出具的202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1</w:t>
      </w:r>
      <w:r>
        <w:rPr>
          <w:rFonts w:hint="eastAsia" w:ascii="宋体" w:hAnsi="宋体" w:cs="宋体"/>
          <w:i/>
          <w:iCs/>
          <w:color w:val="auto"/>
          <w:szCs w:val="21"/>
          <w:highlight w:val="none"/>
          <w:u w:val="single"/>
        </w:rPr>
        <w:t>月至202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3</w:t>
      </w:r>
      <w:r>
        <w:rPr>
          <w:rFonts w:hint="eastAsia" w:ascii="宋体" w:hAnsi="宋体" w:cs="宋体"/>
          <w:i/>
          <w:iCs/>
          <w:color w:val="auto"/>
          <w:szCs w:val="21"/>
          <w:highlight w:val="none"/>
          <w:u w:val="single"/>
        </w:rPr>
        <w:t>月近三个月内任意一个月缴纳职工社会保障资金的缴款凭证或缴款证明)（投标人依法享受缓缴、免缴的提供相关证明材料）</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1.6 投标人202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1</w:t>
      </w:r>
      <w:r>
        <w:rPr>
          <w:rFonts w:hint="eastAsia" w:ascii="宋体" w:hAnsi="宋体" w:cs="宋体"/>
          <w:i/>
          <w:iCs/>
          <w:color w:val="auto"/>
          <w:szCs w:val="21"/>
          <w:highlight w:val="none"/>
          <w:u w:val="single"/>
        </w:rPr>
        <w:t>月至202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3</w:t>
      </w:r>
      <w:r>
        <w:rPr>
          <w:rFonts w:hint="eastAsia" w:ascii="宋体" w:hAnsi="宋体" w:cs="宋体"/>
          <w:i/>
          <w:iCs/>
          <w:color w:val="auto"/>
          <w:szCs w:val="21"/>
          <w:highlight w:val="none"/>
          <w:u w:val="single"/>
        </w:rPr>
        <w:t>月近三个月内任意一个月依法纳税的缴款凭证（复印件加盖投标人公章）（投标人依法享受缓缴、免缴的提供相关证明材料）</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1.7与第（1.6）条相对应的纳税申报表或上一年度财务状况情况（复印件加盖投标人公章）（成立不满一年不需提供）</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1.8 参加本次采购活动前3年内在经营活动中没有重大违法记录的书面声明（原件）</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1.9供应商信用承诺书（原件）</w:t>
      </w:r>
    </w:p>
    <w:p>
      <w:pPr>
        <w:spacing w:line="360" w:lineRule="auto"/>
        <w:ind w:firstLine="420" w:firstLineChars="200"/>
        <w:rPr>
          <w:i/>
          <w:iCs/>
          <w:color w:val="auto"/>
          <w:szCs w:val="21"/>
          <w:highlight w:val="none"/>
          <w:u w:val="single"/>
          <w:shd w:val="clear" w:color="auto" w:fill="FFFFFF"/>
        </w:rPr>
      </w:pPr>
      <w:r>
        <w:rPr>
          <w:rFonts w:hint="eastAsia" w:ascii="宋体" w:hAnsi="宋体" w:cs="宋体"/>
          <w:i/>
          <w:iCs/>
          <w:color w:val="auto"/>
          <w:szCs w:val="21"/>
          <w:highlight w:val="none"/>
          <w:u w:val="single"/>
        </w:rPr>
        <w:t>1.10未被“信用中国”网站（www.creditchina.gov.cn）、“中国政府采购网"(www.ccgp.gov.cn)列入失信被执行人、重大税收违法案件当事人名单、政府采购严重违法失信行为记录名单（提供网页截图加盖供应商公章）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、本项目的特定资格要求：</w:t>
      </w:r>
    </w:p>
    <w:p>
      <w:pPr>
        <w:spacing w:line="360" w:lineRule="auto"/>
        <w:ind w:firstLine="420" w:firstLineChars="200"/>
        <w:rPr>
          <w:rFonts w:hint="eastAsia" w:ascii="宋体" w:hAnsi="宋体"/>
          <w:i/>
          <w:iCs/>
          <w:color w:val="auto"/>
          <w:highlight w:val="none"/>
          <w:u w:val="single"/>
        </w:rPr>
      </w:pPr>
      <w:r>
        <w:rPr>
          <w:rFonts w:hint="eastAsia" w:ascii="宋体" w:hAnsi="宋体"/>
          <w:i/>
          <w:iCs/>
          <w:color w:val="auto"/>
          <w:highlight w:val="none"/>
          <w:u w:val="single"/>
        </w:rPr>
        <w:t>（1）投标人须</w:t>
      </w:r>
      <w:r>
        <w:rPr>
          <w:rFonts w:hint="eastAsia" w:ascii="宋体" w:hAnsi="宋体"/>
          <w:i/>
          <w:iCs/>
          <w:color w:val="auto"/>
          <w:highlight w:val="none"/>
          <w:u w:val="single"/>
          <w:lang w:val="en-US" w:eastAsia="zh-CN"/>
        </w:rPr>
        <w:t>具备建设项目水资源论证乙级及以上资质</w:t>
      </w:r>
      <w:r>
        <w:rPr>
          <w:rFonts w:hint="eastAsia" w:ascii="宋体" w:hAnsi="宋体"/>
          <w:b/>
          <w:bCs/>
          <w:i/>
          <w:iCs/>
          <w:color w:val="auto"/>
          <w:highlight w:val="none"/>
          <w:u w:val="single"/>
        </w:rPr>
        <w:t>(提供证书复印件加盖投标人公章)</w:t>
      </w:r>
      <w:r>
        <w:rPr>
          <w:rFonts w:hint="eastAsia" w:ascii="宋体" w:hAnsi="宋体"/>
          <w:i/>
          <w:iCs/>
          <w:color w:val="auto"/>
          <w:highlight w:val="none"/>
          <w:u w:val="single"/>
          <w:lang w:val="en-US" w:eastAsia="zh-CN"/>
        </w:rPr>
        <w:t>。</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、拒绝下述供应商参加本次采购活动：</w:t>
      </w:r>
    </w:p>
    <w:p>
      <w:pPr>
        <w:spacing w:line="360" w:lineRule="auto"/>
        <w:ind w:firstLine="420" w:firstLineChars="200"/>
        <w:rPr>
          <w:rFonts w:ascii="宋体" w:hAnsi="宋体" w:cs="宋体"/>
          <w:color w:val="auto"/>
          <w:kern w:val="0"/>
          <w:highlight w:val="none"/>
        </w:rPr>
      </w:pPr>
      <w:r>
        <w:rPr>
          <w:rFonts w:hint="eastAsia" w:ascii="宋体" w:hAnsi="宋体" w:cs="宋体"/>
          <w:color w:val="auto"/>
          <w:szCs w:val="21"/>
          <w:highlight w:val="none"/>
        </w:rPr>
        <w:t>（1）</w:t>
      </w:r>
      <w:r>
        <w:rPr>
          <w:rFonts w:hint="eastAsia" w:ascii="宋体" w:hAnsi="宋体" w:cs="宋体"/>
          <w:color w:val="auto"/>
          <w:kern w:val="0"/>
          <w:highlight w:val="none"/>
        </w:rPr>
        <w:t>供应商单位负责人为同一人或者存在直接控股、管理关系的不同供应商，不得参加同一合同项下的采购活动。</w:t>
      </w:r>
    </w:p>
    <w:p>
      <w:pPr>
        <w:spacing w:line="360" w:lineRule="auto"/>
        <w:ind w:firstLine="420" w:firstLineChars="200"/>
        <w:rPr>
          <w:rFonts w:ascii="宋体" w:hAnsi="宋体" w:cs="宋体"/>
          <w:color w:val="auto"/>
          <w:kern w:val="0"/>
          <w:highlight w:val="none"/>
        </w:rPr>
      </w:pPr>
      <w:r>
        <w:rPr>
          <w:rFonts w:hint="eastAsia" w:ascii="宋体" w:hAnsi="宋体" w:cs="宋体"/>
          <w:color w:val="auto"/>
          <w:szCs w:val="21"/>
          <w:highlight w:val="none"/>
        </w:rPr>
        <w:t>（2）</w:t>
      </w:r>
      <w:r>
        <w:rPr>
          <w:rFonts w:hint="eastAsia" w:ascii="宋体" w:hAnsi="宋体" w:cs="宋体"/>
          <w:color w:val="auto"/>
          <w:kern w:val="0"/>
          <w:highlight w:val="none"/>
        </w:rPr>
        <w:t>供应商被“信用中国”网站、“中国政府采购网"列入失信被执行人、重大税收违法案件当事人名单、政府采购严重违法失信行为记录名单。</w:t>
      </w:r>
    </w:p>
    <w:p>
      <w:pPr>
        <w:spacing w:line="360" w:lineRule="auto"/>
        <w:ind w:firstLine="422" w:firstLineChars="200"/>
        <w:rPr>
          <w:rFonts w:ascii="宋体" w:hAnsi="宋体" w:cs="宋体"/>
          <w:b/>
          <w:bCs/>
          <w:color w:val="auto"/>
          <w:szCs w:val="21"/>
          <w:highlight w:val="none"/>
        </w:rPr>
      </w:pPr>
      <w:bookmarkStart w:id="13" w:name="_Toc35393623"/>
      <w:bookmarkStart w:id="14" w:name="_Toc35393792"/>
      <w:r>
        <w:rPr>
          <w:rFonts w:hint="eastAsia" w:ascii="宋体" w:hAnsi="宋体" w:cs="宋体"/>
          <w:b/>
          <w:bCs/>
          <w:color w:val="auto"/>
          <w:szCs w:val="21"/>
          <w:highlight w:val="none"/>
        </w:rPr>
        <w:t>三、获取招标文件</w:t>
      </w:r>
      <w:bookmarkEnd w:id="11"/>
      <w:bookmarkEnd w:id="12"/>
      <w:bookmarkEnd w:id="13"/>
      <w:bookmarkEnd w:id="14"/>
    </w:p>
    <w:p>
      <w:pPr>
        <w:spacing w:line="360" w:lineRule="auto"/>
        <w:ind w:firstLine="420" w:firstLineChars="200"/>
        <w:rPr>
          <w:rFonts w:ascii="宋体" w:hAnsi="宋体" w:cs="宋体"/>
          <w:color w:val="auto"/>
          <w:highlight w:val="none"/>
        </w:rPr>
      </w:pPr>
      <w:bookmarkStart w:id="15" w:name="_Toc28359005"/>
      <w:bookmarkStart w:id="16" w:name="_Toc28359082"/>
      <w:bookmarkStart w:id="17" w:name="_Toc35393624"/>
      <w:bookmarkStart w:id="18" w:name="_Toc35393793"/>
      <w:r>
        <w:rPr>
          <w:rFonts w:hint="eastAsia" w:ascii="宋体" w:hAnsi="宋体" w:cs="宋体"/>
          <w:color w:val="auto"/>
          <w:highlight w:val="none"/>
        </w:rPr>
        <w:t>时间：202</w:t>
      </w:r>
      <w:r>
        <w:rPr>
          <w:rFonts w:hint="eastAsia" w:ascii="宋体" w:hAnsi="宋体" w:cs="宋体"/>
          <w:color w:val="auto"/>
          <w:highlight w:val="none"/>
          <w:lang w:val="en-US" w:eastAsia="zh-CN"/>
        </w:rPr>
        <w:t>4</w:t>
      </w:r>
      <w:r>
        <w:rPr>
          <w:rFonts w:hint="eastAsia" w:ascii="宋体" w:hAnsi="宋体" w:cs="宋体"/>
          <w:color w:val="auto"/>
          <w:highlight w:val="none"/>
        </w:rPr>
        <w:t>年</w:t>
      </w:r>
      <w:r>
        <w:rPr>
          <w:rFonts w:hint="eastAsia" w:ascii="宋体" w:hAnsi="宋体" w:cs="宋体"/>
          <w:color w:val="auto"/>
          <w:highlight w:val="none"/>
          <w:lang w:val="en-US" w:eastAsia="zh-CN"/>
        </w:rPr>
        <w:t>4</w:t>
      </w:r>
      <w:r>
        <w:rPr>
          <w:rFonts w:hint="eastAsia" w:ascii="宋体" w:hAnsi="宋体" w:cs="宋体"/>
          <w:color w:val="auto"/>
          <w:highlight w:val="none"/>
        </w:rPr>
        <w:t>月</w:t>
      </w:r>
      <w:r>
        <w:rPr>
          <w:rFonts w:hint="eastAsia" w:ascii="宋体" w:hAnsi="宋体" w:cs="宋体"/>
          <w:color w:val="auto"/>
          <w:highlight w:val="none"/>
          <w:lang w:val="en-US" w:eastAsia="zh-CN"/>
        </w:rPr>
        <w:t>23</w:t>
      </w:r>
      <w:r>
        <w:rPr>
          <w:rFonts w:hint="eastAsia" w:ascii="宋体" w:hAnsi="宋体" w:cs="宋体"/>
          <w:color w:val="auto"/>
          <w:highlight w:val="none"/>
        </w:rPr>
        <w:t>日至2</w:t>
      </w:r>
      <w:r>
        <w:rPr>
          <w:rFonts w:ascii="宋体" w:hAnsi="宋体" w:cs="宋体"/>
          <w:color w:val="auto"/>
          <w:highlight w:val="none"/>
        </w:rPr>
        <w:t>02</w:t>
      </w:r>
      <w:r>
        <w:rPr>
          <w:rFonts w:hint="eastAsia" w:ascii="宋体" w:hAnsi="宋体" w:cs="宋体"/>
          <w:color w:val="auto"/>
          <w:highlight w:val="none"/>
          <w:lang w:val="en-US" w:eastAsia="zh-CN"/>
        </w:rPr>
        <w:t>4</w:t>
      </w:r>
      <w:r>
        <w:rPr>
          <w:rFonts w:hint="eastAsia" w:ascii="宋体" w:hAnsi="宋体" w:cs="宋体"/>
          <w:color w:val="auto"/>
          <w:highlight w:val="none"/>
        </w:rPr>
        <w:t>年</w:t>
      </w:r>
      <w:r>
        <w:rPr>
          <w:rFonts w:hint="eastAsia" w:ascii="宋体" w:hAnsi="宋体" w:cs="宋体"/>
          <w:color w:val="auto"/>
          <w:highlight w:val="none"/>
          <w:lang w:val="en-US" w:eastAsia="zh-CN"/>
        </w:rPr>
        <w:t>5</w:t>
      </w:r>
      <w:r>
        <w:rPr>
          <w:rFonts w:hint="eastAsia" w:ascii="宋体" w:hAnsi="宋体" w:cs="宋体"/>
          <w:color w:val="auto"/>
          <w:highlight w:val="none"/>
        </w:rPr>
        <w:t>月</w:t>
      </w:r>
      <w:r>
        <w:rPr>
          <w:rFonts w:hint="eastAsia" w:ascii="宋体" w:hAnsi="宋体" w:cs="宋体"/>
          <w:color w:val="auto"/>
          <w:highlight w:val="none"/>
          <w:lang w:val="en-US" w:eastAsia="zh-CN"/>
        </w:rPr>
        <w:t>5</w:t>
      </w:r>
      <w:r>
        <w:rPr>
          <w:rFonts w:hint="eastAsia" w:ascii="宋体" w:hAnsi="宋体" w:cs="宋体"/>
          <w:color w:val="auto"/>
          <w:highlight w:val="none"/>
        </w:rPr>
        <w:t>日（每天上午9:00-11:30，下午2:00-5:00）</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地点：扬州市京华城路8号五彩世界B座19楼招标代理部</w:t>
      </w:r>
    </w:p>
    <w:p>
      <w:pPr>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方式：</w:t>
      </w:r>
      <w:r>
        <w:rPr>
          <w:rFonts w:hint="eastAsia" w:ascii="宋体" w:hAnsi="宋体" w:cs="宋体"/>
          <w:color w:val="auto"/>
          <w:szCs w:val="21"/>
          <w:highlight w:val="none"/>
        </w:rPr>
        <w:t>凡有意参加投标的投标人，请于上述时间内持单位营业执照复印件（加盖单位公章）、法定代表人授权委托书原件、被授权人身份证复印件（加盖单位公章）</w:t>
      </w:r>
      <w:r>
        <w:rPr>
          <w:rFonts w:hint="eastAsia" w:ascii="宋体" w:hAnsi="宋体" w:cs="宋体"/>
          <w:color w:val="auto"/>
          <w:szCs w:val="21"/>
          <w:highlight w:val="none"/>
          <w:lang w:val="en-US" w:eastAsia="zh-CN"/>
        </w:rPr>
        <w:t>进行</w:t>
      </w:r>
      <w:r>
        <w:rPr>
          <w:rFonts w:hint="eastAsia" w:ascii="宋体" w:hAnsi="宋体" w:cs="宋体"/>
          <w:color w:val="auto"/>
          <w:szCs w:val="21"/>
          <w:highlight w:val="none"/>
        </w:rPr>
        <w:t>登记</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投标人可自行选择现场登记或邮寄方式或电子邮件方式进行登记，邮箱：116407253@qq.com</w:t>
      </w:r>
      <w:r>
        <w:rPr>
          <w:rFonts w:hint="eastAsia" w:ascii="宋体" w:hAnsi="宋体" w:cs="宋体"/>
          <w:color w:val="auto"/>
          <w:szCs w:val="21"/>
          <w:highlight w:val="none"/>
          <w:lang w:eastAsia="zh-CN"/>
        </w:rPr>
        <w:t>）。</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四、提交投标文件</w:t>
      </w:r>
      <w:bookmarkEnd w:id="15"/>
      <w:bookmarkEnd w:id="16"/>
      <w:r>
        <w:rPr>
          <w:rFonts w:hint="eastAsia" w:ascii="宋体" w:hAnsi="宋体" w:cs="宋体"/>
          <w:b/>
          <w:bCs/>
          <w:color w:val="auto"/>
          <w:szCs w:val="21"/>
          <w:highlight w:val="none"/>
        </w:rPr>
        <w:t>截止时间、开标时间和地点</w:t>
      </w:r>
      <w:bookmarkEnd w:id="17"/>
      <w:bookmarkEnd w:id="18"/>
    </w:p>
    <w:p>
      <w:pPr>
        <w:spacing w:line="360" w:lineRule="auto"/>
        <w:ind w:firstLine="420" w:firstLineChars="200"/>
        <w:rPr>
          <w:rFonts w:ascii="宋体" w:hAnsi="宋体" w:cs="宋体"/>
          <w:color w:val="auto"/>
          <w:szCs w:val="21"/>
          <w:highlight w:val="none"/>
        </w:rPr>
      </w:pPr>
      <w:bookmarkStart w:id="19" w:name="_Toc28359084"/>
      <w:bookmarkStart w:id="20" w:name="_Toc35393625"/>
      <w:bookmarkStart w:id="21" w:name="_Toc35393794"/>
      <w:bookmarkStart w:id="22" w:name="_Toc28359007"/>
      <w:r>
        <w:rPr>
          <w:rFonts w:hint="eastAsia" w:ascii="宋体" w:hAnsi="宋体" w:cs="宋体"/>
          <w:color w:val="auto"/>
          <w:szCs w:val="21"/>
          <w:highlight w:val="none"/>
        </w:rPr>
        <w:t>截止时间：2023年</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点</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开标时间：2023年</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点</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地点：江苏中鑫项目管理有限公司开标室（扬州市邗江区邗江中路553号邗江文化馆六楼）</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五、公告期限</w:t>
      </w:r>
      <w:bookmarkEnd w:id="19"/>
      <w:bookmarkEnd w:id="20"/>
      <w:bookmarkEnd w:id="21"/>
      <w:bookmarkEnd w:id="22"/>
    </w:p>
    <w:p>
      <w:pPr>
        <w:pStyle w:val="49"/>
        <w:spacing w:line="360" w:lineRule="auto"/>
        <w:rPr>
          <w:rFonts w:ascii="宋体" w:hAnsi="宋体" w:cs="宋体"/>
          <w:color w:val="auto"/>
          <w:szCs w:val="21"/>
          <w:highlight w:val="none"/>
        </w:rPr>
      </w:pPr>
      <w:bookmarkStart w:id="23" w:name="_Toc35393626"/>
      <w:bookmarkStart w:id="24" w:name="_Toc35393795"/>
      <w:r>
        <w:rPr>
          <w:rFonts w:hint="eastAsia" w:ascii="宋体" w:hAnsi="宋体" w:cs="宋体"/>
          <w:color w:val="auto"/>
          <w:szCs w:val="21"/>
          <w:highlight w:val="none"/>
        </w:rPr>
        <w:t>自本招标公告在“扬州市公共资源交易服务平台、扬州市城建国有资产控股（集团）有限责任公司网站、江苏长江水务股份有限公司网站”发布之日起5个工作日。</w:t>
      </w:r>
    </w:p>
    <w:p>
      <w:pPr>
        <w:pStyle w:val="49"/>
        <w:spacing w:line="360" w:lineRule="auto"/>
        <w:ind w:left="420" w:firstLine="0" w:firstLineChars="0"/>
        <w:rPr>
          <w:rFonts w:ascii="宋体" w:hAnsi="宋体" w:cs="宋体"/>
          <w:color w:val="auto"/>
          <w:szCs w:val="21"/>
          <w:highlight w:val="none"/>
        </w:rPr>
      </w:pPr>
      <w:r>
        <w:rPr>
          <w:rFonts w:hint="eastAsia" w:ascii="宋体" w:hAnsi="宋体" w:cs="宋体"/>
          <w:b/>
          <w:bCs/>
          <w:color w:val="auto"/>
          <w:szCs w:val="21"/>
          <w:highlight w:val="none"/>
        </w:rPr>
        <w:t>六、其他补充事宜</w:t>
      </w:r>
      <w:bookmarkEnd w:id="23"/>
      <w:bookmarkEnd w:id="24"/>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、本次投标保证金要求：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2、集中考察或召开答疑会：不召开。</w:t>
      </w:r>
    </w:p>
    <w:p>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3、投标文件一式伍份(一份正本，肆份副本)，每份投标文件须清楚地标明“正本”或“副本”字样，一旦副本与正本不符，以正本为准。</w:t>
      </w:r>
    </w:p>
    <w:p>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4、潜在投标人对招标文件项目需求部分的询问、质疑请向采购人提出，由采购人负责答复。</w:t>
      </w:r>
    </w:p>
    <w:p>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5、有关本次招标的事项若存在变动或修改，敬请及时关注</w:t>
      </w:r>
      <w:r>
        <w:rPr>
          <w:rFonts w:hint="eastAsia" w:ascii="宋体" w:hAnsi="宋体" w:cs="宋体"/>
          <w:color w:val="auto"/>
          <w:szCs w:val="21"/>
          <w:highlight w:val="none"/>
        </w:rPr>
        <w:t>“扬州市公共资源交易服务平台、扬州市城建国有资产控股（集团）有限责任公司网站、江苏长江水务股份有限公司网站”</w:t>
      </w:r>
      <w:r>
        <w:rPr>
          <w:rFonts w:hint="eastAsia" w:ascii="宋体" w:hAnsi="宋体"/>
          <w:color w:val="auto"/>
          <w:szCs w:val="21"/>
          <w:highlight w:val="none"/>
        </w:rPr>
        <w:t>栏发布的信息或更正公告。</w:t>
      </w:r>
    </w:p>
    <w:p>
      <w:pPr>
        <w:spacing w:line="360" w:lineRule="auto"/>
        <w:ind w:firstLine="413" w:firstLineChars="197"/>
        <w:rPr>
          <w:rFonts w:ascii="宋体" w:hAnsi="宋体"/>
          <w:i/>
          <w:iCs/>
          <w:color w:val="auto"/>
          <w:szCs w:val="21"/>
          <w:highlight w:val="none"/>
          <w:u w:val="single"/>
        </w:rPr>
      </w:pPr>
      <w:r>
        <w:rPr>
          <w:rFonts w:hint="eastAsia" w:ascii="宋体" w:hAnsi="宋体"/>
          <w:color w:val="auto"/>
          <w:szCs w:val="21"/>
          <w:highlight w:val="none"/>
        </w:rPr>
        <w:t>6、</w:t>
      </w:r>
      <w:r>
        <w:rPr>
          <w:rFonts w:hint="eastAsia" w:ascii="宋体" w:hAnsi="宋体"/>
          <w:i/>
          <w:iCs/>
          <w:color w:val="auto"/>
          <w:szCs w:val="21"/>
          <w:highlight w:val="none"/>
          <w:u w:val="single"/>
        </w:rPr>
        <w:t>本项目招标文件中所有斜体下划线部分为实质性条款，如不满足，则为无效投标。</w:t>
      </w:r>
    </w:p>
    <w:p>
      <w:pPr>
        <w:spacing w:line="360" w:lineRule="auto"/>
        <w:ind w:firstLine="422" w:firstLineChars="200"/>
        <w:rPr>
          <w:rFonts w:ascii="宋体" w:hAnsi="宋体" w:cs="宋体"/>
          <w:color w:val="auto"/>
          <w:szCs w:val="21"/>
          <w:highlight w:val="none"/>
        </w:rPr>
      </w:pPr>
      <w:bookmarkStart w:id="25" w:name="_Toc35393796"/>
      <w:bookmarkStart w:id="26" w:name="_Toc28359085"/>
      <w:bookmarkStart w:id="27" w:name="_Toc28359008"/>
      <w:bookmarkStart w:id="28" w:name="_Toc35393627"/>
      <w:r>
        <w:rPr>
          <w:rFonts w:hint="eastAsia" w:ascii="宋体" w:hAnsi="宋体" w:cs="宋体"/>
          <w:b/>
          <w:bCs/>
          <w:color w:val="auto"/>
          <w:szCs w:val="21"/>
          <w:highlight w:val="none"/>
        </w:rPr>
        <w:t>七、对本次招标提出询问，请按以下方式联系</w:t>
      </w:r>
      <w:bookmarkEnd w:id="25"/>
      <w:bookmarkEnd w:id="26"/>
      <w:bookmarkEnd w:id="27"/>
      <w:bookmarkEnd w:id="28"/>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1.采购人信息</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名 称：</w:t>
      </w:r>
      <w:r>
        <w:rPr>
          <w:rFonts w:hint="eastAsia" w:hAnsi="宋体"/>
          <w:color w:val="auto"/>
          <w:szCs w:val="21"/>
          <w:highlight w:val="none"/>
        </w:rPr>
        <w:t>江苏长江水务股份有限公司</w:t>
      </w:r>
      <w:r>
        <w:rPr>
          <w:rFonts w:hint="eastAsia" w:ascii="宋体" w:hAnsi="宋体" w:cs="宋体"/>
          <w:color w:val="auto"/>
          <w:highlight w:val="none"/>
        </w:rPr>
        <w:tab/>
      </w:r>
      <w:r>
        <w:rPr>
          <w:rFonts w:hint="eastAsia" w:ascii="宋体" w:hAnsi="宋体" w:cs="宋体"/>
          <w:color w:val="auto"/>
          <w:highlight w:val="none"/>
        </w:rPr>
        <w:tab/>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址：扬州市文汇东路249号</w:t>
      </w:r>
    </w:p>
    <w:p>
      <w:pPr>
        <w:spacing w:line="360" w:lineRule="auto"/>
        <w:ind w:firstLine="420" w:firstLineChars="200"/>
        <w:rPr>
          <w:rFonts w:ascii="宋体" w:hAnsi="宋体" w:cs="宋体"/>
          <w:color w:val="auto"/>
          <w:szCs w:val="21"/>
          <w:highlight w:val="none"/>
        </w:rPr>
      </w:pPr>
      <w:bookmarkStart w:id="29" w:name="_Toc28359009"/>
      <w:bookmarkStart w:id="30" w:name="_Toc28359086"/>
      <w:r>
        <w:rPr>
          <w:rFonts w:hint="eastAsia" w:ascii="宋体" w:hAnsi="宋体" w:cs="宋体"/>
          <w:color w:val="auto"/>
          <w:szCs w:val="21"/>
          <w:highlight w:val="none"/>
        </w:rPr>
        <w:t>2.采购代理机构信息</w:t>
      </w:r>
      <w:bookmarkEnd w:id="29"/>
      <w:bookmarkEnd w:id="3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名    称：江苏中鑫项目管理有限公司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址：扬州市京华城路8号五彩世界B座19楼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联系方式：13912147130      　　 </w:t>
      </w:r>
    </w:p>
    <w:p>
      <w:pPr>
        <w:spacing w:line="360" w:lineRule="auto"/>
        <w:ind w:firstLine="420" w:firstLineChars="200"/>
        <w:rPr>
          <w:rFonts w:ascii="宋体" w:hAnsi="宋体" w:cs="宋体"/>
          <w:color w:val="auto"/>
          <w:szCs w:val="21"/>
          <w:highlight w:val="none"/>
        </w:rPr>
      </w:pPr>
      <w:bookmarkStart w:id="31" w:name="_Toc28359025"/>
      <w:bookmarkStart w:id="32" w:name="_Toc28359102"/>
      <w:bookmarkStart w:id="33" w:name="_Toc35393643"/>
      <w:bookmarkStart w:id="34" w:name="_Toc35393812"/>
      <w:r>
        <w:rPr>
          <w:rFonts w:hint="eastAsia" w:ascii="宋体" w:hAnsi="宋体" w:cs="宋体"/>
          <w:color w:val="auto"/>
          <w:szCs w:val="21"/>
          <w:highlight w:val="none"/>
        </w:rPr>
        <w:t>3.项目联系方式</w:t>
      </w:r>
      <w:bookmarkEnd w:id="31"/>
      <w:bookmarkEnd w:id="32"/>
      <w:bookmarkEnd w:id="33"/>
      <w:bookmarkEnd w:id="34"/>
    </w:p>
    <w:p>
      <w:pPr>
        <w:ind w:firstLine="420" w:firstLineChars="200"/>
        <w:rPr>
          <w:rFonts w:ascii="宋体" w:hAnsi="宋体" w:cs="宋体"/>
          <w:color w:val="auto"/>
          <w:sz w:val="36"/>
          <w:highlight w:val="none"/>
        </w:rPr>
      </w:pPr>
      <w:r>
        <w:rPr>
          <w:rFonts w:hint="eastAsia" w:ascii="宋体" w:hAnsi="宋体" w:cs="宋体"/>
          <w:color w:val="auto"/>
          <w:szCs w:val="21"/>
          <w:highlight w:val="none"/>
        </w:rPr>
        <w:t>项目联系人：卞工 电话：13912147130</w:t>
      </w:r>
      <w:bookmarkStart w:id="35" w:name="_Toc99380848"/>
      <w:r>
        <w:rPr>
          <w:rFonts w:hint="eastAsia"/>
          <w:color w:val="auto"/>
          <w:highlight w:val="none"/>
        </w:rPr>
        <w:br w:type="page"/>
      </w:r>
      <w:bookmarkStart w:id="36" w:name="_Toc29432"/>
      <w:bookmarkStart w:id="37" w:name="_Toc100135568"/>
      <w:r>
        <w:rPr>
          <w:rFonts w:hint="eastAsia"/>
          <w:color w:val="auto"/>
          <w:highlight w:val="none"/>
          <w:lang w:val="en-US" w:eastAsia="zh-CN"/>
        </w:rPr>
        <w:t xml:space="preserve">                          </w:t>
      </w:r>
      <w:r>
        <w:rPr>
          <w:rFonts w:hint="eastAsia" w:ascii="宋体" w:hAnsi="宋体" w:cs="宋体"/>
          <w:b/>
          <w:bCs/>
          <w:color w:val="auto"/>
          <w:kern w:val="44"/>
          <w:sz w:val="36"/>
          <w:szCs w:val="44"/>
          <w:highlight w:val="none"/>
        </w:rPr>
        <w:t>第二章 投标人须知</w:t>
      </w:r>
      <w:bookmarkEnd w:id="6"/>
      <w:bookmarkEnd w:id="35"/>
      <w:bookmarkEnd w:id="36"/>
      <w:bookmarkEnd w:id="37"/>
    </w:p>
    <w:p>
      <w:pPr>
        <w:spacing w:line="360" w:lineRule="auto"/>
        <w:ind w:firstLine="422" w:firstLineChars="200"/>
        <w:rPr>
          <w:rFonts w:ascii="宋体" w:hAnsi="宋体" w:cs="宋体"/>
          <w:b/>
          <w:color w:val="auto"/>
          <w:szCs w:val="21"/>
          <w:highlight w:val="none"/>
        </w:rPr>
      </w:pPr>
      <w:bookmarkStart w:id="38" w:name="_Toc458694821"/>
      <w:bookmarkStart w:id="39" w:name="_Toc513029204"/>
      <w:bookmarkStart w:id="40" w:name="_Toc16938520"/>
      <w:bookmarkStart w:id="41" w:name="_Toc20823276"/>
      <w:r>
        <w:rPr>
          <w:rFonts w:hint="eastAsia" w:ascii="宋体" w:hAnsi="宋体" w:cs="宋体"/>
          <w:b/>
          <w:color w:val="auto"/>
          <w:szCs w:val="21"/>
          <w:highlight w:val="none"/>
        </w:rPr>
        <w:t>1</w:t>
      </w:r>
      <w:bookmarkEnd w:id="38"/>
      <w:r>
        <w:rPr>
          <w:rFonts w:hint="eastAsia" w:ascii="宋体" w:hAnsi="宋体" w:cs="宋体"/>
          <w:b/>
          <w:color w:val="auto"/>
          <w:szCs w:val="21"/>
          <w:highlight w:val="none"/>
        </w:rPr>
        <w:t>、招标方式</w:t>
      </w:r>
      <w:bookmarkEnd w:id="39"/>
      <w:bookmarkEnd w:id="40"/>
      <w:bookmarkEnd w:id="41"/>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 本次招标采取公开招标方式，本招标文件仅适用</w:t>
      </w:r>
      <w:r>
        <w:rPr>
          <w:rFonts w:hint="eastAsia" w:ascii="宋体" w:hAnsi="宋体" w:cs="宋体"/>
          <w:color w:val="auto"/>
          <w:highlight w:val="none"/>
          <w:u w:val="single"/>
        </w:rPr>
        <w:t>JSZX-230</w:t>
      </w:r>
      <w:r>
        <w:rPr>
          <w:rFonts w:hint="eastAsia" w:ascii="宋体" w:hAnsi="宋体" w:cs="宋体"/>
          <w:color w:val="auto"/>
          <w:highlight w:val="none"/>
          <w:u w:val="single"/>
          <w:lang w:val="en-US" w:eastAsia="zh-CN"/>
        </w:rPr>
        <w:t>10</w:t>
      </w:r>
      <w:r>
        <w:rPr>
          <w:rFonts w:hint="eastAsia" w:ascii="宋体" w:hAnsi="宋体" w:cs="宋体"/>
          <w:color w:val="auto"/>
          <w:highlight w:val="none"/>
          <w:u w:val="single"/>
        </w:rPr>
        <w:t>-DL0</w:t>
      </w:r>
      <w:r>
        <w:rPr>
          <w:rFonts w:hint="eastAsia" w:ascii="宋体" w:hAnsi="宋体" w:cs="宋体"/>
          <w:color w:val="auto"/>
          <w:highlight w:val="none"/>
          <w:u w:val="single"/>
          <w:lang w:val="en-US" w:eastAsia="zh-CN"/>
        </w:rPr>
        <w:t>9</w:t>
      </w:r>
      <w:r>
        <w:rPr>
          <w:rFonts w:hint="eastAsia" w:ascii="宋体" w:hAnsi="宋体" w:cs="宋体"/>
          <w:color w:val="auto"/>
          <w:highlight w:val="none"/>
        </w:rPr>
        <w:t>号</w:t>
      </w:r>
      <w:r>
        <w:rPr>
          <w:rFonts w:hint="eastAsia" w:ascii="宋体" w:hAnsi="宋体" w:cs="宋体"/>
          <w:color w:val="auto"/>
          <w:szCs w:val="21"/>
          <w:highlight w:val="none"/>
        </w:rPr>
        <w:t>项目。</w:t>
      </w:r>
    </w:p>
    <w:p>
      <w:pPr>
        <w:spacing w:line="360" w:lineRule="auto"/>
        <w:ind w:firstLine="422" w:firstLineChars="200"/>
        <w:rPr>
          <w:rFonts w:ascii="宋体" w:hAnsi="宋体" w:cs="宋体"/>
          <w:b/>
          <w:color w:val="auto"/>
          <w:szCs w:val="21"/>
          <w:highlight w:val="none"/>
        </w:rPr>
      </w:pPr>
      <w:bookmarkStart w:id="42" w:name="_Toc513029205"/>
      <w:bookmarkStart w:id="43" w:name="_Toc16938521"/>
      <w:bookmarkStart w:id="44" w:name="_Toc20823277"/>
      <w:r>
        <w:rPr>
          <w:rFonts w:hint="eastAsia" w:ascii="宋体" w:hAnsi="宋体" w:cs="宋体"/>
          <w:b/>
          <w:color w:val="auto"/>
          <w:szCs w:val="21"/>
          <w:highlight w:val="none"/>
        </w:rPr>
        <w:t>2、投标人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 本招标文件中“供应商”，即“投标人”，是指参加投标竞争，并符合招标文件规定资格条件的法人、其他组织或者自然人。</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2.2合格的投标人</w:t>
      </w:r>
      <w:bookmarkEnd w:id="42"/>
      <w:bookmarkEnd w:id="43"/>
      <w:bookmarkEnd w:id="4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 满足投标邀请中供应商的资格条件要求的规定。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2.2.2 满足本文件实质性条款的规定。</w:t>
      </w:r>
    </w:p>
    <w:p>
      <w:pPr>
        <w:spacing w:line="360" w:lineRule="auto"/>
        <w:ind w:firstLine="422" w:firstLineChars="200"/>
        <w:rPr>
          <w:rFonts w:ascii="宋体" w:hAnsi="宋体" w:cs="宋体"/>
          <w:b/>
          <w:color w:val="auto"/>
          <w:szCs w:val="21"/>
          <w:highlight w:val="none"/>
        </w:rPr>
      </w:pPr>
      <w:bookmarkStart w:id="45" w:name="_Toc513029206"/>
      <w:bookmarkStart w:id="46" w:name="_Toc20823278"/>
      <w:bookmarkStart w:id="47" w:name="_Toc16938522"/>
      <w:r>
        <w:rPr>
          <w:rFonts w:hint="eastAsia" w:ascii="宋体" w:hAnsi="宋体" w:cs="宋体"/>
          <w:b/>
          <w:color w:val="auto"/>
          <w:szCs w:val="21"/>
          <w:highlight w:val="none"/>
        </w:rPr>
        <w:t>3、适用法律</w:t>
      </w:r>
      <w:bookmarkEnd w:id="45"/>
      <w:bookmarkEnd w:id="46"/>
      <w:bookmarkEnd w:id="47"/>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3.1 本次招标及由此产生的合同受中华人民共和国有关的法律法规制约和保护。</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4、投标费用</w:t>
      </w:r>
    </w:p>
    <w:p>
      <w:pPr>
        <w:tabs>
          <w:tab w:val="left" w:pos="900"/>
        </w:tabs>
        <w:spacing w:line="360" w:lineRule="auto"/>
        <w:ind w:left="210" w:leftChars="100" w:firstLine="210" w:firstLineChars="100"/>
        <w:rPr>
          <w:rFonts w:ascii="宋体" w:hAnsi="宋体" w:cs="宋体"/>
          <w:color w:val="auto"/>
          <w:highlight w:val="none"/>
        </w:rPr>
      </w:pPr>
      <w:r>
        <w:rPr>
          <w:rFonts w:hint="eastAsia" w:ascii="宋体" w:hAnsi="宋体" w:cs="宋体"/>
          <w:color w:val="auto"/>
          <w:highlight w:val="none"/>
        </w:rPr>
        <w:t>4.1投标人应自行承担所有与参加投标有关的费用。不论最终的结果如何，江苏中鑫项目管理有限公司（以下简称代理机构）在任何情况下均无义务和责任承担这些费用。</w:t>
      </w:r>
    </w:p>
    <w:p>
      <w:pPr>
        <w:tabs>
          <w:tab w:val="left" w:pos="900"/>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4.2专家评审费标准按《扬州市财政局关于进一步规范扬州市政府采购专家评审费标准的通知》（扬财购〔2020〕40号）执行。</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5、招标文件的约束力</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5.1</w:t>
      </w:r>
      <w:r>
        <w:rPr>
          <w:rFonts w:hint="eastAsia" w:ascii="宋体" w:hAnsi="宋体" w:cs="宋体"/>
          <w:color w:val="auto"/>
          <w:szCs w:val="21"/>
          <w:highlight w:val="none"/>
        </w:rPr>
        <w:t xml:space="preserve"> 投标人一旦参加本项目采购活动，即被认为接受了本招标文件的规定和约束。</w:t>
      </w:r>
    </w:p>
    <w:p>
      <w:pPr>
        <w:spacing w:line="360" w:lineRule="auto"/>
        <w:ind w:firstLine="422" w:firstLineChars="200"/>
        <w:rPr>
          <w:rFonts w:ascii="宋体" w:hAnsi="宋体" w:cs="宋体"/>
          <w:b/>
          <w:color w:val="auto"/>
          <w:szCs w:val="21"/>
          <w:highlight w:val="none"/>
        </w:rPr>
      </w:pPr>
      <w:bookmarkStart w:id="48" w:name="_Toc513029210"/>
      <w:bookmarkStart w:id="49" w:name="_Toc20823282"/>
      <w:bookmarkStart w:id="50" w:name="_Toc16938526"/>
      <w:r>
        <w:rPr>
          <w:rFonts w:hint="eastAsia" w:ascii="宋体" w:hAnsi="宋体" w:cs="宋体"/>
          <w:b/>
          <w:color w:val="auto"/>
          <w:szCs w:val="21"/>
          <w:highlight w:val="none"/>
        </w:rPr>
        <w:t>6、招标文件构成</w:t>
      </w:r>
      <w:bookmarkEnd w:id="48"/>
      <w:bookmarkEnd w:id="49"/>
      <w:bookmarkEnd w:id="50"/>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6.1</w:t>
      </w:r>
      <w:r>
        <w:rPr>
          <w:rFonts w:hint="eastAsia" w:ascii="宋体" w:hAnsi="宋体" w:cs="宋体"/>
          <w:color w:val="auto"/>
          <w:szCs w:val="21"/>
          <w:highlight w:val="none"/>
        </w:rPr>
        <w:t xml:space="preserve"> 招标文件有以下部分组成：</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（1）招标公告</w:t>
      </w:r>
    </w:p>
    <w:p>
      <w:pPr>
        <w:tabs>
          <w:tab w:val="left" w:pos="258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（2）投标人须知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（3）合同条款及格式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（4）项目需求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（5）评标方法与评标标准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（6）投标文件格式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请仔细检查招标文件是否齐全，如有缺漏请立即与代理机构联系解决。</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6.2 招标的最小单位是包。招标服务数量及技术要求中未分包的，供应商对要求提供的服务不得部分投标；招标服务数量及技术要求中已经分包的，应当以包为单位投标。</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6.3 招标文件如果要求供应商提交备选投标方案的，供应商可以提交备选方案；否则，备选方案将被拒绝。</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6.4</w:t>
      </w:r>
      <w:r>
        <w:rPr>
          <w:rFonts w:hint="eastAsia" w:ascii="宋体" w:hAnsi="宋体" w:cs="宋体"/>
          <w:color w:val="auto"/>
          <w:szCs w:val="21"/>
          <w:highlight w:val="none"/>
        </w:rPr>
        <w:t xml:space="preserve"> 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pPr>
        <w:spacing w:line="360" w:lineRule="auto"/>
        <w:ind w:firstLine="422" w:firstLineChars="200"/>
        <w:rPr>
          <w:rFonts w:ascii="宋体" w:hAnsi="宋体" w:cs="宋体"/>
          <w:b/>
          <w:color w:val="auto"/>
          <w:szCs w:val="21"/>
          <w:highlight w:val="none"/>
        </w:rPr>
      </w:pPr>
      <w:bookmarkStart w:id="51" w:name="_Toc462564070"/>
      <w:bookmarkStart w:id="52" w:name="_Toc16938527"/>
      <w:bookmarkStart w:id="53" w:name="_Toc513029211"/>
      <w:bookmarkStart w:id="54" w:name="_Toc20823283"/>
      <w:r>
        <w:rPr>
          <w:rFonts w:hint="eastAsia" w:ascii="宋体" w:hAnsi="宋体" w:cs="宋体"/>
          <w:b/>
          <w:color w:val="auto"/>
          <w:szCs w:val="21"/>
          <w:highlight w:val="none"/>
        </w:rPr>
        <w:t>7、招标文件的</w:t>
      </w:r>
      <w:bookmarkEnd w:id="51"/>
      <w:bookmarkEnd w:id="52"/>
      <w:bookmarkEnd w:id="53"/>
      <w:bookmarkEnd w:id="54"/>
      <w:r>
        <w:rPr>
          <w:rFonts w:hint="eastAsia" w:ascii="宋体" w:hAnsi="宋体" w:cs="宋体"/>
          <w:b/>
          <w:color w:val="auto"/>
          <w:szCs w:val="21"/>
          <w:highlight w:val="none"/>
        </w:rPr>
        <w:t>澄清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7.1 任何要求对招标文件进行澄清的投标人，应在投标截止日期的十日前按投标邀请中的通讯地址，以书面形式通知代理机构。</w:t>
      </w:r>
    </w:p>
    <w:p>
      <w:pPr>
        <w:spacing w:line="360" w:lineRule="auto"/>
        <w:ind w:firstLine="422" w:firstLineChars="200"/>
        <w:rPr>
          <w:rFonts w:ascii="宋体" w:hAnsi="宋体" w:cs="宋体"/>
          <w:b/>
          <w:color w:val="auto"/>
          <w:szCs w:val="21"/>
          <w:highlight w:val="none"/>
        </w:rPr>
      </w:pPr>
      <w:bookmarkStart w:id="55" w:name="_Toc16938528"/>
      <w:bookmarkStart w:id="56" w:name="_Toc513029212"/>
      <w:bookmarkStart w:id="57" w:name="_Toc20823284"/>
      <w:bookmarkStart w:id="58" w:name="_Toc462564071"/>
      <w:r>
        <w:rPr>
          <w:rFonts w:hint="eastAsia" w:ascii="宋体" w:hAnsi="宋体" w:cs="宋体"/>
          <w:b/>
          <w:color w:val="auto"/>
          <w:szCs w:val="21"/>
          <w:highlight w:val="none"/>
        </w:rPr>
        <w:t>8、招标文件的修改</w:t>
      </w:r>
      <w:bookmarkEnd w:id="55"/>
      <w:bookmarkEnd w:id="56"/>
      <w:bookmarkEnd w:id="57"/>
      <w:bookmarkEnd w:id="58"/>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8.1</w:t>
      </w:r>
      <w:r>
        <w:rPr>
          <w:rFonts w:hint="eastAsia" w:ascii="宋体" w:hAnsi="宋体" w:cs="宋体"/>
          <w:color w:val="auto"/>
          <w:szCs w:val="21"/>
          <w:highlight w:val="none"/>
        </w:rPr>
        <w:t xml:space="preserve"> 在投标截止时间前，代理机构可以对招标文件进行修改。</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8.2代理机构在招标文件要求提交投标文件截止时间前，有权决定延长投标截止时间和开标时间，并在原采购信息发布媒体上发布变更公告。</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8.3</w:t>
      </w:r>
      <w:r>
        <w:rPr>
          <w:rFonts w:hint="eastAsia" w:ascii="宋体" w:hAnsi="宋体" w:cs="宋体"/>
          <w:color w:val="auto"/>
          <w:szCs w:val="21"/>
          <w:highlight w:val="none"/>
        </w:rPr>
        <w:t>招标文件的修改将在“扬州市公共资源交易服务平台、扬州市城建国有资产控股（集团）有限责任公司网站、江苏长江水务股份有限公司网站”栏公布，补充文件将作为招标文件的组成部分，并对投标人具有约束力。</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8.4投标人应在投标截止时间前关注原采购信息发布媒体上有关本招标项目有无变更公告。</w:t>
      </w:r>
    </w:p>
    <w:p>
      <w:pPr>
        <w:spacing w:line="360" w:lineRule="auto"/>
        <w:ind w:firstLine="422" w:firstLineChars="200"/>
        <w:rPr>
          <w:rFonts w:ascii="宋体" w:hAnsi="宋体" w:cs="宋体"/>
          <w:b/>
          <w:color w:val="auto"/>
          <w:szCs w:val="21"/>
          <w:highlight w:val="none"/>
        </w:rPr>
      </w:pPr>
      <w:bookmarkStart w:id="59" w:name="_Toc20823286"/>
      <w:bookmarkStart w:id="60" w:name="_Toc513029214"/>
      <w:bookmarkStart w:id="61" w:name="_Toc16938530"/>
      <w:bookmarkStart w:id="62" w:name="_Toc462564073"/>
      <w:r>
        <w:rPr>
          <w:rFonts w:hint="eastAsia" w:ascii="宋体" w:hAnsi="宋体" w:cs="宋体"/>
          <w:b/>
          <w:color w:val="auto"/>
          <w:szCs w:val="21"/>
          <w:highlight w:val="none"/>
        </w:rPr>
        <w:t>9、投标文件的语言、度量衡单位</w:t>
      </w:r>
      <w:bookmarkEnd w:id="59"/>
      <w:bookmarkEnd w:id="60"/>
      <w:bookmarkEnd w:id="61"/>
      <w:bookmarkEnd w:id="62"/>
      <w:r>
        <w:rPr>
          <w:rFonts w:hint="eastAsia" w:ascii="宋体" w:hAnsi="宋体" w:cs="宋体"/>
          <w:b/>
          <w:color w:val="auto"/>
          <w:szCs w:val="21"/>
          <w:highlight w:val="none"/>
        </w:rPr>
        <w:t>、货币和编制</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9.1</w:t>
      </w:r>
      <w:r>
        <w:rPr>
          <w:rFonts w:hint="eastAsia" w:ascii="宋体" w:hAnsi="宋体" w:cs="宋体"/>
          <w:color w:val="auto"/>
          <w:szCs w:val="21"/>
          <w:highlight w:val="none"/>
        </w:rPr>
        <w:t>投标人提交的投标文件、技术文件和资料，包括图纸中的说明，以及投标人与代理机构就有关投标的所有来往函、电、通知和文件均应使用中文。投标文件中若有英文或其他语言文字的资料，应提供相应的中文翻译资料。对不同文本投标文件的解释发生异议的，以中文文本为准。投标文件以及投标人与代理机构就有关投标的所有来往通知、函件和文件均应使用简体中文。</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9.2</w:t>
      </w:r>
      <w:r>
        <w:rPr>
          <w:rFonts w:hint="eastAsia" w:ascii="宋体" w:hAnsi="宋体" w:cs="宋体"/>
          <w:color w:val="auto"/>
          <w:szCs w:val="21"/>
          <w:highlight w:val="none"/>
        </w:rPr>
        <w:t xml:space="preserve"> 除技术性能另有规定外，投标文件所使用的度量衡单位，均须采用国家法定计量单位。</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9.3投标人应使用人民币报价。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9.4投标文件应字迹清楚、内容齐全、不得涂改。如有修改，修改处须有投标人加盖公章和法定代表人或其授权代表签字。</w:t>
      </w:r>
    </w:p>
    <w:p>
      <w:pPr>
        <w:spacing w:line="360" w:lineRule="auto"/>
        <w:ind w:firstLine="422" w:firstLineChars="200"/>
        <w:rPr>
          <w:rFonts w:ascii="宋体" w:hAnsi="宋体" w:cs="宋体"/>
          <w:b/>
          <w:color w:val="auto"/>
          <w:szCs w:val="21"/>
          <w:highlight w:val="none"/>
        </w:rPr>
      </w:pPr>
      <w:bookmarkStart w:id="63" w:name="_Toc513029215"/>
      <w:bookmarkStart w:id="64" w:name="_Toc16938531"/>
      <w:bookmarkStart w:id="65" w:name="_Toc20823287"/>
      <w:bookmarkStart w:id="66" w:name="_Toc462564074"/>
      <w:r>
        <w:rPr>
          <w:rFonts w:hint="eastAsia" w:ascii="宋体" w:hAnsi="宋体" w:cs="宋体"/>
          <w:b/>
          <w:color w:val="auto"/>
          <w:szCs w:val="21"/>
          <w:highlight w:val="none"/>
        </w:rPr>
        <w:t>10、投标文件构成</w:t>
      </w:r>
      <w:bookmarkEnd w:id="63"/>
      <w:bookmarkEnd w:id="64"/>
      <w:bookmarkEnd w:id="65"/>
      <w:bookmarkEnd w:id="66"/>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10.1</w:t>
      </w:r>
      <w:r>
        <w:rPr>
          <w:rFonts w:hint="eastAsia" w:ascii="宋体" w:hAnsi="宋体" w:cs="宋体"/>
          <w:color w:val="auto"/>
          <w:szCs w:val="21"/>
          <w:highlight w:val="none"/>
        </w:rPr>
        <w:t xml:space="preserve"> 投标人编写的投标文件应包括：资信证明文件、技术参数响应及偏离表、商务条款响应及偏离表、开标一览表、商务文件、技术文件等部分；</w:t>
      </w:r>
    </w:p>
    <w:p>
      <w:pPr>
        <w:spacing w:line="360" w:lineRule="auto"/>
        <w:ind w:firstLine="420" w:firstLineChars="200"/>
        <w:rPr>
          <w:rFonts w:ascii="宋体" w:hAnsi="宋体" w:cs="宋体"/>
          <w:color w:val="auto"/>
          <w:szCs w:val="21"/>
          <w:highlight w:val="none"/>
        </w:rPr>
      </w:pPr>
      <w:bookmarkStart w:id="67" w:name="_Toc49090509"/>
      <w:bookmarkStart w:id="68" w:name="_Toc513029219"/>
      <w:bookmarkStart w:id="69" w:name="_Toc14577357"/>
      <w:bookmarkStart w:id="70" w:name="_Toc513029216"/>
      <w:bookmarkStart w:id="71" w:name="_Toc49090507"/>
      <w:bookmarkStart w:id="72" w:name="_Toc14577354"/>
      <w:r>
        <w:rPr>
          <w:rFonts w:hint="eastAsia" w:ascii="宋体" w:hAnsi="宋体" w:cs="宋体"/>
          <w:color w:val="auto"/>
          <w:szCs w:val="21"/>
          <w:highlight w:val="none"/>
        </w:rPr>
        <w:t>10.2 投标人应将投标文件按顺序装订成册，应逐页编码，不得跳页（包括但不限于证明材料等），并编制投标文件资料目录。由于编排混乱导致投标文件被误读或查找不到，责任由投标人承担。</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 投标人应当根据招标文件要求编制投标文件，投标文件应对招标文件提出的要求和条件作出实质性响应，并在相应的投标文件中逐条标明满足与否。</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11、证明投标人资格及符合招标文件规定的文件</w:t>
      </w:r>
      <w:bookmarkEnd w:id="67"/>
      <w:bookmarkEnd w:id="68"/>
      <w:bookmarkEnd w:id="69"/>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11.1投标人应按要求提交资信证明文件及符合招标文件规定的文件。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11.2投标人应提交证明其有资格参加投标和中标后有能力独立履行合同的文件。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11.3投标人除必须具有履行合同所需服务的能力外，还必须具备相应的财务、技术方面的能力。</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11.4投标人应提交根据合同要求提供的符合招标文件规定的证明文件。</w:t>
      </w:r>
    </w:p>
    <w:bookmarkEnd w:id="70"/>
    <w:bookmarkEnd w:id="71"/>
    <w:bookmarkEnd w:id="72"/>
    <w:p>
      <w:pPr>
        <w:spacing w:line="360" w:lineRule="auto"/>
        <w:ind w:firstLine="422" w:firstLineChars="200"/>
        <w:rPr>
          <w:rFonts w:ascii="宋体" w:hAnsi="宋体" w:cs="宋体"/>
          <w:b/>
          <w:color w:val="auto"/>
          <w:szCs w:val="21"/>
          <w:highlight w:val="none"/>
        </w:rPr>
      </w:pPr>
      <w:bookmarkStart w:id="73" w:name="_Toc49090508"/>
      <w:bookmarkStart w:id="74" w:name="_Toc14577355"/>
      <w:r>
        <w:rPr>
          <w:rFonts w:hint="eastAsia" w:ascii="宋体" w:hAnsi="宋体" w:cs="宋体"/>
          <w:b/>
          <w:color w:val="auto"/>
          <w:szCs w:val="21"/>
          <w:highlight w:val="none"/>
        </w:rPr>
        <w:t>12、投标</w:t>
      </w:r>
      <w:bookmarkEnd w:id="73"/>
      <w:bookmarkEnd w:id="74"/>
      <w:r>
        <w:rPr>
          <w:rFonts w:hint="eastAsia" w:ascii="宋体" w:hAnsi="宋体" w:cs="宋体"/>
          <w:b/>
          <w:color w:val="auto"/>
          <w:szCs w:val="21"/>
          <w:highlight w:val="none"/>
        </w:rPr>
        <w:t>报价</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12.1</w:t>
      </w:r>
      <w:r>
        <w:rPr>
          <w:rFonts w:hint="eastAsia" w:ascii="宋体" w:hAnsi="宋体" w:cs="宋体"/>
          <w:color w:val="auto"/>
          <w:szCs w:val="21"/>
          <w:highlight w:val="none"/>
        </w:rPr>
        <w:t xml:space="preserve"> 本项目只允许有一个报价，任何有选择的报价将不予接受。</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12.2</w:t>
      </w:r>
      <w:r>
        <w:rPr>
          <w:rFonts w:hint="eastAsia" w:ascii="宋体" w:hAnsi="宋体" w:cs="宋体"/>
          <w:color w:val="auto"/>
          <w:szCs w:val="21"/>
          <w:highlight w:val="none"/>
        </w:rPr>
        <w:t xml:space="preserve"> 标的物</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采购人需求的服务等</w:t>
      </w:r>
      <w:r>
        <w:rPr>
          <w:rFonts w:hint="eastAsia" w:ascii="宋体" w:hAnsi="宋体" w:cs="宋体"/>
          <w:color w:val="auto"/>
          <w:szCs w:val="21"/>
          <w:highlight w:val="none"/>
        </w:rPr>
        <w:t>。</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12.3</w:t>
      </w:r>
      <w:r>
        <w:rPr>
          <w:rFonts w:hint="eastAsia" w:ascii="宋体" w:hAnsi="宋体" w:cs="宋体"/>
          <w:bCs/>
          <w:color w:val="auto"/>
          <w:szCs w:val="21"/>
          <w:highlight w:val="none"/>
        </w:rPr>
        <w:t>投标货币</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投标文件中的货物单价和总价无特殊规定的采用人民币报价，以元为单位标注。</w:t>
      </w:r>
      <w:r>
        <w:rPr>
          <w:rFonts w:hint="eastAsia" w:ascii="宋体" w:hAnsi="宋体" w:cs="宋体"/>
          <w:color w:val="auto"/>
          <w:szCs w:val="21"/>
          <w:highlight w:val="none"/>
        </w:rPr>
        <w:t>招标文件中另有规定的按规定执行。</w:t>
      </w:r>
    </w:p>
    <w:p>
      <w:pPr>
        <w:spacing w:line="360" w:lineRule="auto"/>
        <w:ind w:firstLine="422" w:firstLineChars="200"/>
        <w:rPr>
          <w:rFonts w:ascii="宋体" w:hAnsi="宋体" w:cs="宋体"/>
          <w:b/>
          <w:color w:val="auto"/>
          <w:szCs w:val="21"/>
          <w:highlight w:val="none"/>
        </w:rPr>
      </w:pPr>
      <w:r>
        <w:rPr>
          <w:rFonts w:hint="eastAsia" w:ascii="宋体" w:hAnsi="宋体" w:cs="宋体"/>
          <w:b/>
          <w:bCs/>
          <w:color w:val="auto"/>
          <w:szCs w:val="21"/>
          <w:highlight w:val="none"/>
        </w:rPr>
        <w:t>13、</w:t>
      </w:r>
      <w:r>
        <w:rPr>
          <w:rFonts w:hint="eastAsia" w:ascii="宋体" w:hAnsi="宋体" w:cs="宋体"/>
          <w:b/>
          <w:color w:val="auto"/>
          <w:szCs w:val="21"/>
          <w:highlight w:val="none"/>
        </w:rPr>
        <w:t>技术参数响应及偏离表、商务条款响应及偏离表</w:t>
      </w:r>
    </w:p>
    <w:p>
      <w:pPr>
        <w:autoSpaceDE w:val="0"/>
        <w:autoSpaceDN w:val="0"/>
        <w:spacing w:line="360" w:lineRule="auto"/>
        <w:ind w:firstLine="420" w:firstLineChars="200"/>
        <w:rPr>
          <w:rFonts w:ascii="宋体" w:hAnsi="宋体" w:cs="宋体"/>
          <w:color w:val="auto"/>
          <w:szCs w:val="21"/>
          <w:highlight w:val="none"/>
          <w:lang w:val="zh-CN"/>
        </w:rPr>
      </w:pPr>
      <w:r>
        <w:rPr>
          <w:rFonts w:hint="eastAsia" w:ascii="宋体" w:hAnsi="宋体" w:cs="宋体"/>
          <w:bCs/>
          <w:color w:val="auto"/>
          <w:szCs w:val="21"/>
          <w:highlight w:val="none"/>
          <w:lang w:val="zh-CN"/>
        </w:rPr>
        <w:t>13.1</w:t>
      </w:r>
      <w:r>
        <w:rPr>
          <w:rFonts w:hint="eastAsia" w:ascii="宋体" w:hAnsi="宋体" w:cs="宋体"/>
          <w:color w:val="auto"/>
          <w:szCs w:val="21"/>
          <w:highlight w:val="none"/>
          <w:lang w:val="zh-CN"/>
        </w:rPr>
        <w:t xml:space="preserve"> 对招标文件中的技术与商务条款要求逐项作出响应或偏离，并说明原因；</w:t>
      </w:r>
    </w:p>
    <w:p>
      <w:pPr>
        <w:tabs>
          <w:tab w:val="left" w:pos="1035"/>
        </w:tabs>
        <w:autoSpaceDE w:val="0"/>
        <w:autoSpaceDN w:val="0"/>
        <w:spacing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13.</w:t>
      </w:r>
      <w:r>
        <w:rPr>
          <w:rFonts w:hint="eastAsia" w:ascii="宋体" w:hAnsi="宋体" w:cs="宋体"/>
          <w:color w:val="auto"/>
          <w:szCs w:val="21"/>
          <w:highlight w:val="none"/>
        </w:rPr>
        <w:t>2</w:t>
      </w:r>
      <w:r>
        <w:rPr>
          <w:rFonts w:hint="eastAsia" w:ascii="宋体" w:hAnsi="宋体" w:cs="宋体"/>
          <w:color w:val="auto"/>
          <w:szCs w:val="21"/>
          <w:highlight w:val="none"/>
          <w:lang w:val="zh-CN"/>
        </w:rPr>
        <w:t xml:space="preserve"> 投标人认为需要的其他技术文件或说明。</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14、服务承诺</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14.1</w:t>
      </w:r>
      <w:r>
        <w:rPr>
          <w:rFonts w:hint="eastAsia" w:ascii="宋体" w:hAnsi="宋体" w:cs="宋体"/>
          <w:color w:val="auto"/>
          <w:szCs w:val="21"/>
          <w:highlight w:val="none"/>
        </w:rPr>
        <w:t>投标人的服务承诺应按不低于招标文件中商务要求的标准。</w:t>
      </w:r>
    </w:p>
    <w:p>
      <w:pPr>
        <w:spacing w:line="360" w:lineRule="auto"/>
        <w:ind w:firstLine="422" w:firstLineChars="200"/>
        <w:rPr>
          <w:rFonts w:ascii="宋体" w:hAnsi="宋体" w:cs="宋体"/>
          <w:b/>
          <w:color w:val="auto"/>
          <w:szCs w:val="21"/>
          <w:highlight w:val="none"/>
        </w:rPr>
      </w:pPr>
      <w:bookmarkStart w:id="75" w:name="_Toc49090510"/>
      <w:bookmarkStart w:id="76" w:name="_Toc14577359"/>
      <w:r>
        <w:rPr>
          <w:rFonts w:hint="eastAsia" w:ascii="宋体" w:hAnsi="宋体" w:cs="宋体"/>
          <w:b/>
          <w:color w:val="auto"/>
          <w:szCs w:val="21"/>
          <w:highlight w:val="none"/>
        </w:rPr>
        <w:t>15、投标函和开标一览表</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15.1</w:t>
      </w:r>
      <w:r>
        <w:rPr>
          <w:rFonts w:hint="eastAsia" w:ascii="宋体" w:hAnsi="宋体" w:cs="宋体"/>
          <w:color w:val="auto"/>
          <w:szCs w:val="21"/>
          <w:highlight w:val="none"/>
        </w:rPr>
        <w:t xml:space="preserve"> 投标人应按照招标文件中提供的格式完整、正确填写投标函、开标一览表。</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15.2</w:t>
      </w:r>
      <w:r>
        <w:rPr>
          <w:rFonts w:hint="eastAsia" w:ascii="宋体" w:hAnsi="宋体" w:cs="宋体"/>
          <w:color w:val="auto"/>
          <w:szCs w:val="21"/>
          <w:highlight w:val="none"/>
        </w:rPr>
        <w:t xml:space="preserve"> 开标一览表中的价格应与投标文件中的价格一致，如不一致，不作为无效投标处理，但评标时按开标一览表中价格为准。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15.3 开标一览表必须加盖公章，必须单独密封，在投标截止时间前与投标文件分别递交。</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16、投标保证金</w:t>
      </w:r>
      <w:bookmarkEnd w:id="75"/>
      <w:bookmarkEnd w:id="76"/>
    </w:p>
    <w:p>
      <w:pPr>
        <w:spacing w:line="360" w:lineRule="auto"/>
        <w:ind w:firstLine="420" w:firstLineChars="200"/>
        <w:rPr>
          <w:rFonts w:ascii="宋体" w:hAnsi="宋体"/>
          <w:bCs/>
          <w:color w:val="auto"/>
          <w:szCs w:val="21"/>
          <w:highlight w:val="none"/>
        </w:rPr>
      </w:pPr>
      <w:bookmarkStart w:id="77" w:name="_Toc14577360"/>
      <w:bookmarkStart w:id="78" w:name="_Toc49090511"/>
      <w:r>
        <w:rPr>
          <w:rFonts w:hint="eastAsia" w:ascii="宋体" w:hAnsi="宋体"/>
          <w:bCs/>
          <w:color w:val="auto"/>
          <w:szCs w:val="21"/>
          <w:highlight w:val="none"/>
        </w:rPr>
        <w:t>依据苏财购〔2020〕52号文，本项目不收取投标保证金。</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17、投标有效期</w:t>
      </w:r>
      <w:bookmarkEnd w:id="77"/>
      <w:bookmarkEnd w:id="78"/>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17.1</w:t>
      </w:r>
      <w:r>
        <w:rPr>
          <w:rFonts w:hint="eastAsia" w:ascii="宋体" w:hAnsi="宋体" w:cs="宋体"/>
          <w:bCs/>
          <w:color w:val="auto"/>
          <w:szCs w:val="21"/>
          <w:highlight w:val="none"/>
        </w:rPr>
        <w:t xml:space="preserve"> 投标有效期为代理机构规定的开标之日起</w:t>
      </w:r>
      <w:r>
        <w:rPr>
          <w:rFonts w:hint="eastAsia" w:ascii="宋体" w:hAnsi="宋体" w:cs="宋体"/>
          <w:b/>
          <w:color w:val="auto"/>
          <w:szCs w:val="21"/>
          <w:highlight w:val="none"/>
          <w:u w:val="single"/>
        </w:rPr>
        <w:t>六十（60）天</w:t>
      </w:r>
      <w:r>
        <w:rPr>
          <w:rFonts w:hint="eastAsia" w:ascii="宋体" w:hAnsi="宋体" w:cs="宋体"/>
          <w:bCs/>
          <w:color w:val="auto"/>
          <w:szCs w:val="21"/>
          <w:highlight w:val="none"/>
        </w:rPr>
        <w:t>。投标有效期比规定短的将被视为非响应性投标而予以拒绝。</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17.2</w:t>
      </w:r>
      <w:r>
        <w:rPr>
          <w:rFonts w:hint="eastAsia" w:ascii="宋体" w:hAnsi="宋体" w:cs="宋体"/>
          <w:bCs/>
          <w:color w:val="auto"/>
          <w:szCs w:val="21"/>
          <w:highlight w:val="none"/>
        </w:rPr>
        <w:t xml:space="preserve"> 在特殊情况下，代理机构于原投标有效期满之前，可向投标人提出延长投标有效期的要求。这种要求与答复均应采用书面形式。投标人可以拒绝代理机构的这一要求而放弃投标，同意延长投标有效期的投标人既不能要求也不允许修改其投标文件。</w:t>
      </w:r>
      <w:r>
        <w:rPr>
          <w:rFonts w:hint="eastAsia" w:ascii="宋体" w:hAnsi="宋体"/>
          <w:bCs/>
          <w:color w:val="auto"/>
          <w:szCs w:val="21"/>
          <w:highlight w:val="none"/>
        </w:rPr>
        <w:t>本招标文件</w:t>
      </w:r>
      <w:r>
        <w:rPr>
          <w:rFonts w:hint="eastAsia" w:ascii="宋体" w:hAnsi="宋体" w:cs="宋体"/>
          <w:color w:val="auto"/>
          <w:szCs w:val="21"/>
          <w:highlight w:val="none"/>
        </w:rPr>
        <w:t>同时受投标有效期约束的所有权利与义务均延长至新的有效期</w:t>
      </w:r>
      <w:r>
        <w:rPr>
          <w:rFonts w:hint="eastAsia" w:ascii="宋体" w:hAnsi="宋体" w:cs="宋体"/>
          <w:bCs/>
          <w:color w:val="auto"/>
          <w:szCs w:val="21"/>
          <w:highlight w:val="none"/>
        </w:rPr>
        <w:t>。</w:t>
      </w:r>
    </w:p>
    <w:p>
      <w:pPr>
        <w:spacing w:line="360" w:lineRule="auto"/>
        <w:ind w:firstLine="422" w:firstLineChars="200"/>
        <w:rPr>
          <w:rFonts w:ascii="宋体" w:hAnsi="宋体" w:cs="宋体"/>
          <w:b/>
          <w:color w:val="auto"/>
          <w:szCs w:val="21"/>
          <w:highlight w:val="none"/>
        </w:rPr>
      </w:pPr>
      <w:bookmarkStart w:id="79" w:name="_Toc14577361"/>
      <w:bookmarkStart w:id="80" w:name="_Toc49090512"/>
      <w:r>
        <w:rPr>
          <w:rFonts w:hint="eastAsia" w:ascii="宋体" w:hAnsi="宋体" w:cs="宋体"/>
          <w:b/>
          <w:color w:val="auto"/>
          <w:szCs w:val="21"/>
          <w:highlight w:val="none"/>
        </w:rPr>
        <w:t>18、投标文件份数和签署</w:t>
      </w:r>
      <w:bookmarkEnd w:id="79"/>
      <w:bookmarkEnd w:id="80"/>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18.1</w:t>
      </w:r>
      <w:r>
        <w:rPr>
          <w:rFonts w:hint="eastAsia" w:ascii="宋体" w:hAnsi="宋体" w:cs="宋体"/>
          <w:bCs/>
          <w:color w:val="auto"/>
          <w:szCs w:val="21"/>
          <w:highlight w:val="none"/>
        </w:rPr>
        <w:t>投标人应严格按照招标公告和招标文件要求的份数准备投标文件，每份投标文件须清楚地标明“正本”或“副本”字样。一旦正本和副本不符，以正本为准。</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18.2投标文件正本中，除招标文件规定的可提交复印件外，其他文件均须提交原件。文字材料需打印或用不褪色墨水书写。投标文件的正本须经法定代表人或授权代表签署和加盖投标人公章。 本采购文件所表述（指定）的公章是指法定名称章，不包括合同专用章、业务专用章等印章。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18.3</w:t>
      </w:r>
      <w:r>
        <w:rPr>
          <w:rFonts w:hint="eastAsia" w:ascii="宋体" w:hAnsi="宋体" w:cs="宋体"/>
          <w:bCs/>
          <w:color w:val="auto"/>
          <w:szCs w:val="21"/>
          <w:highlight w:val="none"/>
        </w:rPr>
        <w:t xml:space="preserve"> 除投标人对错处做必要修改外，投标文件不得行间插字、涂改或增删。如有修改错漏处，必须由法定代表人或授权代表签字或盖章。</w:t>
      </w:r>
    </w:p>
    <w:p>
      <w:pPr>
        <w:spacing w:line="360" w:lineRule="auto"/>
        <w:ind w:firstLine="422" w:firstLineChars="200"/>
        <w:rPr>
          <w:rFonts w:ascii="宋体" w:hAnsi="宋体" w:cs="宋体"/>
          <w:b/>
          <w:color w:val="auto"/>
          <w:szCs w:val="21"/>
          <w:highlight w:val="none"/>
        </w:rPr>
      </w:pPr>
      <w:bookmarkStart w:id="81" w:name="_Toc462564084"/>
      <w:bookmarkStart w:id="82" w:name="_Toc513029225"/>
      <w:bookmarkStart w:id="83" w:name="_Toc20823297"/>
      <w:bookmarkStart w:id="84" w:name="_Toc16938541"/>
      <w:r>
        <w:rPr>
          <w:rFonts w:hint="eastAsia" w:ascii="宋体" w:hAnsi="宋体" w:cs="宋体"/>
          <w:b/>
          <w:color w:val="auto"/>
          <w:szCs w:val="21"/>
          <w:highlight w:val="none"/>
        </w:rPr>
        <w:t>19、投标文件的密封和标记</w:t>
      </w:r>
      <w:bookmarkEnd w:id="81"/>
      <w:bookmarkEnd w:id="82"/>
      <w:bookmarkEnd w:id="83"/>
      <w:bookmarkEnd w:id="84"/>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19.1</w:t>
      </w:r>
      <w:r>
        <w:rPr>
          <w:rFonts w:hint="eastAsia" w:ascii="宋体" w:hAnsi="宋体" w:cs="宋体"/>
          <w:bCs/>
          <w:color w:val="auto"/>
          <w:szCs w:val="21"/>
          <w:highlight w:val="none"/>
        </w:rPr>
        <w:t>投标人应将投标文件正本、所有副本密封，不论投标人中标与否，投标文件均不退回。</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19.2</w:t>
      </w:r>
      <w:r>
        <w:rPr>
          <w:rFonts w:hint="eastAsia" w:ascii="宋体" w:hAnsi="宋体" w:cs="宋体"/>
          <w:bCs/>
          <w:color w:val="auto"/>
          <w:szCs w:val="21"/>
          <w:highlight w:val="none"/>
        </w:rPr>
        <w:t xml:space="preserve"> 密封的投标文件应：</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19.2.1 注明投标人名称，如因标注不清而产生的后果由投标人自负。按招标公告中注明的地址送达；</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19.2.2注明投标项目名称、项目编号。</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19.2.3</w:t>
      </w:r>
      <w:r>
        <w:rPr>
          <w:rFonts w:hint="eastAsia" w:ascii="宋体" w:hAnsi="宋体" w:cs="宋体"/>
          <w:bCs/>
          <w:color w:val="auto"/>
          <w:szCs w:val="21"/>
          <w:highlight w:val="none"/>
        </w:rPr>
        <w:t>未按要求密封和加写标记，代理机构对误投或过早启封概不负责。对由此造成提前开封的投标文件，代理机构将予以拒绝，作无效投标处理。</w:t>
      </w:r>
    </w:p>
    <w:p>
      <w:pPr>
        <w:spacing w:line="360" w:lineRule="auto"/>
        <w:ind w:firstLine="422" w:firstLineChars="200"/>
        <w:rPr>
          <w:rFonts w:ascii="宋体" w:hAnsi="宋体" w:cs="宋体"/>
          <w:b/>
          <w:color w:val="auto"/>
          <w:szCs w:val="21"/>
          <w:highlight w:val="none"/>
        </w:rPr>
      </w:pPr>
      <w:bookmarkStart w:id="85" w:name="_Toc513029226"/>
      <w:bookmarkStart w:id="86" w:name="_Toc16938542"/>
      <w:bookmarkStart w:id="87" w:name="_Toc20823298"/>
      <w:r>
        <w:rPr>
          <w:rFonts w:hint="eastAsia" w:ascii="宋体" w:hAnsi="宋体" w:cs="宋体"/>
          <w:b/>
          <w:color w:val="auto"/>
          <w:szCs w:val="21"/>
          <w:highlight w:val="none"/>
        </w:rPr>
        <w:t>20、投标截止日期</w:t>
      </w:r>
      <w:bookmarkEnd w:id="85"/>
      <w:bookmarkEnd w:id="86"/>
      <w:bookmarkEnd w:id="87"/>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20.1</w:t>
      </w:r>
      <w:r>
        <w:rPr>
          <w:rFonts w:hint="eastAsia" w:ascii="宋体" w:hAnsi="宋体" w:cs="宋体"/>
          <w:bCs/>
          <w:color w:val="auto"/>
          <w:szCs w:val="21"/>
          <w:highlight w:val="none"/>
        </w:rPr>
        <w:t xml:space="preserve"> 代理机构收到投标文件的时间不得迟于招标公告中规定的截止时间。</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20.2</w:t>
      </w:r>
      <w:r>
        <w:rPr>
          <w:rFonts w:hint="eastAsia" w:ascii="宋体" w:hAnsi="宋体" w:cs="宋体"/>
          <w:bCs/>
          <w:color w:val="auto"/>
          <w:szCs w:val="21"/>
          <w:highlight w:val="none"/>
        </w:rPr>
        <w:t xml:space="preserve"> 代理机构可以通过修改招标文件酌情延长投标截止日期，在此情况下，投标人的所有权利和义务以及投标人受制的截止日期均应以延长后新的截止日期为准。</w:t>
      </w:r>
    </w:p>
    <w:p>
      <w:pPr>
        <w:spacing w:line="360" w:lineRule="auto"/>
        <w:ind w:firstLine="422" w:firstLineChars="200"/>
        <w:rPr>
          <w:rFonts w:ascii="宋体" w:hAnsi="宋体" w:cs="宋体"/>
          <w:b/>
          <w:color w:val="auto"/>
          <w:szCs w:val="21"/>
          <w:highlight w:val="none"/>
        </w:rPr>
      </w:pPr>
      <w:bookmarkStart w:id="88" w:name="_Toc16938543"/>
      <w:bookmarkStart w:id="89" w:name="_Toc513029227"/>
      <w:bookmarkStart w:id="90" w:name="_Toc20823299"/>
      <w:r>
        <w:rPr>
          <w:rFonts w:hint="eastAsia" w:ascii="宋体" w:hAnsi="宋体" w:cs="宋体"/>
          <w:b/>
          <w:color w:val="auto"/>
          <w:szCs w:val="21"/>
          <w:highlight w:val="none"/>
        </w:rPr>
        <w:t>21、迟交的投标文件</w:t>
      </w:r>
      <w:bookmarkEnd w:id="88"/>
      <w:bookmarkEnd w:id="89"/>
      <w:bookmarkEnd w:id="90"/>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21.1</w:t>
      </w:r>
      <w:r>
        <w:rPr>
          <w:rFonts w:hint="eastAsia" w:ascii="宋体" w:hAnsi="宋体" w:cs="宋体"/>
          <w:bCs/>
          <w:color w:val="auto"/>
          <w:szCs w:val="21"/>
          <w:highlight w:val="none"/>
        </w:rPr>
        <w:t xml:space="preserve"> 代理机构拒绝接收在其规定的投标截止时间后递交的任何投标文件。</w:t>
      </w:r>
    </w:p>
    <w:p>
      <w:pPr>
        <w:spacing w:line="360" w:lineRule="auto"/>
        <w:ind w:firstLine="422" w:firstLineChars="200"/>
        <w:rPr>
          <w:rFonts w:ascii="宋体" w:hAnsi="宋体" w:cs="宋体"/>
          <w:b/>
          <w:color w:val="auto"/>
          <w:szCs w:val="21"/>
          <w:highlight w:val="none"/>
        </w:rPr>
      </w:pPr>
      <w:bookmarkStart w:id="91" w:name="_Toc513029228"/>
      <w:bookmarkStart w:id="92" w:name="_Toc20823300"/>
      <w:bookmarkStart w:id="93" w:name="_Toc16938544"/>
      <w:r>
        <w:rPr>
          <w:rFonts w:hint="eastAsia" w:ascii="宋体" w:hAnsi="宋体" w:cs="宋体"/>
          <w:b/>
          <w:color w:val="auto"/>
          <w:szCs w:val="21"/>
          <w:highlight w:val="none"/>
        </w:rPr>
        <w:t>22、投标文件的修改和撤回</w:t>
      </w:r>
      <w:bookmarkEnd w:id="91"/>
      <w:bookmarkEnd w:id="92"/>
      <w:bookmarkEnd w:id="9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22.1</w:t>
      </w:r>
      <w:r>
        <w:rPr>
          <w:rFonts w:hint="eastAsia" w:ascii="宋体" w:hAnsi="宋体" w:cs="宋体"/>
          <w:bCs/>
          <w:color w:val="auto"/>
          <w:szCs w:val="21"/>
          <w:highlight w:val="none"/>
        </w:rPr>
        <w:t xml:space="preserve"> 投标人在递交投标文件后，可以修改或撤回其投标文件，但这种修改和撤回，必须在规定的投标截止时间前，以书面形式</w:t>
      </w:r>
      <w:r>
        <w:rPr>
          <w:rFonts w:hint="eastAsia" w:ascii="宋体" w:hAnsi="宋体" w:cs="宋体"/>
          <w:color w:val="auto"/>
          <w:szCs w:val="21"/>
          <w:highlight w:val="none"/>
        </w:rPr>
        <w:t>通知代理机构，否则，代理机构将拒绝。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22.2</w:t>
      </w:r>
      <w:r>
        <w:rPr>
          <w:rFonts w:hint="eastAsia" w:ascii="宋体" w:hAnsi="宋体" w:cs="宋体"/>
          <w:bCs/>
          <w:color w:val="auto"/>
          <w:szCs w:val="21"/>
          <w:highlight w:val="none"/>
        </w:rPr>
        <w:t xml:space="preserve"> 投标人的修改或撤回文件应按规定进行编制、密封、标记和发送，并应在封套上加注“修改”或“撤回”字样。</w:t>
      </w:r>
      <w:r>
        <w:rPr>
          <w:rFonts w:hint="eastAsia" w:ascii="宋体" w:hAnsi="宋体" w:cs="宋体"/>
          <w:color w:val="auto"/>
          <w:szCs w:val="21"/>
          <w:highlight w:val="none"/>
        </w:rPr>
        <w:t>上述补充或修改若涉及投标报价，必须注明“最后唯一报价”字样，否则将视为有选择的报价。修改文件必须在投标截止时间前送达代理机构。</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22.3</w:t>
      </w:r>
      <w:r>
        <w:rPr>
          <w:rFonts w:hint="eastAsia" w:ascii="宋体" w:hAnsi="宋体" w:cs="宋体"/>
          <w:bCs/>
          <w:color w:val="auto"/>
          <w:szCs w:val="21"/>
          <w:highlight w:val="none"/>
        </w:rPr>
        <w:t xml:space="preserve"> 在投标截止时间之后，投标人不得对其投标文件作任何修改。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22.4</w:t>
      </w:r>
      <w:r>
        <w:rPr>
          <w:rFonts w:hint="eastAsia" w:ascii="宋体" w:hAnsi="宋体" w:cs="宋体"/>
          <w:bCs/>
          <w:color w:val="auto"/>
          <w:szCs w:val="21"/>
          <w:highlight w:val="none"/>
        </w:rPr>
        <w:t xml:space="preserve"> 在投标截止时间至招标文件中规定的投标有效期满之间的这段时间内，投标人不得撤回其投标。</w:t>
      </w:r>
    </w:p>
    <w:p>
      <w:pPr>
        <w:spacing w:line="360" w:lineRule="auto"/>
        <w:ind w:firstLine="422" w:firstLineChars="200"/>
        <w:rPr>
          <w:rFonts w:ascii="宋体" w:hAnsi="宋体" w:cs="宋体"/>
          <w:b/>
          <w:color w:val="auto"/>
          <w:szCs w:val="21"/>
          <w:highlight w:val="none"/>
        </w:rPr>
      </w:pPr>
      <w:bookmarkStart w:id="94" w:name="_Toc16938546"/>
      <w:bookmarkStart w:id="95" w:name="_Toc20823302"/>
      <w:bookmarkStart w:id="96" w:name="_Toc513029230"/>
      <w:r>
        <w:rPr>
          <w:rFonts w:hint="eastAsia" w:ascii="宋体" w:hAnsi="宋体" w:cs="宋体"/>
          <w:b/>
          <w:color w:val="auto"/>
          <w:szCs w:val="21"/>
          <w:highlight w:val="none"/>
        </w:rPr>
        <w:t>23、开标</w:t>
      </w:r>
      <w:bookmarkEnd w:id="94"/>
      <w:bookmarkEnd w:id="95"/>
      <w:bookmarkEnd w:id="9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23.1</w:t>
      </w:r>
      <w:r>
        <w:rPr>
          <w:rFonts w:hint="eastAsia" w:ascii="宋体" w:hAnsi="宋体" w:cs="宋体"/>
          <w:bCs/>
          <w:color w:val="auto"/>
          <w:szCs w:val="21"/>
          <w:highlight w:val="none"/>
        </w:rPr>
        <w:t xml:space="preserve"> 代理机构将在招标公告中规定的时间和地点组织公开开标</w:t>
      </w:r>
      <w:r>
        <w:rPr>
          <w:rFonts w:hint="eastAsia" w:ascii="宋体" w:hAnsi="宋体" w:cs="宋体"/>
          <w:color w:val="auto"/>
          <w:szCs w:val="21"/>
          <w:highlight w:val="none"/>
        </w:rPr>
        <w:t>。投标人应委派携带有效证件的代表准时参加，参加开标的代表需签名以证明其出席。投标人未参加开标的，视同认可开标结果。</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23.2</w:t>
      </w:r>
      <w:r>
        <w:rPr>
          <w:rFonts w:hint="eastAsia" w:ascii="宋体" w:hAnsi="宋体" w:cs="宋体"/>
          <w:color w:val="auto"/>
          <w:szCs w:val="21"/>
          <w:highlight w:val="none"/>
        </w:rPr>
        <w:t>开标仪式由代理机构组织，采购人代表、监委、投标人代表等参加。</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23.3</w:t>
      </w:r>
      <w:r>
        <w:rPr>
          <w:rFonts w:hint="eastAsia" w:ascii="宋体" w:hAnsi="宋体" w:cs="宋体"/>
          <w:bCs/>
          <w:color w:val="auto"/>
          <w:szCs w:val="21"/>
          <w:highlight w:val="none"/>
        </w:rPr>
        <w:t>按照规定同意撤回的投标文件将不予开封。</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23.4 开标时请投标人推选的代表查验投标文件密封情况，投标登记薄上作纪录无误后，代理机构当众拆封宣读每份投标文件中“开标一览表”的内容，未列入开标一览表的内容一律不在开标时宣读。开标时未宣读的投标报价信息，不得在评标时采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23.5 代理机构将指定专人负责开标记录并存档备查，各投标人需仔细核对开标纪录相关内容并签字确认。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23.6 投标人在报价时不允许采用选择性报价，否则将被视为无效投标。</w:t>
      </w:r>
    </w:p>
    <w:p>
      <w:pPr>
        <w:spacing w:line="360" w:lineRule="auto"/>
        <w:ind w:firstLine="422" w:firstLineChars="200"/>
        <w:rPr>
          <w:rFonts w:ascii="宋体" w:hAnsi="宋体" w:cs="宋体"/>
          <w:b/>
          <w:color w:val="auto"/>
          <w:szCs w:val="21"/>
          <w:highlight w:val="none"/>
        </w:rPr>
      </w:pPr>
      <w:bookmarkStart w:id="97" w:name="_Toc513029231"/>
      <w:bookmarkStart w:id="98" w:name="_Toc20823303"/>
      <w:bookmarkStart w:id="99" w:name="_Toc16938547"/>
      <w:r>
        <w:rPr>
          <w:rFonts w:hint="eastAsia" w:ascii="宋体" w:hAnsi="宋体" w:cs="宋体"/>
          <w:b/>
          <w:color w:val="auto"/>
          <w:szCs w:val="21"/>
          <w:highlight w:val="none"/>
        </w:rPr>
        <w:t>24、评标委员会</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24.1开标后，代理机构将立即组织评标委员会（以下简称评委会）进行评标。</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24.2 评委会由采购人代表和有关技术、经济等方面的专家组成，且人员构成符合政府采购有关规定。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24.3评委会独立工作，负责评审所有投标文件并确定中标候选人。</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25、评标过程的保密与公正</w:t>
      </w:r>
    </w:p>
    <w:bookmarkEnd w:id="97"/>
    <w:bookmarkEnd w:id="98"/>
    <w:bookmarkEnd w:id="99"/>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25.1</w:t>
      </w:r>
      <w:r>
        <w:rPr>
          <w:rFonts w:hint="eastAsia" w:ascii="宋体" w:hAnsi="宋体" w:cs="宋体"/>
          <w:bCs/>
          <w:color w:val="auto"/>
          <w:szCs w:val="21"/>
          <w:highlight w:val="none"/>
        </w:rPr>
        <w:t>公开开标后，直至签订合同之日止，凡是与审查、澄清、评价和比较投标的有关资料以及授标建议等，采购人、评委、代理机构工作人员均不得向投标人或与评标无关的其他人员透露。</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25.2在评标过程中，投标人不得以任何行为影响评标过程，否则其投标文件将被作为无效投标文件。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25.3 在评标期间，代理机构将设专门工作人员与投标人联系。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25.4 代理机构和评委会不向落标的投标人解释未中标原因，也不公布评标过程中的相关细节。</w:t>
      </w:r>
    </w:p>
    <w:p>
      <w:pPr>
        <w:spacing w:line="360" w:lineRule="auto"/>
        <w:ind w:firstLine="422" w:firstLineChars="200"/>
        <w:rPr>
          <w:rFonts w:ascii="宋体" w:hAnsi="宋体" w:cs="宋体"/>
          <w:b/>
          <w:color w:val="auto"/>
          <w:szCs w:val="21"/>
          <w:highlight w:val="none"/>
        </w:rPr>
      </w:pPr>
      <w:bookmarkStart w:id="100" w:name="_Toc16938548"/>
      <w:bookmarkStart w:id="101" w:name="_Toc20823304"/>
      <w:bookmarkStart w:id="102" w:name="_Toc513029232"/>
      <w:r>
        <w:rPr>
          <w:rFonts w:hint="eastAsia" w:ascii="宋体" w:hAnsi="宋体" w:cs="宋体"/>
          <w:b/>
          <w:color w:val="auto"/>
          <w:szCs w:val="21"/>
          <w:highlight w:val="none"/>
        </w:rPr>
        <w:t>26、投标的澄清</w:t>
      </w:r>
      <w:bookmarkEnd w:id="100"/>
      <w:bookmarkEnd w:id="101"/>
      <w:bookmarkEnd w:id="10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26.1评标期间，为有助于对投标文件的审查、评价和比较，评委会有权以书面形式要求投标人对其投标文件进行澄清，但并非对每个投标人都作澄清要求。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26.2接到评委会澄清要求的投标人应派人按评委会通知的时间和地点做出书面澄清，书面澄清的内容须由投标人法定代表人或授权代表签署，并作为投标文件的补充部分，但投标的价格和实质性的内容不得做任何更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26.3 接到评委会澄清要求的投标人如未按规定做出澄清，其风险由投标人自行承担。</w:t>
      </w:r>
    </w:p>
    <w:p>
      <w:pPr>
        <w:spacing w:line="360" w:lineRule="auto"/>
        <w:ind w:firstLine="422" w:firstLineChars="200"/>
        <w:rPr>
          <w:rFonts w:ascii="宋体" w:hAnsi="宋体" w:cs="宋体"/>
          <w:b/>
          <w:color w:val="auto"/>
          <w:szCs w:val="21"/>
          <w:highlight w:val="none"/>
        </w:rPr>
      </w:pPr>
      <w:bookmarkStart w:id="103" w:name="_Toc20823305"/>
      <w:bookmarkStart w:id="104" w:name="_Toc16938549"/>
      <w:bookmarkStart w:id="105" w:name="_Toc513029233"/>
      <w:r>
        <w:rPr>
          <w:rFonts w:hint="eastAsia" w:ascii="宋体" w:hAnsi="宋体" w:cs="宋体"/>
          <w:b/>
          <w:color w:val="auto"/>
          <w:szCs w:val="21"/>
          <w:highlight w:val="none"/>
        </w:rPr>
        <w:t>27、对投标文件的初审</w:t>
      </w:r>
      <w:bookmarkEnd w:id="103"/>
      <w:bookmarkEnd w:id="104"/>
      <w:bookmarkEnd w:id="105"/>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27.1</w:t>
      </w:r>
      <w:r>
        <w:rPr>
          <w:rFonts w:hint="eastAsia" w:ascii="宋体" w:hAnsi="宋体" w:cs="宋体"/>
          <w:bCs/>
          <w:color w:val="auto"/>
          <w:szCs w:val="21"/>
          <w:highlight w:val="none"/>
        </w:rPr>
        <w:t>投标文件初审分为资格检查和符合性检查。</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27.1.1</w:t>
      </w:r>
      <w:r>
        <w:rPr>
          <w:rFonts w:hint="eastAsia" w:ascii="宋体" w:hAnsi="宋体" w:cs="宋体"/>
          <w:bCs/>
          <w:color w:val="auto"/>
          <w:szCs w:val="21"/>
          <w:highlight w:val="none"/>
        </w:rPr>
        <w:t>资格审查：依据法律法规和招标文件的规定，由采购人对投标文件中的资信证明文件进行审查。并将审查结论以书面形式向评委会反馈。</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highlight w:val="none"/>
        </w:rPr>
        <w:t>采购人在进行资格性审查的同时，将在“信用中国”网站（www.creditchina.gov.cn）、“中国政府采购网"(www.ccgp.gov.cn)对投标人是否被列入失信被执行人、重大税收违法案件当事人名单、政府采购严重失信行为记录名单情况进行查询，以确定投标人是否具备投标资格。查询结果将以网页打印的形式留存并归档。</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27.1.2</w:t>
      </w:r>
      <w:r>
        <w:rPr>
          <w:rFonts w:hint="eastAsia" w:ascii="宋体" w:hAnsi="宋体" w:cs="宋体"/>
          <w:bCs/>
          <w:color w:val="auto"/>
          <w:szCs w:val="21"/>
          <w:highlight w:val="none"/>
        </w:rPr>
        <w:t>符合性检查：依据招标文件的规定，由评委会从投标文件的有效性、完整性和对招标文件的响应程度进行审查，以确定是否对招标文件的实质性要求作出响应。</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27.2在详细评标之前，评委会将首先审查每份投标文件是否实质性响应了招标文件的要求。实质性响应的投标应该是与招标文件要求的全部条款、条件和规格相符，没有重大偏离或保留的投标。</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所谓重大偏离或保留是指与招标文件规定的实质性要求存在负偏离，或者在实质上与招标文件不一致，而且限制了合同中买方（采购人）和见证方（代理机构）的权利或投标人的义务，纠正这些偏离或保留将会对其他实质性响应要求的投标人的竞争地位产生不公正的影响。是否属于重大偏离由评委会按照少数服从多数的原则作出结论。</w:t>
      </w:r>
      <w:r>
        <w:rPr>
          <w:rFonts w:hint="eastAsia" w:ascii="宋体" w:hAnsi="宋体" w:cs="宋体"/>
          <w:bCs/>
          <w:color w:val="auto"/>
          <w:szCs w:val="21"/>
          <w:highlight w:val="none"/>
        </w:rPr>
        <w:t>评委决定投标文件的响应性只根据投标文件本身的内容，而不寻求外部的证据。</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27.3</w:t>
      </w:r>
      <w:r>
        <w:rPr>
          <w:rFonts w:hint="eastAsia" w:ascii="宋体" w:hAnsi="宋体" w:cs="宋体"/>
          <w:bCs/>
          <w:color w:val="auto"/>
          <w:szCs w:val="21"/>
          <w:highlight w:val="none"/>
        </w:rPr>
        <w:t>如果投标文件实质上没有响应招标文件的要求，评委会将予以拒绝，投标人不得通过修改或撤销不合要求的偏离或保留而使其投标成为实质性响应的投标。</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27.4</w:t>
      </w:r>
      <w:r>
        <w:rPr>
          <w:rFonts w:hint="eastAsia" w:ascii="宋体" w:hAnsi="宋体" w:cs="宋体"/>
          <w:bCs/>
          <w:color w:val="auto"/>
          <w:szCs w:val="21"/>
          <w:highlight w:val="none"/>
        </w:rPr>
        <w:t>评委会将对确定为实质性响应的投标进行进一步审核，看其是否有计算上或累加上的算术错误，对开标一览表内容修正错误的原则如下：</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（1）投标文件中开标一览表内容与投标文件中相应内容不一致的，以开标一览表为准。</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（2）投标文件、“开标一览表”中报价的大写金额与小写金额不一致的，以大写金额为准。</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（3）单价金额小数点或者百分比有明显错位的，以开标一览表的总价为准，并修改单价。</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（4）总价金额与按单价汇总金额不一致的，以单价金额计算结果为准。</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同时出现两种以上错误的，按照前款规定的顺序修正。对不同文字文本投标文件的解释发生异议的，以中文文本为准。</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27.5</w:t>
      </w:r>
      <w:r>
        <w:rPr>
          <w:rFonts w:hint="eastAsia" w:ascii="宋体" w:hAnsi="宋体" w:cs="宋体"/>
          <w:bCs/>
          <w:color w:val="auto"/>
          <w:szCs w:val="21"/>
          <w:highlight w:val="none"/>
        </w:rPr>
        <w:t>评委会将按上述修正错误的方法调整投标文件中的投标报价，调整后的价格应对投标人具有约束力。如果投标人不接受修正后的价格，则其投标将被拒绝。</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27.6</w:t>
      </w:r>
      <w:r>
        <w:rPr>
          <w:rFonts w:hint="eastAsia" w:ascii="宋体" w:hAnsi="宋体" w:cs="宋体"/>
          <w:bCs/>
          <w:color w:val="auto"/>
          <w:szCs w:val="21"/>
          <w:highlight w:val="none"/>
        </w:rPr>
        <w:t>评委会将允许修正投标文件中不构成重大偏离的、微小的、非正规的、不一致的或不规则的地方，但这些修改不能影响任何投标人相应的名次排列，否则不允许修正。</w:t>
      </w:r>
    </w:p>
    <w:p>
      <w:pPr>
        <w:spacing w:line="360" w:lineRule="auto"/>
        <w:ind w:firstLine="422" w:firstLineChars="200"/>
        <w:rPr>
          <w:rFonts w:ascii="宋体" w:hAnsi="宋体" w:cs="宋体"/>
          <w:b/>
          <w:color w:val="auto"/>
          <w:szCs w:val="21"/>
          <w:highlight w:val="none"/>
        </w:rPr>
      </w:pPr>
      <w:bookmarkStart w:id="106" w:name="_Toc16938550"/>
      <w:bookmarkStart w:id="107" w:name="_Toc20823306"/>
      <w:bookmarkStart w:id="108" w:name="_Toc513029234"/>
      <w:r>
        <w:rPr>
          <w:rFonts w:hint="eastAsia" w:ascii="宋体" w:hAnsi="宋体" w:cs="宋体"/>
          <w:b/>
          <w:color w:val="auto"/>
          <w:szCs w:val="21"/>
          <w:highlight w:val="none"/>
        </w:rPr>
        <w:t>28、</w:t>
      </w:r>
      <w:bookmarkEnd w:id="106"/>
      <w:bookmarkEnd w:id="107"/>
      <w:bookmarkEnd w:id="108"/>
      <w:r>
        <w:rPr>
          <w:rFonts w:hint="eastAsia" w:ascii="宋体" w:hAnsi="宋体" w:cs="宋体"/>
          <w:b/>
          <w:color w:val="auto"/>
          <w:szCs w:val="21"/>
          <w:highlight w:val="none"/>
        </w:rPr>
        <w:t>无效投标、废标及投标人不足三家的处理</w:t>
      </w:r>
    </w:p>
    <w:p>
      <w:pPr>
        <w:spacing w:line="360" w:lineRule="auto"/>
        <w:ind w:firstLine="420" w:firstLineChars="200"/>
        <w:rPr>
          <w:rFonts w:ascii="宋体" w:hAnsi="宋体" w:cs="宋体"/>
          <w:bCs/>
          <w:color w:val="auto"/>
          <w:szCs w:val="21"/>
          <w:highlight w:val="none"/>
        </w:rPr>
      </w:pPr>
      <w:bookmarkStart w:id="109" w:name="_Toc513029235"/>
      <w:bookmarkStart w:id="110" w:name="_Toc16938551"/>
      <w:bookmarkStart w:id="111" w:name="_Toc20823307"/>
      <w:r>
        <w:rPr>
          <w:rFonts w:hint="eastAsia" w:ascii="宋体" w:hAnsi="宋体" w:cs="宋体"/>
          <w:bCs/>
          <w:color w:val="auto"/>
          <w:szCs w:val="21"/>
          <w:highlight w:val="none"/>
        </w:rPr>
        <w:t>28.1无效投标条款</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28.1.1未按照招标文件规定要求密封、签署、盖章的；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28.1.2投标人在报价时采用选择性报价；</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28.1.3投标人不具备招标文件中规定资格要求的；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28.1.4投标人的报价超过了采购预算或最高限价的；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28.1.5未通过符合性检查的；</w:t>
      </w:r>
    </w:p>
    <w:p>
      <w:pPr>
        <w:spacing w:line="360" w:lineRule="auto"/>
        <w:ind w:firstLine="420" w:firstLineChars="200"/>
        <w:rPr>
          <w:rFonts w:ascii="宋体" w:hAnsi="宋体" w:cs="宋体"/>
          <w:bCs/>
          <w:color w:val="auto"/>
          <w:szCs w:val="21"/>
          <w:highlight w:val="none"/>
          <w:u w:val="single"/>
        </w:rPr>
      </w:pPr>
      <w:r>
        <w:rPr>
          <w:rFonts w:hint="eastAsia" w:ascii="宋体" w:hAnsi="宋体" w:cs="宋体"/>
          <w:bCs/>
          <w:color w:val="auto"/>
          <w:szCs w:val="21"/>
          <w:highlight w:val="none"/>
        </w:rPr>
        <w:t>28.1.7不符合招标文件中规定的其他实质性要求和条件的</w:t>
      </w:r>
      <w:r>
        <w:rPr>
          <w:rFonts w:hint="eastAsia" w:ascii="宋体" w:hAnsi="宋体" w:cs="宋体"/>
          <w:bCs/>
          <w:i/>
          <w:color w:val="auto"/>
          <w:szCs w:val="21"/>
          <w:highlight w:val="none"/>
          <w:u w:val="single"/>
        </w:rPr>
        <w:t>（本招标文件中斜体且有下划线部分为实质性要求和条件，包括但不限于该范围）</w:t>
      </w:r>
      <w:r>
        <w:rPr>
          <w:rFonts w:hint="eastAsia" w:ascii="宋体" w:hAnsi="宋体" w:cs="宋体"/>
          <w:bCs/>
          <w:color w:val="auto"/>
          <w:szCs w:val="21"/>
          <w:highlight w:val="none"/>
          <w:u w:val="single"/>
        </w:rPr>
        <w:t xml:space="preserve">； </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28.1.8 投标人被 “信用中国”网站（www.creditchina.gov.cn）、“中国政府采购网"(www.ccgp.gov.cn)列入失信被执行人或重大税收违法案件当事人名单或政府采购严重失信行为记录名单。若接受联合体的项目，两个以上的自然人、法人或者其他组织组成一个联合体，以一个供应商的身份共同参加政府采购活动的，联合体成员存在不良信用记录的，视同联合体存在不良应用记录。</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28.1.9  投标文件含有采购人不能接受的附加条件的； </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28.1.10 评标委员会认为投标人的报价明显低于其他通过符合性审查投标人的报价，有可能影响产品质量或者不能诚信履约的，要求其在评标现场合理的时间内提供书面说明，必要时提交相关证明材料；投标人不能证明其报价合理性的，评标委员会应当将其作为无效投标处理。</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28.1.11其他法律、法规及本招标文件规定的属无效投标的情形。</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28.2废标条款：                                                                                                                                                                                                                                                                                                                                                                                                                                                                                                                                                                                                                                                                                                                                                                                                                                                                                                                                                                                                                                                                                                                                                                                                                                                                                                                                                                                                                                                                         </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28.2.1符合专业条件的供应商或者对招标文件作实质响应的供应商不足三家的；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28.2.2投标人的报价均超过采购预算或最高限价；</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28.2.3出现影响采购公正的违法、违规行为的；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28.2.4因重大变故，采购任务取消的；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28.2.5评标委员会认定招标文件存在歧义、重大缺陷导致评审工作无法进行。</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28.3投标截止时间结束后参加投标的投标人不足三家或者通过资格审查或符合性审查的投标人不足三家的，除采购任务取消情形外，按照以下方式处理： </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28.3.1招标文件存在不合理条款或者招标程序不符合规定的，由采购人、代理机构改正后依法重新招标；</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28.3.2 招标文件没有不合理条款、招标程序符合规定，需要采用其他采购方式采购的，采购人应当依法报财政部门批准。</w:t>
      </w:r>
    </w:p>
    <w:bookmarkEnd w:id="109"/>
    <w:bookmarkEnd w:id="110"/>
    <w:bookmarkEnd w:id="111"/>
    <w:p>
      <w:pPr>
        <w:spacing w:line="360" w:lineRule="auto"/>
        <w:ind w:firstLine="422" w:firstLineChars="200"/>
        <w:rPr>
          <w:rFonts w:ascii="宋体" w:hAnsi="宋体" w:cs="宋体"/>
          <w:b/>
          <w:bCs/>
          <w:color w:val="auto"/>
          <w:szCs w:val="21"/>
          <w:highlight w:val="none"/>
        </w:rPr>
      </w:pPr>
      <w:bookmarkStart w:id="112" w:name="_Toc513029238"/>
      <w:bookmarkStart w:id="113" w:name="_Toc20823310"/>
      <w:bookmarkStart w:id="114" w:name="_Toc16938554"/>
      <w:r>
        <w:rPr>
          <w:rFonts w:hint="eastAsia" w:ascii="宋体" w:hAnsi="宋体" w:cs="宋体"/>
          <w:b/>
          <w:bCs/>
          <w:color w:val="auto"/>
          <w:szCs w:val="21"/>
          <w:highlight w:val="none"/>
        </w:rPr>
        <w:t>29、</w:t>
      </w:r>
      <w:bookmarkEnd w:id="112"/>
      <w:r>
        <w:rPr>
          <w:rFonts w:hint="eastAsia" w:ascii="宋体" w:hAnsi="宋体" w:cs="宋体"/>
          <w:b/>
          <w:bCs/>
          <w:color w:val="auto"/>
          <w:szCs w:val="21"/>
          <w:highlight w:val="none"/>
        </w:rPr>
        <w:t>确定</w:t>
      </w:r>
      <w:bookmarkEnd w:id="113"/>
      <w:bookmarkEnd w:id="114"/>
      <w:r>
        <w:rPr>
          <w:rFonts w:hint="eastAsia" w:ascii="宋体" w:hAnsi="宋体" w:cs="宋体"/>
          <w:b/>
          <w:bCs/>
          <w:color w:val="auto"/>
          <w:szCs w:val="21"/>
          <w:highlight w:val="none"/>
        </w:rPr>
        <w:t>中标单位</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29.1评委会根据本招标文件规定评标方法与评标标准向采购人推荐出中标候选人。</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29.2 采购人应根据评委会推荐的中标候选人确定中标人。</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29.3</w:t>
      </w:r>
      <w:r>
        <w:rPr>
          <w:rFonts w:hint="eastAsia" w:ascii="宋体" w:hAnsi="宋体" w:cs="宋体"/>
          <w:color w:val="auto"/>
          <w:szCs w:val="21"/>
          <w:highlight w:val="none"/>
        </w:rPr>
        <w:t>代理机构将在“扬州市公共资源交易服务平台、扬州市城建国有资产控股（集团）有限责任公司网站、江苏长江水务股份有限公司网站”栏发布中标公告，公告期限为1个工作日。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29.4若有充分证据证明，中标人出现下列情况之一的，一经查实，将被取消中标资格：</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29.4.1提供虚假材料谋取中标的；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29.4.2向采购人、代理机构行贿或者提供其他不正当利益的；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29.4.3恶意竞争，投标总报价明显低于其自身合理成本且又无法提供证明的；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29.4.4属于本文件规定的无效条件，但在评标过程中又未被评委会发现的；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29.4.5与采购人或者其他投标人串通投标的；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29.4.6采取不正当手段诋毁、排挤其他供应商的；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29.4.7不符合法律、法规的规定的。</w:t>
      </w:r>
      <w:bookmarkStart w:id="115" w:name="_Toc200451960"/>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29.5. 有下列情形之一的，视为投标人串通投标，投标无效：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29.5.1不同投标人的投标文件由同一单位或者个人编制。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29.5.2不同投标人委托同一单位或者个人办理投标事宜。</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29.5.3 不同投标人的投标文件载明的项目管理成员或者联系人员为同一人。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29.5.4不同投标人的投标文件异常一致或者投标报价呈规律性差异。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29.5.5不同投标人的投标文件相互混装。</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30、质疑处理</w:t>
      </w:r>
      <w:bookmarkEnd w:id="115"/>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.1提出质疑的供应商应当是参与所质疑项目采购活动的供应商。潜在供应商依法获取其可质疑的采购文件的，可以对采购文件提出质疑。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对项目需求部分的质疑，潜在供应商应向采购人提出，由采购人负责答复。</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.2供应商认为采购文件、采购过程和中标或成交结果使自己的权益受到损害的，可以在知道或应知其权益受到损害之日起7个工作日内，以书面形式向采购人或代理机构提出质疑。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.2.1对采购文件提出质疑的，应当在获取采购文件之日或者采购文件公告期限届满之日起7个工作日内提出。</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.2.2对采购过程提出质疑的，为各采购程序环节结束之日起7个工作日内提出。</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.2.3对成交结果提出质疑的，为中标结果公告期限届满之日起7个工作日内提出。</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.3供应商应在法定质疑期内一次性提出针对同一采购程序环节的质疑。质疑必须按</w:t>
      </w:r>
    </w:p>
    <w:p>
      <w:pPr>
        <w:spacing w:line="360" w:lineRule="auto"/>
        <w:rPr>
          <w:rFonts w:ascii="宋体" w:hAnsi="宋体" w:cs="宋体"/>
          <w:color w:val="auto"/>
          <w:szCs w:val="21"/>
          <w:highlight w:val="none"/>
        </w:rPr>
      </w:pPr>
      <w:r>
        <w:rPr>
          <w:rFonts w:hint="eastAsia" w:ascii="宋体" w:hAnsi="宋体" w:cs="宋体"/>
          <w:color w:val="auto"/>
          <w:szCs w:val="21"/>
          <w:highlight w:val="none"/>
        </w:rPr>
        <w:t>《政府采购法》、《政府采购法实施条例》及《政府采购质疑和投诉办法》等相关规定提交。供应商如在法定期限内对同一采购程序环节提出多次质疑的，代理机构、采购人将只对供应商第一次质疑作出答复。</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4质疑函必须按照《质疑函范本》及《授权委托书》要求的格式和内容进行填写，格式见网址：http://zfcg.yangzhou.gov.cn。供应商如组成联合体参加投标，则《质疑函范本》及《授权委托书》中要求签字、盖章、加盖公章之处，联合体各方均须按要求签字、盖章、加盖公章。</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.5质疑函应当包括下列内容：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（1）质疑供应商的名称、地址、邮编、联系人、联系电话；</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（2）质疑项目的名称、编号；</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（3）具体、明确的质疑事项和与质疑事项相关的请求；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（4）事实依据</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（5）必要的法律依据</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（6）提起质疑的日期；</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质疑函应当署名：质疑人为自然人的，应当由本人签字并附有效身份证明；质疑人为法人或其他组织的，应当由法定代表人签字并加盖单位公章。质疑人委托代理质疑的，应当向代理机构提交授权委托书，并载明委托代理的具体权限和事项。</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.6代理机构及采购人只接收以纸质原件形式送达的质疑。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采购人质疑接收人及联系方式见采购文件第一章。</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.7代理机构收到质疑申请后，将对质疑的形式和内容进行审查，如质疑内容、格式不符合规定，代理机构将告知质疑人进行补正。</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.8质疑人应当在法定质疑期限内进行补正并重新提交质疑函。</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.9 以下情形的质疑不予受理</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.9.1 内容不符合《政府采购质疑和投诉办法》第十二条规定的质疑。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.9.2 超出政府采购法定期限的质疑。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.9.3 以传真、电子邮件等方式递交的非原件形式的质疑。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.9.4 未参加投标活动的供应商或在投标活动中自身权益未受到损害的供应商所提出的质疑。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.9.5投标人组成联合体参加投标，联合体中任何一方或多方未按要求签字、盖章、加盖公章的质疑。</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 xml:space="preserve">.10供应商提出书面质疑必须有理、有据，不得捏造事实、提供虚假材料进行恶意质疑。否则，一经查实，代理机构有权依据政府采购的有关规定，报请政府采购监管部门对该供应商进行相应的行政处罚和记录该供应商的失信信息。 </w:t>
      </w:r>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30</w:t>
      </w:r>
      <w:r>
        <w:rPr>
          <w:rFonts w:hint="eastAsia" w:ascii="宋体" w:hAnsi="宋体" w:cs="宋体"/>
          <w:color w:val="auto"/>
          <w:szCs w:val="21"/>
          <w:highlight w:val="none"/>
        </w:rPr>
        <w:t>.11代理机构应当在收到供应商的书面质疑后7个工作日内作出答复，并以书面形式通知质疑供应商和其他有关供应商，但答复的内容不得涉及商业秘密</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w:t>
      </w:r>
      <w:r>
        <w:rPr>
          <w:rFonts w:ascii="宋体" w:hAnsi="宋体" w:cs="宋体"/>
          <w:b/>
          <w:bCs/>
          <w:color w:val="auto"/>
          <w:szCs w:val="21"/>
          <w:highlight w:val="none"/>
        </w:rPr>
        <w:t>1</w:t>
      </w:r>
      <w:r>
        <w:rPr>
          <w:rFonts w:hint="eastAsia" w:ascii="宋体" w:hAnsi="宋体" w:cs="宋体"/>
          <w:b/>
          <w:bCs/>
          <w:color w:val="auto"/>
          <w:szCs w:val="21"/>
          <w:highlight w:val="none"/>
        </w:rPr>
        <w:t>、诚实信用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1</w:t>
      </w:r>
      <w:r>
        <w:rPr>
          <w:rFonts w:hint="eastAsia" w:ascii="宋体" w:hAnsi="宋体" w:cs="宋体"/>
          <w:color w:val="auto"/>
          <w:szCs w:val="21"/>
          <w:highlight w:val="none"/>
        </w:rPr>
        <w:t>.1 投标人之间不得相互串通投标报价，不得妨碍其他投标人的公平竞争，不得损害采购人和其他投标人的合法权益。</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1</w:t>
      </w:r>
      <w:r>
        <w:rPr>
          <w:rFonts w:hint="eastAsia" w:ascii="宋体" w:hAnsi="宋体" w:cs="宋体"/>
          <w:color w:val="auto"/>
          <w:szCs w:val="21"/>
          <w:highlight w:val="none"/>
        </w:rPr>
        <w:t>.2 投标人不得以向代理机构工作人员、评标委员会成员行贿或者采取其他不正当手段谋取中标。经查实投标人有此行为的，政府采购管理部门将投标人列入不良行为记录名单，按照《政府采购法》有关规定处理。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1</w:t>
      </w:r>
      <w:r>
        <w:rPr>
          <w:rFonts w:hint="eastAsia" w:ascii="宋体" w:hAnsi="宋体" w:cs="宋体"/>
          <w:color w:val="auto"/>
          <w:szCs w:val="21"/>
          <w:highlight w:val="none"/>
        </w:rPr>
        <w:t>.3 投标人提出书面质疑必须有理、有据，不得虚假质疑和恶意质疑，并对质疑内容的真实性承担责任。一经查实，代理机构有权依据政府采购的有关规定，报请政府采购监管部门对该投标人进行相应的行政处罚并在网站上予以公示。如果投标人或者其他利害关系人通过捏造事实、伪造证明材料等方式提出质疑，干扰政府采购活动正常进行的，属于严重不良行为，代理机构将提请政府采购监管部门将其列入不良行为记录名单，并依法予以处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1</w:t>
      </w:r>
      <w:r>
        <w:rPr>
          <w:rFonts w:hint="eastAsia" w:ascii="宋体" w:hAnsi="宋体" w:cs="宋体"/>
          <w:color w:val="auto"/>
          <w:szCs w:val="21"/>
          <w:highlight w:val="none"/>
        </w:rPr>
        <w:t>.4 投标人不得虚假承诺，否则，按照提供虚假材料谋取中标成交处理。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1</w:t>
      </w:r>
      <w:r>
        <w:rPr>
          <w:rFonts w:hint="eastAsia" w:ascii="宋体" w:hAnsi="宋体" w:cs="宋体"/>
          <w:color w:val="auto"/>
          <w:szCs w:val="21"/>
          <w:highlight w:val="none"/>
        </w:rPr>
        <w:t>.5 投标人应自觉遵守开标、评标纪律，扰乱开标评标现场秩序的，属于失信行为，根据《江苏省政府采购供应商监督管理暂行办法》，失信行为将被记入投标人诚信档案。</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3</w:t>
      </w:r>
      <w:r>
        <w:rPr>
          <w:rFonts w:ascii="宋体" w:hAnsi="宋体" w:cs="宋体"/>
          <w:b/>
          <w:bCs/>
          <w:color w:val="auto"/>
          <w:szCs w:val="21"/>
          <w:highlight w:val="none"/>
        </w:rPr>
        <w:t>2</w:t>
      </w:r>
      <w:r>
        <w:rPr>
          <w:rFonts w:hint="eastAsia" w:ascii="宋体" w:hAnsi="宋体" w:cs="宋体"/>
          <w:b/>
          <w:bCs/>
          <w:color w:val="auto"/>
          <w:szCs w:val="21"/>
          <w:highlight w:val="none"/>
        </w:rPr>
        <w:t>、中标通知书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2</w:t>
      </w:r>
      <w:r>
        <w:rPr>
          <w:rFonts w:hint="eastAsia" w:ascii="宋体" w:hAnsi="宋体" w:cs="宋体"/>
          <w:color w:val="auto"/>
          <w:szCs w:val="21"/>
          <w:highlight w:val="none"/>
        </w:rPr>
        <w:t>.l中标结果确定后，代理机构将向中标供应商发出中标通知书。</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2</w:t>
      </w:r>
      <w:r>
        <w:rPr>
          <w:rFonts w:hint="eastAsia" w:ascii="宋体" w:hAnsi="宋体" w:cs="宋体"/>
          <w:color w:val="auto"/>
          <w:szCs w:val="21"/>
          <w:highlight w:val="none"/>
        </w:rPr>
        <w:t>.2 中标供应商收到中标通知书后，应签字确认中标通知书已收到。若无回复，则公告后视同中标供应商已经知悉并同意接受。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2</w:t>
      </w:r>
      <w:r>
        <w:rPr>
          <w:rFonts w:hint="eastAsia" w:ascii="宋体" w:hAnsi="宋体" w:cs="宋体"/>
          <w:color w:val="auto"/>
          <w:szCs w:val="21"/>
          <w:highlight w:val="none"/>
        </w:rPr>
        <w:t>.3中标通知书将是合同的一个组成部分。对采购人和中标供应商均具有法律效力。中标通知书发出后，采购人改变中标结果的，或者中标供应商放弃中标项目的，应当依法承担法律责任。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2</w:t>
      </w:r>
      <w:r>
        <w:rPr>
          <w:rFonts w:hint="eastAsia" w:ascii="宋体" w:hAnsi="宋体" w:cs="宋体"/>
          <w:color w:val="auto"/>
          <w:szCs w:val="21"/>
          <w:highlight w:val="none"/>
        </w:rPr>
        <w:t>.4所有投标文件都将作为档案保存，不论中标与否，代理机构均不退回。</w:t>
      </w:r>
    </w:p>
    <w:p>
      <w:pPr>
        <w:spacing w:line="360" w:lineRule="auto"/>
        <w:ind w:firstLine="422" w:firstLineChars="200"/>
        <w:rPr>
          <w:rFonts w:ascii="宋体" w:hAnsi="宋体" w:cs="宋体"/>
          <w:b/>
          <w:bCs/>
          <w:color w:val="auto"/>
          <w:szCs w:val="21"/>
          <w:highlight w:val="none"/>
        </w:rPr>
      </w:pPr>
      <w:bookmarkStart w:id="116" w:name="_Toc513029237"/>
      <w:bookmarkStart w:id="117" w:name="_Toc16938553"/>
      <w:bookmarkStart w:id="118" w:name="_Toc20823309"/>
      <w:r>
        <w:rPr>
          <w:rFonts w:hint="eastAsia" w:ascii="宋体" w:hAnsi="宋体" w:cs="宋体"/>
          <w:b/>
          <w:bCs/>
          <w:color w:val="auto"/>
          <w:szCs w:val="21"/>
          <w:highlight w:val="none"/>
        </w:rPr>
        <w:t>3</w:t>
      </w:r>
      <w:r>
        <w:rPr>
          <w:rFonts w:ascii="宋体" w:hAnsi="宋体" w:cs="宋体"/>
          <w:b/>
          <w:bCs/>
          <w:color w:val="auto"/>
          <w:szCs w:val="21"/>
          <w:highlight w:val="none"/>
        </w:rPr>
        <w:t>3</w:t>
      </w:r>
      <w:r>
        <w:rPr>
          <w:rFonts w:hint="eastAsia" w:ascii="宋体" w:hAnsi="宋体" w:cs="宋体"/>
          <w:b/>
          <w:bCs/>
          <w:color w:val="auto"/>
          <w:szCs w:val="21"/>
          <w:highlight w:val="none"/>
        </w:rPr>
        <w:t>、 签订合同</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3</w:t>
      </w:r>
      <w:r>
        <w:rPr>
          <w:rFonts w:ascii="宋体" w:hAnsi="宋体" w:cs="宋体"/>
          <w:bCs/>
          <w:color w:val="auto"/>
          <w:szCs w:val="21"/>
          <w:highlight w:val="none"/>
        </w:rPr>
        <w:t>3</w:t>
      </w:r>
      <w:r>
        <w:rPr>
          <w:rFonts w:hint="eastAsia" w:ascii="宋体" w:hAnsi="宋体" w:cs="宋体"/>
          <w:color w:val="auto"/>
          <w:szCs w:val="21"/>
          <w:highlight w:val="none"/>
        </w:rPr>
        <w:t>.l中标供应商应按中标通知书规定的时间、地点,按照招标文件确定的事项与采购人签订政府采购合同，且不得迟于中标通知书发出之日起三十日，由此给采购人造成损失的，中标供应商还应承担赔偿责任。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3</w:t>
      </w:r>
      <w:r>
        <w:rPr>
          <w:rFonts w:hint="eastAsia" w:ascii="宋体" w:hAnsi="宋体" w:cs="宋体"/>
          <w:color w:val="auto"/>
          <w:szCs w:val="21"/>
          <w:highlight w:val="none"/>
        </w:rPr>
        <w:t>.2招标文件、中标供应商的投标文件及招标过程中有关澄清、承诺文件均应作为合同附件。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3</w:t>
      </w:r>
      <w:r>
        <w:rPr>
          <w:rFonts w:hint="eastAsia" w:ascii="宋体" w:hAnsi="宋体" w:cs="宋体"/>
          <w:color w:val="auto"/>
          <w:szCs w:val="21"/>
          <w:highlight w:val="none"/>
        </w:rPr>
        <w:t>.3 签订合同后，</w:t>
      </w:r>
      <w:r>
        <w:rPr>
          <w:rFonts w:hint="eastAsia" w:ascii="宋体" w:hAnsi="宋体" w:cs="宋体"/>
          <w:i/>
          <w:color w:val="auto"/>
          <w:szCs w:val="21"/>
          <w:highlight w:val="none"/>
          <w:u w:val="single"/>
        </w:rPr>
        <w:t>中标供应商不得将服务及其他相关服务进行转包</w:t>
      </w:r>
      <w:r>
        <w:rPr>
          <w:rFonts w:hint="eastAsia" w:ascii="宋体" w:hAnsi="宋体" w:cs="宋体"/>
          <w:color w:val="auto"/>
          <w:szCs w:val="21"/>
          <w:highlight w:val="none"/>
        </w:rPr>
        <w:t>。未经采购人同意，中标供应商也不得采用分包的形式履行合同，否则采购人有权终止合同。转包或分包造成采购人损失或致使合同履行中发生违约现象的，中标供应商应承担赔偿责任。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ascii="宋体" w:hAnsi="宋体" w:cs="宋体"/>
          <w:color w:val="auto"/>
          <w:szCs w:val="21"/>
          <w:highlight w:val="none"/>
        </w:rPr>
        <w:t>3</w:t>
      </w:r>
      <w:r>
        <w:rPr>
          <w:rFonts w:hint="eastAsia" w:ascii="宋体" w:hAnsi="宋体" w:cs="宋体"/>
          <w:color w:val="auto"/>
          <w:szCs w:val="21"/>
          <w:highlight w:val="none"/>
        </w:rPr>
        <w:t>.4采购人不得向中标人提出任何不合理的要求作为签订合同的条件，不得与中标人私下订立背离合同实质性内容的协议。所签订的合同不得对招标文件确定事项和中标人投标文件作实质性修改。</w:t>
      </w:r>
    </w:p>
    <w:p>
      <w:pPr>
        <w:spacing w:line="360" w:lineRule="auto"/>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rPr>
        <w:t>34、履约保证金</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本次不采用</w:t>
      </w:r>
      <w:r>
        <w:rPr>
          <w:rFonts w:hint="eastAsia" w:ascii="宋体" w:hAnsi="宋体" w:cs="宋体"/>
          <w:b/>
          <w:bCs/>
          <w:color w:val="auto"/>
          <w:szCs w:val="21"/>
          <w:highlight w:val="none"/>
          <w:lang w:eastAsia="zh-CN"/>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34.1履约保证金及履约保证金的形式：银行电汇、银行汇票、银行保函或现金支票。。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34.2履约保证金的金额：</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34.3投标人中标后，在签订合同前须各向招标人提交足额履约保证金，否则招标人可以取消其中标资格。履约保证金的期限从提交之日起至入围期内所供最后一批次货物质保期结束后终止。在履行合同过程中，如中标人按合同规定履行义务，则招标人到期无息退还；如中标人出现未能按合同规定履行其义务或存在质量问题等情况，招标人有权优先从履约保证金里取得补偿。</w:t>
      </w:r>
      <w:r>
        <w:rPr>
          <w:rFonts w:ascii="宋体" w:hAnsi="宋体" w:cs="宋体"/>
          <w:color w:val="auto"/>
          <w:szCs w:val="21"/>
          <w:highlight w:val="none"/>
        </w:rPr>
        <w:br w:type="page"/>
      </w:r>
    </w:p>
    <w:bookmarkEnd w:id="116"/>
    <w:bookmarkEnd w:id="117"/>
    <w:bookmarkEnd w:id="118"/>
    <w:p>
      <w:pPr>
        <w:tabs>
          <w:tab w:val="left" w:pos="900"/>
        </w:tabs>
        <w:spacing w:line="360" w:lineRule="auto"/>
        <w:ind w:left="120" w:leftChars="57" w:firstLine="723" w:firstLineChars="200"/>
        <w:jc w:val="center"/>
        <w:outlineLvl w:val="0"/>
        <w:rPr>
          <w:rFonts w:ascii="宋体" w:hAnsi="宋体" w:cs="宋体"/>
          <w:b/>
          <w:bCs/>
          <w:color w:val="auto"/>
          <w:kern w:val="44"/>
          <w:sz w:val="36"/>
          <w:szCs w:val="44"/>
          <w:highlight w:val="none"/>
        </w:rPr>
      </w:pPr>
      <w:bookmarkStart w:id="119" w:name="_Toc23126"/>
      <w:bookmarkStart w:id="120" w:name="_Toc497133092"/>
      <w:bookmarkStart w:id="121" w:name="_Toc99380850"/>
      <w:bookmarkStart w:id="122" w:name="_Toc100135570"/>
      <w:r>
        <w:rPr>
          <w:rFonts w:hint="eastAsia" w:ascii="宋体" w:hAnsi="宋体" w:cs="宋体"/>
          <w:b/>
          <w:bCs/>
          <w:color w:val="auto"/>
          <w:kern w:val="44"/>
          <w:sz w:val="36"/>
          <w:szCs w:val="44"/>
          <w:highlight w:val="none"/>
        </w:rPr>
        <w:t>第三章 合同条款及格式</w:t>
      </w:r>
      <w:bookmarkEnd w:id="119"/>
      <w:bookmarkEnd w:id="120"/>
    </w:p>
    <w:p>
      <w:pPr>
        <w:pStyle w:val="14"/>
        <w:spacing w:line="360" w:lineRule="auto"/>
        <w:ind w:firstLine="420" w:firstLineChars="200"/>
        <w:rPr>
          <w:rFonts w:hAnsi="宋体" w:eastAsia="宋体" w:cs="宋体"/>
          <w:color w:val="auto"/>
          <w:highlight w:val="none"/>
        </w:rPr>
      </w:pPr>
      <w:bookmarkStart w:id="123" w:name="_Hlt16619369"/>
      <w:bookmarkEnd w:id="123"/>
      <w:bookmarkStart w:id="124" w:name="_Toc101707002"/>
      <w:bookmarkStart w:id="125" w:name="_Toc24493"/>
      <w:bookmarkStart w:id="126" w:name="_Toc8829"/>
      <w:bookmarkStart w:id="127" w:name="_Toc16750"/>
      <w:bookmarkStart w:id="128" w:name="_Toc5974"/>
      <w:r>
        <w:rPr>
          <w:rFonts w:hint="eastAsia" w:hAnsi="宋体" w:eastAsia="宋体" w:cs="宋体"/>
          <w:color w:val="auto"/>
          <w:highlight w:val="none"/>
        </w:rPr>
        <w:t>以下为中标后签定本项目合同的通用条款，中标投标人不得提出实质性的修改。关于专用条款将由招标人与中标投标人结合本项目具体情况协商后补充，但补充内容对招标文件和投标文件以及通用条款，不得作实质性修改。</w:t>
      </w:r>
    </w:p>
    <w:p>
      <w:pPr>
        <w:spacing w:before="156" w:beforeLines="50" w:after="156" w:afterLines="50"/>
        <w:jc w:val="center"/>
        <w:outlineLvl w:val="0"/>
        <w:rPr>
          <w:rFonts w:hint="eastAsia" w:ascii="宋体" w:hAnsi="宋体"/>
          <w:b/>
          <w:color w:val="auto"/>
          <w:kern w:val="0"/>
          <w:szCs w:val="21"/>
          <w:highlight w:val="none"/>
        </w:rPr>
      </w:pPr>
      <w:r>
        <w:rPr>
          <w:rFonts w:hint="eastAsia" w:ascii="宋体" w:hAnsi="宋体"/>
          <w:b/>
          <w:color w:val="auto"/>
          <w:szCs w:val="21"/>
          <w:highlight w:val="none"/>
        </w:rPr>
        <w:t>政府采购合同</w:t>
      </w:r>
    </w:p>
    <w:p>
      <w:pPr>
        <w:spacing w:before="156" w:beforeLines="50" w:after="156" w:afterLines="50"/>
        <w:jc w:val="center"/>
        <w:outlineLvl w:val="0"/>
        <w:rPr>
          <w:rFonts w:hint="eastAsia" w:ascii="宋体" w:hAnsi="宋体"/>
          <w:b/>
          <w:bCs/>
          <w:color w:val="auto"/>
          <w:szCs w:val="21"/>
          <w:highlight w:val="none"/>
        </w:rPr>
      </w:pPr>
    </w:p>
    <w:p>
      <w:pPr>
        <w:pStyle w:val="14"/>
        <w:snapToGrid w:val="0"/>
        <w:spacing w:before="120" w:after="120"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项目名称： </w:t>
      </w:r>
      <w:r>
        <w:rPr>
          <w:rFonts w:hint="eastAsia" w:ascii="宋体" w:hAnsi="宋体" w:eastAsia="宋体" w:cs="宋体"/>
          <w:color w:val="auto"/>
          <w:highlight w:val="none"/>
          <w:lang w:eastAsia="zh-CN"/>
        </w:rPr>
        <w:t xml:space="preserve">      </w:t>
      </w:r>
    </w:p>
    <w:p>
      <w:pPr>
        <w:pStyle w:val="14"/>
        <w:snapToGrid w:val="0"/>
        <w:spacing w:before="120" w:after="120"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甲方（买方）：</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 xml:space="preserve">        </w:t>
      </w:r>
    </w:p>
    <w:p>
      <w:pPr>
        <w:pStyle w:val="14"/>
        <w:snapToGrid w:val="0"/>
        <w:spacing w:before="120" w:after="120"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rPr>
        <w:t>乙方（卖方）：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根据《中华人民共和国政府采购法》、《</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》等法律法规的规定，甲乙双方按照</w:t>
      </w:r>
      <w:r>
        <w:rPr>
          <w:rFonts w:hint="eastAsia" w:ascii="宋体" w:hAnsi="宋体" w:eastAsia="宋体" w:cs="宋体"/>
          <w:color w:val="auto"/>
          <w:highlight w:val="none"/>
          <w:lang w:eastAsia="zh-CN"/>
        </w:rPr>
        <w:t>江苏中鑫项目管理有限公司</w:t>
      </w:r>
      <w:r>
        <w:rPr>
          <w:rFonts w:hint="eastAsia" w:ascii="宋体" w:hAnsi="宋体" w:eastAsia="宋体" w:cs="宋体"/>
          <w:color w:val="auto"/>
          <w:highlight w:val="none"/>
        </w:rPr>
        <w:t>关于本项目</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的结果签订本合同。</w:t>
      </w:r>
    </w:p>
    <w:p>
      <w:pPr>
        <w:pStyle w:val="14"/>
        <w:snapToGrid w:val="0"/>
        <w:spacing w:before="120" w:after="120"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1、合同标的</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乙方根据甲方需求，提供下列</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pPr>
        <w:pStyle w:val="14"/>
        <w:snapToGrid w:val="0"/>
        <w:spacing w:before="120" w:after="120" w:line="360" w:lineRule="auto"/>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lang w:eastAsia="zh-CN"/>
        </w:rPr>
        <w:t>服务内容</w:t>
      </w:r>
      <w:r>
        <w:rPr>
          <w:rFonts w:hint="eastAsia" w:ascii="宋体" w:hAnsi="宋体" w:eastAsia="宋体" w:cs="宋体"/>
          <w:color w:val="auto"/>
          <w:highlight w:val="none"/>
        </w:rPr>
        <w:t>等要求详见</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文件及</w:t>
      </w:r>
      <w:r>
        <w:rPr>
          <w:rFonts w:hint="eastAsia" w:hAnsi="宋体" w:eastAsia="宋体" w:cs="宋体"/>
          <w:color w:val="auto"/>
          <w:highlight w:val="none"/>
          <w:lang w:val="en-US" w:eastAsia="zh-CN"/>
        </w:rPr>
        <w:t>投标</w:t>
      </w:r>
      <w:r>
        <w:rPr>
          <w:rFonts w:hint="eastAsia" w:ascii="宋体" w:hAnsi="宋体" w:eastAsia="宋体" w:cs="宋体"/>
          <w:color w:val="auto"/>
          <w:highlight w:val="none"/>
        </w:rPr>
        <w:t>文件。</w:t>
      </w:r>
    </w:p>
    <w:p>
      <w:pPr>
        <w:pStyle w:val="14"/>
        <w:snapToGrid w:val="0"/>
        <w:spacing w:before="120" w:after="120"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2、合同总金额</w:t>
      </w:r>
    </w:p>
    <w:p>
      <w:pPr>
        <w:pStyle w:val="14"/>
        <w:snapToGrid w:val="0"/>
        <w:spacing w:before="120" w:after="120" w:line="360" w:lineRule="auto"/>
        <w:ind w:left="315" w:leftChars="150"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2.1 本合同金额为（大写）：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元人民币（¥</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2.2 本合同总金额包括乙方提供</w:t>
      </w:r>
      <w:r>
        <w:rPr>
          <w:rFonts w:hint="eastAsia" w:ascii="宋体" w:hAnsi="宋体" w:eastAsia="宋体" w:cs="宋体"/>
          <w:color w:val="auto"/>
          <w:highlight w:val="none"/>
          <w:lang w:eastAsia="zh-CN"/>
        </w:rPr>
        <w:t>的服务</w:t>
      </w:r>
      <w:r>
        <w:rPr>
          <w:rFonts w:hint="eastAsia" w:ascii="宋体" w:hAnsi="宋体" w:eastAsia="宋体" w:cs="宋体"/>
          <w:color w:val="auto"/>
          <w:highlight w:val="none"/>
        </w:rPr>
        <w:t>及其他有关的为完成本项目发生的所有费用，</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文件中另有规定的除外。</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2.3 在</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文件未列明，而乙方认为履行本合同必需的费用也包含在合同总金额中。</w:t>
      </w:r>
    </w:p>
    <w:p>
      <w:pPr>
        <w:pStyle w:val="14"/>
        <w:snapToGrid w:val="0"/>
        <w:spacing w:before="120" w:after="120"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2.4 本合同总金额还包含乙方提供的伴随服务/售后服务费用。</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2.5 本合同签订后：甲方需追加与合同标的相同</w:t>
      </w:r>
      <w:r>
        <w:rPr>
          <w:rFonts w:hint="eastAsia" w:ascii="宋体" w:hAnsi="宋体" w:eastAsia="宋体" w:cs="宋体"/>
          <w:color w:val="auto"/>
          <w:highlight w:val="none"/>
          <w:lang w:eastAsia="zh-CN"/>
        </w:rPr>
        <w:t>的</w:t>
      </w:r>
      <w:r>
        <w:rPr>
          <w:rFonts w:hint="eastAsia" w:ascii="宋体" w:hAnsi="宋体" w:eastAsia="宋体" w:cs="宋体"/>
          <w:color w:val="auto"/>
          <w:highlight w:val="none"/>
        </w:rPr>
        <w:t>服务，在不改变合同其他条款的前提下，可以与乙方协商签订补充合同，但所有补充合同的增加的金额不超过原合同金额的10%；甲方若由于各种客观原因，必须对采购项目所牵涉的服务进行适当的减少时，在与乙方协商一致后，可以按照</w:t>
      </w:r>
      <w:r>
        <w:rPr>
          <w:rFonts w:hint="eastAsia" w:hAnsi="宋体" w:eastAsia="宋体" w:cs="宋体"/>
          <w:color w:val="auto"/>
          <w:highlight w:val="none"/>
          <w:lang w:eastAsia="zh-CN"/>
        </w:rPr>
        <w:t>招标</w:t>
      </w:r>
      <w:r>
        <w:rPr>
          <w:rFonts w:hint="eastAsia" w:ascii="宋体" w:hAnsi="宋体" w:eastAsia="宋体" w:cs="宋体"/>
          <w:color w:val="auto"/>
          <w:highlight w:val="none"/>
        </w:rPr>
        <w:t>采购时的价格水平做相应的调减，并据此签订补充合同；除上述情况外，本合同</w:t>
      </w:r>
      <w:r>
        <w:rPr>
          <w:rFonts w:hint="eastAsia" w:ascii="宋体" w:hAnsi="宋体" w:eastAsia="宋体" w:cs="宋体"/>
          <w:color w:val="auto"/>
          <w:highlight w:val="none"/>
          <w:lang w:eastAsia="zh-CN"/>
        </w:rPr>
        <w:t>执行期间合同</w:t>
      </w:r>
      <w:r>
        <w:rPr>
          <w:rFonts w:hint="eastAsia" w:ascii="宋体" w:hAnsi="宋体" w:eastAsia="宋体" w:cs="宋体"/>
          <w:color w:val="auto"/>
          <w:highlight w:val="none"/>
        </w:rPr>
        <w:t>总金额不变。</w:t>
      </w:r>
    </w:p>
    <w:p>
      <w:pPr>
        <w:pStyle w:val="14"/>
        <w:snapToGrid w:val="0"/>
        <w:spacing w:before="120" w:after="120"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3、组成本合同的有关文件</w:t>
      </w:r>
    </w:p>
    <w:p>
      <w:pPr>
        <w:pStyle w:val="14"/>
        <w:snapToGrid w:val="0"/>
        <w:spacing w:before="120" w:after="120" w:line="360" w:lineRule="auto"/>
        <w:ind w:left="315" w:leftChars="150"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3.1乙方应按</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文件文件规定的时间向甲方提供</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的有关技术资料。</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3.2 没有甲方事先书面同意，乙方不得将由甲方提供的有关合同或任何合同条文或资料提供给任何其他人。即使向履行本合同有关的人员提供，也应注意保密并限于履行合同的必需范围。</w:t>
      </w:r>
    </w:p>
    <w:p>
      <w:pPr>
        <w:pStyle w:val="14"/>
        <w:snapToGrid w:val="0"/>
        <w:spacing w:before="120" w:after="120" w:line="360" w:lineRule="auto"/>
        <w:ind w:left="315" w:leftChars="150"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3.3 关于本项目采购的</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文件</w:t>
      </w:r>
      <w:r>
        <w:rPr>
          <w:rFonts w:hint="eastAsia" w:ascii="宋体" w:hAnsi="宋体" w:eastAsia="宋体" w:cs="宋体"/>
          <w:color w:val="auto"/>
          <w:highlight w:val="none"/>
          <w:lang w:eastAsia="zh-CN"/>
        </w:rPr>
        <w:t>文件、</w:t>
      </w:r>
      <w:r>
        <w:rPr>
          <w:rFonts w:hint="eastAsia" w:hAnsi="宋体" w:eastAsia="宋体" w:cs="宋体"/>
          <w:color w:val="auto"/>
          <w:highlight w:val="none"/>
          <w:lang w:val="en-US" w:eastAsia="zh-CN"/>
        </w:rPr>
        <w:t>投标</w:t>
      </w:r>
      <w:r>
        <w:rPr>
          <w:rFonts w:hint="eastAsia" w:ascii="宋体" w:hAnsi="宋体" w:eastAsia="宋体" w:cs="宋体"/>
          <w:color w:val="auto"/>
          <w:highlight w:val="none"/>
          <w:lang w:eastAsia="zh-CN"/>
        </w:rPr>
        <w:t>文件以及</w:t>
      </w:r>
      <w:r>
        <w:rPr>
          <w:rFonts w:hint="eastAsia" w:ascii="宋体" w:hAnsi="宋体" w:eastAsia="宋体" w:cs="宋体"/>
          <w:color w:val="auto"/>
          <w:highlight w:val="none"/>
        </w:rPr>
        <w:t>与本次采购活动方式相适应的文件及有关附件是本合同不可分割的组成部分，这些文件包括但不限于：</w:t>
      </w:r>
    </w:p>
    <w:p>
      <w:pPr>
        <w:pStyle w:val="14"/>
        <w:snapToGrid w:val="0"/>
        <w:spacing w:before="120" w:after="120" w:line="360" w:lineRule="auto"/>
        <w:ind w:left="359" w:hanging="359" w:hangingChars="171"/>
        <w:rPr>
          <w:rFonts w:hint="eastAsia" w:ascii="宋体" w:hAnsi="宋体" w:eastAsia="宋体" w:cs="宋体"/>
          <w:color w:val="auto"/>
          <w:highlight w:val="none"/>
        </w:rPr>
      </w:pPr>
      <w:r>
        <w:rPr>
          <w:rFonts w:hint="eastAsia" w:ascii="宋体" w:hAnsi="宋体" w:eastAsia="宋体" w:cs="宋体"/>
          <w:color w:val="auto"/>
          <w:highlight w:val="none"/>
        </w:rPr>
        <w:t xml:space="preserve">   （1）</w:t>
      </w:r>
      <w:r>
        <w:rPr>
          <w:rFonts w:hint="eastAsia" w:hAnsi="宋体" w:eastAsia="宋体" w:cs="宋体"/>
          <w:color w:val="auto"/>
          <w:highlight w:val="none"/>
          <w:lang w:val="en-US" w:eastAsia="zh-CN"/>
        </w:rPr>
        <w:t>招标</w:t>
      </w:r>
      <w:r>
        <w:rPr>
          <w:rFonts w:hint="eastAsia" w:ascii="宋体" w:hAnsi="宋体" w:eastAsia="宋体" w:cs="宋体"/>
          <w:color w:val="auto"/>
          <w:highlight w:val="none"/>
        </w:rPr>
        <w:t xml:space="preserve">文件；              </w:t>
      </w:r>
      <w:r>
        <w:rPr>
          <w:rFonts w:hint="eastAsia" w:hAnsi="宋体" w:eastAsia="宋体" w:cs="宋体"/>
          <w:color w:val="auto"/>
          <w:highlight w:val="none"/>
          <w:lang w:val="en-US" w:eastAsia="zh-CN"/>
        </w:rPr>
        <w:t xml:space="preserve">    </w:t>
      </w:r>
      <w:r>
        <w:rPr>
          <w:rFonts w:hint="eastAsia" w:ascii="宋体" w:hAnsi="宋体" w:eastAsia="宋体" w:cs="宋体"/>
          <w:color w:val="auto"/>
          <w:highlight w:val="none"/>
        </w:rPr>
        <w:t xml:space="preserve"> （2）</w:t>
      </w:r>
      <w:r>
        <w:rPr>
          <w:rFonts w:hint="eastAsia" w:hAnsi="宋体" w:eastAsia="宋体" w:cs="宋体"/>
          <w:color w:val="auto"/>
          <w:highlight w:val="none"/>
          <w:lang w:val="en-US" w:eastAsia="zh-CN"/>
        </w:rPr>
        <w:t>投标</w:t>
      </w:r>
      <w:r>
        <w:rPr>
          <w:rFonts w:hint="eastAsia" w:ascii="宋体" w:hAnsi="宋体" w:eastAsia="宋体" w:cs="宋体"/>
          <w:color w:val="auto"/>
          <w:highlight w:val="none"/>
        </w:rPr>
        <w:t>报价文件；</w:t>
      </w:r>
    </w:p>
    <w:p>
      <w:pPr>
        <w:pStyle w:val="14"/>
        <w:snapToGrid w:val="0"/>
        <w:spacing w:before="120" w:after="120" w:line="360" w:lineRule="auto"/>
        <w:ind w:left="359" w:hanging="359" w:hangingChars="171"/>
        <w:rPr>
          <w:rFonts w:hint="eastAsia" w:ascii="宋体" w:hAnsi="宋体" w:eastAsia="宋体" w:cs="宋体"/>
          <w:color w:val="auto"/>
          <w:highlight w:val="none"/>
        </w:rPr>
      </w:pPr>
      <w:r>
        <w:rPr>
          <w:rFonts w:hint="eastAsia" w:ascii="宋体" w:hAnsi="宋体" w:eastAsia="宋体" w:cs="宋体"/>
          <w:color w:val="auto"/>
          <w:highlight w:val="none"/>
        </w:rPr>
        <w:t xml:space="preserve">   （3）</w:t>
      </w:r>
      <w:r>
        <w:rPr>
          <w:rFonts w:hint="eastAsia" w:ascii="宋体" w:hAnsi="宋体" w:eastAsia="宋体" w:cs="宋体"/>
          <w:color w:val="auto"/>
          <w:highlight w:val="none"/>
          <w:lang w:eastAsia="zh-CN"/>
        </w:rPr>
        <w:t>项目组人员表</w:t>
      </w:r>
      <w:r>
        <w:rPr>
          <w:rFonts w:hint="eastAsia" w:ascii="宋体" w:hAnsi="宋体" w:eastAsia="宋体" w:cs="宋体"/>
          <w:color w:val="auto"/>
          <w:highlight w:val="none"/>
        </w:rPr>
        <w:t xml:space="preserve">                 （4）技术参数</w:t>
      </w:r>
      <w:r>
        <w:rPr>
          <w:rFonts w:hint="eastAsia" w:ascii="宋体" w:hAnsi="宋体" w:eastAsia="宋体" w:cs="宋体"/>
          <w:color w:val="auto"/>
          <w:highlight w:val="none"/>
          <w:lang w:eastAsia="zh-CN"/>
        </w:rPr>
        <w:t>、商务条款</w:t>
      </w:r>
      <w:r>
        <w:rPr>
          <w:rFonts w:hint="eastAsia" w:ascii="宋体" w:hAnsi="宋体" w:eastAsia="宋体" w:cs="宋体"/>
          <w:color w:val="auto"/>
          <w:highlight w:val="none"/>
        </w:rPr>
        <w:t>响应</w:t>
      </w:r>
      <w:r>
        <w:rPr>
          <w:rFonts w:hint="eastAsia" w:ascii="宋体" w:hAnsi="宋体" w:eastAsia="宋体" w:cs="宋体"/>
          <w:color w:val="auto"/>
          <w:highlight w:val="none"/>
          <w:lang w:eastAsia="zh-CN"/>
        </w:rPr>
        <w:t>及偏离</w:t>
      </w:r>
      <w:r>
        <w:rPr>
          <w:rFonts w:hint="eastAsia" w:ascii="宋体" w:hAnsi="宋体" w:eastAsia="宋体" w:cs="宋体"/>
          <w:color w:val="auto"/>
          <w:highlight w:val="none"/>
        </w:rPr>
        <w:t>表；</w:t>
      </w:r>
    </w:p>
    <w:p>
      <w:pPr>
        <w:pStyle w:val="14"/>
        <w:snapToGrid w:val="0"/>
        <w:spacing w:before="120" w:after="120" w:line="360" w:lineRule="auto"/>
        <w:ind w:left="359" w:hanging="359" w:hangingChars="171"/>
        <w:rPr>
          <w:rFonts w:hint="eastAsia" w:ascii="宋体" w:hAnsi="宋体" w:eastAsia="宋体" w:cs="宋体"/>
          <w:color w:val="auto"/>
          <w:highlight w:val="none"/>
        </w:rPr>
      </w:pPr>
      <w:r>
        <w:rPr>
          <w:rFonts w:hint="eastAsia" w:ascii="宋体" w:hAnsi="宋体" w:eastAsia="宋体" w:cs="宋体"/>
          <w:color w:val="auto"/>
          <w:highlight w:val="none"/>
        </w:rPr>
        <w:t xml:space="preserve">   （5）服务承诺；                   （6）</w:t>
      </w:r>
      <w:r>
        <w:rPr>
          <w:rFonts w:hint="eastAsia" w:ascii="宋体" w:hAnsi="宋体" w:eastAsia="宋体" w:cs="宋体"/>
          <w:color w:val="auto"/>
          <w:highlight w:val="none"/>
          <w:lang w:eastAsia="zh-CN"/>
        </w:rPr>
        <w:t>成交</w:t>
      </w:r>
      <w:r>
        <w:rPr>
          <w:rFonts w:hint="eastAsia" w:ascii="宋体" w:hAnsi="宋体" w:eastAsia="宋体" w:cs="宋体"/>
          <w:color w:val="auto"/>
          <w:highlight w:val="none"/>
        </w:rPr>
        <w:t>通知书；</w:t>
      </w:r>
    </w:p>
    <w:p>
      <w:pPr>
        <w:pStyle w:val="14"/>
        <w:snapToGrid w:val="0"/>
        <w:spacing w:before="120" w:after="120" w:line="360" w:lineRule="auto"/>
        <w:ind w:left="359" w:hanging="359" w:hangingChars="171"/>
        <w:rPr>
          <w:rFonts w:hint="eastAsia" w:ascii="宋体" w:hAnsi="宋体" w:eastAsia="宋体" w:cs="宋体"/>
          <w:color w:val="auto"/>
          <w:highlight w:val="none"/>
        </w:rPr>
      </w:pPr>
      <w:r>
        <w:rPr>
          <w:rFonts w:hint="eastAsia" w:ascii="宋体" w:hAnsi="宋体" w:eastAsia="宋体" w:cs="宋体"/>
          <w:color w:val="auto"/>
          <w:highlight w:val="none"/>
        </w:rPr>
        <w:t xml:space="preserve">   （7）甲乙双方补充协议；           （8）乙方</w:t>
      </w:r>
      <w:r>
        <w:rPr>
          <w:rFonts w:hint="eastAsia" w:ascii="宋体" w:hAnsi="宋体" w:eastAsia="宋体" w:cs="宋体"/>
          <w:color w:val="auto"/>
          <w:highlight w:val="none"/>
          <w:lang w:eastAsia="zh-CN"/>
        </w:rPr>
        <w:t>参加</w:t>
      </w:r>
      <w:r>
        <w:rPr>
          <w:rFonts w:hint="eastAsia" w:hAnsi="宋体" w:eastAsia="宋体" w:cs="宋体"/>
          <w:color w:val="auto"/>
          <w:highlight w:val="none"/>
          <w:lang w:val="en-US" w:eastAsia="zh-CN"/>
        </w:rPr>
        <w:t>投标</w:t>
      </w:r>
      <w:r>
        <w:rPr>
          <w:rFonts w:hint="eastAsia" w:ascii="宋体" w:hAnsi="宋体" w:eastAsia="宋体" w:cs="宋体"/>
          <w:color w:val="auto"/>
          <w:highlight w:val="none"/>
        </w:rPr>
        <w:t>时提供的</w:t>
      </w:r>
      <w:r>
        <w:rPr>
          <w:rFonts w:hint="eastAsia" w:hAnsi="宋体" w:eastAsia="宋体" w:cs="宋体"/>
          <w:color w:val="auto"/>
          <w:highlight w:val="none"/>
          <w:lang w:val="en-US" w:eastAsia="zh-CN"/>
        </w:rPr>
        <w:t>投标</w:t>
      </w:r>
      <w:r>
        <w:rPr>
          <w:rFonts w:hint="eastAsia" w:ascii="宋体" w:hAnsi="宋体" w:eastAsia="宋体" w:cs="宋体"/>
          <w:color w:val="auto"/>
          <w:highlight w:val="none"/>
        </w:rPr>
        <w:t>文件。</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4、知识产权保证</w:t>
      </w:r>
    </w:p>
    <w:p>
      <w:pPr>
        <w:autoSpaceDE w:val="0"/>
        <w:autoSpaceDN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乙方保证甲方在使用、接受本合同服务或其任何一部分时，不受第三方提出侵犯其专利权、版权、商标权和工业设计权等知识产权的起诉。一旦出现侵权，由乙方负全部责任。</w:t>
      </w:r>
    </w:p>
    <w:p>
      <w:pPr>
        <w:pStyle w:val="14"/>
        <w:snapToGrid w:val="0"/>
        <w:spacing w:before="120" w:after="120"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5、产权保证</w:t>
      </w:r>
    </w:p>
    <w:p>
      <w:pPr>
        <w:autoSpaceDE w:val="0"/>
        <w:autoSpaceDN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乙方保证所交付的服务和服务所涉及的物品所有权无任何抵押、查封等权利瑕疵。</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6、履约保证金</w:t>
      </w:r>
    </w:p>
    <w:p>
      <w:pPr>
        <w:pStyle w:val="14"/>
        <w:snapToGrid w:val="0"/>
        <w:spacing w:before="120" w:after="12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2.1收到成交通知书后合同签订前，成交人须向采购人提交合同总价</w:t>
      </w:r>
      <w:r>
        <w:rPr>
          <w:rFonts w:hint="eastAsia" w:hAnsi="宋体" w:eastAsia="宋体" w:cs="宋体"/>
          <w:color w:val="auto"/>
          <w:szCs w:val="21"/>
          <w:highlight w:val="none"/>
          <w:u w:val="single"/>
          <w:lang w:val="en-US" w:eastAsia="zh-CN"/>
        </w:rPr>
        <w:t>/</w:t>
      </w:r>
      <w:r>
        <w:rPr>
          <w:rFonts w:hint="eastAsia" w:ascii="宋体" w:hAnsi="宋体" w:eastAsia="宋体" w:cs="宋体"/>
          <w:color w:val="auto"/>
          <w:szCs w:val="21"/>
          <w:highlight w:val="none"/>
        </w:rPr>
        <w:t>%的履约保证金，以支票、汇票、本票保函等形式缴纳或提交。履约保证金期限为合同生效之日起至项目验收合格之日止。履约保证金用以约束供应商在合同履行中的行为，弥补合同执行中由于自身行为可能给采购人带来的各种损失。</w:t>
      </w:r>
    </w:p>
    <w:p>
      <w:pPr>
        <w:pStyle w:val="14"/>
        <w:snapToGrid w:val="0"/>
        <w:spacing w:before="120" w:after="12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2.2履约保证金的退还：合同履行结束后，乙方凭甲方签署的验收报告，向甲方提请办理保证金退还手续。甲方收到提请后15天内以非现金形式予以退还。</w:t>
      </w:r>
    </w:p>
    <w:p>
      <w:pPr>
        <w:pStyle w:val="14"/>
        <w:snapToGrid w:val="0"/>
        <w:spacing w:before="120" w:after="12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履约保证金不予退还的情形：合同生效后，如乙方未能履行合同规定的义务，甲方有权根据质量考核的结果从履约保证金中取得补偿。履约保证金扣除甲方应得的补偿后的余额在上述规定时间内无息退还给成乙方。若发现乙方投标属虚假承诺，或经权威部门监测提供的产品不能满足招标文件要求，造成合同无法继续履行的，乙方履约保证金不予退还。</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7、转包或分包</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7.1 本合同禁止转包，本合同范围的</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，应由乙方直接</w:t>
      </w:r>
      <w:r>
        <w:rPr>
          <w:rFonts w:hint="eastAsia" w:ascii="宋体" w:hAnsi="宋体" w:eastAsia="宋体" w:cs="宋体"/>
          <w:color w:val="auto"/>
          <w:highlight w:val="none"/>
          <w:lang w:eastAsia="zh-CN"/>
        </w:rPr>
        <w:t>提供</w:t>
      </w:r>
      <w:r>
        <w:rPr>
          <w:rFonts w:hint="eastAsia" w:ascii="宋体" w:hAnsi="宋体" w:eastAsia="宋体" w:cs="宋体"/>
          <w:color w:val="auto"/>
          <w:highlight w:val="none"/>
        </w:rPr>
        <w:t>的，不得转让他人</w:t>
      </w:r>
      <w:r>
        <w:rPr>
          <w:rFonts w:hint="eastAsia" w:ascii="宋体" w:hAnsi="宋体" w:eastAsia="宋体" w:cs="宋体"/>
          <w:color w:val="auto"/>
          <w:highlight w:val="none"/>
          <w:lang w:eastAsia="zh-CN"/>
        </w:rPr>
        <w:t>提供</w:t>
      </w:r>
      <w:r>
        <w:rPr>
          <w:rFonts w:hint="eastAsia" w:ascii="宋体" w:hAnsi="宋体" w:eastAsia="宋体" w:cs="宋体"/>
          <w:color w:val="auto"/>
          <w:highlight w:val="none"/>
        </w:rPr>
        <w:t>。</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7.2 经甲方同意，乙方可以依法采取分包方式履行合同，但是分包方式履行的，乙方应就采购项目向甲方负全责。</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8</w:t>
      </w:r>
      <w:r>
        <w:rPr>
          <w:rFonts w:hint="eastAsia" w:ascii="宋体" w:hAnsi="宋体" w:eastAsia="宋体" w:cs="宋体"/>
          <w:b/>
          <w:bCs/>
          <w:color w:val="auto"/>
          <w:highlight w:val="none"/>
        </w:rPr>
        <w:t>、交</w:t>
      </w:r>
      <w:r>
        <w:rPr>
          <w:rFonts w:hint="eastAsia" w:ascii="宋体" w:hAnsi="宋体" w:eastAsia="宋体" w:cs="宋体"/>
          <w:b/>
          <w:bCs/>
          <w:color w:val="auto"/>
          <w:highlight w:val="none"/>
          <w:lang w:eastAsia="zh-CN"/>
        </w:rPr>
        <w:t>付</w:t>
      </w:r>
      <w:r>
        <w:rPr>
          <w:rFonts w:hint="eastAsia" w:ascii="宋体" w:hAnsi="宋体" w:eastAsia="宋体" w:cs="宋体"/>
          <w:b/>
          <w:bCs/>
          <w:color w:val="auto"/>
          <w:highlight w:val="none"/>
        </w:rPr>
        <w:t>期、交</w:t>
      </w:r>
      <w:r>
        <w:rPr>
          <w:rFonts w:hint="eastAsia" w:ascii="宋体" w:hAnsi="宋体" w:eastAsia="宋体" w:cs="宋体"/>
          <w:b/>
          <w:bCs/>
          <w:color w:val="auto"/>
          <w:highlight w:val="none"/>
          <w:lang w:eastAsia="zh-CN"/>
        </w:rPr>
        <w:t>付</w:t>
      </w:r>
      <w:r>
        <w:rPr>
          <w:rFonts w:hint="eastAsia" w:ascii="宋体" w:hAnsi="宋体" w:eastAsia="宋体" w:cs="宋体"/>
          <w:b/>
          <w:bCs/>
          <w:color w:val="auto"/>
          <w:highlight w:val="none"/>
        </w:rPr>
        <w:t>方式及交</w:t>
      </w:r>
      <w:r>
        <w:rPr>
          <w:rFonts w:hint="eastAsia" w:ascii="宋体" w:hAnsi="宋体" w:eastAsia="宋体" w:cs="宋体"/>
          <w:b/>
          <w:bCs/>
          <w:color w:val="auto"/>
          <w:highlight w:val="none"/>
          <w:lang w:eastAsia="zh-CN"/>
        </w:rPr>
        <w:t>付</w:t>
      </w:r>
      <w:r>
        <w:rPr>
          <w:rFonts w:hint="eastAsia" w:ascii="宋体" w:hAnsi="宋体" w:eastAsia="宋体" w:cs="宋体"/>
          <w:b/>
          <w:bCs/>
          <w:color w:val="auto"/>
          <w:highlight w:val="none"/>
        </w:rPr>
        <w:t>地点</w:t>
      </w:r>
    </w:p>
    <w:p>
      <w:pPr>
        <w:pStyle w:val="14"/>
        <w:snapToGrid w:val="0"/>
        <w:spacing w:before="120" w:after="120"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lang w:val="en-US" w:eastAsia="zh-CN"/>
        </w:rPr>
        <w:t>8</w:t>
      </w:r>
      <w:r>
        <w:rPr>
          <w:rFonts w:hint="eastAsia" w:ascii="宋体" w:hAnsi="宋体" w:eastAsia="宋体" w:cs="宋体"/>
          <w:bCs/>
          <w:color w:val="auto"/>
          <w:highlight w:val="none"/>
        </w:rPr>
        <w:t>.1 交</w:t>
      </w:r>
      <w:r>
        <w:rPr>
          <w:rFonts w:hint="eastAsia" w:ascii="宋体" w:hAnsi="宋体" w:eastAsia="宋体" w:cs="宋体"/>
          <w:bCs/>
          <w:color w:val="auto"/>
          <w:highlight w:val="none"/>
          <w:lang w:eastAsia="zh-CN"/>
        </w:rPr>
        <w:t>付</w:t>
      </w:r>
      <w:r>
        <w:rPr>
          <w:rFonts w:hint="eastAsia" w:ascii="宋体" w:hAnsi="宋体" w:eastAsia="宋体" w:cs="宋体"/>
          <w:bCs/>
          <w:color w:val="auto"/>
          <w:highlight w:val="none"/>
        </w:rPr>
        <w:t>期：</w:t>
      </w:r>
      <w:r>
        <w:rPr>
          <w:rFonts w:hint="eastAsia" w:ascii="宋体" w:hAnsi="宋体" w:eastAsia="宋体" w:cs="宋体"/>
          <w:color w:val="auto"/>
          <w:highlight w:val="none"/>
          <w:u w:val="single"/>
        </w:rPr>
        <w:t xml:space="preserve">      </w:t>
      </w:r>
    </w:p>
    <w:p>
      <w:pPr>
        <w:pStyle w:val="14"/>
        <w:snapToGrid w:val="0"/>
        <w:spacing w:before="120" w:after="120"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lang w:val="en-US" w:eastAsia="zh-CN"/>
        </w:rPr>
        <w:t>8</w:t>
      </w:r>
      <w:r>
        <w:rPr>
          <w:rFonts w:hint="eastAsia" w:ascii="宋体" w:hAnsi="宋体" w:eastAsia="宋体" w:cs="宋体"/>
          <w:bCs/>
          <w:color w:val="auto"/>
          <w:highlight w:val="none"/>
        </w:rPr>
        <w:t>.2 交</w:t>
      </w:r>
      <w:r>
        <w:rPr>
          <w:rFonts w:hint="eastAsia" w:ascii="宋体" w:hAnsi="宋体" w:eastAsia="宋体" w:cs="宋体"/>
          <w:bCs/>
          <w:color w:val="auto"/>
          <w:highlight w:val="none"/>
          <w:lang w:eastAsia="zh-CN"/>
        </w:rPr>
        <w:t>付</w:t>
      </w:r>
      <w:r>
        <w:rPr>
          <w:rFonts w:hint="eastAsia" w:ascii="宋体" w:hAnsi="宋体" w:eastAsia="宋体" w:cs="宋体"/>
          <w:bCs/>
          <w:color w:val="auto"/>
          <w:highlight w:val="none"/>
        </w:rPr>
        <w:t>方式：</w:t>
      </w:r>
      <w:r>
        <w:rPr>
          <w:rFonts w:hint="eastAsia" w:ascii="宋体" w:hAnsi="宋体" w:eastAsia="宋体" w:cs="宋体"/>
          <w:color w:val="auto"/>
          <w:highlight w:val="none"/>
          <w:u w:val="single"/>
        </w:rPr>
        <w:t xml:space="preserve">      </w:t>
      </w:r>
    </w:p>
    <w:p>
      <w:pPr>
        <w:pStyle w:val="14"/>
        <w:snapToGrid w:val="0"/>
        <w:spacing w:before="120" w:after="120" w:line="360" w:lineRule="auto"/>
        <w:ind w:firstLine="420" w:firstLineChars="200"/>
        <w:rPr>
          <w:rFonts w:hint="eastAsia" w:ascii="宋体" w:hAnsi="宋体" w:eastAsia="宋体" w:cs="宋体"/>
          <w:b/>
          <w:color w:val="auto"/>
          <w:highlight w:val="none"/>
        </w:rPr>
      </w:pPr>
      <w:r>
        <w:rPr>
          <w:rFonts w:hint="eastAsia" w:ascii="宋体" w:hAnsi="宋体" w:eastAsia="宋体" w:cs="宋体"/>
          <w:bCs/>
          <w:color w:val="auto"/>
          <w:highlight w:val="none"/>
          <w:lang w:val="en-US" w:eastAsia="zh-CN"/>
        </w:rPr>
        <w:t>8</w:t>
      </w:r>
      <w:r>
        <w:rPr>
          <w:rFonts w:hint="eastAsia" w:ascii="宋体" w:hAnsi="宋体" w:eastAsia="宋体" w:cs="宋体"/>
          <w:bCs/>
          <w:color w:val="auto"/>
          <w:highlight w:val="none"/>
        </w:rPr>
        <w:t>.3 交</w:t>
      </w:r>
      <w:r>
        <w:rPr>
          <w:rFonts w:hint="eastAsia" w:ascii="宋体" w:hAnsi="宋体" w:eastAsia="宋体" w:cs="宋体"/>
          <w:bCs/>
          <w:color w:val="auto"/>
          <w:highlight w:val="none"/>
          <w:lang w:eastAsia="zh-CN"/>
        </w:rPr>
        <w:t>付</w:t>
      </w:r>
      <w:r>
        <w:rPr>
          <w:rFonts w:hint="eastAsia" w:ascii="宋体" w:hAnsi="宋体" w:eastAsia="宋体" w:cs="宋体"/>
          <w:bCs/>
          <w:color w:val="auto"/>
          <w:highlight w:val="none"/>
        </w:rPr>
        <w:t>地点：</w:t>
      </w:r>
      <w:r>
        <w:rPr>
          <w:rFonts w:hint="eastAsia" w:ascii="宋体" w:hAnsi="宋体" w:eastAsia="宋体" w:cs="宋体"/>
          <w:color w:val="auto"/>
          <w:highlight w:val="none"/>
          <w:u w:val="single"/>
        </w:rPr>
        <w:t xml:space="preserve">      </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9</w:t>
      </w:r>
      <w:r>
        <w:rPr>
          <w:rFonts w:hint="eastAsia" w:ascii="宋体" w:hAnsi="宋体" w:eastAsia="宋体" w:cs="宋体"/>
          <w:b/>
          <w:bCs/>
          <w:color w:val="auto"/>
          <w:highlight w:val="none"/>
        </w:rPr>
        <w:t>、货款支付</w:t>
      </w:r>
    </w:p>
    <w:p>
      <w:pPr>
        <w:autoSpaceDE w:val="0"/>
        <w:autoSpaceDN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 xml:space="preserve">.1 本合同项下所有款项均以人民币支付。 </w:t>
      </w:r>
    </w:p>
    <w:p>
      <w:pPr>
        <w:autoSpaceDE w:val="0"/>
        <w:autoSpaceDN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.2 本合同项下的采购资金由甲方支付，付款前乙方向甲方开具发票。</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9</w:t>
      </w:r>
      <w:r>
        <w:rPr>
          <w:rFonts w:hint="eastAsia" w:ascii="宋体" w:hAnsi="宋体" w:eastAsia="宋体" w:cs="宋体"/>
          <w:b/>
          <w:bCs/>
          <w:color w:val="auto"/>
          <w:highlight w:val="none"/>
        </w:rPr>
        <w:t>.3 甲方付款方式：</w:t>
      </w:r>
    </w:p>
    <w:p>
      <w:pPr>
        <w:autoSpaceDE w:val="0"/>
        <w:autoSpaceDN w:val="0"/>
        <w:spacing w:line="360" w:lineRule="auto"/>
        <w:ind w:firstLine="420" w:firstLineChars="200"/>
        <w:rPr>
          <w:rFonts w:hint="eastAsia" w:ascii="宋体" w:hAnsi="宋体" w:eastAsia="宋体" w:cs="宋体"/>
          <w:color w:val="auto"/>
          <w:szCs w:val="21"/>
          <w:highlight w:val="yellow"/>
        </w:rPr>
      </w:pPr>
      <w:r>
        <w:rPr>
          <w:rFonts w:hint="eastAsia" w:ascii="宋体" w:hAnsi="宋体" w:eastAsia="宋体" w:cs="宋体"/>
          <w:color w:val="auto"/>
          <w:szCs w:val="21"/>
          <w:highlight w:val="yellow"/>
        </w:rPr>
        <w:t>中标价即为合同价</w:t>
      </w:r>
      <w:r>
        <w:rPr>
          <w:rFonts w:hint="eastAsia" w:ascii="宋体" w:hAnsi="宋体" w:cs="宋体"/>
          <w:color w:val="auto"/>
          <w:szCs w:val="21"/>
          <w:highlight w:val="yellow"/>
          <w:lang w:eastAsia="zh-CN"/>
        </w:rPr>
        <w:t>。提交水资源论证成果报告</w:t>
      </w:r>
      <w:r>
        <w:rPr>
          <w:rFonts w:hint="eastAsia" w:ascii="宋体" w:hAnsi="宋体" w:cs="宋体"/>
          <w:color w:val="auto"/>
          <w:szCs w:val="21"/>
          <w:highlight w:val="yellow"/>
          <w:lang w:val="en-US" w:eastAsia="zh-CN"/>
        </w:rPr>
        <w:t>后甲方支付合同价的40%；</w:t>
      </w:r>
      <w:r>
        <w:rPr>
          <w:rFonts w:hint="eastAsia" w:ascii="宋体" w:hAnsi="宋体" w:cs="宋体"/>
          <w:color w:val="auto"/>
          <w:szCs w:val="21"/>
          <w:highlight w:val="yellow"/>
          <w:lang w:eastAsia="zh-CN"/>
        </w:rPr>
        <w:t>水资源论证成果报告</w:t>
      </w:r>
      <w:r>
        <w:rPr>
          <w:rFonts w:hint="eastAsia" w:ascii="宋体" w:hAnsi="宋体" w:cs="宋体"/>
          <w:color w:val="auto"/>
          <w:szCs w:val="21"/>
          <w:highlight w:val="yellow"/>
          <w:lang w:val="en-US" w:eastAsia="zh-CN"/>
        </w:rPr>
        <w:t>通过水行政主管部门组织的专家评审并获得取水许可申请批复</w:t>
      </w:r>
      <w:r>
        <w:rPr>
          <w:rFonts w:hint="eastAsia" w:ascii="宋体" w:hAnsi="宋体" w:eastAsia="宋体" w:cs="宋体"/>
          <w:color w:val="auto"/>
          <w:szCs w:val="21"/>
          <w:highlight w:val="yellow"/>
        </w:rPr>
        <w:t>后一次性付清价款。</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1</w:t>
      </w:r>
      <w:r>
        <w:rPr>
          <w:rFonts w:hint="eastAsia" w:hAnsi="宋体" w:eastAsia="宋体" w:cs="宋体"/>
          <w:b/>
          <w:bCs/>
          <w:color w:val="auto"/>
          <w:highlight w:val="none"/>
          <w:lang w:val="en-US" w:eastAsia="zh-CN"/>
        </w:rPr>
        <w:t>0</w:t>
      </w:r>
      <w:r>
        <w:rPr>
          <w:rFonts w:hint="eastAsia" w:ascii="宋体" w:hAnsi="宋体" w:eastAsia="宋体" w:cs="宋体"/>
          <w:b/>
          <w:bCs/>
          <w:color w:val="auto"/>
          <w:highlight w:val="none"/>
        </w:rPr>
        <w:t>、质量保证及售后服务</w:t>
      </w:r>
    </w:p>
    <w:p>
      <w:pPr>
        <w:spacing w:before="156" w:beforeLines="50"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rPr>
        <w:t>.1 乙方应按</w:t>
      </w:r>
      <w:r>
        <w:rPr>
          <w:rFonts w:hint="eastAsia" w:ascii="宋体" w:hAnsi="宋体" w:cs="宋体"/>
          <w:color w:val="auto"/>
          <w:szCs w:val="21"/>
          <w:highlight w:val="none"/>
          <w:lang w:val="en-US" w:eastAsia="zh-CN"/>
        </w:rPr>
        <w:t>招标</w:t>
      </w:r>
      <w:r>
        <w:rPr>
          <w:rFonts w:hint="eastAsia" w:ascii="宋体" w:hAnsi="宋体" w:eastAsia="宋体" w:cs="宋体"/>
          <w:color w:val="auto"/>
          <w:szCs w:val="21"/>
          <w:highlight w:val="none"/>
        </w:rPr>
        <w:t>文件规定及</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文件承诺的技术性能、技术要求、质量标准向甲方提供服务；若无特殊说明，则按国家有关部门最新颁布的标准及规范为准。</w:t>
      </w:r>
    </w:p>
    <w:p>
      <w:pPr>
        <w:spacing w:before="156" w:beforeLines="50"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rPr>
        <w:t>.2乙方应保证其提供的服务是全面和规范的，并完全符合</w:t>
      </w:r>
      <w:r>
        <w:rPr>
          <w:rFonts w:hint="eastAsia" w:ascii="宋体" w:hAnsi="宋体" w:cs="宋体"/>
          <w:color w:val="auto"/>
          <w:szCs w:val="21"/>
          <w:highlight w:val="none"/>
          <w:lang w:val="en-US" w:eastAsia="zh-CN"/>
        </w:rPr>
        <w:t>招标</w:t>
      </w:r>
      <w:r>
        <w:rPr>
          <w:rFonts w:hint="eastAsia" w:ascii="宋体" w:hAnsi="宋体" w:eastAsia="宋体" w:cs="宋体"/>
          <w:color w:val="auto"/>
          <w:szCs w:val="21"/>
          <w:highlight w:val="none"/>
        </w:rPr>
        <w:t>文件及</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文件。如因乙方提供的服务有瑕疵造成甲方损失的，所需费用由乙方承担。</w:t>
      </w:r>
    </w:p>
    <w:p>
      <w:pPr>
        <w:spacing w:before="156" w:beforeLines="50"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rPr>
        <w:t>.3 如在使用过程中发生质量问题，乙方在接到甲方通知后在</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rPr>
        <w:t>小时内到达甲方现场。</w:t>
      </w:r>
    </w:p>
    <w:p>
      <w:pPr>
        <w:spacing w:before="156" w:beforeLines="50"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rPr>
        <w:t xml:space="preserve">.4 </w:t>
      </w:r>
      <w:r>
        <w:rPr>
          <w:rFonts w:hint="eastAsia" w:ascii="宋体" w:hAnsi="宋体" w:cs="宋体"/>
          <w:color w:val="auto"/>
          <w:szCs w:val="21"/>
          <w:highlight w:val="none"/>
          <w:lang w:val="en-US" w:eastAsia="zh-CN"/>
        </w:rPr>
        <w:t>后续服务</w:t>
      </w:r>
      <w:r>
        <w:rPr>
          <w:rFonts w:hint="eastAsia" w:ascii="宋体" w:hAnsi="宋体" w:eastAsia="宋体" w:cs="宋体"/>
          <w:color w:val="auto"/>
          <w:szCs w:val="21"/>
          <w:highlight w:val="none"/>
        </w:rPr>
        <w:t>期内，乙方应对所提供服务出现的质量及安全问题负责处理解决并承担一切费用。</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1</w:t>
      </w:r>
      <w:r>
        <w:rPr>
          <w:rFonts w:hint="eastAsia" w:hAnsi="宋体" w:eastAsia="宋体" w:cs="宋体"/>
          <w:b/>
          <w:bCs/>
          <w:color w:val="auto"/>
          <w:highlight w:val="none"/>
          <w:lang w:val="en-US" w:eastAsia="zh-CN"/>
        </w:rPr>
        <w:t>1</w:t>
      </w:r>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交付</w:t>
      </w:r>
      <w:r>
        <w:rPr>
          <w:rFonts w:hint="eastAsia" w:ascii="宋体" w:hAnsi="宋体" w:eastAsia="宋体" w:cs="宋体"/>
          <w:b/>
          <w:bCs/>
          <w:color w:val="auto"/>
          <w:highlight w:val="none"/>
        </w:rPr>
        <w:t>和验收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 乙方应当在合同签订后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天内完成服务事项，</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rPr>
        <w:t>文件有约定的，从其约定。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在交付前，乙方应作出全面检查和对验收文件进行整理，并列出清单，作为甲方初验收和使用的技术条件依据，检验的结果交甲方。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 验收标准：按乙方</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文件的承诺，并不低于国家相关标准。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对于乙方要交付的服务，甲乙双方须在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工作日内初验收，甲方对乙方提交的服务依据</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rPr>
        <w:t>文件上的技术要求和国家有关质量标准进行现场初步验收，外观、说明书、包装符合</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rPr>
        <w:t>文件技术要求的，给予签收，初步验收不合格的不予签收。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 乙方按照</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rPr>
        <w:t>文件要求负责安装并培训甲方的使用操作人员，乙方在甲方使用前进行调试，调试直到符合技术要求的甲方才做最终验收。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.4 对技术复杂的服务内容，甲方可请国家认可的专业检测机构参与初步验收及最终验收，并由其出具质量检测报告。验收时乙方必须在现场，验收完毕后作出验收结果报告；若聘请第三方中立机构验收，验收费用由甲乙双方协商解决。</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.5 甲乙双方关于调试和验收的其他约定：</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1</w:t>
      </w:r>
      <w:r>
        <w:rPr>
          <w:rFonts w:hint="eastAsia" w:hAnsi="宋体" w:eastAsia="宋体" w:cs="宋体"/>
          <w:b/>
          <w:bCs/>
          <w:color w:val="auto"/>
          <w:highlight w:val="none"/>
          <w:lang w:val="en-US" w:eastAsia="zh-CN"/>
        </w:rPr>
        <w:t>2</w:t>
      </w:r>
      <w:r>
        <w:rPr>
          <w:rFonts w:hint="eastAsia" w:ascii="宋体" w:hAnsi="宋体" w:eastAsia="宋体" w:cs="宋体"/>
          <w:b/>
          <w:bCs/>
          <w:color w:val="auto"/>
          <w:highlight w:val="none"/>
        </w:rPr>
        <w:t>、违约责任</w:t>
      </w:r>
    </w:p>
    <w:p>
      <w:pPr>
        <w:pStyle w:val="14"/>
        <w:snapToGrid w:val="0"/>
        <w:spacing w:before="120" w:after="120"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hAnsi="宋体" w:eastAsia="宋体" w:cs="宋体"/>
          <w:color w:val="auto"/>
          <w:highlight w:val="none"/>
          <w:lang w:val="en-US" w:eastAsia="zh-CN"/>
        </w:rPr>
        <w:t>2</w:t>
      </w:r>
      <w:r>
        <w:rPr>
          <w:rFonts w:hint="eastAsia" w:ascii="宋体" w:hAnsi="宋体" w:eastAsia="宋体" w:cs="宋体"/>
          <w:color w:val="auto"/>
          <w:highlight w:val="none"/>
          <w:lang w:val="en-US" w:eastAsia="zh-CN"/>
        </w:rPr>
        <w:t>.1 甲方无正当理由拒绝初验收和终验收服务项目的，甲方应按未付服务项目款金额每日万分之五向乙方支付违约金。</w:t>
      </w:r>
    </w:p>
    <w:p>
      <w:pPr>
        <w:pStyle w:val="14"/>
        <w:snapToGrid w:val="0"/>
        <w:spacing w:before="120" w:after="120"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hAnsi="宋体" w:eastAsia="宋体" w:cs="宋体"/>
          <w:color w:val="auto"/>
          <w:highlight w:val="none"/>
          <w:lang w:val="en-US" w:eastAsia="zh-CN"/>
        </w:rPr>
        <w:t>2</w:t>
      </w:r>
      <w:r>
        <w:rPr>
          <w:rFonts w:hint="eastAsia" w:ascii="宋体" w:hAnsi="宋体" w:eastAsia="宋体" w:cs="宋体"/>
          <w:color w:val="auto"/>
          <w:highlight w:val="none"/>
          <w:lang w:val="en-US" w:eastAsia="zh-CN"/>
        </w:rPr>
        <w:t>.2 甲方无故逾期验收和无故逾期办理款项支付手续的,甲方应按逾期付款金额每日万分之五向乙方支付违约金。</w:t>
      </w:r>
    </w:p>
    <w:p>
      <w:pPr>
        <w:pStyle w:val="14"/>
        <w:snapToGrid w:val="0"/>
        <w:spacing w:before="120" w:after="120"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hAnsi="宋体" w:eastAsia="宋体" w:cs="宋体"/>
          <w:color w:val="auto"/>
          <w:highlight w:val="none"/>
          <w:lang w:val="en-US" w:eastAsia="zh-CN"/>
        </w:rPr>
        <w:t>2</w:t>
      </w:r>
      <w:r>
        <w:rPr>
          <w:rFonts w:hint="eastAsia" w:ascii="宋体" w:hAnsi="宋体" w:eastAsia="宋体" w:cs="宋体"/>
          <w:color w:val="auto"/>
          <w:highlight w:val="none"/>
          <w:lang w:val="en-US" w:eastAsia="zh-CN"/>
        </w:rPr>
        <w:t>.3乙方违约，在消除违约情形前，应按本合同项目总额每日万分之五向甲方支付违约金，甲方可以从待付款项中扣除。</w:t>
      </w:r>
    </w:p>
    <w:p>
      <w:pPr>
        <w:pStyle w:val="14"/>
        <w:snapToGrid w:val="0"/>
        <w:spacing w:before="120" w:after="120"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hAnsi="宋体" w:eastAsia="宋体" w:cs="宋体"/>
          <w:color w:val="auto"/>
          <w:highlight w:val="none"/>
          <w:lang w:val="en-US" w:eastAsia="zh-CN"/>
        </w:rPr>
        <w:t>2</w:t>
      </w:r>
      <w:r>
        <w:rPr>
          <w:rFonts w:hint="eastAsia" w:ascii="宋体" w:hAnsi="宋体" w:eastAsia="宋体" w:cs="宋体"/>
          <w:color w:val="auto"/>
          <w:highlight w:val="none"/>
          <w:lang w:val="en-US" w:eastAsia="zh-CN"/>
        </w:rPr>
        <w:t>.4乙方因逾期交付服务项目或因其他违约行为，导致甲方解除合同的，乙方应向甲方支付合同总值10%的违约金，如造成甲方损失超过违约金的，超出部分由乙方继续承担赔偿责任。</w:t>
      </w:r>
    </w:p>
    <w:p>
      <w:pPr>
        <w:pStyle w:val="14"/>
        <w:snapToGrid w:val="0"/>
        <w:spacing w:before="120" w:after="120"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hAnsi="宋体" w:eastAsia="宋体" w:cs="宋体"/>
          <w:color w:val="auto"/>
          <w:highlight w:val="none"/>
          <w:lang w:val="en-US" w:eastAsia="zh-CN"/>
        </w:rPr>
        <w:t>2</w:t>
      </w:r>
      <w:r>
        <w:rPr>
          <w:rFonts w:hint="eastAsia" w:ascii="宋体" w:hAnsi="宋体" w:eastAsia="宋体" w:cs="宋体"/>
          <w:color w:val="auto"/>
          <w:highlight w:val="none"/>
          <w:lang w:val="en-US" w:eastAsia="zh-CN"/>
        </w:rPr>
        <w:t>.5 乙方所交的服务项目全部或部分品种、型号、规格、技术参数、质量不符合合同规定及</w:t>
      </w:r>
      <w:r>
        <w:rPr>
          <w:rFonts w:hint="eastAsia" w:hAnsi="宋体" w:eastAsia="宋体" w:cs="宋体"/>
          <w:color w:val="auto"/>
          <w:highlight w:val="none"/>
          <w:lang w:val="en-US" w:eastAsia="zh-CN"/>
        </w:rPr>
        <w:t>招标</w:t>
      </w:r>
      <w:r>
        <w:rPr>
          <w:rFonts w:hint="eastAsia" w:ascii="宋体" w:hAnsi="宋体" w:eastAsia="宋体" w:cs="宋体"/>
          <w:color w:val="auto"/>
          <w:highlight w:val="none"/>
          <w:lang w:val="en-US" w:eastAsia="zh-CN"/>
        </w:rPr>
        <w:t>文件规定标准的，乙方更换服务但逾期交付的（甲方拒绝接受的除外），按乙方逾期交付处理；乙方拒绝更换的，甲方可选择解除本合同或本合同的一部分，并可追究乙方的其他违约责任。</w:t>
      </w:r>
    </w:p>
    <w:p>
      <w:pPr>
        <w:pStyle w:val="14"/>
        <w:snapToGrid w:val="0"/>
        <w:spacing w:before="120" w:after="120"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hAnsi="宋体" w:eastAsia="宋体" w:cs="宋体"/>
          <w:color w:val="auto"/>
          <w:highlight w:val="none"/>
          <w:lang w:val="en-US" w:eastAsia="zh-CN"/>
        </w:rPr>
        <w:t>2</w:t>
      </w:r>
      <w:r>
        <w:rPr>
          <w:rFonts w:hint="eastAsia" w:ascii="宋体" w:hAnsi="宋体" w:eastAsia="宋体" w:cs="宋体"/>
          <w:color w:val="auto"/>
          <w:highlight w:val="none"/>
          <w:lang w:val="en-US" w:eastAsia="zh-CN"/>
        </w:rPr>
        <w:t>.6合同生效后，发现乙方投标属虚假承诺，或经权威部门监测提供的服务不能满足</w:t>
      </w:r>
      <w:r>
        <w:rPr>
          <w:rFonts w:hint="eastAsia" w:hAnsi="宋体" w:eastAsia="宋体" w:cs="宋体"/>
          <w:color w:val="auto"/>
          <w:highlight w:val="none"/>
          <w:lang w:val="en-US" w:eastAsia="zh-CN"/>
        </w:rPr>
        <w:t>招标</w:t>
      </w:r>
      <w:r>
        <w:rPr>
          <w:rFonts w:hint="eastAsia" w:ascii="宋体" w:hAnsi="宋体" w:eastAsia="宋体" w:cs="宋体"/>
          <w:color w:val="auto"/>
          <w:highlight w:val="none"/>
          <w:lang w:val="en-US" w:eastAsia="zh-CN"/>
        </w:rPr>
        <w:t>文件要求，造成合同无法继续履行的，乙方履约保证金不予退还外，还应向甲方支付不少于合同总价</w:t>
      </w:r>
      <w:r>
        <w:rPr>
          <w:rFonts w:hint="eastAsia" w:ascii="宋体" w:hAnsi="宋体" w:eastAsia="宋体" w:cs="宋体"/>
          <w:color w:val="auto"/>
          <w:highlight w:val="none"/>
          <w:u w:val="single"/>
          <w:lang w:val="en-US" w:eastAsia="zh-CN"/>
        </w:rPr>
        <w:t xml:space="preserve"> 10  </w:t>
      </w:r>
      <w:r>
        <w:rPr>
          <w:rFonts w:hint="eastAsia" w:ascii="宋体" w:hAnsi="宋体" w:eastAsia="宋体" w:cs="宋体"/>
          <w:color w:val="auto"/>
          <w:highlight w:val="none"/>
          <w:lang w:val="en-US" w:eastAsia="zh-CN"/>
        </w:rPr>
        <w:t>%赔偿金。</w:t>
      </w:r>
    </w:p>
    <w:p>
      <w:pPr>
        <w:pStyle w:val="14"/>
        <w:snapToGrid w:val="0"/>
        <w:spacing w:before="120" w:after="120"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1</w:t>
      </w:r>
      <w:r>
        <w:rPr>
          <w:rFonts w:hint="eastAsia" w:hAnsi="宋体" w:eastAsia="宋体" w:cs="宋体"/>
          <w:b/>
          <w:bCs/>
          <w:color w:val="auto"/>
          <w:highlight w:val="none"/>
          <w:lang w:val="en-US" w:eastAsia="zh-CN"/>
        </w:rPr>
        <w:t>3</w:t>
      </w:r>
      <w:r>
        <w:rPr>
          <w:rFonts w:hint="eastAsia" w:ascii="宋体" w:hAnsi="宋体" w:eastAsia="宋体" w:cs="宋体"/>
          <w:b/>
          <w:bCs/>
          <w:color w:val="auto"/>
          <w:highlight w:val="none"/>
        </w:rPr>
        <w:t>、不可抗力事件处理</w:t>
      </w:r>
    </w:p>
    <w:p>
      <w:pPr>
        <w:pStyle w:val="14"/>
        <w:snapToGrid w:val="0"/>
        <w:spacing w:before="120" w:after="120"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3</w:t>
      </w:r>
      <w:r>
        <w:rPr>
          <w:rFonts w:hint="eastAsia" w:ascii="宋体" w:hAnsi="宋体" w:eastAsia="宋体" w:cs="宋体"/>
          <w:color w:val="auto"/>
          <w:highlight w:val="none"/>
        </w:rPr>
        <w:t>.1 在合同有效期内，甲乙双方因不可抗力事件导致不能履行合同，则合同履行期可延长，其延长期与不可抗力影响期相同。不可抗力，是指不能预见、不能避免且不能克服的客观情况，例如战争、严重的地震、洪水等，但一方违约或疏忽导致合同不能履行的不属于不可抗力因素。</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3</w:t>
      </w:r>
      <w:r>
        <w:rPr>
          <w:rFonts w:hint="eastAsia" w:ascii="宋体" w:hAnsi="宋体" w:eastAsia="宋体" w:cs="宋体"/>
          <w:color w:val="auto"/>
          <w:highlight w:val="none"/>
        </w:rPr>
        <w:t>.2不可抗力事件发生后，应立即通知对方，并寄送有关权威机构出具的证明。除甲方书面另行要求外，乙方应尽实际可能继续履行合同义务，以及寻求采取合理的方案履行不受不可抗力影响的其他事项。若不可抗力事件延续120天以上，双方应通过友好协商，确定是否继续履行合同。</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1</w:t>
      </w:r>
      <w:r>
        <w:rPr>
          <w:rFonts w:hint="eastAsia" w:hAnsi="宋体" w:eastAsia="宋体" w:cs="宋体"/>
          <w:b/>
          <w:bCs/>
          <w:color w:val="auto"/>
          <w:highlight w:val="none"/>
          <w:lang w:val="en-US" w:eastAsia="zh-CN"/>
        </w:rPr>
        <w:t>4</w:t>
      </w:r>
      <w:r>
        <w:rPr>
          <w:rFonts w:hint="eastAsia" w:ascii="宋体" w:hAnsi="宋体" w:eastAsia="宋体" w:cs="宋体"/>
          <w:b/>
          <w:bCs/>
          <w:color w:val="auto"/>
          <w:highlight w:val="none"/>
        </w:rPr>
        <w:t>、争议解决</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4</w:t>
      </w:r>
      <w:r>
        <w:rPr>
          <w:rFonts w:hint="eastAsia" w:ascii="宋体" w:hAnsi="宋体" w:eastAsia="宋体" w:cs="宋体"/>
          <w:color w:val="auto"/>
          <w:highlight w:val="none"/>
        </w:rPr>
        <w:t>.1 因服务的品质质量问题发生争议的，可在国家认可的质量检测机构对服务内容质量进行鉴定。服务符合标准的，鉴定费由甲方承担；服务项目不符合质量标准的，鉴定费由乙方承担。</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4</w:t>
      </w:r>
      <w:r>
        <w:rPr>
          <w:rFonts w:hint="eastAsia" w:ascii="宋体" w:hAnsi="宋体" w:eastAsia="宋体" w:cs="宋体"/>
          <w:color w:val="auto"/>
          <w:highlight w:val="none"/>
        </w:rPr>
        <w:t>.2 因履行本合同引起的或与本合同有关的争议，甲、乙双方应首先通过友好协商解决；如果协商不能解决争议，甲乙双方同意采取下列两种方式的第</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2</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种方式解决争议：</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（1）向甲方所在地有管辖权的人民法院提起诉讼，适用中华人民共和国法律；</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（2）向扬州仲裁委员会按其仲裁规则申请仲裁。</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4</w:t>
      </w:r>
      <w:r>
        <w:rPr>
          <w:rFonts w:hint="eastAsia" w:ascii="宋体" w:hAnsi="宋体" w:eastAsia="宋体" w:cs="宋体"/>
          <w:color w:val="auto"/>
          <w:highlight w:val="none"/>
        </w:rPr>
        <w:t>.3 若甲乙双方任何一方都没有选择解除合同的，为避免扩大损失，在诉讼或仲裁期间，双方应继续履行。</w:t>
      </w:r>
    </w:p>
    <w:p>
      <w:pPr>
        <w:pStyle w:val="14"/>
        <w:snapToGrid w:val="0"/>
        <w:spacing w:before="120" w:after="120" w:line="360" w:lineRule="auto"/>
        <w:ind w:left="315" w:leftChars="150" w:firstLine="105" w:firstLineChars="50"/>
        <w:rPr>
          <w:rFonts w:hint="eastAsia" w:ascii="宋体" w:hAnsi="宋体" w:eastAsia="宋体" w:cs="宋体"/>
          <w:b/>
          <w:bCs/>
          <w:color w:val="auto"/>
          <w:highlight w:val="none"/>
        </w:rPr>
      </w:pPr>
      <w:r>
        <w:rPr>
          <w:rFonts w:hint="eastAsia" w:ascii="宋体" w:hAnsi="宋体" w:eastAsia="宋体" w:cs="宋体"/>
          <w:b/>
          <w:bCs/>
          <w:color w:val="auto"/>
          <w:highlight w:val="none"/>
        </w:rPr>
        <w:t>1</w:t>
      </w:r>
      <w:r>
        <w:rPr>
          <w:rFonts w:hint="eastAsia" w:hAnsi="宋体" w:eastAsia="宋体" w:cs="宋体"/>
          <w:b/>
          <w:bCs/>
          <w:color w:val="auto"/>
          <w:highlight w:val="none"/>
          <w:lang w:val="en-US" w:eastAsia="zh-CN"/>
        </w:rPr>
        <w:t>5</w:t>
      </w:r>
      <w:r>
        <w:rPr>
          <w:rFonts w:hint="eastAsia" w:ascii="宋体" w:hAnsi="宋体" w:eastAsia="宋体" w:cs="宋体"/>
          <w:b/>
          <w:bCs/>
          <w:color w:val="auto"/>
          <w:highlight w:val="none"/>
        </w:rPr>
        <w:t>、合同其它</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5</w:t>
      </w:r>
      <w:r>
        <w:rPr>
          <w:rFonts w:hint="eastAsia" w:ascii="宋体" w:hAnsi="宋体" w:eastAsia="宋体" w:cs="宋体"/>
          <w:color w:val="auto"/>
          <w:highlight w:val="none"/>
        </w:rPr>
        <w:t>.1 乙方应诚实信用，严格按照</w:t>
      </w:r>
      <w:r>
        <w:rPr>
          <w:rFonts w:hint="eastAsia" w:hAnsi="宋体" w:eastAsia="宋体" w:cs="宋体"/>
          <w:color w:val="auto"/>
          <w:highlight w:val="none"/>
          <w:lang w:eastAsia="zh-CN"/>
        </w:rPr>
        <w:t>招标</w:t>
      </w:r>
      <w:r>
        <w:rPr>
          <w:rFonts w:hint="eastAsia" w:ascii="宋体" w:hAnsi="宋体" w:eastAsia="宋体" w:cs="宋体"/>
          <w:color w:val="auto"/>
          <w:highlight w:val="none"/>
        </w:rPr>
        <w:t>文件要求和投标承诺履行合同，不向甲方进行商业贿赂或者提供不正当利益。</w:t>
      </w:r>
    </w:p>
    <w:p>
      <w:pPr>
        <w:pStyle w:val="14"/>
        <w:snapToGrid w:val="0"/>
        <w:spacing w:before="120" w:after="120"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5</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本合同未尽事宜，遵照《合同法》有关条文执行。</w:t>
      </w:r>
    </w:p>
    <w:p>
      <w:pPr>
        <w:pStyle w:val="14"/>
        <w:snapToGrid w:val="0"/>
        <w:spacing w:before="120" w:after="12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hAnsi="宋体" w:eastAsia="宋体" w:cs="宋体"/>
          <w:color w:val="auto"/>
          <w:highlight w:val="none"/>
          <w:lang w:val="en-US" w:eastAsia="zh-CN"/>
        </w:rPr>
        <w:t>5</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 xml:space="preserve"> 本合同正本一式四份，具有同等法律效力，甲方、乙方各执</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份。</w:t>
      </w:r>
    </w:p>
    <w:p>
      <w:pPr>
        <w:pStyle w:val="14"/>
        <w:snapToGrid w:val="0"/>
        <w:spacing w:before="120" w:after="120" w:line="360" w:lineRule="auto"/>
        <w:ind w:firstLine="420" w:firstLineChars="200"/>
        <w:rPr>
          <w:rFonts w:hint="eastAsia" w:ascii="宋体" w:hAnsi="宋体" w:eastAsia="宋体" w:cs="宋体"/>
          <w:color w:val="auto"/>
          <w:highlight w:val="none"/>
          <w:lang w:eastAsia="zh-CN"/>
        </w:rPr>
      </w:pPr>
    </w:p>
    <w:p>
      <w:pPr>
        <w:pStyle w:val="14"/>
        <w:snapToGrid w:val="0"/>
        <w:spacing w:before="120" w:after="120" w:line="360" w:lineRule="auto"/>
        <w:ind w:left="420" w:hanging="420" w:hangingChars="200"/>
        <w:rPr>
          <w:rFonts w:hint="eastAsia" w:ascii="宋体" w:hAnsi="宋体" w:eastAsia="宋体" w:cs="宋体"/>
          <w:color w:val="auto"/>
          <w:highlight w:val="none"/>
        </w:rPr>
      </w:pPr>
      <w:r>
        <w:rPr>
          <w:rFonts w:hint="eastAsia" w:ascii="宋体" w:hAnsi="宋体" w:eastAsia="宋体" w:cs="宋体"/>
          <w:color w:val="auto"/>
          <w:highlight w:val="none"/>
        </w:rPr>
        <w:t xml:space="preserve">  甲方：</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乙方： </w:t>
      </w:r>
    </w:p>
    <w:p>
      <w:pPr>
        <w:pStyle w:val="14"/>
        <w:snapToGrid w:val="0"/>
        <w:spacing w:before="120" w:after="12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地址：</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地址： </w:t>
      </w:r>
    </w:p>
    <w:p>
      <w:pPr>
        <w:pStyle w:val="14"/>
        <w:snapToGrid w:val="0"/>
        <w:spacing w:before="120" w:after="12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法定代表人或授权代表：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法定代表人或授权代表：</w:t>
      </w:r>
    </w:p>
    <w:p>
      <w:pPr>
        <w:pStyle w:val="14"/>
        <w:snapToGrid w:val="0"/>
        <w:spacing w:before="120" w:after="120" w:line="360" w:lineRule="auto"/>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联系电话：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联系电话：</w:t>
      </w:r>
    </w:p>
    <w:p>
      <w:pPr>
        <w:pStyle w:val="14"/>
        <w:snapToGrid w:val="0"/>
        <w:spacing w:before="120" w:after="120" w:line="360" w:lineRule="auto"/>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日期：      年</w:t>
      </w: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rPr>
        <w:t xml:space="preserve">  月</w:t>
      </w: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rPr>
        <w:t xml:space="preserve">  日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日期：      年 </w:t>
      </w: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rPr>
        <w:t xml:space="preserve"> 月 </w:t>
      </w:r>
      <w:r>
        <w:rPr>
          <w:rFonts w:hint="eastAsia" w:ascii="宋体" w:hAnsi="宋体" w:eastAsia="宋体" w:cs="宋体"/>
          <w:color w:val="auto"/>
          <w:highlight w:val="none"/>
          <w:lang w:eastAsia="zh-CN"/>
        </w:rPr>
        <w:t xml:space="preserve">  </w:t>
      </w:r>
      <w:r>
        <w:rPr>
          <w:rFonts w:hint="eastAsia" w:ascii="宋体" w:hAnsi="宋体" w:eastAsia="宋体" w:cs="宋体"/>
          <w:color w:val="auto"/>
          <w:highlight w:val="none"/>
        </w:rPr>
        <w:t xml:space="preserve"> 日</w:t>
      </w: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14"/>
        <w:snapToGrid w:val="0"/>
        <w:spacing w:before="120" w:after="120" w:line="360" w:lineRule="auto"/>
        <w:ind w:firstLine="210" w:firstLineChars="100"/>
        <w:rPr>
          <w:rFonts w:hint="eastAsia" w:ascii="宋体" w:hAnsi="宋体" w:eastAsia="宋体" w:cs="宋体"/>
          <w:color w:val="auto"/>
          <w:highlight w:val="none"/>
        </w:rPr>
      </w:pPr>
    </w:p>
    <w:p>
      <w:pPr>
        <w:pStyle w:val="61"/>
        <w:spacing w:line="360" w:lineRule="auto"/>
        <w:ind w:firstLine="422" w:firstLineChars="200"/>
        <w:jc w:val="both"/>
        <w:rPr>
          <w:rFonts w:ascii="宋体" w:hAnsi="宋体" w:eastAsia="宋体" w:cs="宋体"/>
          <w:color w:val="auto"/>
          <w:sz w:val="21"/>
          <w:szCs w:val="21"/>
          <w:highlight w:val="none"/>
        </w:rPr>
      </w:pPr>
      <w:r>
        <w:rPr>
          <w:rFonts w:hint="eastAsia" w:ascii="宋体" w:hAnsi="宋体" w:eastAsia="宋体" w:cs="宋体"/>
          <w:b/>
          <w:bCs/>
          <w:color w:val="auto"/>
          <w:sz w:val="21"/>
          <w:szCs w:val="21"/>
          <w:highlight w:val="none"/>
          <w:shd w:val="clear" w:color="auto" w:fill="FFFFFF"/>
        </w:rPr>
        <w:t xml:space="preserve">附件一：                </w:t>
      </w:r>
    </w:p>
    <w:p>
      <w:pPr>
        <w:spacing w:line="360" w:lineRule="auto"/>
        <w:ind w:firstLine="562" w:firstLineChars="200"/>
        <w:jc w:val="center"/>
        <w:rPr>
          <w:b/>
          <w:bCs/>
          <w:color w:val="auto"/>
          <w:sz w:val="28"/>
          <w:szCs w:val="28"/>
          <w:highlight w:val="none"/>
        </w:rPr>
      </w:pPr>
      <w:r>
        <w:rPr>
          <w:rFonts w:hint="eastAsia"/>
          <w:b/>
          <w:bCs/>
          <w:color w:val="auto"/>
          <w:sz w:val="28"/>
          <w:szCs w:val="28"/>
          <w:highlight w:val="none"/>
        </w:rPr>
        <w:t>廉洁协议书</w:t>
      </w:r>
    </w:p>
    <w:p>
      <w:pPr>
        <w:spacing w:line="500" w:lineRule="exact"/>
        <w:ind w:firstLine="422" w:firstLineChars="200"/>
        <w:rPr>
          <w:b/>
          <w:bCs/>
          <w:color w:val="auto"/>
          <w:szCs w:val="21"/>
          <w:highlight w:val="none"/>
        </w:rPr>
      </w:pPr>
      <w:r>
        <w:rPr>
          <w:rFonts w:hint="eastAsia"/>
          <w:b/>
          <w:bCs/>
          <w:color w:val="auto"/>
          <w:szCs w:val="21"/>
          <w:highlight w:val="none"/>
        </w:rPr>
        <w:t>甲  方：</w:t>
      </w:r>
      <w:r>
        <w:rPr>
          <w:rFonts w:hint="eastAsia" w:ascii="宋体" w:hAnsi="宋体"/>
          <w:color w:val="auto"/>
          <w:szCs w:val="21"/>
          <w:highlight w:val="none"/>
        </w:rPr>
        <w:t>江苏长江水务股份有限公司</w:t>
      </w:r>
    </w:p>
    <w:p>
      <w:pPr>
        <w:spacing w:line="500" w:lineRule="exact"/>
        <w:ind w:firstLine="422" w:firstLineChars="200"/>
        <w:rPr>
          <w:rFonts w:ascii="宋体" w:hAnsi="宋体"/>
          <w:color w:val="auto"/>
          <w:szCs w:val="21"/>
          <w:highlight w:val="none"/>
        </w:rPr>
      </w:pPr>
      <w:r>
        <w:rPr>
          <w:rFonts w:hint="eastAsia"/>
          <w:b/>
          <w:bCs/>
          <w:color w:val="auto"/>
          <w:szCs w:val="21"/>
          <w:highlight w:val="none"/>
        </w:rPr>
        <w:t>乙  方：</w:t>
      </w:r>
    </w:p>
    <w:p>
      <w:pPr>
        <w:spacing w:line="500" w:lineRule="exact"/>
        <w:ind w:firstLine="422" w:firstLineChars="200"/>
        <w:rPr>
          <w:b/>
          <w:bCs/>
          <w:color w:val="auto"/>
          <w:szCs w:val="21"/>
          <w:highlight w:val="none"/>
        </w:rPr>
      </w:pPr>
      <w:r>
        <w:rPr>
          <w:rFonts w:hint="eastAsia"/>
          <w:b/>
          <w:bCs/>
          <w:color w:val="auto"/>
          <w:szCs w:val="21"/>
          <w:highlight w:val="none"/>
        </w:rPr>
        <w:t>项目名称：</w:t>
      </w:r>
    </w:p>
    <w:p>
      <w:pPr>
        <w:spacing w:line="500" w:lineRule="exact"/>
        <w:ind w:firstLine="420" w:firstLineChars="200"/>
        <w:rPr>
          <w:color w:val="auto"/>
          <w:szCs w:val="21"/>
          <w:highlight w:val="none"/>
        </w:rPr>
      </w:pPr>
      <w:r>
        <w:rPr>
          <w:rFonts w:hint="eastAsia"/>
          <w:color w:val="auto"/>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买受人双方同意，订立本廉洁协议：</w:t>
      </w:r>
    </w:p>
    <w:p>
      <w:pPr>
        <w:spacing w:line="500" w:lineRule="exact"/>
        <w:ind w:firstLine="422" w:firstLineChars="200"/>
        <w:rPr>
          <w:color w:val="auto"/>
          <w:szCs w:val="21"/>
          <w:highlight w:val="none"/>
        </w:rPr>
      </w:pPr>
      <w:r>
        <w:rPr>
          <w:rFonts w:hint="eastAsia"/>
          <w:b/>
          <w:bCs/>
          <w:color w:val="auto"/>
          <w:szCs w:val="21"/>
          <w:highlight w:val="none"/>
        </w:rPr>
        <w:t>第一条 甲、乙双方的共同责任</w:t>
      </w:r>
    </w:p>
    <w:p>
      <w:pPr>
        <w:spacing w:line="500" w:lineRule="exact"/>
        <w:ind w:firstLine="420" w:firstLineChars="200"/>
        <w:rPr>
          <w:color w:val="auto"/>
          <w:szCs w:val="21"/>
          <w:highlight w:val="none"/>
        </w:rPr>
      </w:pPr>
      <w:r>
        <w:rPr>
          <w:rFonts w:hint="eastAsia"/>
          <w:color w:val="auto"/>
          <w:szCs w:val="21"/>
          <w:highlight w:val="none"/>
        </w:rPr>
        <w:t>1、应自觉遵守国家、地方及建设单位有关廉政建设的各项制度和规定。</w:t>
      </w:r>
    </w:p>
    <w:p>
      <w:pPr>
        <w:spacing w:line="500" w:lineRule="exact"/>
        <w:ind w:firstLine="420" w:firstLineChars="200"/>
        <w:rPr>
          <w:color w:val="auto"/>
          <w:szCs w:val="21"/>
          <w:highlight w:val="none"/>
        </w:rPr>
      </w:pPr>
      <w:r>
        <w:rPr>
          <w:rFonts w:hint="eastAsia"/>
          <w:color w:val="auto"/>
          <w:szCs w:val="21"/>
          <w:highlight w:val="none"/>
        </w:rPr>
        <w:t>2、严格履行合同约定，自觉承担合同义务。</w:t>
      </w:r>
    </w:p>
    <w:p>
      <w:pPr>
        <w:spacing w:line="500" w:lineRule="exact"/>
        <w:ind w:firstLine="420" w:firstLineChars="200"/>
        <w:rPr>
          <w:color w:val="auto"/>
          <w:szCs w:val="21"/>
          <w:highlight w:val="none"/>
        </w:rPr>
      </w:pPr>
      <w:r>
        <w:rPr>
          <w:rFonts w:hint="eastAsia"/>
          <w:color w:val="auto"/>
          <w:szCs w:val="21"/>
          <w:highlight w:val="none"/>
        </w:rPr>
        <w:t>3、开展业务活动必须坚持自愿、公平、公开、公正和诚实守信的原则，不得为谋取不正当利益损害国家、集体和双方权益。</w:t>
      </w:r>
    </w:p>
    <w:p>
      <w:pPr>
        <w:spacing w:line="500" w:lineRule="exact"/>
        <w:ind w:firstLine="420" w:firstLineChars="200"/>
        <w:rPr>
          <w:color w:val="auto"/>
          <w:szCs w:val="21"/>
          <w:highlight w:val="none"/>
        </w:rPr>
      </w:pPr>
      <w:r>
        <w:rPr>
          <w:rFonts w:hint="eastAsia"/>
          <w:color w:val="auto"/>
          <w:szCs w:val="21"/>
          <w:highlight w:val="none"/>
        </w:rPr>
        <w:t>4、建立健全自我制约制度，开展廉洁教育，增强廉洁意识，公布举报电话，监督并认真查处违规违纪违法行为。</w:t>
      </w:r>
    </w:p>
    <w:p>
      <w:pPr>
        <w:spacing w:line="500" w:lineRule="exact"/>
        <w:ind w:firstLine="420" w:firstLineChars="200"/>
        <w:rPr>
          <w:color w:val="auto"/>
          <w:szCs w:val="21"/>
          <w:highlight w:val="none"/>
        </w:rPr>
      </w:pPr>
      <w:r>
        <w:rPr>
          <w:rFonts w:hint="eastAsia"/>
          <w:color w:val="auto"/>
          <w:szCs w:val="21"/>
          <w:highlight w:val="none"/>
        </w:rPr>
        <w:t>5、不得有其他妨碍正常交易的违法行为。</w:t>
      </w:r>
    </w:p>
    <w:p>
      <w:pPr>
        <w:spacing w:line="500" w:lineRule="exact"/>
        <w:ind w:firstLine="422" w:firstLineChars="200"/>
        <w:rPr>
          <w:b/>
          <w:bCs/>
          <w:color w:val="auto"/>
          <w:szCs w:val="21"/>
          <w:highlight w:val="none"/>
        </w:rPr>
      </w:pPr>
      <w:r>
        <w:rPr>
          <w:rFonts w:hint="eastAsia"/>
          <w:b/>
          <w:bCs/>
          <w:color w:val="auto"/>
          <w:szCs w:val="21"/>
          <w:highlight w:val="none"/>
        </w:rPr>
        <w:t>第二条 买受人的责任</w:t>
      </w:r>
    </w:p>
    <w:p>
      <w:pPr>
        <w:spacing w:line="500" w:lineRule="exact"/>
        <w:ind w:firstLine="420" w:firstLineChars="200"/>
        <w:rPr>
          <w:color w:val="auto"/>
          <w:szCs w:val="21"/>
          <w:highlight w:val="none"/>
        </w:rPr>
      </w:pPr>
      <w:r>
        <w:rPr>
          <w:rFonts w:hint="eastAsia"/>
          <w:color w:val="auto"/>
          <w:szCs w:val="21"/>
          <w:highlight w:val="none"/>
        </w:rPr>
        <w:t>1、买受人应按照自愿、公平、公正、公开和诚实守信的原则开展各项业务活动，为乙方提供公平的竞争环境与平台。</w:t>
      </w:r>
    </w:p>
    <w:p>
      <w:pPr>
        <w:spacing w:line="500" w:lineRule="exact"/>
        <w:ind w:firstLine="420" w:firstLineChars="200"/>
        <w:rPr>
          <w:color w:val="auto"/>
          <w:szCs w:val="21"/>
          <w:highlight w:val="none"/>
        </w:rPr>
      </w:pPr>
      <w:r>
        <w:rPr>
          <w:rFonts w:hint="eastAsia"/>
          <w:color w:val="auto"/>
          <w:szCs w:val="21"/>
          <w:highlight w:val="none"/>
        </w:rPr>
        <w:t>2、买受人应严格遵守公司对外服务“五条禁令”：严禁接受服务对象、业务单位的礼金、宴请；严禁违规收费；严禁越权动用供水设施；严禁私揽供水工程；严禁工作期间饮酒和擅离岗位。</w:t>
      </w:r>
    </w:p>
    <w:p>
      <w:pPr>
        <w:spacing w:line="500" w:lineRule="exact"/>
        <w:ind w:firstLine="420" w:firstLineChars="200"/>
        <w:rPr>
          <w:color w:val="auto"/>
          <w:szCs w:val="21"/>
          <w:highlight w:val="none"/>
        </w:rPr>
      </w:pPr>
      <w:r>
        <w:rPr>
          <w:rFonts w:hint="eastAsia"/>
          <w:color w:val="auto"/>
          <w:szCs w:val="21"/>
          <w:highlight w:val="none"/>
        </w:rPr>
        <w:t>3、买受人不得以任何理由要求乙方为其亲属、朋友等安排工作。</w:t>
      </w:r>
    </w:p>
    <w:p>
      <w:pPr>
        <w:spacing w:line="500" w:lineRule="exact"/>
        <w:ind w:firstLine="420" w:firstLineChars="200"/>
        <w:rPr>
          <w:color w:val="auto"/>
          <w:szCs w:val="21"/>
          <w:highlight w:val="none"/>
        </w:rPr>
      </w:pPr>
      <w:r>
        <w:rPr>
          <w:rFonts w:hint="eastAsia"/>
          <w:color w:val="auto"/>
          <w:szCs w:val="21"/>
          <w:highlight w:val="none"/>
        </w:rPr>
        <w:t>4、买受人不得要求乙方及相关单位报销任何应由买受人或个人支付的费用。</w:t>
      </w:r>
    </w:p>
    <w:p>
      <w:pPr>
        <w:spacing w:line="500" w:lineRule="exact"/>
        <w:ind w:firstLine="420" w:firstLineChars="200"/>
        <w:rPr>
          <w:color w:val="auto"/>
          <w:szCs w:val="21"/>
          <w:highlight w:val="none"/>
        </w:rPr>
      </w:pPr>
      <w:r>
        <w:rPr>
          <w:rFonts w:hint="eastAsia"/>
          <w:color w:val="auto"/>
          <w:szCs w:val="21"/>
          <w:highlight w:val="none"/>
        </w:rPr>
        <w:t>5、买受人不得参与影响相关双方正常工作和公正开展的其他活动。</w:t>
      </w:r>
    </w:p>
    <w:p>
      <w:pPr>
        <w:spacing w:line="500" w:lineRule="exact"/>
        <w:ind w:firstLine="420" w:firstLineChars="200"/>
        <w:rPr>
          <w:color w:val="auto"/>
          <w:szCs w:val="21"/>
          <w:highlight w:val="none"/>
        </w:rPr>
      </w:pPr>
      <w:r>
        <w:rPr>
          <w:rFonts w:hint="eastAsia"/>
          <w:color w:val="auto"/>
          <w:szCs w:val="21"/>
          <w:highlight w:val="none"/>
        </w:rPr>
        <w:t>6、买受人不得向乙方泄露涉及有关业务活动的秘密。</w:t>
      </w:r>
    </w:p>
    <w:p>
      <w:pPr>
        <w:spacing w:line="500" w:lineRule="exact"/>
        <w:ind w:firstLine="420" w:firstLineChars="200"/>
        <w:rPr>
          <w:color w:val="auto"/>
          <w:szCs w:val="21"/>
          <w:highlight w:val="none"/>
        </w:rPr>
      </w:pPr>
      <w:r>
        <w:rPr>
          <w:rFonts w:hint="eastAsia"/>
          <w:color w:val="auto"/>
          <w:szCs w:val="21"/>
          <w:highlight w:val="none"/>
        </w:rPr>
        <w:t>7、买受人要求参与公司业务活动的本公司员工主动申报与乙方的关联关系，包括但不限于存在亲属关系、利益关联体等。</w:t>
      </w:r>
    </w:p>
    <w:p>
      <w:pPr>
        <w:spacing w:line="500" w:lineRule="exact"/>
        <w:ind w:firstLine="420" w:firstLineChars="200"/>
        <w:rPr>
          <w:color w:val="auto"/>
          <w:szCs w:val="21"/>
          <w:highlight w:val="none"/>
        </w:rPr>
      </w:pPr>
      <w:r>
        <w:rPr>
          <w:rFonts w:hint="eastAsia"/>
          <w:color w:val="auto"/>
          <w:szCs w:val="21"/>
          <w:highlight w:val="none"/>
        </w:rPr>
        <w:t>8、在双方合作过程中，买受人有权依据公司相关规章制度对任何重要的流程节点，采取由买受人相关领导小组集体决策的方式作出决定，确保不因任何人的个人利益因素而对乙方提供特别的照顾、优惠、变通、变更。</w:t>
      </w:r>
    </w:p>
    <w:p>
      <w:pPr>
        <w:spacing w:line="500" w:lineRule="exact"/>
        <w:ind w:firstLine="420" w:firstLineChars="200"/>
        <w:rPr>
          <w:color w:val="auto"/>
          <w:szCs w:val="21"/>
          <w:highlight w:val="none"/>
        </w:rPr>
      </w:pPr>
      <w:r>
        <w:rPr>
          <w:rFonts w:hint="eastAsia"/>
          <w:color w:val="auto"/>
          <w:szCs w:val="21"/>
          <w:highlight w:val="none"/>
        </w:rPr>
        <w:t>9、在合同订立及履行过程中，如乙方人员有行贿行为的，买受人应坚决拒绝，及时向公司领导、纪检监察部门或乙方上级领导或有关部门举报，并向双方单位通报。</w:t>
      </w:r>
    </w:p>
    <w:p>
      <w:pPr>
        <w:spacing w:line="500" w:lineRule="exact"/>
        <w:ind w:firstLine="422" w:firstLineChars="200"/>
        <w:rPr>
          <w:b/>
          <w:bCs/>
          <w:color w:val="auto"/>
          <w:szCs w:val="21"/>
          <w:highlight w:val="none"/>
        </w:rPr>
      </w:pPr>
      <w:r>
        <w:rPr>
          <w:rFonts w:hint="eastAsia"/>
          <w:b/>
          <w:bCs/>
          <w:color w:val="auto"/>
          <w:szCs w:val="21"/>
          <w:highlight w:val="none"/>
        </w:rPr>
        <w:t>第三条 乙方的责任</w:t>
      </w:r>
    </w:p>
    <w:p>
      <w:pPr>
        <w:spacing w:line="500" w:lineRule="exact"/>
        <w:ind w:firstLine="420" w:firstLineChars="200"/>
        <w:rPr>
          <w:color w:val="auto"/>
          <w:szCs w:val="21"/>
          <w:highlight w:val="none"/>
        </w:rPr>
      </w:pPr>
      <w:r>
        <w:rPr>
          <w:rFonts w:hint="eastAsia"/>
          <w:color w:val="auto"/>
          <w:szCs w:val="21"/>
          <w:highlight w:val="none"/>
        </w:rPr>
        <w:t>1、乙方应主动如实向买受人申报是否与买受人员工存在亲属关系、利益关联体关系，是否有买受人在岗或离职人员担任乙方重要岗位等情况。</w:t>
      </w:r>
    </w:p>
    <w:p>
      <w:pPr>
        <w:spacing w:line="500" w:lineRule="exact"/>
        <w:ind w:firstLine="420" w:firstLineChars="200"/>
        <w:rPr>
          <w:color w:val="auto"/>
          <w:szCs w:val="21"/>
          <w:highlight w:val="none"/>
        </w:rPr>
      </w:pPr>
      <w:r>
        <w:rPr>
          <w:rFonts w:hint="eastAsia"/>
          <w:color w:val="auto"/>
          <w:szCs w:val="21"/>
          <w:highlight w:val="none"/>
        </w:rPr>
        <w:t>2、乙方不得接受买受人工作人员介绍的家属或者亲友从事与合同相关的业务，包括但不限于作为乙方的材料供应方、服务提供方等。</w:t>
      </w:r>
    </w:p>
    <w:p>
      <w:pPr>
        <w:spacing w:line="500" w:lineRule="exact"/>
        <w:ind w:firstLine="420" w:firstLineChars="200"/>
        <w:rPr>
          <w:color w:val="auto"/>
          <w:szCs w:val="21"/>
          <w:highlight w:val="none"/>
        </w:rPr>
      </w:pPr>
      <w:r>
        <w:rPr>
          <w:rFonts w:hint="eastAsia"/>
          <w:color w:val="auto"/>
          <w:szCs w:val="21"/>
          <w:highlight w:val="none"/>
        </w:rPr>
        <w:t>3、乙方不得为谋取利益擅自与买受人就工程承包、工程费用、材料设备供应、工程量变动、工程验收、工程质量问题处理进行私下商谈或者达成默契。</w:t>
      </w:r>
    </w:p>
    <w:p>
      <w:pPr>
        <w:spacing w:line="500" w:lineRule="exact"/>
        <w:ind w:firstLine="420" w:firstLineChars="200"/>
        <w:rPr>
          <w:color w:val="auto"/>
          <w:szCs w:val="21"/>
          <w:highlight w:val="none"/>
        </w:rPr>
      </w:pPr>
      <w:r>
        <w:rPr>
          <w:rFonts w:hint="eastAsia"/>
          <w:color w:val="auto"/>
          <w:szCs w:val="21"/>
          <w:highlight w:val="none"/>
        </w:rPr>
        <w:t>4、乙方不得与其他单位串通投标、不得采取恶性竞争等不正当手段竞争业务。</w:t>
      </w:r>
    </w:p>
    <w:p>
      <w:pPr>
        <w:spacing w:line="500" w:lineRule="exact"/>
        <w:ind w:firstLine="420" w:firstLineChars="200"/>
        <w:rPr>
          <w:color w:val="auto"/>
          <w:szCs w:val="21"/>
          <w:highlight w:val="none"/>
        </w:rPr>
      </w:pPr>
      <w:r>
        <w:rPr>
          <w:rFonts w:hint="eastAsia"/>
          <w:color w:val="auto"/>
          <w:szCs w:val="21"/>
          <w:highlight w:val="none"/>
        </w:rPr>
        <w:t>5、乙方应当通过正常途径开展相关工作，不得以任何理由或者形式向买受人工作人员（含配偶、子女及其他特定关系人，同下）提供或赠送礼金、有价证券、贵重物品及手续费、回扣、好处费、感谢费等。</w:t>
      </w:r>
    </w:p>
    <w:p>
      <w:pPr>
        <w:spacing w:line="500" w:lineRule="exact"/>
        <w:ind w:firstLine="420" w:firstLineChars="200"/>
        <w:rPr>
          <w:color w:val="auto"/>
          <w:szCs w:val="21"/>
          <w:highlight w:val="none"/>
        </w:rPr>
      </w:pPr>
      <w:r>
        <w:rPr>
          <w:rFonts w:hint="eastAsia"/>
          <w:color w:val="auto"/>
          <w:szCs w:val="21"/>
          <w:highlight w:val="none"/>
        </w:rPr>
        <w:t>6、乙方不得以任何理由或任何形式邀请买受人工作人员参加有可能影响廉洁、公正的宴请、健身、旅游、娱乐活动。</w:t>
      </w:r>
    </w:p>
    <w:p>
      <w:pPr>
        <w:spacing w:line="500" w:lineRule="exact"/>
        <w:ind w:firstLine="420" w:firstLineChars="200"/>
        <w:rPr>
          <w:color w:val="auto"/>
          <w:szCs w:val="21"/>
          <w:highlight w:val="none"/>
        </w:rPr>
      </w:pPr>
      <w:r>
        <w:rPr>
          <w:rFonts w:hint="eastAsia"/>
          <w:color w:val="auto"/>
          <w:szCs w:val="21"/>
          <w:highlight w:val="none"/>
        </w:rPr>
        <w:t>7、乙方不得和买受人人员及其亲属发生任何形式的经济往来，包含但不限于个人借款、任何形式的费用报销、婚丧嫁娶、工作安排、出国、留学等。</w:t>
      </w:r>
    </w:p>
    <w:p>
      <w:pPr>
        <w:spacing w:line="500" w:lineRule="exact"/>
        <w:ind w:firstLine="420" w:firstLineChars="200"/>
        <w:rPr>
          <w:color w:val="auto"/>
          <w:szCs w:val="21"/>
          <w:highlight w:val="none"/>
        </w:rPr>
      </w:pPr>
      <w:r>
        <w:rPr>
          <w:rFonts w:hint="eastAsia"/>
          <w:color w:val="auto"/>
          <w:szCs w:val="21"/>
          <w:highlight w:val="none"/>
        </w:rPr>
        <w:t>8、乙方不得向买受人员工及其家属购置、提供任何住房、装修、交通工具、通讯工具、家电、高档办公用品等物品。</w:t>
      </w:r>
    </w:p>
    <w:p>
      <w:pPr>
        <w:spacing w:line="500" w:lineRule="exact"/>
        <w:ind w:firstLine="420" w:firstLineChars="200"/>
        <w:rPr>
          <w:color w:val="auto"/>
          <w:szCs w:val="21"/>
          <w:highlight w:val="none"/>
        </w:rPr>
      </w:pPr>
      <w:r>
        <w:rPr>
          <w:rFonts w:hint="eastAsia"/>
          <w:color w:val="auto"/>
          <w:szCs w:val="21"/>
          <w:highlight w:val="none"/>
        </w:rPr>
        <w:t>9、乙方有义务监督买受人员工廉洁从业，对违反者，有向买受人反馈和举报的权利和义务。</w:t>
      </w:r>
    </w:p>
    <w:p>
      <w:pPr>
        <w:spacing w:line="500" w:lineRule="exact"/>
        <w:ind w:firstLine="420" w:firstLineChars="200"/>
        <w:rPr>
          <w:color w:val="auto"/>
          <w:szCs w:val="21"/>
          <w:highlight w:val="none"/>
        </w:rPr>
      </w:pPr>
      <w:r>
        <w:rPr>
          <w:rFonts w:hint="eastAsia"/>
          <w:color w:val="auto"/>
          <w:szCs w:val="21"/>
          <w:highlight w:val="none"/>
        </w:rPr>
        <w:t>10、乙方应当确保乙方人员了解并自觉遵守本协议，发现乙方任何人员有向买受人员工行贿倾向、建议或行为的，应予以制止、批评教育。乙方发现买受人员工有索贿、受贿行为的，应坚决拒绝，并向买受人审计、纪检监察部门进行举报。</w:t>
      </w:r>
    </w:p>
    <w:p>
      <w:pPr>
        <w:spacing w:line="500" w:lineRule="exact"/>
        <w:ind w:firstLine="422" w:firstLineChars="200"/>
        <w:rPr>
          <w:b/>
          <w:bCs/>
          <w:color w:val="auto"/>
          <w:szCs w:val="21"/>
          <w:highlight w:val="none"/>
        </w:rPr>
      </w:pPr>
      <w:r>
        <w:rPr>
          <w:rFonts w:hint="eastAsia"/>
          <w:b/>
          <w:bCs/>
          <w:color w:val="auto"/>
          <w:szCs w:val="21"/>
          <w:highlight w:val="none"/>
        </w:rPr>
        <w:t xml:space="preserve">第四条 违约责任 </w:t>
      </w:r>
    </w:p>
    <w:p>
      <w:pPr>
        <w:spacing w:line="500" w:lineRule="exact"/>
        <w:ind w:firstLine="420" w:firstLineChars="200"/>
        <w:rPr>
          <w:color w:val="auto"/>
          <w:szCs w:val="21"/>
          <w:highlight w:val="none"/>
        </w:rPr>
      </w:pPr>
      <w:r>
        <w:rPr>
          <w:rFonts w:hint="eastAsia"/>
          <w:color w:val="auto"/>
          <w:szCs w:val="21"/>
          <w:highlight w:val="none"/>
        </w:rPr>
        <w:t>1、如乙方出现违反本协议约定的行为，买受人有权根据具体情节的严重程度和造成的后果要求乙方按照合同总金额的1-5%向买受人支付违约金，并承担因此给买受人造成的全部损失，买受人有权从双方已签订的其他正在履行的合同中乙方未结算款项里优先予以扣除且无需承担任何违约责任，如果其他正在履行的合同中乙方未结算款项不足以支付违约金的，乙方应按买受人要求，补足违约金差额。</w:t>
      </w:r>
    </w:p>
    <w:p>
      <w:pPr>
        <w:spacing w:line="500" w:lineRule="exact"/>
        <w:ind w:firstLine="420" w:firstLineChars="200"/>
        <w:rPr>
          <w:color w:val="auto"/>
          <w:szCs w:val="21"/>
          <w:highlight w:val="none"/>
        </w:rPr>
      </w:pPr>
      <w:r>
        <w:rPr>
          <w:rFonts w:hint="eastAsia"/>
          <w:color w:val="auto"/>
          <w:szCs w:val="21"/>
          <w:highlight w:val="none"/>
        </w:rPr>
        <w:t>2、若买受人发现乙方工作人员为谋取自身不正当利益有违反廉政规定的行为，买受人有权要求乙方撤回该人员，并不再安排该人员从事与买受人有关的任何工作。根据情节严重程度及双方合作态度，买受人有权采取以下一种或多种措施：终止或解除合同，限制乙方后续投标资格、将乙方列入供应商黑名单不再合作等。</w:t>
      </w:r>
    </w:p>
    <w:p>
      <w:pPr>
        <w:spacing w:line="500" w:lineRule="exact"/>
        <w:ind w:firstLine="420" w:firstLineChars="200"/>
        <w:rPr>
          <w:color w:val="auto"/>
          <w:szCs w:val="21"/>
          <w:highlight w:val="none"/>
        </w:rPr>
      </w:pPr>
      <w:r>
        <w:rPr>
          <w:rFonts w:hint="eastAsia"/>
          <w:color w:val="auto"/>
          <w:szCs w:val="21"/>
          <w:highlight w:val="none"/>
        </w:rPr>
        <w:t>3、如买受人出现违反本协议约定的行为，鼓励乙方进行举报，买受人将对乙方投诉人及投诉内容（举报人、陈述人、证人等）予以严格保密，并在接到乙方书面投诉后的15个工作日内给予乙方反馈。经查实买受人工作人员确有违反廉政规定行为的，买受人将根据有关规定对其进行严肃处理。</w:t>
      </w:r>
    </w:p>
    <w:p>
      <w:pPr>
        <w:spacing w:line="500" w:lineRule="exact"/>
        <w:ind w:firstLine="422" w:firstLineChars="200"/>
        <w:rPr>
          <w:b/>
          <w:bCs/>
          <w:color w:val="auto"/>
          <w:szCs w:val="21"/>
          <w:highlight w:val="none"/>
        </w:rPr>
      </w:pPr>
      <w:r>
        <w:rPr>
          <w:rFonts w:hint="eastAsia"/>
          <w:b/>
          <w:bCs/>
          <w:color w:val="auto"/>
          <w:szCs w:val="21"/>
          <w:highlight w:val="none"/>
        </w:rPr>
        <w:t>第五条 其他约定</w:t>
      </w:r>
    </w:p>
    <w:p>
      <w:pPr>
        <w:spacing w:line="500" w:lineRule="exact"/>
        <w:ind w:firstLine="420" w:firstLineChars="200"/>
        <w:rPr>
          <w:color w:val="auto"/>
          <w:szCs w:val="21"/>
          <w:highlight w:val="none"/>
        </w:rPr>
      </w:pPr>
      <w:r>
        <w:rPr>
          <w:rFonts w:hint="eastAsia"/>
          <w:color w:val="auto"/>
          <w:szCs w:val="21"/>
          <w:highlight w:val="none"/>
        </w:rPr>
        <w:t>1、本协议作为（＊项目全称）合同的附件应一并签订、保管，与该合同具有同等法律效力，经双方签署后立即生效。</w:t>
      </w:r>
    </w:p>
    <w:p>
      <w:pPr>
        <w:spacing w:line="500" w:lineRule="exact"/>
        <w:ind w:firstLine="420" w:firstLineChars="200"/>
        <w:rPr>
          <w:color w:val="auto"/>
          <w:szCs w:val="21"/>
          <w:highlight w:val="none"/>
        </w:rPr>
      </w:pPr>
      <w:r>
        <w:rPr>
          <w:rFonts w:hint="eastAsia"/>
          <w:color w:val="auto"/>
          <w:szCs w:val="21"/>
          <w:highlight w:val="none"/>
        </w:rPr>
        <w:t>2、本协议未尽事宜，双方可增补条款，增补内容如下：</w:t>
      </w:r>
    </w:p>
    <w:p>
      <w:pPr>
        <w:spacing w:line="500" w:lineRule="exact"/>
        <w:ind w:firstLine="420" w:firstLineChars="200"/>
        <w:rPr>
          <w:color w:val="auto"/>
          <w:szCs w:val="21"/>
          <w:highlight w:val="none"/>
          <w:u w:val="single"/>
        </w:rPr>
      </w:pPr>
      <w:r>
        <w:rPr>
          <w:rFonts w:hint="eastAsia"/>
          <w:color w:val="auto"/>
          <w:szCs w:val="21"/>
          <w:highlight w:val="none"/>
          <w:u w:val="single"/>
        </w:rPr>
        <w:t xml:space="preserve">（1）                                           </w:t>
      </w:r>
    </w:p>
    <w:p>
      <w:pPr>
        <w:spacing w:line="500" w:lineRule="exact"/>
        <w:ind w:firstLine="420" w:firstLineChars="200"/>
        <w:rPr>
          <w:color w:val="auto"/>
          <w:szCs w:val="21"/>
          <w:highlight w:val="none"/>
          <w:u w:val="single"/>
        </w:rPr>
      </w:pPr>
      <w:r>
        <w:rPr>
          <w:rFonts w:hint="eastAsia"/>
          <w:color w:val="auto"/>
          <w:szCs w:val="21"/>
          <w:highlight w:val="none"/>
          <w:u w:val="single"/>
        </w:rPr>
        <w:t xml:space="preserve">（2）                                           </w:t>
      </w:r>
    </w:p>
    <w:p>
      <w:pPr>
        <w:spacing w:line="500" w:lineRule="exact"/>
        <w:ind w:firstLine="420" w:firstLineChars="200"/>
        <w:rPr>
          <w:color w:val="auto"/>
          <w:szCs w:val="21"/>
          <w:highlight w:val="none"/>
          <w:u w:val="single"/>
        </w:rPr>
      </w:pPr>
      <w:r>
        <w:rPr>
          <w:rFonts w:hint="eastAsia"/>
          <w:color w:val="auto"/>
          <w:szCs w:val="21"/>
          <w:highlight w:val="none"/>
          <w:u w:val="single"/>
        </w:rPr>
        <w:t xml:space="preserve">（3）                                           </w:t>
      </w:r>
    </w:p>
    <w:p>
      <w:pPr>
        <w:spacing w:line="500" w:lineRule="exact"/>
        <w:ind w:firstLine="420" w:firstLineChars="200"/>
        <w:rPr>
          <w:color w:val="auto"/>
          <w:szCs w:val="21"/>
          <w:highlight w:val="none"/>
        </w:rPr>
      </w:pPr>
      <w:r>
        <w:rPr>
          <w:rFonts w:hint="eastAsia"/>
          <w:color w:val="auto"/>
          <w:szCs w:val="21"/>
          <w:highlight w:val="none"/>
        </w:rPr>
        <w:t>......</w:t>
      </w:r>
    </w:p>
    <w:p>
      <w:pPr>
        <w:spacing w:line="500" w:lineRule="exact"/>
        <w:ind w:firstLine="420" w:firstLineChars="200"/>
        <w:rPr>
          <w:color w:val="auto"/>
          <w:szCs w:val="21"/>
          <w:highlight w:val="none"/>
        </w:rPr>
      </w:pPr>
      <w:r>
        <w:rPr>
          <w:rFonts w:hint="eastAsia"/>
          <w:color w:val="auto"/>
          <w:szCs w:val="21"/>
          <w:highlight w:val="none"/>
        </w:rPr>
        <w:t>3、本协议的有效期为双方签字盖章之日起至项目合同履行完成时止。</w:t>
      </w:r>
    </w:p>
    <w:p>
      <w:pPr>
        <w:spacing w:line="500" w:lineRule="exact"/>
        <w:ind w:firstLine="420" w:firstLineChars="200"/>
        <w:rPr>
          <w:color w:val="auto"/>
          <w:szCs w:val="21"/>
          <w:highlight w:val="none"/>
        </w:rPr>
      </w:pPr>
      <w:r>
        <w:rPr>
          <w:rFonts w:hint="eastAsia"/>
          <w:color w:val="auto"/>
          <w:szCs w:val="21"/>
          <w:highlight w:val="none"/>
        </w:rPr>
        <w:t>4、为增进双方的沟通了解，买受人审计、纪检监察部门会与乙方进行非定期的访谈，乙方需予以配合。</w:t>
      </w:r>
    </w:p>
    <w:p>
      <w:pPr>
        <w:spacing w:line="500" w:lineRule="exact"/>
        <w:ind w:firstLine="420" w:firstLineChars="200"/>
        <w:rPr>
          <w:color w:val="auto"/>
          <w:szCs w:val="21"/>
          <w:highlight w:val="none"/>
        </w:rPr>
      </w:pPr>
      <w:r>
        <w:rPr>
          <w:rFonts w:hint="eastAsia"/>
          <w:color w:val="auto"/>
          <w:szCs w:val="21"/>
          <w:highlight w:val="none"/>
        </w:rPr>
        <w:t>5、乙方对买受人员工有任何意见、建议等，可向买受人审计、纪检监察部门反映，买受人将按规定对反映人、反映情况及个人联系方式进行保密。</w:t>
      </w:r>
    </w:p>
    <w:p>
      <w:pPr>
        <w:spacing w:line="500" w:lineRule="exact"/>
        <w:ind w:firstLine="420" w:firstLineChars="200"/>
        <w:rPr>
          <w:color w:val="auto"/>
          <w:szCs w:val="21"/>
          <w:highlight w:val="none"/>
        </w:rPr>
      </w:pPr>
      <w:r>
        <w:rPr>
          <w:rFonts w:hint="eastAsia"/>
          <w:color w:val="auto"/>
          <w:szCs w:val="21"/>
          <w:highlight w:val="none"/>
        </w:rPr>
        <w:t>6、对于支持审计、纪检监察工作和敢于揭露买受人有廉洁违规行为的乙方，买受人将优先考虑与其合作。</w:t>
      </w:r>
    </w:p>
    <w:p>
      <w:pPr>
        <w:spacing w:line="500" w:lineRule="exact"/>
        <w:ind w:firstLine="420" w:firstLineChars="200"/>
        <w:rPr>
          <w:color w:val="auto"/>
          <w:szCs w:val="21"/>
          <w:highlight w:val="none"/>
        </w:rPr>
      </w:pPr>
      <w:r>
        <w:rPr>
          <w:rFonts w:hint="eastAsia"/>
          <w:color w:val="auto"/>
          <w:szCs w:val="21"/>
          <w:highlight w:val="none"/>
        </w:rPr>
        <w:t>7、买受人举报电话：0514-82883093；邮箱：</w:t>
      </w:r>
      <w:r>
        <w:rPr>
          <w:color w:val="auto"/>
          <w:highlight w:val="none"/>
        </w:rPr>
        <w:fldChar w:fldCharType="begin"/>
      </w:r>
      <w:r>
        <w:rPr>
          <w:color w:val="auto"/>
          <w:highlight w:val="none"/>
        </w:rPr>
        <w:instrText xml:space="preserve"> HYPERLINK "mailto:cjswjw@163.com" </w:instrText>
      </w:r>
      <w:r>
        <w:rPr>
          <w:color w:val="auto"/>
          <w:highlight w:val="none"/>
        </w:rPr>
        <w:fldChar w:fldCharType="separate"/>
      </w:r>
      <w:r>
        <w:rPr>
          <w:rFonts w:hint="eastAsia"/>
          <w:color w:val="auto"/>
          <w:szCs w:val="21"/>
          <w:highlight w:val="none"/>
        </w:rPr>
        <w:t>cjswjw@163.com</w:t>
      </w:r>
      <w:r>
        <w:rPr>
          <w:rFonts w:hint="eastAsia"/>
          <w:color w:val="auto"/>
          <w:szCs w:val="21"/>
          <w:highlight w:val="none"/>
        </w:rPr>
        <w:fldChar w:fldCharType="end"/>
      </w:r>
      <w:r>
        <w:rPr>
          <w:rFonts w:hint="eastAsia"/>
          <w:color w:val="auto"/>
          <w:szCs w:val="21"/>
          <w:highlight w:val="none"/>
        </w:rPr>
        <w:t>。</w:t>
      </w:r>
    </w:p>
    <w:p>
      <w:pPr>
        <w:spacing w:line="500" w:lineRule="exact"/>
        <w:ind w:firstLine="420" w:firstLineChars="200"/>
        <w:rPr>
          <w:color w:val="auto"/>
          <w:szCs w:val="21"/>
          <w:highlight w:val="none"/>
        </w:rPr>
      </w:pPr>
      <w:r>
        <w:rPr>
          <w:rFonts w:hint="eastAsia"/>
          <w:color w:val="auto"/>
          <w:szCs w:val="21"/>
          <w:highlight w:val="none"/>
        </w:rPr>
        <w:t xml:space="preserve">   乙方举报电话：             ；邮箱：              。</w:t>
      </w:r>
    </w:p>
    <w:p>
      <w:pPr>
        <w:numPr>
          <w:ilvl w:val="0"/>
          <w:numId w:val="3"/>
        </w:numPr>
        <w:spacing w:line="500" w:lineRule="exact"/>
        <w:ind w:firstLine="420" w:firstLineChars="200"/>
        <w:rPr>
          <w:color w:val="auto"/>
          <w:szCs w:val="21"/>
          <w:highlight w:val="none"/>
        </w:rPr>
      </w:pPr>
      <w:r>
        <w:rPr>
          <w:rFonts w:hint="eastAsia"/>
          <w:color w:val="auto"/>
          <w:szCs w:val="21"/>
          <w:highlight w:val="none"/>
        </w:rPr>
        <w:t>本协议书一式六份，甲（纪委办留存一份）执四份，乙方执两份。</w:t>
      </w:r>
    </w:p>
    <w:tbl>
      <w:tblPr>
        <w:tblStyle w:val="24"/>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甲     方</w:t>
            </w:r>
          </w:p>
          <w:p>
            <w:pPr>
              <w:spacing w:line="460" w:lineRule="exact"/>
              <w:rPr>
                <w:rFonts w:ascii="宋体" w:hAnsi="宋体" w:cs="宋体"/>
                <w:color w:val="auto"/>
                <w:szCs w:val="21"/>
                <w:highlight w:val="none"/>
              </w:rPr>
            </w:pPr>
            <w:r>
              <w:rPr>
                <w:rFonts w:hint="eastAsia" w:ascii="宋体" w:hAnsi="宋体" w:cs="宋体"/>
                <w:color w:val="auto"/>
                <w:szCs w:val="21"/>
                <w:highlight w:val="none"/>
              </w:rPr>
              <w:t>买受人单位（盖章）：江苏长江水务股份有限公司</w:t>
            </w:r>
          </w:p>
          <w:p>
            <w:pPr>
              <w:pStyle w:val="22"/>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p>
          <w:p>
            <w:pPr>
              <w:pStyle w:val="23"/>
              <w:tabs>
                <w:tab w:val="left" w:pos="0"/>
                <w:tab w:val="left" w:pos="993"/>
                <w:tab w:val="left" w:pos="1134"/>
              </w:tabs>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pPr>
              <w:rPr>
                <w:rFonts w:ascii="宋体" w:hAnsi="宋体" w:cs="宋体"/>
                <w:color w:val="auto"/>
                <w:szCs w:val="21"/>
                <w:highlight w:val="none"/>
              </w:rPr>
            </w:pPr>
            <w:r>
              <w:rPr>
                <w:rFonts w:hint="eastAsia" w:ascii="宋体" w:hAnsi="宋体" w:cs="宋体"/>
                <w:color w:val="auto"/>
                <w:szCs w:val="21"/>
                <w:highlight w:val="none"/>
              </w:rPr>
              <w:t>地  址：</w:t>
            </w:r>
          </w:p>
          <w:p>
            <w:pPr>
              <w:pStyle w:val="22"/>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＊联系方式：0514-82980012</w:t>
            </w:r>
          </w:p>
          <w:p>
            <w:pPr>
              <w:pStyle w:val="23"/>
              <w:tabs>
                <w:tab w:val="left" w:pos="0"/>
                <w:tab w:val="left" w:pos="993"/>
                <w:tab w:val="left" w:pos="1134"/>
              </w:tabs>
              <w:rPr>
                <w:rFonts w:ascii="宋体" w:hAnsi="宋体" w:cs="宋体"/>
                <w:color w:val="auto"/>
                <w:sz w:val="21"/>
                <w:szCs w:val="21"/>
                <w:highlight w:val="none"/>
              </w:rPr>
            </w:pPr>
            <w:r>
              <w:rPr>
                <w:rFonts w:hint="eastAsia" w:ascii="宋体" w:hAnsi="宋体" w:cs="宋体"/>
                <w:color w:val="auto"/>
                <w:sz w:val="21"/>
                <w:szCs w:val="21"/>
                <w:highlight w:val="none"/>
              </w:rPr>
              <w:t xml:space="preserve">年  月  日  </w:t>
            </w:r>
          </w:p>
        </w:tc>
        <w:tc>
          <w:tcPr>
            <w:tcW w:w="4463" w:type="dxa"/>
            <w:noWrap/>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乙    方</w:t>
            </w:r>
          </w:p>
          <w:p>
            <w:pPr>
              <w:spacing w:line="460" w:lineRule="exact"/>
              <w:rPr>
                <w:rFonts w:ascii="宋体" w:hAnsi="宋体" w:cs="宋体"/>
                <w:color w:val="auto"/>
                <w:szCs w:val="21"/>
                <w:highlight w:val="none"/>
              </w:rPr>
            </w:pPr>
            <w:r>
              <w:rPr>
                <w:rFonts w:hint="eastAsia" w:ascii="宋体" w:hAnsi="宋体" w:cs="宋体"/>
                <w:color w:val="auto"/>
                <w:szCs w:val="21"/>
                <w:highlight w:val="none"/>
              </w:rPr>
              <w:t>乙方单位（盖章）：</w:t>
            </w:r>
          </w:p>
          <w:p>
            <w:pPr>
              <w:pStyle w:val="22"/>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p>
          <w:p>
            <w:pPr>
              <w:pStyle w:val="23"/>
              <w:tabs>
                <w:tab w:val="left" w:pos="0"/>
                <w:tab w:val="left" w:pos="993"/>
                <w:tab w:val="left" w:pos="1134"/>
              </w:tabs>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pPr>
              <w:rPr>
                <w:rFonts w:ascii="宋体" w:hAnsi="宋体" w:cs="宋体"/>
                <w:color w:val="auto"/>
                <w:szCs w:val="21"/>
                <w:highlight w:val="none"/>
              </w:rPr>
            </w:pPr>
            <w:r>
              <w:rPr>
                <w:rFonts w:hint="eastAsia" w:ascii="宋体" w:hAnsi="宋体" w:cs="宋体"/>
                <w:color w:val="auto"/>
                <w:szCs w:val="21"/>
                <w:highlight w:val="none"/>
              </w:rPr>
              <w:t>地  址：</w:t>
            </w:r>
          </w:p>
          <w:p>
            <w:pPr>
              <w:pStyle w:val="22"/>
              <w:ind w:firstLine="0" w:firstLineChars="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＊联系方式：</w:t>
            </w:r>
          </w:p>
          <w:p>
            <w:pPr>
              <w:pStyle w:val="22"/>
              <w:ind w:firstLine="21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年  月  日  </w:t>
            </w:r>
          </w:p>
        </w:tc>
      </w:tr>
    </w:tbl>
    <w:p>
      <w:pPr>
        <w:spacing w:line="500" w:lineRule="exact"/>
        <w:rPr>
          <w:color w:val="auto"/>
          <w:szCs w:val="21"/>
          <w:highlight w:val="none"/>
        </w:rPr>
      </w:pPr>
      <w:r>
        <w:rPr>
          <w:rFonts w:hint="eastAsia"/>
          <w:color w:val="auto"/>
          <w:szCs w:val="21"/>
          <w:highlight w:val="none"/>
        </w:rPr>
        <w:t>“＊”为必填项</w:t>
      </w:r>
    </w:p>
    <w:p>
      <w:pPr>
        <w:spacing w:line="450" w:lineRule="atLeast"/>
        <w:ind w:firstLine="3570" w:firstLineChars="1700"/>
        <w:rPr>
          <w:rFonts w:ascii="宋体" w:hAnsi="宋体" w:cs="宋体"/>
          <w:color w:val="auto"/>
          <w:highlight w:val="none"/>
        </w:rPr>
      </w:pPr>
    </w:p>
    <w:p>
      <w:pPr>
        <w:autoSpaceDE w:val="0"/>
        <w:autoSpaceDN w:val="0"/>
        <w:adjustRightInd w:val="0"/>
        <w:snapToGrid w:val="0"/>
        <w:spacing w:line="480" w:lineRule="exact"/>
        <w:ind w:firstLine="561"/>
        <w:rPr>
          <w:rFonts w:ascii="宋体" w:hAnsi="宋体"/>
          <w:b/>
          <w:color w:val="auto"/>
          <w:sz w:val="30"/>
          <w:szCs w:val="30"/>
          <w:highlight w:val="none"/>
        </w:rPr>
      </w:pPr>
    </w:p>
    <w:p>
      <w:pPr>
        <w:pStyle w:val="9"/>
        <w:ind w:left="0" w:leftChars="0"/>
        <w:jc w:val="center"/>
        <w:rPr>
          <w:rFonts w:ascii="宋体" w:hAnsi="宋体" w:cs="宋体"/>
          <w:b/>
          <w:bCs/>
          <w:color w:val="auto"/>
          <w:kern w:val="44"/>
          <w:sz w:val="36"/>
          <w:szCs w:val="44"/>
          <w:highlight w:val="none"/>
        </w:rPr>
      </w:pPr>
      <w:r>
        <w:rPr>
          <w:rFonts w:hint="eastAsia" w:ascii="宋体" w:hAnsi="宋体" w:cs="宋体"/>
          <w:color w:val="auto"/>
          <w:szCs w:val="21"/>
          <w:highlight w:val="none"/>
          <w:shd w:val="clear" w:color="auto" w:fill="FFFFFF"/>
        </w:rPr>
        <w:br w:type="page"/>
      </w:r>
      <w:r>
        <w:rPr>
          <w:rFonts w:hint="eastAsia" w:ascii="宋体" w:hAnsi="宋体" w:cs="宋体"/>
          <w:b/>
          <w:bCs/>
          <w:color w:val="auto"/>
          <w:kern w:val="44"/>
          <w:sz w:val="36"/>
          <w:szCs w:val="44"/>
          <w:highlight w:val="none"/>
        </w:rPr>
        <w:t>第四章 项目需求</w:t>
      </w:r>
      <w:bookmarkEnd w:id="124"/>
      <w:bookmarkEnd w:id="125"/>
      <w:bookmarkEnd w:id="126"/>
      <w:bookmarkEnd w:id="127"/>
      <w:bookmarkEnd w:id="128"/>
    </w:p>
    <w:bookmarkEnd w:id="121"/>
    <w:bookmarkEnd w:id="122"/>
    <w:p>
      <w:pPr>
        <w:snapToGrid w:val="0"/>
        <w:spacing w:line="360" w:lineRule="auto"/>
        <w:rPr>
          <w:rFonts w:hint="default" w:ascii="宋体" w:hAnsi="宋体" w:eastAsia="宋体" w:cs="宋体"/>
          <w:b/>
          <w:bCs/>
          <w:color w:val="auto"/>
          <w:kern w:val="0"/>
          <w:szCs w:val="21"/>
          <w:highlight w:val="none"/>
          <w:lang w:val="en-US" w:eastAsia="zh-CN"/>
        </w:rPr>
      </w:pPr>
      <w:bookmarkStart w:id="129" w:name="_Toc100135571"/>
      <w:bookmarkStart w:id="130" w:name="_Toc99380851"/>
      <w:r>
        <w:rPr>
          <w:rFonts w:hint="eastAsia" w:ascii="宋体" w:hAnsi="宋体" w:cs="宋体"/>
          <w:b/>
          <w:bCs/>
          <w:color w:val="auto"/>
          <w:kern w:val="0"/>
          <w:szCs w:val="21"/>
          <w:highlight w:val="none"/>
        </w:rPr>
        <w:t>一、</w:t>
      </w:r>
      <w:r>
        <w:rPr>
          <w:rFonts w:hint="eastAsia" w:ascii="宋体" w:hAnsi="宋体" w:cs="宋体"/>
          <w:b/>
          <w:bCs/>
          <w:color w:val="auto"/>
          <w:kern w:val="0"/>
          <w:szCs w:val="21"/>
          <w:highlight w:val="none"/>
          <w:lang w:val="en-US" w:eastAsia="zh-CN"/>
        </w:rPr>
        <w:t>工作内容</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rPr>
      </w:pPr>
      <w:r>
        <w:rPr>
          <w:rFonts w:hint="default" w:ascii="宋体" w:hAnsi="宋体"/>
          <w:color w:val="auto"/>
          <w:szCs w:val="21"/>
          <w:highlight w:val="none"/>
          <w:lang w:val="zh-CN"/>
        </w:rPr>
        <w:t>1、项目所在区域水资源状况及其开发利用分析；</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rPr>
      </w:pPr>
      <w:r>
        <w:rPr>
          <w:rFonts w:hint="default" w:ascii="宋体" w:hAnsi="宋体"/>
          <w:color w:val="auto"/>
          <w:szCs w:val="21"/>
          <w:highlight w:val="none"/>
          <w:lang w:val="zh-CN"/>
        </w:rPr>
        <w:t>2、项目取用水合理性分析；</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rPr>
      </w:pPr>
      <w:r>
        <w:rPr>
          <w:rFonts w:hint="default" w:ascii="宋体" w:hAnsi="宋体"/>
          <w:color w:val="auto"/>
          <w:szCs w:val="21"/>
          <w:highlight w:val="none"/>
          <w:lang w:val="zh-CN"/>
        </w:rPr>
        <w:t>3、项目取水水源论证；</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rPr>
      </w:pPr>
      <w:r>
        <w:rPr>
          <w:rFonts w:hint="default" w:ascii="宋体" w:hAnsi="宋体"/>
          <w:color w:val="auto"/>
          <w:szCs w:val="21"/>
          <w:highlight w:val="none"/>
          <w:lang w:val="zh-CN"/>
        </w:rPr>
        <w:t>4、项目取水影响分析；</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rPr>
      </w:pPr>
      <w:r>
        <w:rPr>
          <w:rFonts w:hint="default" w:ascii="宋体" w:hAnsi="宋体"/>
          <w:color w:val="auto"/>
          <w:szCs w:val="21"/>
          <w:highlight w:val="none"/>
          <w:lang w:val="zh-CN"/>
        </w:rPr>
        <w:t>5</w:t>
      </w:r>
      <w:r>
        <w:rPr>
          <w:rFonts w:hint="default" w:ascii="宋体" w:hAnsi="宋体"/>
          <w:color w:val="auto"/>
          <w:szCs w:val="21"/>
          <w:highlight w:val="none"/>
          <w:lang w:val="zh-CN" w:eastAsia="zh-CN"/>
        </w:rPr>
        <w:t>、项目退水影响分析</w:t>
      </w:r>
      <w:r>
        <w:rPr>
          <w:rFonts w:hint="default" w:ascii="宋体" w:hAnsi="宋体"/>
          <w:color w:val="auto"/>
          <w:szCs w:val="21"/>
          <w:highlight w:val="none"/>
          <w:lang w:val="zh-CN"/>
        </w:rPr>
        <w:t>；</w:t>
      </w:r>
    </w:p>
    <w:p>
      <w:pPr>
        <w:autoSpaceDE w:val="0"/>
        <w:autoSpaceDN w:val="0"/>
        <w:adjustRightInd w:val="0"/>
        <w:snapToGrid w:val="0"/>
        <w:spacing w:line="480" w:lineRule="exact"/>
        <w:ind w:firstLine="420" w:firstLineChars="200"/>
        <w:rPr>
          <w:rFonts w:hint="default" w:ascii="宋体" w:hAnsi="宋体"/>
          <w:color w:val="auto"/>
          <w:szCs w:val="21"/>
          <w:highlight w:val="none"/>
          <w:lang w:val="en-US" w:eastAsia="zh-CN"/>
        </w:rPr>
      </w:pPr>
      <w:r>
        <w:rPr>
          <w:rFonts w:hint="default" w:ascii="宋体" w:hAnsi="宋体"/>
          <w:color w:val="auto"/>
          <w:szCs w:val="21"/>
          <w:highlight w:val="none"/>
          <w:lang w:val="en-US" w:eastAsia="zh-CN"/>
        </w:rPr>
        <w:t>6、水资源监测分析；</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rPr>
      </w:pPr>
      <w:r>
        <w:rPr>
          <w:rFonts w:hint="default" w:ascii="宋体" w:hAnsi="宋体"/>
          <w:color w:val="auto"/>
          <w:szCs w:val="21"/>
          <w:highlight w:val="none"/>
          <w:lang w:val="en-US" w:eastAsia="zh-CN"/>
        </w:rPr>
        <w:t>7</w:t>
      </w:r>
      <w:r>
        <w:rPr>
          <w:rFonts w:hint="default" w:ascii="宋体" w:hAnsi="宋体"/>
          <w:color w:val="auto"/>
          <w:szCs w:val="21"/>
          <w:highlight w:val="none"/>
          <w:lang w:val="zh-CN"/>
        </w:rPr>
        <w:t>、提交水资源论证成果报告，并提供相关后续服务等工作。</w:t>
      </w:r>
    </w:p>
    <w:p>
      <w:pPr>
        <w:autoSpaceDE w:val="0"/>
        <w:autoSpaceDN w:val="0"/>
        <w:adjustRightInd w:val="0"/>
        <w:snapToGrid w:val="0"/>
        <w:spacing w:line="480" w:lineRule="exact"/>
        <w:rPr>
          <w:rFonts w:hint="default" w:ascii="宋体" w:hAnsi="宋体" w:eastAsia="宋体"/>
          <w:color w:val="auto"/>
          <w:szCs w:val="21"/>
          <w:highlight w:val="none"/>
          <w:lang w:val="en-US" w:eastAsia="zh-CN"/>
        </w:rPr>
      </w:pPr>
      <w:r>
        <w:rPr>
          <w:rFonts w:hint="eastAsia" w:ascii="宋体" w:hAnsi="宋体" w:cs="宋体"/>
          <w:b/>
          <w:bCs/>
          <w:color w:val="auto"/>
          <w:szCs w:val="21"/>
          <w:highlight w:val="none"/>
        </w:rPr>
        <w:t>二、</w:t>
      </w:r>
      <w:r>
        <w:rPr>
          <w:rFonts w:hint="eastAsia" w:ascii="宋体" w:hAnsi="宋体" w:cs="宋体"/>
          <w:b/>
          <w:bCs/>
          <w:color w:val="auto"/>
          <w:szCs w:val="21"/>
          <w:highlight w:val="none"/>
          <w:lang w:val="en-US" w:eastAsia="zh-CN"/>
        </w:rPr>
        <w:t>项目要求</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eastAsia="zh-CN"/>
        </w:rPr>
      </w:pPr>
      <w:r>
        <w:rPr>
          <w:rFonts w:hint="default" w:ascii="宋体" w:hAnsi="宋体"/>
          <w:color w:val="auto"/>
          <w:szCs w:val="21"/>
          <w:highlight w:val="none"/>
          <w:lang w:val="zh-CN" w:eastAsia="zh-CN"/>
        </w:rPr>
        <w:t>1、</w:t>
      </w:r>
      <w:r>
        <w:rPr>
          <w:rFonts w:hint="eastAsia" w:ascii="宋体" w:hAnsi="宋体"/>
          <w:color w:val="auto"/>
          <w:szCs w:val="21"/>
          <w:highlight w:val="none"/>
          <w:lang w:val="zh-CN" w:eastAsia="zh-CN"/>
        </w:rPr>
        <w:t>中标人</w:t>
      </w:r>
      <w:r>
        <w:rPr>
          <w:rFonts w:hint="default" w:ascii="宋体" w:hAnsi="宋体"/>
          <w:color w:val="auto"/>
          <w:szCs w:val="21"/>
          <w:highlight w:val="none"/>
          <w:lang w:val="zh-CN" w:eastAsia="zh-CN"/>
        </w:rPr>
        <w:t>应及时向项目建设单位提供所需基础资料清单，安排技术人员配合收集项目所需基础资料。</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eastAsia="zh-CN"/>
        </w:rPr>
      </w:pPr>
      <w:r>
        <w:rPr>
          <w:rFonts w:hint="default" w:ascii="宋体" w:hAnsi="宋体"/>
          <w:color w:val="auto"/>
          <w:szCs w:val="21"/>
          <w:highlight w:val="none"/>
          <w:lang w:val="zh-CN" w:eastAsia="zh-CN"/>
        </w:rPr>
        <w:t>2、</w:t>
      </w:r>
      <w:r>
        <w:rPr>
          <w:rFonts w:hint="eastAsia" w:ascii="宋体" w:hAnsi="宋体"/>
          <w:color w:val="auto"/>
          <w:szCs w:val="21"/>
          <w:highlight w:val="none"/>
          <w:lang w:val="zh-CN" w:eastAsia="zh-CN"/>
        </w:rPr>
        <w:t>中标人</w:t>
      </w:r>
      <w:r>
        <w:rPr>
          <w:rFonts w:hint="default" w:ascii="宋体" w:hAnsi="宋体"/>
          <w:color w:val="auto"/>
          <w:szCs w:val="21"/>
          <w:highlight w:val="none"/>
          <w:lang w:val="zh-CN" w:eastAsia="zh-CN"/>
        </w:rPr>
        <w:t>应组建项目组及时开展工作，明确项目负责人，保证按时提交成果，协助业主通过水行政主管部门组织的专家评审并获得取水许可申请批复。</w:t>
      </w:r>
    </w:p>
    <w:p>
      <w:pPr>
        <w:autoSpaceDE w:val="0"/>
        <w:autoSpaceDN w:val="0"/>
        <w:adjustRightInd w:val="0"/>
        <w:snapToGrid w:val="0"/>
        <w:spacing w:line="480" w:lineRule="exact"/>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三、其他</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eastAsia="zh-CN"/>
        </w:rPr>
      </w:pPr>
      <w:bookmarkStart w:id="131" w:name="_Toc320206887"/>
      <w:r>
        <w:rPr>
          <w:rFonts w:hint="default" w:ascii="宋体" w:hAnsi="宋体"/>
          <w:color w:val="auto"/>
          <w:szCs w:val="21"/>
          <w:highlight w:val="none"/>
          <w:lang w:val="zh-CN" w:eastAsia="zh-CN"/>
        </w:rPr>
        <w:t>1、</w:t>
      </w:r>
      <w:r>
        <w:rPr>
          <w:rFonts w:hint="eastAsia" w:ascii="宋体" w:hAnsi="宋体"/>
          <w:color w:val="auto"/>
          <w:szCs w:val="21"/>
          <w:highlight w:val="none"/>
          <w:lang w:val="zh-CN" w:eastAsia="zh-CN"/>
        </w:rPr>
        <w:t>中标人</w:t>
      </w:r>
      <w:r>
        <w:rPr>
          <w:rFonts w:hint="default" w:ascii="宋体" w:hAnsi="宋体"/>
          <w:color w:val="auto"/>
          <w:szCs w:val="21"/>
          <w:highlight w:val="none"/>
          <w:lang w:val="zh-CN" w:eastAsia="zh-CN"/>
        </w:rPr>
        <w:t>必须在</w:t>
      </w:r>
      <w:r>
        <w:rPr>
          <w:rFonts w:hint="eastAsia" w:ascii="宋体" w:hAnsi="宋体"/>
          <w:color w:val="auto"/>
          <w:szCs w:val="21"/>
          <w:highlight w:val="none"/>
          <w:lang w:val="zh-CN" w:eastAsia="zh-CN"/>
        </w:rPr>
        <w:t>投标</w:t>
      </w:r>
      <w:r>
        <w:rPr>
          <w:rFonts w:hint="default" w:ascii="宋体" w:hAnsi="宋体"/>
          <w:color w:val="auto"/>
          <w:szCs w:val="21"/>
          <w:highlight w:val="none"/>
          <w:lang w:val="zh-CN" w:eastAsia="zh-CN"/>
        </w:rPr>
        <w:t>文件中对以上条款和服务承诺明确列出，承诺内容必须达到本篇及</w:t>
      </w:r>
      <w:r>
        <w:rPr>
          <w:rFonts w:hint="eastAsia" w:ascii="宋体" w:hAnsi="宋体"/>
          <w:color w:val="auto"/>
          <w:szCs w:val="21"/>
          <w:highlight w:val="none"/>
          <w:lang w:val="zh-CN" w:eastAsia="zh-CN"/>
        </w:rPr>
        <w:t>招标</w:t>
      </w:r>
      <w:r>
        <w:rPr>
          <w:rFonts w:hint="default" w:ascii="宋体" w:hAnsi="宋体"/>
          <w:color w:val="auto"/>
          <w:szCs w:val="21"/>
          <w:highlight w:val="none"/>
          <w:lang w:val="zh-CN" w:eastAsia="zh-CN"/>
        </w:rPr>
        <w:t>文件其他条款的要求。</w:t>
      </w:r>
      <w:bookmarkEnd w:id="131"/>
    </w:p>
    <w:p>
      <w:pPr>
        <w:autoSpaceDE w:val="0"/>
        <w:autoSpaceDN w:val="0"/>
        <w:adjustRightInd w:val="0"/>
        <w:snapToGrid w:val="0"/>
        <w:spacing w:line="480" w:lineRule="exact"/>
        <w:ind w:firstLine="420" w:firstLineChars="200"/>
        <w:rPr>
          <w:rFonts w:hint="default" w:ascii="宋体" w:hAnsi="宋体"/>
          <w:color w:val="auto"/>
          <w:szCs w:val="21"/>
          <w:highlight w:val="none"/>
          <w:lang w:val="en-US" w:eastAsia="zh-CN"/>
        </w:rPr>
      </w:pPr>
      <w:bookmarkStart w:id="132" w:name="_Toc320206888"/>
      <w:r>
        <w:rPr>
          <w:rFonts w:hint="default" w:ascii="宋体" w:hAnsi="宋体"/>
          <w:color w:val="auto"/>
          <w:szCs w:val="21"/>
          <w:highlight w:val="none"/>
          <w:lang w:val="zh-CN" w:eastAsia="zh-CN"/>
        </w:rPr>
        <w:t>2、其他未尽事宜由供需双方在采购合同中详细约定。</w:t>
      </w:r>
      <w:bookmarkEnd w:id="132"/>
    </w:p>
    <w:p>
      <w:pPr>
        <w:autoSpaceDE w:val="0"/>
        <w:autoSpaceDN w:val="0"/>
        <w:adjustRightInd w:val="0"/>
        <w:snapToGrid w:val="0"/>
        <w:spacing w:line="480" w:lineRule="exact"/>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四、服务周期</w:t>
      </w:r>
    </w:p>
    <w:p>
      <w:pPr>
        <w:autoSpaceDE w:val="0"/>
        <w:autoSpaceDN w:val="0"/>
        <w:adjustRightInd w:val="0"/>
        <w:snapToGrid w:val="0"/>
        <w:spacing w:line="480" w:lineRule="exact"/>
        <w:ind w:firstLine="420" w:firstLineChars="200"/>
        <w:rPr>
          <w:rFonts w:hint="default" w:ascii="宋体" w:hAnsi="宋体"/>
          <w:color w:val="auto"/>
          <w:szCs w:val="21"/>
          <w:highlight w:val="none"/>
          <w:lang w:val="zh-CN" w:eastAsia="zh-CN"/>
        </w:rPr>
      </w:pPr>
      <w:r>
        <w:rPr>
          <w:rFonts w:hint="default" w:ascii="宋体" w:hAnsi="宋体"/>
          <w:color w:val="auto"/>
          <w:szCs w:val="21"/>
          <w:highlight w:val="none"/>
          <w:lang w:val="zh-CN" w:eastAsia="zh-CN"/>
        </w:rPr>
        <w:t>签订合同后</w:t>
      </w:r>
      <w:r>
        <w:rPr>
          <w:rFonts w:hint="eastAsia" w:ascii="宋体" w:hAnsi="宋体"/>
          <w:color w:val="auto"/>
          <w:szCs w:val="21"/>
          <w:highlight w:val="none"/>
          <w:lang w:val="en-US" w:eastAsia="zh-CN"/>
        </w:rPr>
        <w:t>4</w:t>
      </w:r>
      <w:r>
        <w:rPr>
          <w:rFonts w:hint="default" w:ascii="宋体" w:hAnsi="宋体"/>
          <w:color w:val="auto"/>
          <w:szCs w:val="21"/>
          <w:highlight w:val="none"/>
          <w:lang w:val="en-US" w:eastAsia="zh-CN"/>
        </w:rPr>
        <w:t>0</w:t>
      </w:r>
      <w:r>
        <w:rPr>
          <w:rFonts w:hint="default" w:ascii="宋体" w:hAnsi="宋体"/>
          <w:color w:val="auto"/>
          <w:szCs w:val="21"/>
          <w:highlight w:val="none"/>
          <w:lang w:val="zh-CN" w:eastAsia="zh-CN"/>
        </w:rPr>
        <w:t>个日历</w:t>
      </w:r>
      <w:r>
        <w:rPr>
          <w:rFonts w:hint="eastAsia" w:ascii="宋体" w:hAnsi="宋体"/>
          <w:color w:val="auto"/>
          <w:szCs w:val="21"/>
          <w:highlight w:val="none"/>
          <w:lang w:val="en-US" w:eastAsia="zh-CN"/>
        </w:rPr>
        <w:t>天</w:t>
      </w:r>
      <w:r>
        <w:rPr>
          <w:rFonts w:hint="default" w:ascii="宋体" w:hAnsi="宋体"/>
          <w:color w:val="auto"/>
          <w:szCs w:val="21"/>
          <w:highlight w:val="none"/>
          <w:lang w:val="zh-CN" w:eastAsia="zh-CN"/>
        </w:rPr>
        <w:t>提交报告送审稿。</w:t>
      </w:r>
    </w:p>
    <w:p>
      <w:pPr>
        <w:widowControl/>
        <w:shd w:val="clear" w:color="auto" w:fill="FFFFFF"/>
        <w:spacing w:beforeLines="50"/>
        <w:ind w:firstLine="140" w:firstLineChars="67"/>
        <w:rPr>
          <w:rFonts w:ascii="宋体" w:hAnsi="宋体" w:cs="宋体"/>
          <w:color w:val="auto"/>
          <w:szCs w:val="21"/>
          <w:highlight w:val="none"/>
        </w:rPr>
      </w:pPr>
    </w:p>
    <w:p>
      <w:pPr>
        <w:pStyle w:val="9"/>
        <w:spacing w:beforeLines="50" w:after="0" w:line="360" w:lineRule="auto"/>
        <w:ind w:left="0" w:leftChars="0"/>
        <w:jc w:val="center"/>
        <w:rPr>
          <w:color w:val="auto"/>
          <w:highlight w:val="none"/>
        </w:rPr>
      </w:pPr>
      <w:r>
        <w:rPr>
          <w:rFonts w:ascii="宋体" w:hAnsi="宋体" w:cs="宋体"/>
          <w:b/>
          <w:i/>
          <w:color w:val="auto"/>
          <w:szCs w:val="21"/>
          <w:highlight w:val="none"/>
          <w:u w:val="single"/>
        </w:rPr>
        <w:br w:type="page"/>
      </w:r>
    </w:p>
    <w:p>
      <w:pPr>
        <w:tabs>
          <w:tab w:val="left" w:pos="900"/>
        </w:tabs>
        <w:spacing w:line="360" w:lineRule="auto"/>
        <w:jc w:val="center"/>
        <w:outlineLvl w:val="0"/>
        <w:rPr>
          <w:rFonts w:ascii="宋体" w:hAnsi="宋体" w:cs="宋体"/>
          <w:b/>
          <w:bCs/>
          <w:color w:val="auto"/>
          <w:kern w:val="44"/>
          <w:sz w:val="36"/>
          <w:szCs w:val="44"/>
          <w:highlight w:val="none"/>
        </w:rPr>
      </w:pPr>
      <w:bookmarkStart w:id="133" w:name="_Toc29243"/>
      <w:r>
        <w:rPr>
          <w:rFonts w:hint="eastAsia" w:ascii="宋体" w:hAnsi="宋体" w:cs="宋体"/>
          <w:b/>
          <w:bCs/>
          <w:color w:val="auto"/>
          <w:kern w:val="44"/>
          <w:sz w:val="36"/>
          <w:szCs w:val="44"/>
          <w:highlight w:val="none"/>
        </w:rPr>
        <w:t>第五章 评标方法及评标标准</w:t>
      </w:r>
      <w:bookmarkEnd w:id="129"/>
      <w:bookmarkEnd w:id="130"/>
      <w:bookmarkEnd w:id="133"/>
    </w:p>
    <w:p>
      <w:pPr>
        <w:pStyle w:val="45"/>
        <w:spacing w:before="0" w:after="0"/>
        <w:ind w:firstLine="422" w:firstLineChars="200"/>
        <w:rPr>
          <w:rFonts w:ascii="宋体" w:hAnsi="宋体"/>
          <w:b/>
          <w:color w:val="auto"/>
          <w:kern w:val="2"/>
          <w:sz w:val="21"/>
          <w:szCs w:val="21"/>
          <w:highlight w:val="none"/>
        </w:rPr>
      </w:pPr>
      <w:r>
        <w:rPr>
          <w:rFonts w:hint="eastAsia" w:ascii="宋体" w:hAnsi="宋体"/>
          <w:b/>
          <w:color w:val="auto"/>
          <w:kern w:val="2"/>
          <w:sz w:val="21"/>
          <w:szCs w:val="21"/>
          <w:highlight w:val="none"/>
        </w:rPr>
        <w:t>一、评标方法</w:t>
      </w:r>
    </w:p>
    <w:p>
      <w:pPr>
        <w:spacing w:line="440" w:lineRule="exact"/>
        <w:ind w:right="-92" w:rightChars="-44" w:firstLine="420" w:firstLineChars="200"/>
        <w:rPr>
          <w:rFonts w:ascii="宋体" w:hAnsi="宋体"/>
          <w:b/>
          <w:color w:val="auto"/>
          <w:szCs w:val="21"/>
          <w:highlight w:val="none"/>
        </w:rPr>
      </w:pPr>
      <w:r>
        <w:rPr>
          <w:rFonts w:hint="eastAsia" w:ascii="宋体" w:hAnsi="宋体" w:cs="宋体"/>
          <w:color w:val="auto"/>
          <w:szCs w:val="21"/>
          <w:highlight w:val="none"/>
        </w:rPr>
        <w:t>本项目采用综合评分法，评委会将对确定为实质性响应招标文件要求的投标文件进行评价和比较。评标结果按评审后得分由高到低顺序排列。得分相同的，按投标报价由低到高顺序排列。得分且投标报价相同的并列，投标文件满足招标文件全部实质性要求，且按照评审因素的量化指标评审得分最高和次高的投标人为排名第一、第二的中标候选人。</w:t>
      </w:r>
    </w:p>
    <w:p>
      <w:pPr>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二、评标标准</w:t>
      </w:r>
    </w:p>
    <w:tbl>
      <w:tblPr>
        <w:tblStyle w:val="24"/>
        <w:tblW w:w="8929" w:type="dxa"/>
        <w:jc w:val="center"/>
        <w:tblLayout w:type="fixed"/>
        <w:tblCellMar>
          <w:top w:w="0" w:type="dxa"/>
          <w:left w:w="0" w:type="dxa"/>
          <w:bottom w:w="0" w:type="dxa"/>
          <w:right w:w="0" w:type="dxa"/>
        </w:tblCellMar>
      </w:tblPr>
      <w:tblGrid>
        <w:gridCol w:w="594"/>
        <w:gridCol w:w="1857"/>
        <w:gridCol w:w="6478"/>
      </w:tblGrid>
      <w:tr>
        <w:tblPrEx>
          <w:tblCellMar>
            <w:top w:w="0" w:type="dxa"/>
            <w:left w:w="0" w:type="dxa"/>
            <w:bottom w:w="0" w:type="dxa"/>
            <w:right w:w="0" w:type="dxa"/>
          </w:tblCellMar>
        </w:tblPrEx>
        <w:trPr>
          <w:trHeight w:val="518" w:hRule="atLeast"/>
          <w:jc w:val="center"/>
        </w:trPr>
        <w:tc>
          <w:tcPr>
            <w:tcW w:w="594" w:type="dxa"/>
            <w:tcBorders>
              <w:top w:val="single" w:color="auto" w:sz="8" w:space="0"/>
              <w:left w:val="single" w:color="auto" w:sz="8" w:space="0"/>
              <w:bottom w:val="single" w:color="auto" w:sz="4" w:space="0"/>
              <w:right w:val="single" w:color="auto" w:sz="8" w:space="0"/>
            </w:tcBorders>
            <w:noWrap/>
            <w:vAlign w:val="center"/>
          </w:tcPr>
          <w:p>
            <w:pPr>
              <w:autoSpaceDE w:val="0"/>
              <w:autoSpaceDN w:val="0"/>
              <w:adjustRightInd w:val="0"/>
              <w:spacing w:line="239" w:lineRule="exact"/>
              <w:jc w:val="center"/>
              <w:rPr>
                <w:rFonts w:ascii="宋体" w:hAnsi="宋体" w:cs="宋体"/>
                <w:bCs/>
                <w:color w:val="auto"/>
                <w:szCs w:val="21"/>
                <w:highlight w:val="none"/>
              </w:rPr>
            </w:pPr>
            <w:bookmarkStart w:id="134" w:name="_Toc99380852"/>
            <w:bookmarkStart w:id="135" w:name="_Toc100135572"/>
            <w:r>
              <w:rPr>
                <w:rFonts w:hint="eastAsia" w:ascii="宋体" w:hAnsi="宋体" w:cs="宋体"/>
                <w:bCs/>
                <w:color w:val="auto"/>
                <w:szCs w:val="21"/>
                <w:highlight w:val="none"/>
              </w:rPr>
              <w:t>序号</w:t>
            </w:r>
          </w:p>
        </w:tc>
        <w:tc>
          <w:tcPr>
            <w:tcW w:w="1857" w:type="dxa"/>
            <w:tcBorders>
              <w:top w:val="single" w:color="auto" w:sz="8" w:space="0"/>
              <w:left w:val="nil"/>
              <w:bottom w:val="single" w:color="auto" w:sz="4" w:space="0"/>
              <w:right w:val="single" w:color="auto" w:sz="8" w:space="0"/>
            </w:tcBorders>
            <w:noWrap/>
            <w:vAlign w:val="center"/>
          </w:tcPr>
          <w:p>
            <w:pPr>
              <w:autoSpaceDE w:val="0"/>
              <w:autoSpaceDN w:val="0"/>
              <w:adjustRightInd w:val="0"/>
              <w:spacing w:line="239" w:lineRule="exact"/>
              <w:jc w:val="center"/>
              <w:rPr>
                <w:rFonts w:ascii="宋体" w:hAnsi="宋体" w:cs="宋体"/>
                <w:bCs/>
                <w:color w:val="auto"/>
                <w:szCs w:val="21"/>
                <w:highlight w:val="none"/>
              </w:rPr>
            </w:pPr>
            <w:r>
              <w:rPr>
                <w:rFonts w:hint="eastAsia" w:ascii="宋体" w:hAnsi="宋体" w:cs="宋体"/>
                <w:bCs/>
                <w:color w:val="auto"/>
                <w:szCs w:val="21"/>
                <w:highlight w:val="none"/>
              </w:rPr>
              <w:t>评分因素</w:t>
            </w:r>
          </w:p>
        </w:tc>
        <w:tc>
          <w:tcPr>
            <w:tcW w:w="6478" w:type="dxa"/>
            <w:tcBorders>
              <w:top w:val="single" w:color="auto" w:sz="8" w:space="0"/>
              <w:left w:val="nil"/>
              <w:bottom w:val="single" w:color="auto" w:sz="4" w:space="0"/>
              <w:right w:val="single" w:color="auto" w:sz="8" w:space="0"/>
            </w:tcBorders>
            <w:noWrap/>
            <w:vAlign w:val="center"/>
          </w:tcPr>
          <w:p>
            <w:pPr>
              <w:autoSpaceDE w:val="0"/>
              <w:autoSpaceDN w:val="0"/>
              <w:adjustRightInd w:val="0"/>
              <w:spacing w:line="239" w:lineRule="exact"/>
              <w:ind w:left="2840"/>
              <w:rPr>
                <w:rFonts w:ascii="宋体" w:hAnsi="宋体" w:cs="宋体"/>
                <w:bCs/>
                <w:color w:val="auto"/>
                <w:szCs w:val="21"/>
                <w:highlight w:val="none"/>
              </w:rPr>
            </w:pPr>
            <w:r>
              <w:rPr>
                <w:rFonts w:hint="eastAsia" w:ascii="宋体" w:hAnsi="宋体" w:cs="宋体"/>
                <w:bCs/>
                <w:color w:val="auto"/>
                <w:szCs w:val="21"/>
                <w:highlight w:val="none"/>
              </w:rPr>
              <w:t>评分标准</w:t>
            </w:r>
          </w:p>
        </w:tc>
      </w:tr>
      <w:tr>
        <w:tblPrEx>
          <w:tblCellMar>
            <w:top w:w="0" w:type="dxa"/>
            <w:left w:w="0" w:type="dxa"/>
            <w:bottom w:w="0" w:type="dxa"/>
            <w:right w:w="0" w:type="dxa"/>
          </w:tblCellMar>
        </w:tblPrEx>
        <w:trPr>
          <w:trHeight w:val="1038" w:hRule="atLeast"/>
          <w:jc w:val="center"/>
        </w:trPr>
        <w:tc>
          <w:tcPr>
            <w:tcW w:w="594" w:type="dxa"/>
            <w:tcBorders>
              <w:top w:val="single" w:color="auto" w:sz="4" w:space="0"/>
              <w:left w:val="single" w:color="auto" w:sz="8" w:space="0"/>
              <w:bottom w:val="single" w:color="auto" w:sz="4" w:space="0"/>
              <w:right w:val="single" w:color="auto" w:sz="8" w:space="0"/>
            </w:tcBorders>
            <w:noWrap/>
            <w:vAlign w:val="center"/>
          </w:tcPr>
          <w:p>
            <w:pPr>
              <w:keepNext w:val="0"/>
              <w:keepLines w:val="0"/>
              <w:pageBreakBefore w:val="0"/>
              <w:widowControl w:val="0"/>
              <w:kinsoku/>
              <w:wordWrap/>
              <w:overflowPunct/>
              <w:topLinePunct w:val="0"/>
              <w:autoSpaceDE w:val="0"/>
              <w:autoSpaceDN w:val="0"/>
              <w:bidi w:val="0"/>
              <w:adjustRightInd w:val="0"/>
              <w:snapToGrid/>
              <w:spacing w:line="24" w:lineRule="atLeast"/>
              <w:jc w:val="center"/>
              <w:textAlignment w:val="auto"/>
              <w:rPr>
                <w:rFonts w:ascii="宋体" w:hAnsi="宋体" w:cs="宋体"/>
                <w:bCs/>
                <w:color w:val="auto"/>
                <w:szCs w:val="21"/>
                <w:highlight w:val="none"/>
              </w:rPr>
            </w:pPr>
            <w:r>
              <w:rPr>
                <w:rFonts w:hint="eastAsia" w:ascii="宋体" w:hAnsi="宋体" w:cs="宋体"/>
                <w:bCs/>
                <w:color w:val="auto"/>
                <w:szCs w:val="21"/>
                <w:highlight w:val="none"/>
              </w:rPr>
              <w:t>1</w:t>
            </w:r>
          </w:p>
        </w:tc>
        <w:tc>
          <w:tcPr>
            <w:tcW w:w="1857" w:type="dxa"/>
            <w:tcBorders>
              <w:top w:val="single" w:color="auto" w:sz="4" w:space="0"/>
              <w:left w:val="nil"/>
              <w:bottom w:val="single" w:color="auto" w:sz="4" w:space="0"/>
              <w:right w:val="single" w:color="auto" w:sz="8"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投标报价</w:t>
            </w:r>
          </w:p>
          <w:p>
            <w:pPr>
              <w:keepNext w:val="0"/>
              <w:keepLines w:val="0"/>
              <w:pageBreakBefore w:val="0"/>
              <w:widowControl w:val="0"/>
              <w:kinsoku/>
              <w:wordWrap/>
              <w:overflowPunct/>
              <w:topLinePunct w:val="0"/>
              <w:bidi w:val="0"/>
              <w:snapToGrid/>
              <w:spacing w:line="24" w:lineRule="atLeast"/>
              <w:jc w:val="center"/>
              <w:textAlignment w:val="auto"/>
              <w:rPr>
                <w:rFonts w:ascii="宋体" w:hAnsi="宋体" w:cs="宋体"/>
                <w:color w:val="auto"/>
                <w:sz w:val="21"/>
                <w:szCs w:val="21"/>
                <w:highlight w:val="none"/>
              </w:rPr>
            </w:pPr>
            <w:r>
              <w:rPr>
                <w:rFonts w:hint="eastAsia" w:ascii="宋体" w:hAnsi="宋体" w:cs="宋体"/>
                <w:color w:val="auto"/>
                <w:szCs w:val="21"/>
                <w:highlight w:val="none"/>
                <w:lang w:val="en-US" w:eastAsia="zh-CN"/>
              </w:rPr>
              <w:t>（10分）</w:t>
            </w:r>
          </w:p>
        </w:tc>
        <w:tc>
          <w:tcPr>
            <w:tcW w:w="6478" w:type="dxa"/>
            <w:tcBorders>
              <w:top w:val="single" w:color="auto" w:sz="4" w:space="0"/>
              <w:left w:val="nil"/>
              <w:bottom w:val="single" w:color="auto" w:sz="4" w:space="0"/>
              <w:right w:val="single" w:color="auto" w:sz="8"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滿足招标文件要求且投标价格最低的报价为评标基准价，其价格分为满分</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0分。其他投标人报价得分=（评标基准价/投标报价）×</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0%×100。</w:t>
            </w:r>
          </w:p>
        </w:tc>
      </w:tr>
      <w:tr>
        <w:tblPrEx>
          <w:tblCellMar>
            <w:top w:w="0" w:type="dxa"/>
            <w:left w:w="0" w:type="dxa"/>
            <w:bottom w:w="0" w:type="dxa"/>
            <w:right w:w="0" w:type="dxa"/>
          </w:tblCellMar>
        </w:tblPrEx>
        <w:trPr>
          <w:trHeight w:val="90" w:hRule="atLeast"/>
          <w:jc w:val="center"/>
        </w:trPr>
        <w:tc>
          <w:tcPr>
            <w:tcW w:w="594"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val="0"/>
              <w:snapToGrid/>
              <w:spacing w:line="24" w:lineRule="atLeast"/>
              <w:jc w:val="center"/>
              <w:textAlignment w:val="auto"/>
              <w:rPr>
                <w:rFonts w:ascii="宋体" w:hAnsi="宋体" w:cs="宋体"/>
                <w:bCs/>
                <w:color w:val="auto"/>
                <w:szCs w:val="21"/>
                <w:highlight w:val="none"/>
              </w:rPr>
            </w:pPr>
            <w:r>
              <w:rPr>
                <w:rFonts w:hint="eastAsia" w:ascii="宋体" w:hAnsi="宋体" w:cs="宋体"/>
                <w:bCs/>
                <w:color w:val="auto"/>
                <w:szCs w:val="21"/>
                <w:highlight w:val="none"/>
              </w:rPr>
              <w:t>2</w:t>
            </w: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工作内容、质量保证体系及进度计划</w:t>
            </w:r>
          </w:p>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 w:val="21"/>
                <w:szCs w:val="21"/>
                <w:highlight w:val="none"/>
                <w:lang w:val="en-US" w:eastAsia="zh-CN"/>
              </w:rPr>
            </w:pPr>
            <w:r>
              <w:rPr>
                <w:rFonts w:hint="eastAsia" w:ascii="宋体" w:hAnsi="宋体" w:cs="宋体"/>
                <w:color w:val="auto"/>
                <w:szCs w:val="21"/>
                <w:highlight w:val="none"/>
                <w:lang w:val="en-US" w:eastAsia="zh-CN"/>
              </w:rPr>
              <w:t>（10分）</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1、</w:t>
            </w:r>
            <w:r>
              <w:rPr>
                <w:rFonts w:hint="default" w:ascii="宋体" w:hAnsi="宋体" w:cs="宋体"/>
                <w:color w:val="auto"/>
                <w:szCs w:val="21"/>
                <w:highlight w:val="none"/>
              </w:rPr>
              <w:t>工作内容完整齐全，报告编制质量保证体系健全，报告编制进度计划编制完整，程序清晰，安排科学，措施有力，</w:t>
            </w:r>
            <w:r>
              <w:rPr>
                <w:rFonts w:hint="eastAsia" w:ascii="宋体" w:hAnsi="宋体" w:cs="宋体"/>
                <w:color w:val="auto"/>
                <w:szCs w:val="21"/>
                <w:highlight w:val="none"/>
                <w:lang w:val="en-US" w:eastAsia="zh-CN"/>
              </w:rPr>
              <w:t>契合</w:t>
            </w:r>
            <w:r>
              <w:rPr>
                <w:rFonts w:hint="default" w:ascii="宋体" w:hAnsi="宋体" w:cs="宋体"/>
                <w:color w:val="auto"/>
                <w:szCs w:val="21"/>
                <w:highlight w:val="none"/>
              </w:rPr>
              <w:t>项目实施地实际需要</w:t>
            </w:r>
            <w:r>
              <w:rPr>
                <w:rFonts w:hint="eastAsia" w:ascii="宋体" w:hAnsi="宋体" w:cs="宋体"/>
                <w:color w:val="auto"/>
                <w:szCs w:val="21"/>
                <w:highlight w:val="none"/>
                <w:lang w:val="en-US" w:eastAsia="zh-CN"/>
              </w:rPr>
              <w:t>的得10</w:t>
            </w:r>
            <w:r>
              <w:rPr>
                <w:rFonts w:hint="default" w:ascii="宋体" w:hAnsi="宋体" w:cs="宋体"/>
                <w:color w:val="auto"/>
                <w:szCs w:val="21"/>
                <w:highlight w:val="none"/>
              </w:rPr>
              <w:t>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2、</w:t>
            </w:r>
            <w:r>
              <w:rPr>
                <w:rFonts w:hint="default" w:ascii="宋体" w:hAnsi="宋体" w:cs="宋体"/>
                <w:color w:val="auto"/>
                <w:szCs w:val="21"/>
                <w:highlight w:val="none"/>
              </w:rPr>
              <w:t>工作内容基本齐全，报告编制质量保证体系基本健全，报告编制进度计划编制完整，程序及安排基本合理可行的</w:t>
            </w:r>
            <w:r>
              <w:rPr>
                <w:rFonts w:hint="eastAsia" w:ascii="宋体" w:hAnsi="宋体" w:cs="宋体"/>
                <w:color w:val="auto"/>
                <w:szCs w:val="21"/>
                <w:highlight w:val="none"/>
                <w:lang w:val="en-US" w:eastAsia="zh-CN"/>
              </w:rPr>
              <w:t>得</w:t>
            </w:r>
            <w:r>
              <w:rPr>
                <w:rFonts w:hint="default" w:ascii="宋体" w:hAnsi="宋体" w:cs="宋体"/>
                <w:color w:val="auto"/>
                <w:szCs w:val="21"/>
                <w:highlight w:val="none"/>
              </w:rPr>
              <w:t>7分；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3、</w:t>
            </w:r>
            <w:r>
              <w:rPr>
                <w:rFonts w:hint="default" w:ascii="宋体" w:hAnsi="宋体" w:cs="宋体"/>
                <w:color w:val="auto"/>
                <w:szCs w:val="21"/>
                <w:highlight w:val="none"/>
              </w:rPr>
              <w:t>工作内容不齐全，报告编制质量保证体系一般，报告编制进度计划编制不完整，程序及安排有错误的</w:t>
            </w:r>
            <w:r>
              <w:rPr>
                <w:rFonts w:hint="eastAsia" w:ascii="宋体" w:hAnsi="宋体" w:cs="宋体"/>
                <w:color w:val="auto"/>
                <w:szCs w:val="21"/>
                <w:highlight w:val="none"/>
                <w:lang w:val="en-US" w:eastAsia="zh-CN"/>
              </w:rPr>
              <w:t>得4</w:t>
            </w:r>
            <w:r>
              <w:rPr>
                <w:rFonts w:hint="default" w:ascii="宋体" w:hAnsi="宋体" w:cs="宋体"/>
                <w:color w:val="auto"/>
                <w:szCs w:val="21"/>
                <w:highlight w:val="none"/>
              </w:rPr>
              <w:t>分</w:t>
            </w:r>
            <w:r>
              <w:rPr>
                <w:rFonts w:hint="eastAsia" w:ascii="宋体" w:hAnsi="宋体" w:cs="宋体"/>
                <w:color w:val="auto"/>
                <w:szCs w:val="21"/>
                <w:highlight w:val="none"/>
                <w:lang w:eastAsia="zh-CN"/>
              </w:rPr>
              <w:t>；</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4、未提供的得0分。</w:t>
            </w:r>
          </w:p>
        </w:tc>
      </w:tr>
      <w:tr>
        <w:tblPrEx>
          <w:tblCellMar>
            <w:top w:w="0" w:type="dxa"/>
            <w:left w:w="0" w:type="dxa"/>
            <w:bottom w:w="0" w:type="dxa"/>
            <w:right w:w="0" w:type="dxa"/>
          </w:tblCellMar>
        </w:tblPrEx>
        <w:trPr>
          <w:trHeight w:val="312" w:hRule="atLeast"/>
          <w:jc w:val="center"/>
        </w:trPr>
        <w:tc>
          <w:tcPr>
            <w:tcW w:w="594"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val="0"/>
              <w:snapToGrid/>
              <w:spacing w:line="24" w:lineRule="atLeast"/>
              <w:jc w:val="center"/>
              <w:textAlignment w:val="auto"/>
              <w:rPr>
                <w:rFonts w:ascii="宋体" w:hAnsi="宋体" w:cs="宋体"/>
                <w:bCs/>
                <w:color w:val="auto"/>
                <w:szCs w:val="21"/>
                <w:highlight w:val="none"/>
              </w:rPr>
            </w:pP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对本</w:t>
            </w:r>
            <w:r>
              <w:rPr>
                <w:rFonts w:hint="default" w:ascii="宋体" w:hAnsi="宋体" w:cs="宋体"/>
                <w:color w:val="auto"/>
                <w:szCs w:val="21"/>
                <w:highlight w:val="none"/>
                <w:lang w:val="en-US" w:eastAsia="zh-CN"/>
              </w:rPr>
              <w:t>项目的理解</w:t>
            </w:r>
          </w:p>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 w:val="21"/>
                <w:szCs w:val="21"/>
                <w:highlight w:val="none"/>
                <w:lang w:val="en-US" w:eastAsia="zh-CN"/>
              </w:rPr>
            </w:pPr>
            <w:r>
              <w:rPr>
                <w:rFonts w:hint="eastAsia" w:ascii="宋体" w:hAnsi="宋体" w:cs="宋体"/>
                <w:color w:val="auto"/>
                <w:szCs w:val="21"/>
                <w:highlight w:val="none"/>
                <w:lang w:val="en-US" w:eastAsia="zh-CN"/>
              </w:rPr>
              <w:t>（10分）</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1、</w:t>
            </w:r>
            <w:r>
              <w:rPr>
                <w:rFonts w:hint="default" w:ascii="宋体" w:hAnsi="宋体" w:cs="宋体"/>
                <w:color w:val="auto"/>
                <w:szCs w:val="21"/>
                <w:highlight w:val="none"/>
              </w:rPr>
              <w:t>对本项目的理解思路清晰、有较好的编制理念，思路充分体现项目特点及</w:t>
            </w:r>
            <w:r>
              <w:rPr>
                <w:rFonts w:hint="eastAsia" w:ascii="宋体" w:hAnsi="宋体" w:cs="宋体"/>
                <w:color w:val="auto"/>
                <w:szCs w:val="21"/>
                <w:highlight w:val="none"/>
                <w:lang w:eastAsia="zh-CN"/>
              </w:rPr>
              <w:t>招标</w:t>
            </w:r>
            <w:r>
              <w:rPr>
                <w:rFonts w:hint="default" w:ascii="宋体" w:hAnsi="宋体" w:cs="宋体"/>
                <w:color w:val="auto"/>
                <w:szCs w:val="21"/>
                <w:highlight w:val="none"/>
              </w:rPr>
              <w:t>人要求的</w:t>
            </w:r>
            <w:r>
              <w:rPr>
                <w:rFonts w:hint="eastAsia" w:ascii="宋体" w:hAnsi="宋体" w:cs="宋体"/>
                <w:color w:val="auto"/>
                <w:szCs w:val="21"/>
                <w:highlight w:val="none"/>
                <w:lang w:val="en-US" w:eastAsia="zh-CN"/>
              </w:rPr>
              <w:t>得10</w:t>
            </w:r>
            <w:r>
              <w:rPr>
                <w:rFonts w:hint="default" w:ascii="宋体" w:hAnsi="宋体" w:cs="宋体"/>
                <w:color w:val="auto"/>
                <w:szCs w:val="21"/>
                <w:highlight w:val="none"/>
              </w:rPr>
              <w:t>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2、</w:t>
            </w:r>
            <w:r>
              <w:rPr>
                <w:rFonts w:hint="default" w:ascii="宋体" w:hAnsi="宋体" w:cs="宋体"/>
                <w:color w:val="auto"/>
                <w:szCs w:val="21"/>
                <w:highlight w:val="none"/>
              </w:rPr>
              <w:t>对本项目的理解思路一般、基本体现了编制理念，思路基本体现项目特点及</w:t>
            </w:r>
            <w:r>
              <w:rPr>
                <w:rFonts w:hint="eastAsia" w:ascii="宋体" w:hAnsi="宋体" w:cs="宋体"/>
                <w:color w:val="auto"/>
                <w:szCs w:val="21"/>
                <w:highlight w:val="none"/>
                <w:lang w:eastAsia="zh-CN"/>
              </w:rPr>
              <w:t>招标</w:t>
            </w:r>
            <w:r>
              <w:rPr>
                <w:rFonts w:hint="default" w:ascii="宋体" w:hAnsi="宋体" w:cs="宋体"/>
                <w:color w:val="auto"/>
                <w:szCs w:val="21"/>
                <w:highlight w:val="none"/>
              </w:rPr>
              <w:t>人要求的</w:t>
            </w:r>
            <w:r>
              <w:rPr>
                <w:rFonts w:hint="eastAsia" w:ascii="宋体" w:hAnsi="宋体" w:cs="宋体"/>
                <w:color w:val="auto"/>
                <w:szCs w:val="21"/>
                <w:highlight w:val="none"/>
                <w:lang w:val="en-US" w:eastAsia="zh-CN"/>
              </w:rPr>
              <w:t>得7分</w:t>
            </w:r>
            <w:r>
              <w:rPr>
                <w:rFonts w:hint="default" w:ascii="宋体" w:hAnsi="宋体" w:cs="宋体"/>
                <w:color w:val="auto"/>
                <w:szCs w:val="21"/>
                <w:highlight w:val="none"/>
              </w:rPr>
              <w:t>；</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3、</w:t>
            </w:r>
            <w:r>
              <w:rPr>
                <w:rFonts w:hint="default" w:ascii="宋体" w:hAnsi="宋体" w:cs="宋体"/>
                <w:color w:val="auto"/>
                <w:szCs w:val="21"/>
                <w:highlight w:val="none"/>
              </w:rPr>
              <w:t>对本项目的理解思路较差、没有体现出编制理念，思路不能充分体现项目特点及</w:t>
            </w:r>
            <w:r>
              <w:rPr>
                <w:rFonts w:hint="eastAsia" w:ascii="宋体" w:hAnsi="宋体" w:cs="宋体"/>
                <w:color w:val="auto"/>
                <w:szCs w:val="21"/>
                <w:highlight w:val="none"/>
                <w:lang w:eastAsia="zh-CN"/>
              </w:rPr>
              <w:t>招标</w:t>
            </w:r>
            <w:r>
              <w:rPr>
                <w:rFonts w:hint="default" w:ascii="宋体" w:hAnsi="宋体" w:cs="宋体"/>
                <w:color w:val="auto"/>
                <w:szCs w:val="21"/>
                <w:highlight w:val="none"/>
              </w:rPr>
              <w:t>人要求的</w:t>
            </w:r>
            <w:r>
              <w:rPr>
                <w:rFonts w:hint="eastAsia" w:ascii="宋体" w:hAnsi="宋体" w:cs="宋体"/>
                <w:color w:val="auto"/>
                <w:szCs w:val="21"/>
                <w:highlight w:val="none"/>
                <w:lang w:val="en-US" w:eastAsia="zh-CN"/>
              </w:rPr>
              <w:t>得</w:t>
            </w:r>
            <w:r>
              <w:rPr>
                <w:rFonts w:hint="default" w:ascii="宋体" w:hAnsi="宋体" w:cs="宋体"/>
                <w:color w:val="auto"/>
                <w:szCs w:val="21"/>
                <w:highlight w:val="none"/>
              </w:rPr>
              <w:t>4分</w:t>
            </w:r>
            <w:r>
              <w:rPr>
                <w:rFonts w:hint="eastAsia" w:ascii="宋体" w:hAnsi="宋体" w:cs="宋体"/>
                <w:color w:val="auto"/>
                <w:szCs w:val="21"/>
                <w:highlight w:val="none"/>
                <w:lang w:eastAsia="zh-CN"/>
              </w:rPr>
              <w:t>；</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4、未提供的得0分。</w:t>
            </w:r>
          </w:p>
        </w:tc>
      </w:tr>
      <w:tr>
        <w:tblPrEx>
          <w:tblCellMar>
            <w:top w:w="0" w:type="dxa"/>
            <w:left w:w="0" w:type="dxa"/>
            <w:bottom w:w="0" w:type="dxa"/>
            <w:right w:w="0" w:type="dxa"/>
          </w:tblCellMar>
        </w:tblPrEx>
        <w:trPr>
          <w:trHeight w:val="312" w:hRule="atLeast"/>
          <w:jc w:val="center"/>
        </w:trPr>
        <w:tc>
          <w:tcPr>
            <w:tcW w:w="594"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autoSpaceDE w:val="0"/>
              <w:autoSpaceDN w:val="0"/>
              <w:bidi w:val="0"/>
              <w:adjustRightInd w:val="0"/>
              <w:snapToGrid/>
              <w:spacing w:line="24" w:lineRule="atLeast"/>
              <w:jc w:val="center"/>
              <w:textAlignment w:val="auto"/>
              <w:rPr>
                <w:rFonts w:ascii="宋体" w:hAnsi="宋体" w:cs="宋体"/>
                <w:bCs/>
                <w:color w:val="auto"/>
                <w:szCs w:val="21"/>
                <w:highlight w:val="none"/>
              </w:rPr>
            </w:pP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项目的技术分析及处理措施</w:t>
            </w:r>
          </w:p>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 w:val="21"/>
                <w:szCs w:val="21"/>
                <w:highlight w:val="none"/>
                <w:lang w:val="en-US" w:eastAsia="zh-CN"/>
              </w:rPr>
            </w:pPr>
            <w:r>
              <w:rPr>
                <w:rFonts w:hint="eastAsia" w:ascii="宋体" w:hAnsi="宋体" w:cs="宋体"/>
                <w:color w:val="auto"/>
                <w:szCs w:val="21"/>
                <w:highlight w:val="none"/>
                <w:lang w:val="en-US" w:eastAsia="zh-CN"/>
              </w:rPr>
              <w:t>（10分）</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1、</w:t>
            </w:r>
            <w:r>
              <w:rPr>
                <w:rFonts w:hint="default" w:ascii="宋体" w:hAnsi="宋体" w:cs="宋体"/>
                <w:color w:val="auto"/>
                <w:szCs w:val="21"/>
                <w:highlight w:val="none"/>
              </w:rPr>
              <w:t>对</w:t>
            </w:r>
            <w:r>
              <w:rPr>
                <w:rFonts w:hint="eastAsia" w:ascii="宋体" w:hAnsi="宋体" w:cs="宋体"/>
                <w:color w:val="auto"/>
                <w:szCs w:val="21"/>
                <w:highlight w:val="none"/>
                <w:lang w:eastAsia="zh-CN"/>
              </w:rPr>
              <w:t>招标</w:t>
            </w:r>
            <w:r>
              <w:rPr>
                <w:rFonts w:hint="default" w:ascii="宋体" w:hAnsi="宋体" w:cs="宋体"/>
                <w:color w:val="auto"/>
                <w:szCs w:val="21"/>
                <w:highlight w:val="none"/>
              </w:rPr>
              <w:t>项目的特点、重点、难点有针对性的切实可行的解决办法，措施科学全面，具有现代先进技术应用及编制理念的</w:t>
            </w:r>
            <w:r>
              <w:rPr>
                <w:rFonts w:hint="eastAsia" w:ascii="宋体" w:hAnsi="宋体" w:cs="宋体"/>
                <w:color w:val="auto"/>
                <w:szCs w:val="21"/>
                <w:highlight w:val="none"/>
                <w:lang w:val="en-US" w:eastAsia="zh-CN"/>
              </w:rPr>
              <w:t>得</w:t>
            </w:r>
            <w:r>
              <w:rPr>
                <w:rFonts w:hint="default" w:ascii="宋体" w:hAnsi="宋体" w:cs="宋体"/>
                <w:color w:val="auto"/>
                <w:szCs w:val="21"/>
                <w:highlight w:val="none"/>
              </w:rPr>
              <w:t>10分；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对</w:t>
            </w:r>
            <w:r>
              <w:rPr>
                <w:rFonts w:hint="default" w:ascii="宋体" w:hAnsi="宋体" w:cs="宋体"/>
                <w:color w:val="auto"/>
                <w:szCs w:val="21"/>
                <w:highlight w:val="none"/>
              </w:rPr>
              <w:t>招标项目的特点、重点、难点的解决办法有一定的针对性，措施基本合理，技术应用落后，编制理念一般的</w:t>
            </w:r>
            <w:r>
              <w:rPr>
                <w:rFonts w:hint="eastAsia" w:ascii="宋体" w:hAnsi="宋体" w:cs="宋体"/>
                <w:color w:val="auto"/>
                <w:szCs w:val="21"/>
                <w:highlight w:val="none"/>
                <w:lang w:val="en-US" w:eastAsia="zh-CN"/>
              </w:rPr>
              <w:t>得</w:t>
            </w:r>
            <w:r>
              <w:rPr>
                <w:rFonts w:hint="default" w:ascii="宋体" w:hAnsi="宋体" w:cs="宋体"/>
                <w:color w:val="auto"/>
                <w:szCs w:val="21"/>
                <w:highlight w:val="none"/>
              </w:rPr>
              <w:t>7分；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3、</w:t>
            </w:r>
            <w:r>
              <w:rPr>
                <w:rFonts w:hint="default" w:ascii="宋体" w:hAnsi="宋体" w:cs="宋体"/>
                <w:color w:val="auto"/>
                <w:szCs w:val="21"/>
                <w:highlight w:val="none"/>
              </w:rPr>
              <w:t>对招标项目的特点、重点、难点的解决办法无针对性，措施不具体，错误较多，技术应用及编制理念较差的</w:t>
            </w:r>
            <w:r>
              <w:rPr>
                <w:rFonts w:hint="eastAsia" w:ascii="宋体" w:hAnsi="宋体" w:cs="宋体"/>
                <w:color w:val="auto"/>
                <w:szCs w:val="21"/>
                <w:highlight w:val="none"/>
                <w:lang w:val="en-US" w:eastAsia="zh-CN"/>
              </w:rPr>
              <w:t>得4</w:t>
            </w:r>
            <w:r>
              <w:rPr>
                <w:rFonts w:hint="default" w:ascii="宋体" w:hAnsi="宋体" w:cs="宋体"/>
                <w:color w:val="auto"/>
                <w:szCs w:val="21"/>
                <w:highlight w:val="none"/>
              </w:rPr>
              <w:t>分</w:t>
            </w:r>
            <w:r>
              <w:rPr>
                <w:rFonts w:hint="eastAsia" w:ascii="宋体" w:hAnsi="宋体" w:cs="宋体"/>
                <w:color w:val="auto"/>
                <w:szCs w:val="21"/>
                <w:highlight w:val="none"/>
                <w:lang w:eastAsia="zh-CN"/>
              </w:rPr>
              <w:t>；</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4、未提供的得0分。</w:t>
            </w:r>
          </w:p>
        </w:tc>
      </w:tr>
      <w:tr>
        <w:tblPrEx>
          <w:tblCellMar>
            <w:top w:w="0" w:type="dxa"/>
            <w:left w:w="0" w:type="dxa"/>
            <w:bottom w:w="0" w:type="dxa"/>
            <w:right w:w="0" w:type="dxa"/>
          </w:tblCellMar>
        </w:tblPrEx>
        <w:trPr>
          <w:trHeight w:val="312" w:hRule="atLeast"/>
          <w:jc w:val="center"/>
        </w:trPr>
        <w:tc>
          <w:tcPr>
            <w:tcW w:w="594" w:type="dxa"/>
            <w:vMerge w:val="continue"/>
            <w:tcBorders>
              <w:top w:val="single" w:color="auto" w:sz="4" w:space="0"/>
              <w:left w:val="single" w:color="auto" w:sz="4" w:space="0"/>
              <w:right w:val="single" w:color="auto" w:sz="8" w:space="0"/>
            </w:tcBorders>
            <w:noWrap/>
            <w:vAlign w:val="center"/>
          </w:tcPr>
          <w:p>
            <w:pPr>
              <w:keepNext w:val="0"/>
              <w:keepLines w:val="0"/>
              <w:pageBreakBefore w:val="0"/>
              <w:widowControl w:val="0"/>
              <w:kinsoku/>
              <w:wordWrap/>
              <w:overflowPunct/>
              <w:topLinePunct w:val="0"/>
              <w:autoSpaceDE w:val="0"/>
              <w:autoSpaceDN w:val="0"/>
              <w:bidi w:val="0"/>
              <w:adjustRightInd w:val="0"/>
              <w:snapToGrid/>
              <w:spacing w:line="24" w:lineRule="atLeast"/>
              <w:jc w:val="center"/>
              <w:textAlignment w:val="auto"/>
              <w:rPr>
                <w:rFonts w:ascii="宋体" w:hAnsi="宋体" w:cs="宋体"/>
                <w:bCs/>
                <w:color w:val="auto"/>
                <w:szCs w:val="21"/>
                <w:highlight w:val="none"/>
              </w:rPr>
            </w:pPr>
          </w:p>
        </w:tc>
        <w:tc>
          <w:tcPr>
            <w:tcW w:w="1857" w:type="dxa"/>
            <w:tcBorders>
              <w:top w:val="single" w:color="auto" w:sz="4" w:space="0"/>
              <w:left w:val="nil"/>
              <w:bottom w:val="single" w:color="auto" w:sz="4" w:space="0"/>
              <w:right w:val="single" w:color="auto" w:sz="8"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技术建议</w:t>
            </w:r>
          </w:p>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（10分）</w:t>
            </w:r>
          </w:p>
        </w:tc>
        <w:tc>
          <w:tcPr>
            <w:tcW w:w="6478" w:type="dxa"/>
            <w:tcBorders>
              <w:top w:val="single" w:color="auto" w:sz="4" w:space="0"/>
              <w:left w:val="nil"/>
              <w:bottom w:val="single" w:color="auto" w:sz="4" w:space="0"/>
              <w:right w:val="single" w:color="auto" w:sz="8"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w:t>
            </w:r>
            <w:r>
              <w:rPr>
                <w:rFonts w:hint="default" w:ascii="宋体" w:hAnsi="宋体" w:cs="宋体"/>
                <w:color w:val="auto"/>
                <w:szCs w:val="21"/>
                <w:highlight w:val="none"/>
                <w:lang w:val="en-US" w:eastAsia="zh-CN"/>
              </w:rPr>
              <w:t>结合项目要求，向业主提出的建议科学</w:t>
            </w:r>
            <w:r>
              <w:rPr>
                <w:rFonts w:hint="eastAsia" w:ascii="宋体" w:hAnsi="宋体" w:cs="宋体"/>
                <w:color w:val="auto"/>
                <w:szCs w:val="21"/>
                <w:highlight w:val="none"/>
                <w:lang w:val="en-US" w:eastAsia="zh-CN"/>
              </w:rPr>
              <w:t>性</w:t>
            </w:r>
            <w:r>
              <w:rPr>
                <w:rFonts w:hint="default" w:ascii="宋体" w:hAnsi="宋体" w:cs="宋体"/>
                <w:color w:val="auto"/>
                <w:szCs w:val="21"/>
                <w:highlight w:val="none"/>
                <w:lang w:val="en-US" w:eastAsia="zh-CN"/>
              </w:rPr>
              <w:t>、实施性强</w:t>
            </w:r>
            <w:r>
              <w:rPr>
                <w:rFonts w:hint="eastAsia" w:ascii="宋体" w:hAnsi="宋体" w:cs="宋体"/>
                <w:color w:val="auto"/>
                <w:szCs w:val="21"/>
                <w:highlight w:val="none"/>
                <w:lang w:val="en-US" w:eastAsia="zh-CN"/>
              </w:rPr>
              <w:t>得</w:t>
            </w:r>
            <w:r>
              <w:rPr>
                <w:rFonts w:hint="default" w:ascii="宋体" w:hAnsi="宋体" w:cs="宋体"/>
                <w:color w:val="auto"/>
                <w:szCs w:val="21"/>
                <w:highlight w:val="none"/>
                <w:lang w:val="en-US" w:eastAsia="zh-CN"/>
              </w:rPr>
              <w:t>10分；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val="en-US" w:eastAsia="zh-CN"/>
              </w:rPr>
              <w:t>结合项目要求，向业主提出的建议科学</w:t>
            </w:r>
            <w:r>
              <w:rPr>
                <w:rFonts w:hint="eastAsia" w:ascii="宋体" w:hAnsi="宋体" w:cs="宋体"/>
                <w:color w:val="auto"/>
                <w:szCs w:val="21"/>
                <w:highlight w:val="none"/>
                <w:lang w:val="en-US" w:eastAsia="zh-CN"/>
              </w:rPr>
              <w:t>性</w:t>
            </w:r>
            <w:r>
              <w:rPr>
                <w:rFonts w:hint="default" w:ascii="宋体" w:hAnsi="宋体" w:cs="宋体"/>
                <w:color w:val="auto"/>
                <w:szCs w:val="21"/>
                <w:highlight w:val="none"/>
                <w:lang w:val="en-US" w:eastAsia="zh-CN"/>
              </w:rPr>
              <w:t>、实施性一般</w:t>
            </w:r>
            <w:r>
              <w:rPr>
                <w:rFonts w:hint="eastAsia" w:ascii="宋体" w:hAnsi="宋体" w:cs="宋体"/>
                <w:color w:val="auto"/>
                <w:szCs w:val="21"/>
                <w:highlight w:val="none"/>
                <w:lang w:val="en-US" w:eastAsia="zh-CN"/>
              </w:rPr>
              <w:t>得7</w:t>
            </w:r>
            <w:r>
              <w:rPr>
                <w:rFonts w:hint="default" w:ascii="宋体" w:hAnsi="宋体" w:cs="宋体"/>
                <w:color w:val="auto"/>
                <w:szCs w:val="21"/>
                <w:highlight w:val="none"/>
                <w:lang w:val="en-US" w:eastAsia="zh-CN"/>
              </w:rPr>
              <w:t>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default" w:ascii="宋体" w:hAnsi="宋体" w:cs="宋体"/>
                <w:color w:val="auto"/>
                <w:szCs w:val="21"/>
                <w:highlight w:val="none"/>
                <w:lang w:val="en-US" w:eastAsia="zh-CN"/>
              </w:rPr>
              <w:t>结合项目要求，向业主提出的建议科学</w:t>
            </w:r>
            <w:r>
              <w:rPr>
                <w:rFonts w:hint="eastAsia" w:ascii="宋体" w:hAnsi="宋体" w:cs="宋体"/>
                <w:color w:val="auto"/>
                <w:szCs w:val="21"/>
                <w:highlight w:val="none"/>
                <w:lang w:val="en-US" w:eastAsia="zh-CN"/>
              </w:rPr>
              <w:t>性</w:t>
            </w:r>
            <w:r>
              <w:rPr>
                <w:rFonts w:hint="default" w:ascii="宋体" w:hAnsi="宋体" w:cs="宋体"/>
                <w:color w:val="auto"/>
                <w:szCs w:val="21"/>
                <w:highlight w:val="none"/>
                <w:lang w:val="en-US" w:eastAsia="zh-CN"/>
              </w:rPr>
              <w:t>、实施性较差</w:t>
            </w:r>
            <w:r>
              <w:rPr>
                <w:rFonts w:hint="eastAsia" w:ascii="宋体" w:hAnsi="宋体" w:cs="宋体"/>
                <w:color w:val="auto"/>
                <w:szCs w:val="21"/>
                <w:highlight w:val="none"/>
                <w:lang w:val="en-US" w:eastAsia="zh-CN"/>
              </w:rPr>
              <w:t>得4分；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4、未提供的得0分</w:t>
            </w:r>
            <w:r>
              <w:rPr>
                <w:rFonts w:hint="default" w:ascii="宋体" w:hAnsi="宋体" w:cs="宋体"/>
                <w:color w:val="auto"/>
                <w:szCs w:val="21"/>
                <w:highlight w:val="none"/>
                <w:lang w:val="en-US" w:eastAsia="zh-CN"/>
              </w:rPr>
              <w:t>。</w:t>
            </w:r>
          </w:p>
        </w:tc>
      </w:tr>
      <w:tr>
        <w:tblPrEx>
          <w:tblCellMar>
            <w:top w:w="0" w:type="dxa"/>
            <w:left w:w="0" w:type="dxa"/>
            <w:bottom w:w="0" w:type="dxa"/>
            <w:right w:w="0" w:type="dxa"/>
          </w:tblCellMar>
        </w:tblPrEx>
        <w:trPr>
          <w:trHeight w:val="982" w:hRule="atLeast"/>
          <w:jc w:val="center"/>
        </w:trPr>
        <w:tc>
          <w:tcPr>
            <w:tcW w:w="594" w:type="dxa"/>
            <w:tcBorders>
              <w:top w:val="single" w:color="auto" w:sz="4" w:space="0"/>
              <w:left w:val="single" w:color="auto" w:sz="8" w:space="0"/>
              <w:bottom w:val="single" w:color="auto" w:sz="4" w:space="0"/>
              <w:right w:val="single" w:color="auto" w:sz="4" w:space="0"/>
            </w:tcBorders>
            <w:noWrap/>
            <w:vAlign w:val="center"/>
          </w:tcPr>
          <w:p>
            <w:pPr>
              <w:autoSpaceDE w:val="0"/>
              <w:autoSpaceDN w:val="0"/>
              <w:adjustRightInd w:val="0"/>
              <w:jc w:val="center"/>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val="en-US" w:eastAsia="zh-CN"/>
              </w:rPr>
              <w:t>3</w:t>
            </w: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项目负责人</w:t>
            </w:r>
          </w:p>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分）</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项目负责人</w:t>
            </w:r>
            <w:r>
              <w:rPr>
                <w:rFonts w:hint="default" w:ascii="宋体" w:hAnsi="宋体" w:cs="宋体"/>
                <w:color w:val="auto"/>
                <w:szCs w:val="21"/>
                <w:highlight w:val="none"/>
                <w:lang w:eastAsia="zh-CN"/>
              </w:rPr>
              <w:t>具备水利工程专业</w:t>
            </w:r>
            <w:r>
              <w:rPr>
                <w:rFonts w:hint="eastAsia" w:ascii="宋体" w:hAnsi="宋体" w:cs="宋体"/>
                <w:color w:val="auto"/>
                <w:szCs w:val="21"/>
                <w:highlight w:val="none"/>
                <w:lang w:val="en-US" w:eastAsia="zh-CN"/>
              </w:rPr>
              <w:t>副</w:t>
            </w:r>
            <w:r>
              <w:rPr>
                <w:rFonts w:hint="default" w:ascii="宋体" w:hAnsi="宋体" w:cs="宋体"/>
                <w:color w:val="auto"/>
                <w:szCs w:val="21"/>
                <w:highlight w:val="none"/>
                <w:lang w:eastAsia="zh-CN"/>
              </w:rPr>
              <w:t>高级职称得</w:t>
            </w: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eastAsia="zh-CN"/>
              </w:rPr>
              <w:t>分</w:t>
            </w:r>
            <w:r>
              <w:rPr>
                <w:rFonts w:hint="eastAsia" w:ascii="宋体" w:hAnsi="宋体" w:cs="宋体"/>
                <w:color w:val="auto"/>
                <w:szCs w:val="21"/>
                <w:highlight w:val="none"/>
                <w:lang w:eastAsia="zh-CN"/>
              </w:rPr>
              <w:t>；</w:t>
            </w:r>
            <w:r>
              <w:rPr>
                <w:rFonts w:hint="default" w:ascii="宋体" w:hAnsi="宋体" w:cs="宋体"/>
                <w:color w:val="auto"/>
                <w:szCs w:val="21"/>
                <w:highlight w:val="none"/>
                <w:lang w:eastAsia="zh-CN"/>
              </w:rPr>
              <w:t>具备水利工程专业</w:t>
            </w:r>
            <w:r>
              <w:rPr>
                <w:rFonts w:hint="eastAsia" w:ascii="宋体" w:hAnsi="宋体" w:cs="宋体"/>
                <w:color w:val="auto"/>
                <w:szCs w:val="21"/>
                <w:highlight w:val="none"/>
                <w:lang w:val="en-US" w:eastAsia="zh-CN"/>
              </w:rPr>
              <w:t>正</w:t>
            </w:r>
            <w:r>
              <w:rPr>
                <w:rFonts w:hint="default" w:ascii="宋体" w:hAnsi="宋体" w:cs="宋体"/>
                <w:color w:val="auto"/>
                <w:szCs w:val="21"/>
                <w:highlight w:val="none"/>
                <w:lang w:eastAsia="zh-CN"/>
              </w:rPr>
              <w:t>高级职称得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（提供证书复印件并加盖公章）</w:t>
            </w:r>
          </w:p>
        </w:tc>
      </w:tr>
      <w:tr>
        <w:tblPrEx>
          <w:tblCellMar>
            <w:top w:w="0" w:type="dxa"/>
            <w:left w:w="0" w:type="dxa"/>
            <w:bottom w:w="0" w:type="dxa"/>
            <w:right w:w="0" w:type="dxa"/>
          </w:tblCellMar>
        </w:tblPrEx>
        <w:trPr>
          <w:trHeight w:val="1582" w:hRule="atLeast"/>
          <w:jc w:val="center"/>
        </w:trPr>
        <w:tc>
          <w:tcPr>
            <w:tcW w:w="594" w:type="dxa"/>
            <w:tcBorders>
              <w:top w:val="single" w:color="auto" w:sz="4" w:space="0"/>
              <w:left w:val="single" w:color="auto" w:sz="8" w:space="0"/>
              <w:bottom w:val="single" w:color="auto" w:sz="4" w:space="0"/>
              <w:right w:val="single" w:color="auto" w:sz="4" w:space="0"/>
            </w:tcBorders>
            <w:noWrap/>
            <w:vAlign w:val="center"/>
          </w:tcPr>
          <w:p>
            <w:pPr>
              <w:autoSpaceDE w:val="0"/>
              <w:autoSpaceDN w:val="0"/>
              <w:adjustRightInd w:val="0"/>
              <w:jc w:val="center"/>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4</w:t>
            </w: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eastAsia="zh-CN"/>
              </w:rPr>
            </w:pPr>
            <w:r>
              <w:rPr>
                <w:rFonts w:hint="default" w:ascii="宋体" w:hAnsi="宋体" w:cs="宋体"/>
                <w:color w:val="auto"/>
                <w:szCs w:val="21"/>
                <w:highlight w:val="none"/>
                <w:lang w:eastAsia="zh-CN"/>
              </w:rPr>
              <w:t>项目组人员配置</w:t>
            </w:r>
          </w:p>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16分</w:t>
            </w:r>
            <w:r>
              <w:rPr>
                <w:rFonts w:hint="eastAsia" w:ascii="宋体" w:hAnsi="宋体" w:cs="宋体"/>
                <w:color w:val="auto"/>
                <w:szCs w:val="21"/>
                <w:highlight w:val="none"/>
                <w:lang w:eastAsia="zh-CN"/>
              </w:rPr>
              <w:t>）</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1、项目组成员（不含项目负责人）中具备</w:t>
            </w:r>
            <w:r>
              <w:rPr>
                <w:rFonts w:hint="default" w:ascii="宋体" w:hAnsi="宋体" w:cs="宋体"/>
                <w:color w:val="auto"/>
                <w:szCs w:val="21"/>
                <w:highlight w:val="none"/>
                <w:lang w:val="en-US" w:eastAsia="zh-CN"/>
              </w:rPr>
              <w:t>水利</w:t>
            </w:r>
            <w:r>
              <w:rPr>
                <w:rFonts w:hint="eastAsia" w:ascii="宋体" w:hAnsi="宋体" w:cs="宋体"/>
                <w:color w:val="auto"/>
                <w:szCs w:val="21"/>
                <w:highlight w:val="none"/>
                <w:lang w:val="en-US" w:eastAsia="zh-CN"/>
              </w:rPr>
              <w:t>工程</w:t>
            </w:r>
            <w:r>
              <w:rPr>
                <w:rFonts w:hint="default" w:ascii="宋体" w:hAnsi="宋体" w:cs="宋体"/>
                <w:color w:val="auto"/>
                <w:szCs w:val="21"/>
                <w:highlight w:val="none"/>
                <w:lang w:val="en-US" w:eastAsia="zh-CN"/>
              </w:rPr>
              <w:t>专业副高级</w:t>
            </w:r>
            <w:r>
              <w:rPr>
                <w:rFonts w:hint="eastAsia" w:ascii="宋体" w:hAnsi="宋体" w:cs="宋体"/>
                <w:color w:val="auto"/>
                <w:szCs w:val="21"/>
                <w:highlight w:val="none"/>
                <w:lang w:val="en-US" w:eastAsia="zh-CN"/>
              </w:rPr>
              <w:t>及以上职称</w:t>
            </w:r>
            <w:r>
              <w:rPr>
                <w:rFonts w:hint="default" w:ascii="宋体" w:hAnsi="宋体" w:cs="宋体"/>
                <w:color w:val="auto"/>
                <w:szCs w:val="21"/>
                <w:highlight w:val="none"/>
                <w:lang w:val="en-US" w:eastAsia="zh-CN"/>
              </w:rPr>
              <w:t>每</w:t>
            </w:r>
            <w:r>
              <w:rPr>
                <w:rFonts w:hint="eastAsia" w:ascii="宋体" w:hAnsi="宋体" w:cs="宋体"/>
                <w:color w:val="auto"/>
                <w:szCs w:val="21"/>
                <w:highlight w:val="none"/>
                <w:lang w:val="en-US" w:eastAsia="zh-CN"/>
              </w:rPr>
              <w:t>有1</w:t>
            </w:r>
            <w:r>
              <w:rPr>
                <w:rFonts w:hint="default" w:ascii="宋体" w:hAnsi="宋体" w:cs="宋体"/>
                <w:color w:val="auto"/>
                <w:szCs w:val="21"/>
                <w:highlight w:val="none"/>
                <w:lang w:val="en-US" w:eastAsia="zh-CN"/>
              </w:rPr>
              <w:t>人得</w:t>
            </w: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val="en-US" w:eastAsia="zh-CN"/>
              </w:rPr>
              <w:t>分，</w:t>
            </w:r>
            <w:r>
              <w:rPr>
                <w:rFonts w:hint="eastAsia" w:ascii="宋体" w:hAnsi="宋体" w:cs="宋体"/>
                <w:color w:val="auto"/>
                <w:szCs w:val="21"/>
                <w:highlight w:val="none"/>
                <w:lang w:val="en-US" w:eastAsia="zh-CN"/>
              </w:rPr>
              <w:t>满分8</w:t>
            </w:r>
            <w:r>
              <w:rPr>
                <w:rFonts w:hint="default" w:ascii="宋体" w:hAnsi="宋体" w:cs="宋体"/>
                <w:color w:val="auto"/>
                <w:szCs w:val="21"/>
                <w:highlight w:val="none"/>
                <w:lang w:val="en-US" w:eastAsia="zh-CN"/>
              </w:rPr>
              <w:t>分；</w:t>
            </w:r>
          </w:p>
          <w:p>
            <w:pPr>
              <w:keepNext w:val="0"/>
              <w:keepLines w:val="0"/>
              <w:pageBreakBefore w:val="0"/>
              <w:widowControl w:val="0"/>
              <w:kinsoku/>
              <w:wordWrap/>
              <w:overflowPunct/>
              <w:topLinePunct w:val="0"/>
              <w:bidi w:val="0"/>
              <w:snapToGrid/>
              <w:spacing w:line="24" w:lineRule="atLeast"/>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2、项目组成员（不含项目负责人）</w:t>
            </w:r>
            <w:r>
              <w:rPr>
                <w:rFonts w:hint="default" w:ascii="宋体" w:hAnsi="宋体" w:cs="宋体"/>
                <w:color w:val="auto"/>
                <w:szCs w:val="21"/>
                <w:highlight w:val="none"/>
                <w:lang w:val="en-US" w:eastAsia="zh-CN"/>
              </w:rPr>
              <w:t>专业包括水利工程、水文学及水资源、生态学、环境工程，每</w:t>
            </w:r>
            <w:r>
              <w:rPr>
                <w:rFonts w:hint="eastAsia" w:ascii="宋体" w:hAnsi="宋体" w:cs="宋体"/>
                <w:color w:val="auto"/>
                <w:szCs w:val="21"/>
                <w:highlight w:val="none"/>
                <w:lang w:val="en-US" w:eastAsia="zh-CN"/>
              </w:rPr>
              <w:t>有</w:t>
            </w:r>
            <w:r>
              <w:rPr>
                <w:rFonts w:hint="default" w:ascii="宋体" w:hAnsi="宋体" w:cs="宋体"/>
                <w:color w:val="auto"/>
                <w:szCs w:val="21"/>
                <w:highlight w:val="none"/>
                <w:lang w:val="en-US" w:eastAsia="zh-CN"/>
              </w:rPr>
              <w:t>1个专业得</w:t>
            </w: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val="en-US" w:eastAsia="zh-CN"/>
              </w:rPr>
              <w:t>分，</w:t>
            </w:r>
            <w:r>
              <w:rPr>
                <w:rFonts w:hint="eastAsia" w:ascii="宋体" w:hAnsi="宋体" w:cs="宋体"/>
                <w:color w:val="auto"/>
                <w:szCs w:val="21"/>
                <w:highlight w:val="none"/>
                <w:lang w:val="en-US" w:eastAsia="zh-CN"/>
              </w:rPr>
              <w:t>满分8</w:t>
            </w:r>
            <w:r>
              <w:rPr>
                <w:rFonts w:hint="default" w:ascii="宋体" w:hAnsi="宋体" w:cs="宋体"/>
                <w:color w:val="auto"/>
                <w:szCs w:val="21"/>
                <w:highlight w:val="none"/>
                <w:lang w:val="en-US" w:eastAsia="zh-CN"/>
              </w:rPr>
              <w:t>分。</w:t>
            </w:r>
          </w:p>
          <w:p>
            <w:pPr>
              <w:keepNext w:val="0"/>
              <w:keepLines w:val="0"/>
              <w:pageBreakBefore w:val="0"/>
              <w:widowControl w:val="0"/>
              <w:kinsoku/>
              <w:wordWrap/>
              <w:overflowPunct/>
              <w:topLinePunct w:val="0"/>
              <w:bidi w:val="0"/>
              <w:snapToGrid/>
              <w:spacing w:line="24" w:lineRule="atLeas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（提供证书复印件并加盖公章）</w:t>
            </w:r>
          </w:p>
        </w:tc>
      </w:tr>
      <w:tr>
        <w:tblPrEx>
          <w:tblCellMar>
            <w:top w:w="0" w:type="dxa"/>
            <w:left w:w="0" w:type="dxa"/>
            <w:bottom w:w="0" w:type="dxa"/>
            <w:right w:w="0" w:type="dxa"/>
          </w:tblCellMar>
        </w:tblPrEx>
        <w:trPr>
          <w:trHeight w:val="1112" w:hRule="atLeast"/>
          <w:jc w:val="center"/>
        </w:trPr>
        <w:tc>
          <w:tcPr>
            <w:tcW w:w="594" w:type="dxa"/>
            <w:tcBorders>
              <w:top w:val="single" w:color="auto" w:sz="4" w:space="0"/>
              <w:left w:val="single" w:color="auto" w:sz="8" w:space="0"/>
              <w:bottom w:val="single" w:color="auto" w:sz="4" w:space="0"/>
              <w:right w:val="single" w:color="auto" w:sz="4" w:space="0"/>
            </w:tcBorders>
            <w:noWrap/>
            <w:vAlign w:val="center"/>
          </w:tcPr>
          <w:p>
            <w:pPr>
              <w:autoSpaceDE w:val="0"/>
              <w:autoSpaceDN w:val="0"/>
              <w:adjustRightInd w:val="0"/>
              <w:jc w:val="center"/>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5</w:t>
            </w: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lang w:val="en-US" w:eastAsia="zh-CN"/>
              </w:rPr>
              <w:t>类似</w:t>
            </w:r>
            <w:bookmarkStart w:id="137" w:name="_GoBack"/>
            <w:r>
              <w:rPr>
                <w:rFonts w:hint="default" w:ascii="宋体" w:hAnsi="宋体" w:cs="宋体"/>
                <w:color w:val="auto"/>
                <w:szCs w:val="21"/>
                <w:highlight w:val="none"/>
              </w:rPr>
              <w:t>业绩</w:t>
            </w:r>
            <w:bookmarkEnd w:id="137"/>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20分</w:t>
            </w:r>
            <w:r>
              <w:rPr>
                <w:rFonts w:hint="eastAsia" w:ascii="宋体" w:hAnsi="宋体" w:cs="宋体"/>
                <w:color w:val="auto"/>
                <w:szCs w:val="21"/>
                <w:highlight w:val="none"/>
                <w:lang w:eastAsia="zh-CN"/>
              </w:rPr>
              <w:t>）</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eastAsia="zh-CN"/>
              </w:rPr>
              <w:t>投标人</w:t>
            </w:r>
            <w:r>
              <w:rPr>
                <w:rFonts w:hint="default" w:ascii="宋体" w:hAnsi="宋体" w:cs="宋体"/>
                <w:color w:val="auto"/>
                <w:szCs w:val="21"/>
                <w:highlight w:val="none"/>
                <w:lang w:eastAsia="zh-CN"/>
              </w:rPr>
              <w:t>近3年（20</w:t>
            </w:r>
            <w:r>
              <w:rPr>
                <w:rFonts w:hint="eastAsia" w:ascii="宋体" w:hAnsi="宋体" w:cs="宋体"/>
                <w:color w:val="auto"/>
                <w:szCs w:val="21"/>
                <w:highlight w:val="none"/>
                <w:lang w:val="en-US" w:eastAsia="zh-CN"/>
              </w:rPr>
              <w:t>21</w:t>
            </w:r>
            <w:r>
              <w:rPr>
                <w:rFonts w:hint="default" w:ascii="宋体" w:hAnsi="宋体" w:cs="宋体"/>
                <w:color w:val="auto"/>
                <w:szCs w:val="21"/>
                <w:highlight w:val="none"/>
                <w:lang w:eastAsia="zh-CN"/>
              </w:rPr>
              <w:t>年</w:t>
            </w:r>
            <w:r>
              <w:rPr>
                <w:rFonts w:hint="eastAsia" w:ascii="宋体" w:hAnsi="宋体" w:cs="宋体"/>
                <w:color w:val="auto"/>
                <w:szCs w:val="21"/>
                <w:highlight w:val="none"/>
                <w:lang w:val="en-US" w:eastAsia="zh-CN"/>
              </w:rPr>
              <w:t>1</w:t>
            </w:r>
            <w:r>
              <w:rPr>
                <w:rFonts w:hint="default" w:ascii="宋体" w:hAnsi="宋体" w:cs="宋体"/>
                <w:color w:val="auto"/>
                <w:szCs w:val="21"/>
                <w:highlight w:val="none"/>
                <w:lang w:eastAsia="zh-CN"/>
              </w:rPr>
              <w:t>月至今</w:t>
            </w:r>
            <w:r>
              <w:rPr>
                <w:rFonts w:hint="eastAsia" w:ascii="宋体" w:hAnsi="宋体" w:cs="宋体"/>
                <w:color w:val="auto"/>
                <w:szCs w:val="21"/>
                <w:highlight w:val="none"/>
                <w:lang w:eastAsia="zh-CN"/>
              </w:rPr>
              <w:t>，以取得的批文时间为准</w:t>
            </w:r>
            <w:r>
              <w:rPr>
                <w:rFonts w:hint="default" w:ascii="宋体" w:hAnsi="宋体" w:cs="宋体"/>
                <w:color w:val="auto"/>
                <w:szCs w:val="21"/>
                <w:highlight w:val="none"/>
                <w:lang w:eastAsia="zh-CN"/>
              </w:rPr>
              <w:t>）</w:t>
            </w:r>
            <w:r>
              <w:rPr>
                <w:rFonts w:hint="eastAsia" w:ascii="宋体" w:hAnsi="宋体" w:cs="宋体"/>
                <w:color w:val="auto"/>
                <w:szCs w:val="21"/>
                <w:highlight w:val="none"/>
                <w:lang w:val="en-US" w:eastAsia="zh-CN"/>
              </w:rPr>
              <w:t>承担过省级以上水行政主管部门审批的</w:t>
            </w:r>
            <w:r>
              <w:rPr>
                <w:rFonts w:hint="default" w:ascii="宋体" w:hAnsi="宋体" w:cs="宋体"/>
                <w:color w:val="auto"/>
                <w:szCs w:val="21"/>
                <w:highlight w:val="none"/>
                <w:lang w:eastAsia="zh-CN"/>
              </w:rPr>
              <w:t>类似</w:t>
            </w:r>
            <w:r>
              <w:rPr>
                <w:rFonts w:hint="eastAsia" w:ascii="宋体" w:hAnsi="宋体" w:cs="宋体"/>
                <w:color w:val="auto"/>
                <w:szCs w:val="21"/>
                <w:highlight w:val="none"/>
                <w:lang w:val="en-US" w:eastAsia="zh-CN"/>
              </w:rPr>
              <w:t>项目</w:t>
            </w:r>
            <w:r>
              <w:rPr>
                <w:rFonts w:hint="default" w:ascii="宋体" w:hAnsi="宋体" w:cs="宋体"/>
                <w:color w:val="auto"/>
                <w:szCs w:val="21"/>
                <w:highlight w:val="none"/>
                <w:lang w:eastAsia="zh-CN"/>
              </w:rPr>
              <w:t>业绩</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50万以上</w:t>
            </w:r>
            <w:r>
              <w:rPr>
                <w:rFonts w:hint="eastAsia" w:ascii="宋体" w:hAnsi="宋体" w:cs="宋体"/>
                <w:color w:val="auto"/>
                <w:szCs w:val="21"/>
                <w:highlight w:val="none"/>
                <w:lang w:eastAsia="zh-CN"/>
              </w:rPr>
              <w:t>）</w:t>
            </w:r>
            <w:r>
              <w:rPr>
                <w:rFonts w:hint="default" w:ascii="宋体" w:hAnsi="宋体" w:cs="宋体"/>
                <w:color w:val="auto"/>
                <w:szCs w:val="21"/>
                <w:highlight w:val="none"/>
                <w:lang w:eastAsia="zh-CN"/>
              </w:rPr>
              <w:t>的</w:t>
            </w:r>
            <w:r>
              <w:rPr>
                <w:rFonts w:hint="eastAsia" w:ascii="宋体" w:hAnsi="宋体" w:cs="宋体"/>
                <w:color w:val="auto"/>
                <w:szCs w:val="21"/>
                <w:highlight w:val="none"/>
                <w:lang w:val="en-US" w:eastAsia="zh-CN"/>
              </w:rPr>
              <w:t>有1个</w:t>
            </w:r>
            <w:r>
              <w:rPr>
                <w:rFonts w:hint="default" w:ascii="宋体" w:hAnsi="宋体" w:cs="宋体"/>
                <w:color w:val="auto"/>
                <w:szCs w:val="21"/>
                <w:highlight w:val="none"/>
                <w:lang w:eastAsia="zh-CN"/>
              </w:rPr>
              <w:t>得</w:t>
            </w:r>
            <w:r>
              <w:rPr>
                <w:rFonts w:hint="default"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满分</w:t>
            </w:r>
            <w:r>
              <w:rPr>
                <w:rFonts w:hint="default" w:ascii="宋体" w:hAnsi="宋体" w:cs="宋体"/>
                <w:color w:val="auto"/>
                <w:szCs w:val="21"/>
                <w:highlight w:val="none"/>
                <w:lang w:val="en-US" w:eastAsia="zh-CN"/>
              </w:rPr>
              <w:t>20</w:t>
            </w:r>
            <w:r>
              <w:rPr>
                <w:rFonts w:hint="default" w:ascii="宋体" w:hAnsi="宋体" w:cs="宋体"/>
                <w:color w:val="auto"/>
                <w:szCs w:val="21"/>
                <w:highlight w:val="none"/>
                <w:lang w:eastAsia="zh-CN"/>
              </w:rPr>
              <w:t>分。（</w:t>
            </w:r>
            <w:r>
              <w:rPr>
                <w:rFonts w:hint="default" w:ascii="宋体" w:hAnsi="宋体" w:cs="宋体"/>
                <w:color w:val="auto"/>
                <w:szCs w:val="21"/>
                <w:highlight w:val="none"/>
                <w:lang w:val="zh-CN" w:eastAsia="zh-CN"/>
              </w:rPr>
              <w:t>需提供合同及批文复印件并加盖公章，</w:t>
            </w:r>
            <w:r>
              <w:rPr>
                <w:rFonts w:hint="eastAsia" w:ascii="宋体" w:hAnsi="宋体" w:cs="宋体"/>
                <w:color w:val="auto"/>
                <w:szCs w:val="21"/>
                <w:highlight w:val="none"/>
                <w:lang w:val="en-US" w:eastAsia="zh-CN"/>
              </w:rPr>
              <w:t>缺一</w:t>
            </w:r>
            <w:r>
              <w:rPr>
                <w:rFonts w:hint="default" w:ascii="宋体" w:hAnsi="宋体" w:cs="宋体"/>
                <w:color w:val="auto"/>
                <w:szCs w:val="21"/>
                <w:highlight w:val="none"/>
                <w:lang w:val="zh-CN" w:eastAsia="zh-CN"/>
              </w:rPr>
              <w:t>不得分</w:t>
            </w:r>
            <w:r>
              <w:rPr>
                <w:rFonts w:hint="default" w:ascii="宋体" w:hAnsi="宋体" w:cs="宋体"/>
                <w:color w:val="auto"/>
                <w:szCs w:val="21"/>
                <w:highlight w:val="none"/>
                <w:lang w:eastAsia="zh-CN"/>
              </w:rPr>
              <w:t>）</w:t>
            </w:r>
          </w:p>
        </w:tc>
      </w:tr>
      <w:tr>
        <w:tblPrEx>
          <w:tblCellMar>
            <w:top w:w="0" w:type="dxa"/>
            <w:left w:w="0" w:type="dxa"/>
            <w:bottom w:w="0" w:type="dxa"/>
            <w:right w:w="0" w:type="dxa"/>
          </w:tblCellMar>
        </w:tblPrEx>
        <w:trPr>
          <w:trHeight w:val="2112" w:hRule="atLeast"/>
          <w:jc w:val="center"/>
        </w:trPr>
        <w:tc>
          <w:tcPr>
            <w:tcW w:w="594"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6</w:t>
            </w:r>
          </w:p>
        </w:tc>
        <w:tc>
          <w:tcPr>
            <w:tcW w:w="1857"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后续服务工作</w:t>
            </w:r>
          </w:p>
          <w:p>
            <w:pPr>
              <w:keepNext w:val="0"/>
              <w:keepLines w:val="0"/>
              <w:pageBreakBefore w:val="0"/>
              <w:widowControl w:val="0"/>
              <w:kinsoku/>
              <w:wordWrap/>
              <w:overflowPunct/>
              <w:topLinePunct w:val="0"/>
              <w:bidi w:val="0"/>
              <w:snapToGrid/>
              <w:spacing w:line="24" w:lineRule="atLeast"/>
              <w:jc w:val="center"/>
              <w:textAlignment w:val="auto"/>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安排及承诺</w:t>
            </w:r>
          </w:p>
          <w:p>
            <w:pPr>
              <w:keepNext w:val="0"/>
              <w:keepLines w:val="0"/>
              <w:pageBreakBefore w:val="0"/>
              <w:widowControl w:val="0"/>
              <w:kinsoku/>
              <w:wordWrap/>
              <w:overflowPunct/>
              <w:topLinePunct w:val="0"/>
              <w:bidi w:val="0"/>
              <w:snapToGrid/>
              <w:spacing w:line="24" w:lineRule="atLeas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（10分）</w:t>
            </w:r>
          </w:p>
        </w:tc>
        <w:tc>
          <w:tcPr>
            <w:tcW w:w="647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w:t>
            </w:r>
            <w:r>
              <w:rPr>
                <w:rFonts w:hint="default" w:ascii="宋体" w:hAnsi="宋体" w:cs="宋体"/>
                <w:color w:val="auto"/>
                <w:szCs w:val="21"/>
                <w:highlight w:val="none"/>
                <w:lang w:val="en-US" w:eastAsia="zh-CN"/>
              </w:rPr>
              <w:t>后续服务工作安排及承诺较优，有具体奖惩承诺，保障措施完善切实可靠的</w:t>
            </w:r>
            <w:r>
              <w:rPr>
                <w:rFonts w:hint="eastAsia" w:ascii="宋体" w:hAnsi="宋体" w:cs="宋体"/>
                <w:color w:val="auto"/>
                <w:szCs w:val="21"/>
                <w:highlight w:val="none"/>
                <w:lang w:val="en-US" w:eastAsia="zh-CN"/>
              </w:rPr>
              <w:t>得</w:t>
            </w:r>
            <w:r>
              <w:rPr>
                <w:rFonts w:hint="default" w:ascii="宋体" w:hAnsi="宋体" w:cs="宋体"/>
                <w:color w:val="auto"/>
                <w:szCs w:val="21"/>
                <w:highlight w:val="none"/>
                <w:lang w:val="en-US" w:eastAsia="zh-CN"/>
              </w:rPr>
              <w:t>10分；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val="en-US" w:eastAsia="zh-CN"/>
              </w:rPr>
              <w:t>后续服务工作安排及承诺一般，有奖惩承诺但有错误，保障措施基本完善的</w:t>
            </w:r>
            <w:r>
              <w:rPr>
                <w:rFonts w:hint="eastAsia" w:ascii="宋体" w:hAnsi="宋体" w:cs="宋体"/>
                <w:color w:val="auto"/>
                <w:szCs w:val="21"/>
                <w:highlight w:val="none"/>
                <w:lang w:val="en-US" w:eastAsia="zh-CN"/>
              </w:rPr>
              <w:t>得7</w:t>
            </w:r>
            <w:r>
              <w:rPr>
                <w:rFonts w:hint="default" w:ascii="宋体" w:hAnsi="宋体" w:cs="宋体"/>
                <w:color w:val="auto"/>
                <w:szCs w:val="21"/>
                <w:highlight w:val="none"/>
                <w:lang w:val="en-US" w:eastAsia="zh-CN"/>
              </w:rPr>
              <w:t>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default" w:ascii="宋体" w:hAnsi="宋体" w:cs="宋体"/>
                <w:color w:val="auto"/>
                <w:szCs w:val="21"/>
                <w:highlight w:val="none"/>
                <w:lang w:val="en-US" w:eastAsia="zh-CN"/>
              </w:rPr>
              <w:t>后续服务工作安排及承诺较差，无奖惩承诺，保障措施不完善的</w:t>
            </w:r>
            <w:r>
              <w:rPr>
                <w:rFonts w:hint="eastAsia" w:ascii="宋体" w:hAnsi="宋体" w:cs="宋体"/>
                <w:color w:val="auto"/>
                <w:szCs w:val="21"/>
                <w:highlight w:val="none"/>
                <w:lang w:val="en-US" w:eastAsia="zh-CN"/>
              </w:rPr>
              <w:t>得4分；</w:t>
            </w:r>
          </w:p>
          <w:p>
            <w:pPr>
              <w:keepNext w:val="0"/>
              <w:keepLines w:val="0"/>
              <w:pageBreakBefore w:val="0"/>
              <w:widowControl w:val="0"/>
              <w:kinsoku/>
              <w:wordWrap/>
              <w:overflowPunct/>
              <w:topLinePunct w:val="0"/>
              <w:bidi w:val="0"/>
              <w:snapToGrid/>
              <w:spacing w:line="24" w:lineRule="atLeas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4、未提供的得0分</w:t>
            </w:r>
            <w:r>
              <w:rPr>
                <w:rFonts w:hint="default" w:ascii="宋体" w:hAnsi="宋体" w:cs="宋体"/>
                <w:color w:val="auto"/>
                <w:szCs w:val="21"/>
                <w:highlight w:val="none"/>
                <w:lang w:val="en-US" w:eastAsia="zh-CN"/>
              </w:rPr>
              <w:t>。</w:t>
            </w:r>
          </w:p>
        </w:tc>
      </w:tr>
    </w:tbl>
    <w:p>
      <w:pPr>
        <w:widowControl/>
        <w:jc w:val="left"/>
        <w:rPr>
          <w:color w:val="auto"/>
          <w:highlight w:val="none"/>
        </w:rPr>
      </w:pPr>
    </w:p>
    <w:p>
      <w:pPr>
        <w:widowControl/>
        <w:jc w:val="left"/>
        <w:rPr>
          <w:color w:val="auto"/>
          <w:szCs w:val="21"/>
          <w:highlight w:val="none"/>
        </w:rPr>
      </w:pPr>
      <w:r>
        <w:rPr>
          <w:color w:val="auto"/>
          <w:highlight w:val="none"/>
        </w:rPr>
        <w:br w:type="page"/>
      </w:r>
    </w:p>
    <w:p>
      <w:pPr>
        <w:tabs>
          <w:tab w:val="left" w:pos="900"/>
        </w:tabs>
        <w:spacing w:line="360" w:lineRule="auto"/>
        <w:jc w:val="center"/>
        <w:outlineLvl w:val="0"/>
        <w:rPr>
          <w:rFonts w:ascii="宋体" w:hAnsi="宋体" w:cs="宋体"/>
          <w:b/>
          <w:bCs/>
          <w:color w:val="auto"/>
          <w:kern w:val="44"/>
          <w:sz w:val="36"/>
          <w:szCs w:val="44"/>
          <w:highlight w:val="none"/>
        </w:rPr>
      </w:pPr>
      <w:bookmarkStart w:id="136" w:name="_Toc13446"/>
      <w:r>
        <w:rPr>
          <w:rFonts w:hint="eastAsia" w:ascii="宋体" w:hAnsi="宋体" w:cs="宋体"/>
          <w:b/>
          <w:bCs/>
          <w:color w:val="auto"/>
          <w:kern w:val="44"/>
          <w:sz w:val="36"/>
          <w:szCs w:val="44"/>
          <w:highlight w:val="none"/>
        </w:rPr>
        <w:t>第六章 投标文件格式</w:t>
      </w:r>
      <w:bookmarkEnd w:id="134"/>
      <w:bookmarkEnd w:id="135"/>
      <w:bookmarkEnd w:id="136"/>
    </w:p>
    <w:p>
      <w:pPr>
        <w:jc w:val="center"/>
        <w:rPr>
          <w:rFonts w:ascii="宋体" w:hAnsi="宋体" w:cs="宋体"/>
          <w:b/>
          <w:color w:val="auto"/>
          <w:sz w:val="36"/>
          <w:highlight w:val="none"/>
        </w:rPr>
      </w:pPr>
    </w:p>
    <w:p>
      <w:pPr>
        <w:jc w:val="center"/>
        <w:rPr>
          <w:rFonts w:ascii="宋体" w:hAnsi="宋体" w:cs="宋体"/>
          <w:b/>
          <w:color w:val="auto"/>
          <w:szCs w:val="21"/>
          <w:highlight w:val="none"/>
        </w:rPr>
      </w:pPr>
    </w:p>
    <w:p>
      <w:pPr>
        <w:jc w:val="center"/>
        <w:rPr>
          <w:rFonts w:ascii="宋体" w:hAnsi="宋体" w:cs="宋体"/>
          <w:b/>
          <w:color w:val="auto"/>
          <w:sz w:val="22"/>
          <w:szCs w:val="21"/>
          <w:highlight w:val="none"/>
        </w:rPr>
      </w:pPr>
    </w:p>
    <w:p>
      <w:pPr>
        <w:jc w:val="center"/>
        <w:rPr>
          <w:rFonts w:ascii="宋体" w:hAnsi="宋体" w:cs="宋体"/>
          <w:b/>
          <w:color w:val="auto"/>
          <w:sz w:val="72"/>
          <w:highlight w:val="none"/>
        </w:rPr>
      </w:pPr>
      <w:r>
        <w:rPr>
          <w:rFonts w:hint="eastAsia" w:ascii="宋体" w:hAnsi="宋体" w:cs="宋体"/>
          <w:b/>
          <w:color w:val="auto"/>
          <w:sz w:val="72"/>
          <w:highlight w:val="none"/>
        </w:rPr>
        <w:t>投  标  文  件</w:t>
      </w:r>
    </w:p>
    <w:p>
      <w:pPr>
        <w:jc w:val="center"/>
        <w:rPr>
          <w:rFonts w:ascii="宋体" w:hAnsi="宋体" w:cs="宋体"/>
          <w:b/>
          <w:color w:val="auto"/>
          <w:sz w:val="72"/>
          <w:highlight w:val="none"/>
        </w:rPr>
      </w:pPr>
    </w:p>
    <w:p>
      <w:pPr>
        <w:jc w:val="center"/>
        <w:rPr>
          <w:rFonts w:ascii="宋体" w:hAnsi="宋体" w:cs="宋体"/>
          <w:b/>
          <w:color w:val="auto"/>
          <w:sz w:val="72"/>
          <w:highlight w:val="none"/>
        </w:rPr>
      </w:pPr>
    </w:p>
    <w:p>
      <w:pPr>
        <w:jc w:val="center"/>
        <w:rPr>
          <w:rFonts w:ascii="宋体" w:hAnsi="宋体" w:cs="宋体"/>
          <w:b/>
          <w:color w:val="auto"/>
          <w:sz w:val="36"/>
          <w:highlight w:val="none"/>
        </w:rPr>
      </w:pPr>
    </w:p>
    <w:p>
      <w:pPr>
        <w:jc w:val="center"/>
        <w:rPr>
          <w:rFonts w:ascii="宋体" w:hAnsi="宋体" w:cs="宋体"/>
          <w:b/>
          <w:color w:val="auto"/>
          <w:sz w:val="36"/>
          <w:highlight w:val="none"/>
        </w:rPr>
      </w:pPr>
    </w:p>
    <w:p>
      <w:pPr>
        <w:jc w:val="center"/>
        <w:rPr>
          <w:rFonts w:ascii="宋体" w:hAnsi="宋体" w:cs="宋体"/>
          <w:b/>
          <w:color w:val="auto"/>
          <w:sz w:val="36"/>
          <w:highlight w:val="none"/>
        </w:rPr>
      </w:pPr>
    </w:p>
    <w:p>
      <w:pPr>
        <w:ind w:firstLine="1084" w:firstLineChars="300"/>
        <w:rPr>
          <w:rFonts w:ascii="宋体" w:hAnsi="宋体" w:cs="宋体"/>
          <w:color w:val="auto"/>
          <w:sz w:val="36"/>
          <w:szCs w:val="36"/>
          <w:highlight w:val="none"/>
        </w:rPr>
      </w:pPr>
      <w:r>
        <w:rPr>
          <w:rFonts w:hint="eastAsia" w:ascii="宋体" w:hAnsi="宋体" w:cs="宋体"/>
          <w:b/>
          <w:color w:val="auto"/>
          <w:sz w:val="36"/>
          <w:highlight w:val="none"/>
        </w:rPr>
        <w:t>项目名称：</w:t>
      </w:r>
    </w:p>
    <w:p>
      <w:pPr>
        <w:ind w:firstLine="1084" w:firstLineChars="300"/>
        <w:rPr>
          <w:rFonts w:ascii="宋体" w:hAnsi="宋体" w:cs="宋体"/>
          <w:b/>
          <w:color w:val="auto"/>
          <w:sz w:val="36"/>
          <w:highlight w:val="none"/>
          <w:u w:val="single"/>
        </w:rPr>
      </w:pPr>
      <w:r>
        <w:rPr>
          <w:rFonts w:hint="eastAsia" w:ascii="宋体" w:hAnsi="宋体" w:cs="宋体"/>
          <w:b/>
          <w:color w:val="auto"/>
          <w:sz w:val="36"/>
          <w:highlight w:val="none"/>
        </w:rPr>
        <w:t>编    号：</w:t>
      </w:r>
    </w:p>
    <w:p>
      <w:pPr>
        <w:ind w:firstLine="1084" w:firstLineChars="300"/>
        <w:rPr>
          <w:rFonts w:ascii="宋体" w:hAnsi="宋体" w:cs="宋体"/>
          <w:b/>
          <w:color w:val="auto"/>
          <w:sz w:val="36"/>
          <w:highlight w:val="none"/>
          <w:u w:val="single"/>
        </w:rPr>
      </w:pPr>
      <w:r>
        <w:rPr>
          <w:rFonts w:hint="eastAsia" w:ascii="宋体" w:hAnsi="宋体" w:cs="宋体"/>
          <w:b/>
          <w:color w:val="auto"/>
          <w:sz w:val="36"/>
          <w:highlight w:val="none"/>
        </w:rPr>
        <w:t>投标人名称 ：</w:t>
      </w:r>
    </w:p>
    <w:p>
      <w:pPr>
        <w:ind w:firstLine="1084" w:firstLineChars="300"/>
        <w:rPr>
          <w:rFonts w:ascii="宋体" w:hAnsi="宋体" w:cs="宋体"/>
          <w:b/>
          <w:color w:val="auto"/>
          <w:sz w:val="36"/>
          <w:highlight w:val="none"/>
        </w:rPr>
      </w:pPr>
      <w:r>
        <w:rPr>
          <w:rFonts w:hint="eastAsia" w:ascii="宋体" w:hAnsi="宋体" w:cs="宋体"/>
          <w:b/>
          <w:color w:val="auto"/>
          <w:sz w:val="36"/>
          <w:highlight w:val="none"/>
        </w:rPr>
        <w:t>日   期 ：</w:t>
      </w:r>
    </w:p>
    <w:p>
      <w:pPr>
        <w:spacing w:line="440" w:lineRule="exact"/>
        <w:jc w:val="center"/>
        <w:rPr>
          <w:rFonts w:ascii="宋体" w:hAnsi="宋体" w:cs="宋体"/>
          <w:b/>
          <w:bCs/>
          <w:color w:val="auto"/>
          <w:sz w:val="32"/>
          <w:szCs w:val="32"/>
          <w:highlight w:val="none"/>
        </w:rPr>
      </w:pPr>
    </w:p>
    <w:p>
      <w:pPr>
        <w:spacing w:line="440" w:lineRule="exact"/>
        <w:ind w:firstLine="480" w:firstLineChars="200"/>
        <w:rPr>
          <w:rFonts w:ascii="宋体" w:hAnsi="宋体" w:cs="宋体"/>
          <w:color w:val="auto"/>
          <w:sz w:val="24"/>
          <w:highlight w:val="none"/>
        </w:rPr>
      </w:pPr>
    </w:p>
    <w:p>
      <w:pPr>
        <w:spacing w:line="440" w:lineRule="exact"/>
        <w:ind w:firstLine="480" w:firstLineChars="200"/>
        <w:rPr>
          <w:rFonts w:ascii="宋体" w:hAnsi="宋体" w:cs="宋体"/>
          <w:color w:val="auto"/>
          <w:sz w:val="24"/>
          <w:highlight w:val="none"/>
        </w:rPr>
      </w:pPr>
    </w:p>
    <w:p>
      <w:pPr>
        <w:spacing w:beforeLines="100" w:afterLines="100"/>
        <w:jc w:val="center"/>
        <w:rPr>
          <w:rFonts w:ascii="宋体" w:hAnsi="宋体" w:cs="宋体"/>
          <w:b/>
          <w:color w:val="auto"/>
          <w:szCs w:val="21"/>
          <w:highlight w:val="none"/>
        </w:rPr>
      </w:pPr>
      <w:r>
        <w:rPr>
          <w:rFonts w:hint="eastAsia" w:ascii="宋体" w:hAnsi="宋体" w:cs="宋体"/>
          <w:color w:val="auto"/>
          <w:sz w:val="24"/>
          <w:highlight w:val="none"/>
        </w:rPr>
        <w:br w:type="page"/>
      </w:r>
      <w:r>
        <w:rPr>
          <w:rFonts w:hint="eastAsia" w:ascii="宋体" w:hAnsi="宋体" w:cs="宋体"/>
          <w:b/>
          <w:color w:val="auto"/>
          <w:szCs w:val="21"/>
          <w:highlight w:val="none"/>
        </w:rPr>
        <w:t>评分索引表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97"/>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r>
              <w:rPr>
                <w:rFonts w:hint="eastAsia" w:ascii="宋体" w:hAnsi="宋体" w:cs="宋体"/>
                <w:b/>
                <w:color w:val="auto"/>
                <w:szCs w:val="21"/>
                <w:highlight w:val="none"/>
              </w:rPr>
              <w:t>评分项目</w:t>
            </w: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r>
              <w:rPr>
                <w:rFonts w:hint="eastAsia" w:ascii="宋体" w:hAnsi="宋体" w:cs="宋体"/>
                <w:b/>
                <w:color w:val="auto"/>
                <w:szCs w:val="21"/>
                <w:highlight w:val="none"/>
              </w:rPr>
              <w:t>在投标文件中的页码位置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92" w:type="dxa"/>
            <w:gridSpan w:val="2"/>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92" w:type="dxa"/>
            <w:gridSpan w:val="2"/>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92" w:type="dxa"/>
            <w:gridSpan w:val="2"/>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197" w:type="dxa"/>
            <w:vAlign w:val="center"/>
          </w:tcPr>
          <w:p>
            <w:pPr>
              <w:pStyle w:val="47"/>
              <w:shd w:val="clear" w:color="auto" w:fill="FFFFFF"/>
              <w:ind w:firstLine="0" w:firstLineChars="0"/>
              <w:jc w:val="center"/>
              <w:rPr>
                <w:rFonts w:ascii="宋体" w:hAnsi="宋体" w:cs="宋体"/>
                <w:b/>
                <w:color w:val="auto"/>
                <w:szCs w:val="21"/>
                <w:highlight w:val="none"/>
              </w:rPr>
            </w:pPr>
          </w:p>
        </w:tc>
        <w:tc>
          <w:tcPr>
            <w:tcW w:w="2895" w:type="dxa"/>
            <w:vAlign w:val="center"/>
          </w:tcPr>
          <w:p>
            <w:pPr>
              <w:pStyle w:val="47"/>
              <w:shd w:val="clear" w:color="auto" w:fill="FFFFFF"/>
              <w:ind w:firstLine="0" w:firstLineChars="0"/>
              <w:jc w:val="center"/>
              <w:rPr>
                <w:rFonts w:ascii="宋体" w:hAnsi="宋体" w:cs="宋体"/>
                <w:b/>
                <w:color w:val="auto"/>
                <w:szCs w:val="21"/>
                <w:highlight w:val="none"/>
              </w:rPr>
            </w:pPr>
          </w:p>
        </w:tc>
      </w:tr>
    </w:tbl>
    <w:p>
      <w:pPr>
        <w:pStyle w:val="3"/>
        <w:spacing w:line="240" w:lineRule="auto"/>
        <w:rPr>
          <w:rFonts w:ascii="宋体" w:hAnsi="宋体" w:cs="宋体"/>
          <w:color w:val="auto"/>
          <w:sz w:val="24"/>
          <w:szCs w:val="24"/>
          <w:highlight w:val="none"/>
        </w:rPr>
      </w:pPr>
    </w:p>
    <w:p>
      <w:pPr>
        <w:rPr>
          <w:rFonts w:ascii="宋体" w:hAnsi="宋体" w:cs="宋体"/>
          <w:b/>
          <w:color w:val="auto"/>
          <w:sz w:val="24"/>
          <w:szCs w:val="24"/>
          <w:highlight w:val="none"/>
        </w:rPr>
      </w:pPr>
    </w:p>
    <w:p>
      <w:pPr>
        <w:pStyle w:val="3"/>
        <w:spacing w:line="240" w:lineRule="auto"/>
        <w:rPr>
          <w:rFonts w:ascii="宋体" w:hAnsi="宋体" w:cs="宋体"/>
          <w:color w:val="auto"/>
          <w:sz w:val="24"/>
          <w:szCs w:val="24"/>
          <w:highlight w:val="none"/>
        </w:rPr>
      </w:pPr>
    </w:p>
    <w:p>
      <w:pPr>
        <w:rPr>
          <w:rFonts w:ascii="宋体" w:hAnsi="宋体" w:cs="宋体"/>
          <w:b/>
          <w:color w:val="auto"/>
          <w:sz w:val="24"/>
          <w:szCs w:val="24"/>
          <w:highlight w:val="none"/>
        </w:rPr>
      </w:pPr>
    </w:p>
    <w:p>
      <w:pPr>
        <w:spacing w:afterLines="100" w:line="360" w:lineRule="auto"/>
        <w:jc w:val="center"/>
        <w:rPr>
          <w:rFonts w:ascii="宋体" w:hAnsi="宋体" w:cs="宋体"/>
          <w:b/>
          <w:bCs/>
          <w:color w:val="auto"/>
          <w:kern w:val="0"/>
          <w:szCs w:val="21"/>
          <w:highlight w:val="none"/>
        </w:rPr>
      </w:pPr>
      <w:r>
        <w:rPr>
          <w:rFonts w:hint="eastAsia" w:ascii="宋体" w:hAnsi="宋体" w:cs="宋体"/>
          <w:b/>
          <w:color w:val="auto"/>
          <w:sz w:val="36"/>
          <w:highlight w:val="none"/>
          <w:u w:val="single"/>
        </w:rPr>
        <w:br w:type="page"/>
      </w:r>
      <w:r>
        <w:rPr>
          <w:rFonts w:hint="eastAsia" w:ascii="宋体" w:hAnsi="宋体" w:cs="宋体"/>
          <w:b/>
          <w:bCs/>
          <w:color w:val="auto"/>
          <w:szCs w:val="21"/>
          <w:highlight w:val="none"/>
        </w:rPr>
        <w:t>投标主要文件目录</w:t>
      </w:r>
    </w:p>
    <w:p>
      <w:pPr>
        <w:ind w:firstLine="420" w:firstLineChars="200"/>
        <w:rPr>
          <w:rFonts w:ascii="宋体" w:hAnsi="宋体" w:cs="宋体"/>
          <w:color w:val="auto"/>
          <w:szCs w:val="21"/>
          <w:highlight w:val="none"/>
        </w:rPr>
      </w:pPr>
      <w:r>
        <w:rPr>
          <w:rFonts w:hint="eastAsia" w:ascii="宋体" w:hAnsi="宋体" w:cs="宋体"/>
          <w:color w:val="auto"/>
          <w:szCs w:val="21"/>
          <w:highlight w:val="none"/>
        </w:rPr>
        <w:t>一、资格性和符合性检查响应对照表</w:t>
      </w: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r>
        <w:rPr>
          <w:rFonts w:hint="eastAsia" w:ascii="宋体" w:hAnsi="宋体" w:cs="宋体"/>
          <w:color w:val="auto"/>
          <w:szCs w:val="21"/>
          <w:highlight w:val="none"/>
        </w:rPr>
        <w:t>二、资格证明文件</w:t>
      </w: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r>
        <w:rPr>
          <w:rFonts w:hint="eastAsia" w:ascii="宋体" w:hAnsi="宋体" w:cs="宋体"/>
          <w:color w:val="auto"/>
          <w:szCs w:val="21"/>
          <w:highlight w:val="none"/>
        </w:rPr>
        <w:t>三、开标一览表</w:t>
      </w:r>
    </w:p>
    <w:p>
      <w:pPr>
        <w:rPr>
          <w:rFonts w:ascii="宋体" w:hAnsi="宋体" w:cs="宋体"/>
          <w:color w:val="auto"/>
          <w:szCs w:val="21"/>
          <w:highlight w:val="none"/>
        </w:rPr>
      </w:pPr>
    </w:p>
    <w:p>
      <w:pPr>
        <w:ind w:firstLine="420" w:firstLineChars="200"/>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四、项目人员组成表</w:t>
      </w:r>
    </w:p>
    <w:p>
      <w:pPr>
        <w:ind w:firstLine="420" w:firstLineChars="200"/>
        <w:rPr>
          <w:rFonts w:hint="eastAsia" w:ascii="宋体" w:hAnsi="宋体" w:cs="宋体"/>
          <w:color w:val="auto"/>
          <w:szCs w:val="21"/>
          <w:highlight w:val="none"/>
          <w:lang w:val="en-US" w:eastAsia="zh-CN"/>
        </w:rPr>
      </w:pPr>
    </w:p>
    <w:p>
      <w:pPr>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五</w:t>
      </w:r>
      <w:r>
        <w:rPr>
          <w:rFonts w:hint="eastAsia" w:ascii="宋体" w:hAnsi="宋体" w:cs="宋体"/>
          <w:color w:val="auto"/>
          <w:szCs w:val="21"/>
          <w:highlight w:val="none"/>
        </w:rPr>
        <w:t>、类似业绩一览表</w:t>
      </w:r>
    </w:p>
    <w:p>
      <w:pPr>
        <w:ind w:firstLine="420" w:firstLineChars="200"/>
        <w:rPr>
          <w:rFonts w:ascii="宋体" w:hAnsi="宋体" w:cs="宋体"/>
          <w:color w:val="auto"/>
          <w:szCs w:val="21"/>
          <w:highlight w:val="none"/>
        </w:rPr>
      </w:pPr>
    </w:p>
    <w:p>
      <w:pPr>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六</w:t>
      </w:r>
      <w:r>
        <w:rPr>
          <w:rFonts w:hint="eastAsia" w:ascii="宋体" w:hAnsi="宋体" w:cs="宋体"/>
          <w:color w:val="auto"/>
          <w:szCs w:val="21"/>
          <w:highlight w:val="none"/>
        </w:rPr>
        <w:t>、服务</w:t>
      </w:r>
      <w:r>
        <w:rPr>
          <w:rFonts w:hint="eastAsia" w:ascii="宋体" w:hAnsi="宋体" w:cs="宋体"/>
          <w:color w:val="auto"/>
          <w:szCs w:val="21"/>
          <w:highlight w:val="none"/>
          <w:lang w:val="en-US" w:eastAsia="zh-CN"/>
        </w:rPr>
        <w:t>承诺</w:t>
      </w: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、实施方案</w:t>
      </w: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r>
        <w:rPr>
          <w:rFonts w:hint="eastAsia" w:ascii="宋体" w:hAnsi="宋体" w:cs="宋体"/>
          <w:color w:val="auto"/>
          <w:szCs w:val="21"/>
          <w:highlight w:val="none"/>
        </w:rPr>
        <w:t>......</w:t>
      </w: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ind w:firstLine="420" w:firstLineChars="200"/>
        <w:rPr>
          <w:rFonts w:ascii="宋体" w:hAnsi="宋体" w:cs="宋体"/>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jc w:val="left"/>
        <w:rPr>
          <w:rFonts w:ascii="宋体" w:hAnsi="宋体" w:cs="宋体"/>
          <w:b/>
          <w:color w:val="auto"/>
          <w:szCs w:val="21"/>
          <w:highlight w:val="none"/>
        </w:rPr>
      </w:pPr>
    </w:p>
    <w:p>
      <w:pPr>
        <w:spacing w:afterLines="100" w:line="360" w:lineRule="auto"/>
        <w:jc w:val="center"/>
        <w:rPr>
          <w:rFonts w:ascii="宋体" w:hAnsi="宋体" w:cs="宋体"/>
          <w:b/>
          <w:color w:val="auto"/>
          <w:szCs w:val="21"/>
          <w:highlight w:val="none"/>
        </w:rPr>
      </w:pPr>
    </w:p>
    <w:p>
      <w:pPr>
        <w:spacing w:afterLines="100" w:line="360" w:lineRule="auto"/>
        <w:jc w:val="center"/>
        <w:rPr>
          <w:rFonts w:ascii="宋体" w:hAnsi="宋体" w:cs="宋体"/>
          <w:b/>
          <w:color w:val="auto"/>
          <w:szCs w:val="21"/>
          <w:highlight w:val="none"/>
        </w:rPr>
      </w:pPr>
    </w:p>
    <w:p>
      <w:pPr>
        <w:spacing w:afterLines="100" w:line="360" w:lineRule="auto"/>
        <w:jc w:val="center"/>
        <w:rPr>
          <w:rFonts w:ascii="宋体" w:hAnsi="宋体" w:cs="宋体"/>
          <w:b/>
          <w:color w:val="auto"/>
          <w:szCs w:val="21"/>
          <w:highlight w:val="none"/>
        </w:rPr>
      </w:pPr>
      <w:r>
        <w:rPr>
          <w:rFonts w:hint="eastAsia" w:ascii="宋体" w:hAnsi="宋体" w:cs="宋体"/>
          <w:b/>
          <w:color w:val="auto"/>
          <w:szCs w:val="21"/>
          <w:highlight w:val="none"/>
        </w:rPr>
        <w:t>一、资格性和符合性检查响应对照表</w:t>
      </w:r>
    </w:p>
    <w:p>
      <w:pPr>
        <w:spacing w:afterLines="100" w:line="360" w:lineRule="auto"/>
        <w:ind w:right="210" w:rightChars="100" w:firstLine="306"/>
        <w:rPr>
          <w:rFonts w:ascii="宋体" w:hAnsi="宋体" w:cs="宋体"/>
          <w:color w:val="auto"/>
          <w:szCs w:val="21"/>
          <w:highlight w:val="none"/>
        </w:rPr>
      </w:pPr>
      <w:r>
        <w:rPr>
          <w:rFonts w:hint="eastAsia" w:ascii="宋体" w:hAnsi="宋体" w:cs="宋体"/>
          <w:color w:val="auto"/>
          <w:szCs w:val="21"/>
          <w:highlight w:val="none"/>
        </w:rPr>
        <w:t>投标人全称（加盖公章）：</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4726"/>
        <w:gridCol w:w="1611"/>
        <w:gridCol w:w="1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40" w:lineRule="atLeast"/>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40" w:lineRule="atLeast"/>
              <w:jc w:val="center"/>
              <w:rPr>
                <w:rFonts w:ascii="宋体" w:hAnsi="宋体" w:cs="宋体"/>
                <w:b/>
                <w:color w:val="auto"/>
                <w:szCs w:val="21"/>
                <w:highlight w:val="none"/>
              </w:rPr>
            </w:pPr>
            <w:r>
              <w:rPr>
                <w:rFonts w:hint="eastAsia" w:ascii="宋体" w:hAnsi="宋体" w:cs="宋体"/>
                <w:b/>
                <w:color w:val="auto"/>
                <w:szCs w:val="21"/>
                <w:highlight w:val="none"/>
              </w:rPr>
              <w:t>资格性和符合性检查响应内容</w:t>
            </w:r>
          </w:p>
        </w:tc>
        <w:tc>
          <w:tcPr>
            <w:tcW w:w="161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cs="宋体"/>
                <w:b/>
                <w:color w:val="auto"/>
                <w:szCs w:val="21"/>
                <w:highlight w:val="none"/>
              </w:rPr>
            </w:pPr>
            <w:r>
              <w:rPr>
                <w:rFonts w:hint="eastAsia" w:ascii="宋体" w:hAnsi="宋体" w:cs="宋体"/>
                <w:b/>
                <w:color w:val="auto"/>
                <w:szCs w:val="21"/>
                <w:highlight w:val="none"/>
              </w:rPr>
              <w:t>是否响应</w:t>
            </w:r>
          </w:p>
          <w:p>
            <w:pPr>
              <w:adjustRightInd w:val="0"/>
              <w:snapToGrid w:val="0"/>
              <w:spacing w:after="200" w:line="240" w:lineRule="atLeast"/>
              <w:jc w:val="center"/>
              <w:rPr>
                <w:rFonts w:ascii="宋体" w:hAnsi="宋体" w:cs="宋体"/>
                <w:b/>
                <w:color w:val="auto"/>
                <w:szCs w:val="21"/>
                <w:highlight w:val="none"/>
              </w:rPr>
            </w:pPr>
            <w:r>
              <w:rPr>
                <w:rFonts w:hint="eastAsia" w:ascii="宋体" w:hAnsi="宋体" w:cs="宋体"/>
                <w:b/>
                <w:color w:val="auto"/>
                <w:szCs w:val="21"/>
                <w:highlight w:val="none"/>
              </w:rPr>
              <w:t>（填是或者否）</w:t>
            </w:r>
          </w:p>
        </w:tc>
        <w:tc>
          <w:tcPr>
            <w:tcW w:w="1573"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cs="宋体"/>
                <w:b/>
                <w:color w:val="auto"/>
                <w:szCs w:val="21"/>
                <w:highlight w:val="none"/>
              </w:rPr>
            </w:pPr>
            <w:r>
              <w:rPr>
                <w:rFonts w:hint="eastAsia" w:ascii="宋体" w:hAnsi="宋体" w:cs="宋体"/>
                <w:b/>
                <w:color w:val="auto"/>
                <w:szCs w:val="21"/>
                <w:highlight w:val="none"/>
              </w:rPr>
              <w:t>投标文件中的</w:t>
            </w:r>
          </w:p>
          <w:p>
            <w:pPr>
              <w:adjustRightInd w:val="0"/>
              <w:snapToGrid w:val="0"/>
              <w:spacing w:after="200" w:line="240" w:lineRule="atLeast"/>
              <w:jc w:val="center"/>
              <w:rPr>
                <w:rFonts w:ascii="宋体" w:hAnsi="宋体" w:cs="宋体"/>
                <w:b/>
                <w:color w:val="auto"/>
                <w:szCs w:val="21"/>
                <w:highlight w:val="none"/>
              </w:rPr>
            </w:pPr>
            <w:r>
              <w:rPr>
                <w:rFonts w:hint="eastAsia" w:ascii="宋体" w:hAnsi="宋体" w:cs="宋体"/>
                <w:b/>
                <w:color w:val="auto"/>
                <w:szCs w:val="21"/>
                <w:highlight w:val="none"/>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1</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480" w:lineRule="exact"/>
              <w:rPr>
                <w:rFonts w:ascii="宋体" w:hAnsi="宋体" w:cs="宋体"/>
                <w:i/>
                <w:iCs/>
                <w:color w:val="auto"/>
                <w:szCs w:val="21"/>
                <w:highlight w:val="none"/>
                <w:u w:val="single"/>
              </w:rPr>
            </w:pP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b/>
                <w:color w:val="auto"/>
                <w:szCs w:val="21"/>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2</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480" w:lineRule="exact"/>
              <w:rPr>
                <w:rFonts w:ascii="宋体" w:hAnsi="宋体" w:cs="宋体"/>
                <w:i/>
                <w:iCs/>
                <w:color w:val="auto"/>
                <w:szCs w:val="21"/>
                <w:highlight w:val="none"/>
                <w:u w:val="single"/>
              </w:rPr>
            </w:pP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szCs w:val="21"/>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3</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480" w:lineRule="exact"/>
              <w:rPr>
                <w:rFonts w:ascii="宋体" w:hAnsi="宋体" w:cs="宋体"/>
                <w:i/>
                <w:iCs/>
                <w:color w:val="auto"/>
                <w:szCs w:val="21"/>
                <w:highlight w:val="none"/>
                <w:u w:val="single"/>
              </w:rPr>
            </w:pP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szCs w:val="21"/>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4</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rPr>
                <w:rFonts w:ascii="宋体" w:hAnsi="宋体" w:cs="宋体"/>
                <w:i/>
                <w:iCs/>
                <w:color w:val="auto"/>
                <w:szCs w:val="21"/>
                <w:highlight w:val="none"/>
                <w:u w:val="single"/>
              </w:rPr>
            </w:pP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szCs w:val="21"/>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5</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590" w:lineRule="atLeast"/>
              <w:rPr>
                <w:rFonts w:ascii="宋体" w:hAnsi="宋体" w:cs="宋体"/>
                <w:i/>
                <w:iCs/>
                <w:color w:val="auto"/>
                <w:szCs w:val="21"/>
                <w:highlight w:val="none"/>
                <w:u w:val="single"/>
              </w:rPr>
            </w:pP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6</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590" w:lineRule="atLeast"/>
              <w:rPr>
                <w:rFonts w:ascii="宋体" w:hAnsi="宋体" w:cs="宋体"/>
                <w:i/>
                <w:iCs/>
                <w:color w:val="auto"/>
                <w:szCs w:val="21"/>
                <w:highlight w:val="none"/>
                <w:u w:val="single"/>
              </w:rPr>
            </w:pP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jc w:val="center"/>
              <w:rPr>
                <w:rFonts w:ascii="宋体" w:hAnsi="宋体" w:cs="宋体"/>
                <w:bCs/>
                <w:i/>
                <w:color w:val="auto"/>
                <w:szCs w:val="21"/>
                <w:highlight w:val="none"/>
                <w:u w:val="single"/>
              </w:rPr>
            </w:pPr>
            <w:r>
              <w:rPr>
                <w:rFonts w:hint="eastAsia" w:ascii="宋体" w:hAnsi="宋体" w:cs="宋体"/>
                <w:bCs/>
                <w:i/>
                <w:color w:val="auto"/>
                <w:szCs w:val="21"/>
                <w:highlight w:val="none"/>
                <w:u w:val="single"/>
              </w:rPr>
              <w:t>7</w:t>
            </w:r>
          </w:p>
        </w:tc>
        <w:tc>
          <w:tcPr>
            <w:tcW w:w="4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590" w:lineRule="atLeast"/>
              <w:jc w:val="center"/>
              <w:rPr>
                <w:rFonts w:ascii="宋体" w:hAnsi="宋体" w:cs="宋体"/>
                <w:i/>
                <w:iCs/>
                <w:color w:val="auto"/>
                <w:szCs w:val="21"/>
                <w:highlight w:val="none"/>
                <w:u w:val="single"/>
              </w:rPr>
            </w:pPr>
            <w:r>
              <w:rPr>
                <w:rFonts w:hint="eastAsia" w:ascii="宋体" w:hAnsi="宋体" w:cs="宋体"/>
                <w:i/>
                <w:iCs/>
                <w:color w:val="auto"/>
                <w:szCs w:val="21"/>
                <w:highlight w:val="none"/>
                <w:u w:val="single"/>
              </w:rPr>
              <w:t>招标文件中的其他实质性要求</w:t>
            </w:r>
          </w:p>
        </w:tc>
        <w:tc>
          <w:tcPr>
            <w:tcW w:w="16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highlight w:val="none"/>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220" w:lineRule="atLeast"/>
              <w:rPr>
                <w:rFonts w:ascii="宋体" w:hAnsi="宋体" w:cs="宋体"/>
                <w:color w:val="auto"/>
                <w:highlight w:val="none"/>
              </w:rPr>
            </w:pPr>
          </w:p>
        </w:tc>
      </w:tr>
    </w:tbl>
    <w:p>
      <w:pPr>
        <w:spacing w:before="50" w:after="50"/>
        <w:rPr>
          <w:rFonts w:ascii="宋体" w:hAnsi="宋体" w:cs="宋体"/>
          <w:color w:val="auto"/>
          <w:szCs w:val="21"/>
          <w:highlight w:val="none"/>
        </w:rPr>
      </w:pPr>
    </w:p>
    <w:p>
      <w:pPr>
        <w:spacing w:before="50" w:after="50"/>
        <w:rPr>
          <w:rFonts w:ascii="宋体" w:hAnsi="宋体" w:cs="宋体"/>
          <w:color w:val="auto"/>
          <w:kern w:val="0"/>
          <w:sz w:val="22"/>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before="50" w:after="50"/>
        <w:rPr>
          <w:rFonts w:ascii="宋体" w:hAnsi="宋体" w:cs="宋体"/>
          <w:color w:val="auto"/>
          <w:szCs w:val="21"/>
          <w:highlight w:val="none"/>
        </w:rPr>
      </w:pPr>
    </w:p>
    <w:p>
      <w:pPr>
        <w:spacing w:after="240" w:line="360" w:lineRule="auto"/>
        <w:ind w:left="3363"/>
        <w:rPr>
          <w:rFonts w:ascii="宋体" w:hAnsi="宋体" w:cs="宋体"/>
          <w:b/>
          <w:bCs/>
          <w:color w:val="auto"/>
          <w:szCs w:val="21"/>
          <w:highlight w:val="none"/>
        </w:rPr>
      </w:pPr>
      <w:r>
        <w:rPr>
          <w:rFonts w:hint="eastAsia" w:ascii="宋体" w:hAnsi="宋体" w:cs="宋体"/>
          <w:b/>
          <w:bCs/>
          <w:color w:val="auto"/>
          <w:szCs w:val="21"/>
          <w:highlight w:val="none"/>
        </w:rPr>
        <w:br w:type="page"/>
      </w:r>
      <w:r>
        <w:rPr>
          <w:rFonts w:hint="eastAsia" w:ascii="宋体" w:hAnsi="宋体" w:cs="宋体"/>
          <w:b/>
          <w:bCs/>
          <w:color w:val="auto"/>
          <w:szCs w:val="21"/>
          <w:highlight w:val="none"/>
        </w:rPr>
        <w:t>二、资格证明文件要求</w:t>
      </w:r>
    </w:p>
    <w:p>
      <w:pPr>
        <w:snapToGrid w:val="0"/>
        <w:spacing w:before="50" w:after="50" w:line="360" w:lineRule="auto"/>
        <w:ind w:firstLine="422" w:firstLineChars="200"/>
        <w:rPr>
          <w:rFonts w:ascii="宋体" w:hAnsi="宋体" w:cs="宋体"/>
          <w:b/>
          <w:bCs/>
          <w:color w:val="auto"/>
          <w:szCs w:val="21"/>
          <w:highlight w:val="none"/>
        </w:rPr>
      </w:pPr>
      <w:r>
        <w:rPr>
          <w:rFonts w:hint="eastAsia" w:ascii="宋体" w:hAnsi="宋体" w:cs="宋体"/>
          <w:b/>
          <w:color w:val="auto"/>
          <w:szCs w:val="21"/>
          <w:highlight w:val="none"/>
        </w:rPr>
        <w:t>1、</w:t>
      </w:r>
      <w:r>
        <w:rPr>
          <w:rFonts w:hint="eastAsia" w:ascii="宋体" w:hAnsi="宋体" w:cs="宋体"/>
          <w:b/>
          <w:bCs/>
          <w:color w:val="auto"/>
          <w:szCs w:val="21"/>
          <w:highlight w:val="none"/>
        </w:rPr>
        <w:t>符合政府采购法律法规规定的条件目录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1、满足《中华人民共和国政府采购法》第二十二条规定，并提供下列材料：</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1.1投标函(原件)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 资格声明(原件)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1.3法人</w:t>
      </w:r>
      <w:r>
        <w:rPr>
          <w:rFonts w:hint="eastAsia" w:ascii="宋体" w:hAnsi="宋体" w:cs="宋体"/>
          <w:color w:val="auto"/>
          <w:szCs w:val="21"/>
          <w:highlight w:val="none"/>
          <w:lang w:val="en-US" w:eastAsia="zh-CN"/>
        </w:rPr>
        <w:t>或其他组织的营业执照等</w:t>
      </w:r>
      <w:r>
        <w:rPr>
          <w:rFonts w:hint="eastAsia" w:ascii="宋体" w:hAnsi="宋体" w:cs="宋体"/>
          <w:color w:val="auto"/>
          <w:szCs w:val="21"/>
          <w:highlight w:val="none"/>
        </w:rPr>
        <w:t>证明材料(复印件加盖供应商公章)，自然人的身份证明</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1.5 投标人依法缴纳职工社会保障资金的证明材料 （复印件加盖投标人公章）(税务、银行或社会保险基金管理部门出具的202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月至202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月近三个月内任意一个月缴纳职工社会保障资金的缴款凭证或缴款证明)（投标人依法享受缓缴、免缴的提供相关证明材料）</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 投标人202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月至202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月近三个月内任意一个月依法纳税的缴款凭证（复印件加盖投标人公章）（投标人依法享受缓缴、免缴的提供相关证明材料）</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1.7与第（1.6）条相对应的纳税申报表或上一年度财务状况情况（复印件加盖投标人公章）（成立不满一年不需提供）</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1.8 参加本次采购活动前3年内在经营活动中没有重大违法记录的书面声明（原件）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1.9供应商信用承诺书（原件）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1.10未被“信用中国”网站（www.creditchina.gov.cn）、“中国政府采购网"(www.ccgp.gov.cn)列入失信被执行人、重大税收违法案件当事人名单、政府采购严重违法失信行为记录名单（提供网页截图加盖供应商公章）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、本项目的特定资格要求：</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（1）投标人须</w:t>
      </w:r>
      <w:r>
        <w:rPr>
          <w:rFonts w:hint="eastAsia" w:ascii="宋体" w:hAnsi="宋体" w:cs="宋体"/>
          <w:color w:val="auto"/>
          <w:szCs w:val="21"/>
          <w:highlight w:val="none"/>
          <w:lang w:val="en-US" w:eastAsia="zh-CN"/>
        </w:rPr>
        <w:t>具备建设项目水资源论证乙级及以上资质</w:t>
      </w:r>
      <w:r>
        <w:rPr>
          <w:rFonts w:hint="eastAsia" w:ascii="宋体" w:hAnsi="宋体" w:cs="宋体"/>
          <w:color w:val="auto"/>
          <w:szCs w:val="21"/>
          <w:highlight w:val="none"/>
        </w:rPr>
        <w:t>(提供证书复印件加盖投标人公章)</w:t>
      </w:r>
      <w:r>
        <w:rPr>
          <w:rFonts w:hint="eastAsia" w:ascii="宋体" w:hAnsi="宋体" w:cs="宋体"/>
          <w:color w:val="auto"/>
          <w:szCs w:val="21"/>
          <w:highlight w:val="none"/>
          <w:lang w:val="en-US" w:eastAsia="zh-CN"/>
        </w:rPr>
        <w:t>。</w:t>
      </w:r>
    </w:p>
    <w:p>
      <w:pPr>
        <w:spacing w:line="360" w:lineRule="auto"/>
        <w:rPr>
          <w:rFonts w:ascii="宋体" w:hAnsi="宋体" w:cs="宋体"/>
          <w:b/>
          <w:bCs/>
          <w:color w:val="auto"/>
          <w:szCs w:val="21"/>
          <w:highlight w:val="none"/>
        </w:rPr>
      </w:pPr>
      <w:r>
        <w:rPr>
          <w:rFonts w:ascii="宋体" w:hAnsi="宋体" w:cs="宋体"/>
          <w:b/>
          <w:bCs/>
          <w:color w:val="auto"/>
          <w:szCs w:val="21"/>
          <w:highlight w:val="none"/>
        </w:rPr>
        <w:br w:type="page"/>
      </w:r>
    </w:p>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投标函</w:t>
      </w:r>
    </w:p>
    <w:p>
      <w:pPr>
        <w:pStyle w:val="45"/>
        <w:spacing w:before="0" w:after="0"/>
        <w:ind w:firstLine="0"/>
        <w:rPr>
          <w:rFonts w:ascii="宋体" w:hAnsi="宋体" w:cs="宋体"/>
          <w:color w:val="auto"/>
          <w:kern w:val="2"/>
          <w:sz w:val="21"/>
          <w:szCs w:val="21"/>
          <w:highlight w:val="none"/>
        </w:rPr>
      </w:pPr>
      <w:r>
        <w:rPr>
          <w:rFonts w:hint="eastAsia" w:ascii="宋体" w:hAnsi="宋体" w:cs="宋体"/>
          <w:color w:val="auto"/>
          <w:kern w:val="2"/>
          <w:sz w:val="21"/>
          <w:szCs w:val="21"/>
          <w:highlight w:val="none"/>
        </w:rPr>
        <w:t>致：江苏中鑫项目管理有限公司</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根据贵方的</w:t>
      </w:r>
      <w:r>
        <w:rPr>
          <w:rFonts w:hint="eastAsia" w:ascii="宋体" w:hAnsi="宋体" w:cs="宋体"/>
          <w:color w:val="auto"/>
          <w:kern w:val="2"/>
          <w:sz w:val="21"/>
          <w:szCs w:val="21"/>
          <w:highlight w:val="none"/>
          <w:u w:val="single"/>
          <w:lang w:val="en-US" w:eastAsia="zh-CN"/>
        </w:rPr>
        <w:t xml:space="preserve">     </w:t>
      </w:r>
      <w:r>
        <w:rPr>
          <w:rFonts w:hint="eastAsia" w:ascii="宋体" w:hAnsi="宋体" w:cs="宋体"/>
          <w:color w:val="auto"/>
          <w:sz w:val="21"/>
          <w:szCs w:val="21"/>
          <w:highlight w:val="none"/>
        </w:rPr>
        <w:t>号</w:t>
      </w:r>
      <w:r>
        <w:rPr>
          <w:rFonts w:hint="eastAsia" w:ascii="宋体" w:hAnsi="宋体" w:cs="宋体"/>
          <w:color w:val="auto"/>
          <w:kern w:val="2"/>
          <w:sz w:val="21"/>
          <w:szCs w:val="21"/>
          <w:highlight w:val="none"/>
        </w:rPr>
        <w:t>招标文件，正式授权下述签字</w:t>
      </w:r>
      <w:r>
        <w:rPr>
          <w:rFonts w:hint="eastAsia" w:ascii="宋体" w:hAnsi="宋体" w:cs="宋体"/>
          <w:color w:val="auto"/>
          <w:kern w:val="2"/>
          <w:sz w:val="21"/>
          <w:szCs w:val="21"/>
          <w:highlight w:val="none"/>
          <w:lang w:val="en-US" w:eastAsia="zh-CN"/>
        </w:rPr>
        <w:t>人</w:t>
      </w:r>
      <w:r>
        <w:rPr>
          <w:rFonts w:hint="eastAsia" w:ascii="宋体" w:hAnsi="宋体" w:cs="宋体"/>
          <w:color w:val="auto"/>
          <w:kern w:val="2"/>
          <w:sz w:val="21"/>
          <w:szCs w:val="21"/>
          <w:highlight w:val="none"/>
          <w:u w:val="single"/>
          <w:lang w:val="en-US" w:eastAsia="zh-CN"/>
        </w:rPr>
        <w:t xml:space="preserve">     </w:t>
      </w:r>
      <w:r>
        <w:rPr>
          <w:rFonts w:hint="eastAsia" w:ascii="宋体" w:hAnsi="宋体" w:cs="宋体"/>
          <w:color w:val="auto"/>
          <w:kern w:val="2"/>
          <w:sz w:val="21"/>
          <w:szCs w:val="21"/>
          <w:highlight w:val="none"/>
        </w:rPr>
        <w:t>(姓名)代表我方</w:t>
      </w:r>
      <w:r>
        <w:rPr>
          <w:rFonts w:hint="eastAsia" w:ascii="宋体" w:hAnsi="宋体" w:cs="宋体"/>
          <w:color w:val="auto"/>
          <w:kern w:val="2"/>
          <w:sz w:val="21"/>
          <w:szCs w:val="21"/>
          <w:highlight w:val="none"/>
          <w:u w:val="single"/>
          <w:lang w:val="en-US" w:eastAsia="zh-CN"/>
        </w:rPr>
        <w:t xml:space="preserve">           </w:t>
      </w:r>
      <w:r>
        <w:rPr>
          <w:rFonts w:hint="eastAsia" w:ascii="宋体" w:hAnsi="宋体" w:cs="宋体"/>
          <w:color w:val="auto"/>
          <w:kern w:val="2"/>
          <w:sz w:val="21"/>
          <w:szCs w:val="21"/>
          <w:highlight w:val="none"/>
        </w:rPr>
        <w:t>（投标人的名称），全权处理本次项目投标的有关事宜。</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据此函，签字人</w:t>
      </w:r>
      <w:r>
        <w:rPr>
          <w:rFonts w:hint="eastAsia" w:ascii="宋体" w:hAnsi="宋体" w:cs="宋体"/>
          <w:color w:val="auto"/>
          <w:kern w:val="2"/>
          <w:sz w:val="21"/>
          <w:szCs w:val="21"/>
          <w:highlight w:val="none"/>
          <w:u w:val="single"/>
          <w:lang w:val="en-US" w:eastAsia="zh-CN"/>
        </w:rPr>
        <w:t xml:space="preserve">       </w:t>
      </w:r>
      <w:r>
        <w:rPr>
          <w:rFonts w:hint="eastAsia" w:ascii="宋体" w:hAnsi="宋体" w:cs="宋体"/>
          <w:color w:val="auto"/>
          <w:kern w:val="2"/>
          <w:sz w:val="21"/>
          <w:szCs w:val="21"/>
          <w:highlight w:val="none"/>
        </w:rPr>
        <w:t>兹宣布同意如下：</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1.按招标文件规定的各项要求，向买方提供所需服务。</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2.我们完全理解贵方不一定将合同授予最低报价的投标人。</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3.我们已详细审核全部招标文件及其有效补充文件，我们知道必须放弃提出含糊不清或误解问题的权利。</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4.我们同意从规定的开标日期起遵循本投标文件，并在规定的投标有效期期满之前均具有约束力。</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5.同意向贵方提供贵方可能另外要求的与投标有关的任何证据或资料，并保证我方已提供和将要提供的文件是真实的、准确的。</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6.一旦我方中标,我方将根据招标文件的规定，严格履行合同的责任和义务,并保证在招标文件规定的时间完成项目，交付买方验收、使用。</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7.与本投标有关的正式通讯地址为：</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地 址：</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邮 编：</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 xml:space="preserve">电 话： </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 xml:space="preserve">传 真： </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投标人开户行：</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 xml:space="preserve">账 户： </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行 号：</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 xml:space="preserve">法定代表人或授权代表（签字）： </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 xml:space="preserve">投标人名称（公章）： </w:t>
      </w:r>
    </w:p>
    <w:p>
      <w:pPr>
        <w:pStyle w:val="45"/>
        <w:spacing w:before="0" w:after="0"/>
        <w:ind w:firstLine="420" w:firstLineChars="200"/>
        <w:rPr>
          <w:rFonts w:ascii="宋体" w:hAnsi="宋体" w:cs="宋体"/>
          <w:color w:val="auto"/>
          <w:kern w:val="2"/>
          <w:sz w:val="21"/>
          <w:szCs w:val="21"/>
          <w:highlight w:val="none"/>
        </w:rPr>
      </w:pPr>
      <w:r>
        <w:rPr>
          <w:rFonts w:hint="eastAsia" w:ascii="宋体" w:hAnsi="宋体" w:cs="宋体"/>
          <w:color w:val="auto"/>
          <w:kern w:val="2"/>
          <w:sz w:val="21"/>
          <w:szCs w:val="21"/>
          <w:highlight w:val="none"/>
        </w:rPr>
        <w:t>日 期：年月日</w:t>
      </w:r>
    </w:p>
    <w:p>
      <w:pPr>
        <w:spacing w:line="360" w:lineRule="auto"/>
        <w:ind w:firstLine="422" w:firstLineChars="200"/>
        <w:jc w:val="center"/>
        <w:rPr>
          <w:rFonts w:ascii="宋体" w:hAnsi="宋体" w:cs="宋体"/>
          <w:b/>
          <w:bCs/>
          <w:color w:val="auto"/>
          <w:szCs w:val="21"/>
          <w:highlight w:val="none"/>
        </w:rPr>
      </w:pPr>
    </w:p>
    <w:p>
      <w:pPr>
        <w:spacing w:line="360" w:lineRule="auto"/>
        <w:jc w:val="center"/>
        <w:rPr>
          <w:rFonts w:ascii="宋体" w:hAnsi="宋体" w:cs="宋体"/>
          <w:b/>
          <w:bCs/>
          <w:color w:val="auto"/>
          <w:kern w:val="0"/>
          <w:szCs w:val="21"/>
          <w:highlight w:val="none"/>
        </w:rPr>
      </w:pPr>
      <w:r>
        <w:rPr>
          <w:rFonts w:hint="eastAsia" w:ascii="宋体" w:hAnsi="宋体" w:cs="宋体"/>
          <w:b/>
          <w:bCs/>
          <w:color w:val="auto"/>
          <w:szCs w:val="21"/>
          <w:highlight w:val="none"/>
        </w:rPr>
        <w:br w:type="page"/>
      </w:r>
      <w:r>
        <w:rPr>
          <w:rFonts w:hint="eastAsia" w:ascii="宋体" w:hAnsi="宋体" w:cs="宋体"/>
          <w:b/>
          <w:bCs/>
          <w:color w:val="auto"/>
          <w:szCs w:val="21"/>
          <w:highlight w:val="none"/>
        </w:rPr>
        <w:t>资 格 声 明</w:t>
      </w:r>
    </w:p>
    <w:p>
      <w:pPr>
        <w:spacing w:line="360" w:lineRule="auto"/>
        <w:ind w:firstLine="420" w:firstLineChars="200"/>
        <w:jc w:val="left"/>
        <w:rPr>
          <w:rFonts w:ascii="宋体" w:hAnsi="宋体" w:cs="宋体"/>
          <w:b/>
          <w:bCs/>
          <w:color w:val="auto"/>
          <w:kern w:val="0"/>
          <w:szCs w:val="21"/>
          <w:highlight w:val="none"/>
        </w:rPr>
      </w:pPr>
      <w:r>
        <w:rPr>
          <w:rFonts w:hint="eastAsia" w:ascii="宋体" w:hAnsi="宋体" w:cs="宋体"/>
          <w:color w:val="auto"/>
          <w:szCs w:val="21"/>
          <w:highlight w:val="none"/>
        </w:rPr>
        <w:t>1、名称及其它情况：</w:t>
      </w:r>
    </w:p>
    <w:p>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（1）投标人名称：</w:t>
      </w:r>
    </w:p>
    <w:p>
      <w:pPr>
        <w:tabs>
          <w:tab w:val="left" w:pos="4530"/>
        </w:tabs>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（2）地址：</w:t>
      </w:r>
      <w:r>
        <w:rPr>
          <w:rFonts w:hint="eastAsia" w:ascii="宋体" w:hAnsi="宋体" w:cs="宋体"/>
          <w:color w:val="auto"/>
          <w:szCs w:val="21"/>
          <w:highlight w:val="none"/>
        </w:rPr>
        <w:tab/>
      </w:r>
      <w:r>
        <w:rPr>
          <w:rFonts w:hint="eastAsia" w:ascii="宋体" w:hAnsi="宋体" w:cs="宋体"/>
          <w:color w:val="auto"/>
          <w:szCs w:val="21"/>
          <w:highlight w:val="none"/>
        </w:rPr>
        <w:t>邮编：</w:t>
      </w:r>
    </w:p>
    <w:p>
      <w:pPr>
        <w:tabs>
          <w:tab w:val="left" w:pos="600"/>
          <w:tab w:val="left" w:pos="432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电话：  传真：</w:t>
      </w:r>
    </w:p>
    <w:p>
      <w:pPr>
        <w:spacing w:line="360" w:lineRule="auto"/>
        <w:ind w:firstLine="315" w:firstLineChars="150"/>
        <w:rPr>
          <w:rFonts w:ascii="宋体" w:hAnsi="宋体" w:cs="宋体"/>
          <w:color w:val="auto"/>
          <w:szCs w:val="21"/>
          <w:highlight w:val="none"/>
          <w:u w:val="single"/>
        </w:rPr>
      </w:pPr>
      <w:r>
        <w:rPr>
          <w:rFonts w:hint="eastAsia" w:ascii="宋体" w:hAnsi="宋体" w:cs="宋体"/>
          <w:color w:val="auto"/>
          <w:szCs w:val="21"/>
          <w:highlight w:val="none"/>
        </w:rPr>
        <w:t>（3）成立和/或注册日期：</w:t>
      </w:r>
    </w:p>
    <w:p>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（4）法定代表人：</w:t>
      </w:r>
    </w:p>
    <w:p>
      <w:pPr>
        <w:spacing w:line="360" w:lineRule="auto"/>
        <w:ind w:firstLine="315" w:firstLineChars="150"/>
        <w:rPr>
          <w:rFonts w:ascii="宋体" w:hAnsi="宋体" w:cs="宋体"/>
          <w:color w:val="auto"/>
          <w:szCs w:val="21"/>
          <w:highlight w:val="none"/>
          <w:u w:val="single"/>
        </w:rPr>
      </w:pPr>
      <w:r>
        <w:rPr>
          <w:rFonts w:hint="eastAsia" w:ascii="宋体" w:hAnsi="宋体" w:cs="宋体"/>
          <w:color w:val="auto"/>
          <w:szCs w:val="21"/>
          <w:highlight w:val="none"/>
        </w:rPr>
        <w:t>（5）实收资本：</w:t>
      </w:r>
    </w:p>
    <w:p>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（6）近期资产负债表：（到</w:t>
      </w:r>
      <w:r>
        <w:rPr>
          <w:rFonts w:hint="eastAsia" w:ascii="宋体" w:hAnsi="宋体" w:cs="宋体"/>
          <w:color w:val="auto"/>
          <w:szCs w:val="21"/>
          <w:highlight w:val="none"/>
          <w:u w:val="single"/>
        </w:rPr>
        <w:t>20  年12月31日</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&lt;1&gt; 固定资产：</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&lt;2&gt; 流动资金：</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&lt;3&gt; 长期负债：</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&lt;4&gt; 短期负债：</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2、近三年同类投标货物和服务的主要销售业绩（无有效联系人、联系方式和合同复印件的视为未填报本项目）：</w:t>
      </w:r>
    </w:p>
    <w:tbl>
      <w:tblPr>
        <w:tblStyle w:val="24"/>
        <w:tblpPr w:leftFromText="180" w:rightFromText="180" w:vertAnchor="text" w:horzAnchor="page" w:tblpXSpec="center" w:tblpY="478"/>
        <w:tblOverlap w:val="never"/>
        <w:tblW w:w="0" w:type="auto"/>
        <w:jc w:val="center"/>
        <w:tblLayout w:type="fixed"/>
        <w:tblCellMar>
          <w:top w:w="0" w:type="dxa"/>
          <w:left w:w="108" w:type="dxa"/>
          <w:bottom w:w="0" w:type="dxa"/>
          <w:right w:w="108" w:type="dxa"/>
        </w:tblCellMar>
      </w:tblPr>
      <w:tblGrid>
        <w:gridCol w:w="4271"/>
        <w:gridCol w:w="4251"/>
      </w:tblGrid>
      <w:tr>
        <w:tblPrEx>
          <w:tblCellMar>
            <w:top w:w="0" w:type="dxa"/>
            <w:left w:w="108" w:type="dxa"/>
            <w:bottom w:w="0" w:type="dxa"/>
            <w:right w:w="108" w:type="dxa"/>
          </w:tblCellMar>
        </w:tblPrEx>
        <w:trPr>
          <w:jc w:val="center"/>
        </w:trPr>
        <w:tc>
          <w:tcPr>
            <w:tcW w:w="4271" w:type="dxa"/>
          </w:tcPr>
          <w:p>
            <w:pPr>
              <w:adjustRightInd w:val="0"/>
              <w:snapToGrid w:val="0"/>
              <w:spacing w:after="200" w:line="360" w:lineRule="auto"/>
              <w:jc w:val="center"/>
              <w:rPr>
                <w:rFonts w:ascii="宋体" w:hAnsi="宋体" w:cs="宋体"/>
                <w:color w:val="auto"/>
                <w:highlight w:val="none"/>
                <w:u w:val="single"/>
              </w:rPr>
            </w:pPr>
            <w:r>
              <w:rPr>
                <w:rFonts w:hint="eastAsia" w:ascii="宋体" w:hAnsi="宋体" w:cs="宋体"/>
                <w:color w:val="auto"/>
                <w:highlight w:val="none"/>
                <w:u w:val="single"/>
              </w:rPr>
              <w:t>甲方名称、联系人、联系方式</w:t>
            </w:r>
          </w:p>
        </w:tc>
        <w:tc>
          <w:tcPr>
            <w:tcW w:w="4251" w:type="dxa"/>
          </w:tcPr>
          <w:p>
            <w:pPr>
              <w:adjustRightInd w:val="0"/>
              <w:snapToGrid w:val="0"/>
              <w:spacing w:after="200" w:line="360" w:lineRule="auto"/>
              <w:jc w:val="center"/>
              <w:rPr>
                <w:rFonts w:ascii="宋体" w:hAnsi="宋体" w:cs="宋体"/>
                <w:color w:val="auto"/>
                <w:highlight w:val="none"/>
                <w:u w:val="single"/>
              </w:rPr>
            </w:pPr>
            <w:r>
              <w:rPr>
                <w:rFonts w:hint="eastAsia" w:ascii="宋体" w:hAnsi="宋体" w:cs="宋体"/>
                <w:color w:val="auto"/>
                <w:highlight w:val="none"/>
                <w:u w:val="single"/>
              </w:rPr>
              <w:t>项   目   名   称</w:t>
            </w:r>
          </w:p>
        </w:tc>
      </w:tr>
      <w:tr>
        <w:tblPrEx>
          <w:tblCellMar>
            <w:top w:w="0" w:type="dxa"/>
            <w:left w:w="108" w:type="dxa"/>
            <w:bottom w:w="0" w:type="dxa"/>
            <w:right w:w="108" w:type="dxa"/>
          </w:tblCellMar>
        </w:tblPrEx>
        <w:trPr>
          <w:jc w:val="center"/>
        </w:trPr>
        <w:tc>
          <w:tcPr>
            <w:tcW w:w="4271" w:type="dxa"/>
          </w:tcPr>
          <w:p>
            <w:pPr>
              <w:adjustRightInd w:val="0"/>
              <w:snapToGrid w:val="0"/>
              <w:spacing w:after="200" w:line="360" w:lineRule="auto"/>
              <w:rPr>
                <w:rFonts w:ascii="宋体" w:hAnsi="宋体" w:cs="宋体"/>
                <w:color w:val="auto"/>
                <w:highlight w:val="none"/>
              </w:rPr>
            </w:pPr>
          </w:p>
        </w:tc>
        <w:tc>
          <w:tcPr>
            <w:tcW w:w="4251" w:type="dxa"/>
          </w:tcPr>
          <w:p>
            <w:pPr>
              <w:adjustRightInd w:val="0"/>
              <w:snapToGrid w:val="0"/>
              <w:spacing w:after="200" w:line="360" w:lineRule="auto"/>
              <w:rPr>
                <w:rFonts w:ascii="宋体" w:hAnsi="宋体" w:cs="宋体"/>
                <w:color w:val="auto"/>
                <w:highlight w:val="none"/>
              </w:rPr>
            </w:pPr>
          </w:p>
        </w:tc>
      </w:tr>
      <w:tr>
        <w:tblPrEx>
          <w:tblCellMar>
            <w:top w:w="0" w:type="dxa"/>
            <w:left w:w="108" w:type="dxa"/>
            <w:bottom w:w="0" w:type="dxa"/>
            <w:right w:w="108" w:type="dxa"/>
          </w:tblCellMar>
        </w:tblPrEx>
        <w:trPr>
          <w:jc w:val="center"/>
        </w:trPr>
        <w:tc>
          <w:tcPr>
            <w:tcW w:w="4271" w:type="dxa"/>
          </w:tcPr>
          <w:p>
            <w:pPr>
              <w:adjustRightInd w:val="0"/>
              <w:snapToGrid w:val="0"/>
              <w:spacing w:after="200" w:line="360" w:lineRule="auto"/>
              <w:rPr>
                <w:rFonts w:ascii="宋体" w:hAnsi="宋体" w:cs="宋体"/>
                <w:color w:val="auto"/>
                <w:highlight w:val="none"/>
              </w:rPr>
            </w:pPr>
          </w:p>
        </w:tc>
        <w:tc>
          <w:tcPr>
            <w:tcW w:w="4251" w:type="dxa"/>
          </w:tcPr>
          <w:p>
            <w:pPr>
              <w:adjustRightInd w:val="0"/>
              <w:snapToGrid w:val="0"/>
              <w:spacing w:after="200" w:line="360" w:lineRule="auto"/>
              <w:rPr>
                <w:rFonts w:ascii="宋体" w:hAnsi="宋体" w:cs="宋体"/>
                <w:color w:val="auto"/>
                <w:highlight w:val="none"/>
              </w:rPr>
            </w:pPr>
          </w:p>
        </w:tc>
      </w:tr>
    </w:tbl>
    <w:p>
      <w:pPr>
        <w:spacing w:line="360" w:lineRule="auto"/>
        <w:rPr>
          <w:rFonts w:ascii="宋体" w:hAnsi="宋体" w:cs="宋体"/>
          <w:color w:val="auto"/>
          <w:highlight w:val="none"/>
        </w:rPr>
      </w:pPr>
    </w:p>
    <w:p>
      <w:pPr>
        <w:spacing w:line="360" w:lineRule="auto"/>
        <w:ind w:left="105" w:leftChars="50" w:firstLine="315" w:firstLineChars="150"/>
        <w:rPr>
          <w:rFonts w:ascii="宋体" w:hAnsi="宋体" w:cs="宋体"/>
          <w:color w:val="auto"/>
          <w:kern w:val="0"/>
          <w:sz w:val="22"/>
          <w:highlight w:val="none"/>
        </w:rPr>
      </w:pPr>
      <w:r>
        <w:rPr>
          <w:rFonts w:hint="eastAsia" w:ascii="宋体" w:hAnsi="宋体" w:cs="宋体"/>
          <w:color w:val="auto"/>
          <w:highlight w:val="none"/>
        </w:rPr>
        <w:t>3、本次招标要求的其他资格文件以及投标人认为需要声明的其他情况：</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兹证明上述声明是真实的、正确的，并提供了全部能提供的资料和数据，我们同意遵照贵方要求出示有关证明文件，如有虚假，自愿丧失中标资格，一年内退出扬州政府采购市场。</w:t>
      </w:r>
    </w:p>
    <w:p>
      <w:pPr>
        <w:spacing w:line="360" w:lineRule="auto"/>
        <w:rPr>
          <w:rFonts w:ascii="宋体" w:hAnsi="宋体" w:cs="宋体"/>
          <w:color w:val="auto"/>
          <w:highlight w:val="none"/>
        </w:rPr>
      </w:pPr>
      <w:r>
        <w:rPr>
          <w:rFonts w:hint="eastAsia" w:ascii="宋体" w:hAnsi="宋体" w:cs="宋体"/>
          <w:color w:val="auto"/>
          <w:highlight w:val="none"/>
        </w:rPr>
        <w:t>投标人公章：</w:t>
      </w:r>
    </w:p>
    <w:p>
      <w:pPr>
        <w:spacing w:line="360" w:lineRule="auto"/>
        <w:rPr>
          <w:rFonts w:ascii="宋体" w:hAnsi="宋体" w:cs="宋体"/>
          <w:color w:val="auto"/>
          <w:highlight w:val="none"/>
        </w:rPr>
      </w:pPr>
      <w:r>
        <w:rPr>
          <w:rFonts w:hint="eastAsia" w:ascii="宋体" w:hAnsi="宋体" w:cs="宋体"/>
          <w:color w:val="auto"/>
          <w:highlight w:val="none"/>
        </w:rPr>
        <w:t>法定代表人或授权代表签字：</w:t>
      </w:r>
    </w:p>
    <w:p>
      <w:pPr>
        <w:spacing w:line="360" w:lineRule="auto"/>
        <w:rPr>
          <w:rFonts w:ascii="宋体" w:hAnsi="宋体" w:cs="宋体"/>
          <w:color w:val="auto"/>
          <w:highlight w:val="none"/>
        </w:rPr>
      </w:pPr>
      <w:r>
        <w:rPr>
          <w:rFonts w:hint="eastAsia" w:ascii="宋体" w:hAnsi="宋体" w:cs="宋体"/>
          <w:color w:val="auto"/>
          <w:highlight w:val="none"/>
        </w:rPr>
        <w:t xml:space="preserve">日期：年月日        </w:t>
      </w:r>
    </w:p>
    <w:p>
      <w:pPr>
        <w:spacing w:line="360" w:lineRule="auto"/>
        <w:rPr>
          <w:rFonts w:ascii="宋体" w:hAnsi="宋体" w:cs="宋体"/>
          <w:b/>
          <w:bCs/>
          <w:color w:val="auto"/>
          <w:highlight w:val="none"/>
        </w:rPr>
      </w:pPr>
      <w:r>
        <w:rPr>
          <w:rFonts w:hint="eastAsia" w:ascii="宋体" w:hAnsi="宋体" w:cs="宋体"/>
          <w:b/>
          <w:bCs/>
          <w:color w:val="auto"/>
          <w:highlight w:val="none"/>
        </w:rPr>
        <w:t>（注：资格声明为格式文件,请勿修改，否则将导致投标文件无效。）</w:t>
      </w:r>
    </w:p>
    <w:p>
      <w:pPr>
        <w:spacing w:line="460" w:lineRule="exact"/>
        <w:rPr>
          <w:rFonts w:ascii="宋体" w:hAnsi="宋体" w:cs="宋体"/>
          <w:bCs/>
          <w:color w:val="auto"/>
          <w:sz w:val="24"/>
          <w:highlight w:val="none"/>
        </w:rPr>
      </w:pPr>
    </w:p>
    <w:p>
      <w:pPr>
        <w:pStyle w:val="48"/>
        <w:spacing w:afterLines="100" w:line="360" w:lineRule="auto"/>
        <w:ind w:firstLine="0" w:firstLineChars="0"/>
        <w:rPr>
          <w:rFonts w:ascii="宋体" w:hAnsi="宋体" w:cs="宋体"/>
          <w:b/>
          <w:color w:val="auto"/>
          <w:sz w:val="21"/>
          <w:szCs w:val="21"/>
          <w:highlight w:val="none"/>
        </w:rPr>
      </w:pPr>
    </w:p>
    <w:p>
      <w:pPr>
        <w:rPr>
          <w:rFonts w:ascii="宋体" w:hAnsi="宋体" w:cs="宋体"/>
          <w:b/>
          <w:color w:val="auto"/>
          <w:szCs w:val="21"/>
          <w:highlight w:val="none"/>
        </w:rPr>
      </w:pPr>
      <w:r>
        <w:rPr>
          <w:rFonts w:hint="eastAsia" w:ascii="宋体" w:hAnsi="宋体" w:cs="宋体"/>
          <w:b/>
          <w:color w:val="auto"/>
          <w:szCs w:val="21"/>
          <w:highlight w:val="none"/>
        </w:rPr>
        <w:br w:type="page"/>
      </w:r>
    </w:p>
    <w:p>
      <w:pPr>
        <w:pStyle w:val="48"/>
        <w:spacing w:afterLines="100" w:line="360" w:lineRule="auto"/>
        <w:ind w:firstLine="0" w:firstLineChars="0"/>
        <w:jc w:val="center"/>
        <w:rPr>
          <w:rFonts w:ascii="宋体" w:hAnsi="宋体" w:cs="宋体"/>
          <w:b/>
          <w:color w:val="auto"/>
          <w:sz w:val="21"/>
          <w:szCs w:val="21"/>
          <w:highlight w:val="none"/>
        </w:rPr>
      </w:pPr>
      <w:r>
        <w:rPr>
          <w:rFonts w:hint="eastAsia" w:ascii="宋体" w:hAnsi="宋体" w:cs="宋体"/>
          <w:b/>
          <w:color w:val="auto"/>
          <w:sz w:val="21"/>
          <w:szCs w:val="21"/>
          <w:highlight w:val="none"/>
        </w:rPr>
        <w:t>法人授权书</w:t>
      </w:r>
    </w:p>
    <w:p>
      <w:pPr>
        <w:pStyle w:val="48"/>
        <w:spacing w:line="360" w:lineRule="auto"/>
        <w:ind w:firstLine="420"/>
        <w:rPr>
          <w:rFonts w:ascii="宋体" w:hAnsi="宋体" w:cs="宋体"/>
          <w:color w:val="auto"/>
          <w:sz w:val="21"/>
          <w:szCs w:val="21"/>
          <w:highlight w:val="none"/>
        </w:rPr>
      </w:pPr>
      <w:r>
        <w:rPr>
          <w:rFonts w:hint="eastAsia" w:ascii="宋体" w:hAnsi="宋体" w:cs="宋体"/>
          <w:color w:val="auto"/>
          <w:sz w:val="21"/>
          <w:szCs w:val="21"/>
          <w:highlight w:val="none"/>
        </w:rPr>
        <w:t>本授权书声明：</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（投标人名称）授权</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（被授权人的姓名）为我方就</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号采购活动的合法代理人，以本公司名义全权处理一切与该项目采购有关的事务。</w:t>
      </w:r>
    </w:p>
    <w:p>
      <w:pPr>
        <w:pStyle w:val="48"/>
        <w:spacing w:line="360" w:lineRule="auto"/>
        <w:ind w:firstLine="420"/>
        <w:rPr>
          <w:rFonts w:ascii="宋体" w:hAnsi="宋体" w:cs="宋体"/>
          <w:color w:val="auto"/>
          <w:sz w:val="21"/>
          <w:szCs w:val="21"/>
          <w:highlight w:val="none"/>
        </w:rPr>
      </w:pPr>
      <w:r>
        <w:rPr>
          <w:rFonts w:hint="eastAsia" w:ascii="宋体" w:hAnsi="宋体" w:cs="宋体"/>
          <w:color w:val="auto"/>
          <w:sz w:val="21"/>
          <w:szCs w:val="21"/>
          <w:highlight w:val="none"/>
        </w:rPr>
        <w:t>本授权书于</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日起生效，特此声明。</w:t>
      </w:r>
    </w:p>
    <w:p>
      <w:pPr>
        <w:pStyle w:val="48"/>
        <w:spacing w:line="360" w:lineRule="auto"/>
        <w:ind w:firstLine="0" w:firstLineChars="0"/>
        <w:rPr>
          <w:rFonts w:ascii="宋体" w:hAnsi="宋体" w:cs="宋体"/>
          <w:color w:val="auto"/>
          <w:sz w:val="21"/>
          <w:szCs w:val="21"/>
          <w:highlight w:val="none"/>
        </w:rPr>
      </w:pPr>
    </w:p>
    <w:p>
      <w:pPr>
        <w:pStyle w:val="48"/>
        <w:spacing w:line="360" w:lineRule="auto"/>
        <w:ind w:firstLine="420"/>
        <w:rPr>
          <w:rFonts w:ascii="宋体" w:hAnsi="宋体" w:cs="宋体"/>
          <w:color w:val="auto"/>
          <w:sz w:val="21"/>
          <w:szCs w:val="21"/>
          <w:highlight w:val="none"/>
        </w:rPr>
      </w:pPr>
      <w:r>
        <w:rPr>
          <w:rFonts w:hint="eastAsia" w:ascii="宋体" w:hAnsi="宋体" w:cs="宋体"/>
          <w:color w:val="auto"/>
          <w:sz w:val="21"/>
          <w:szCs w:val="21"/>
          <w:highlight w:val="none"/>
        </w:rPr>
        <w:t>被授权人签字：</w:t>
      </w:r>
    </w:p>
    <w:p>
      <w:pPr>
        <w:pStyle w:val="48"/>
        <w:spacing w:line="360" w:lineRule="auto"/>
        <w:ind w:firstLine="420"/>
        <w:rPr>
          <w:rFonts w:ascii="宋体" w:hAnsi="宋体" w:cs="宋体"/>
          <w:color w:val="auto"/>
          <w:sz w:val="21"/>
          <w:szCs w:val="21"/>
          <w:highlight w:val="none"/>
          <w:u w:val="single"/>
        </w:rPr>
      </w:pPr>
      <w:r>
        <w:rPr>
          <w:rFonts w:hint="eastAsia" w:ascii="宋体" w:hAnsi="宋体" w:cs="宋体"/>
          <w:color w:val="auto"/>
          <w:sz w:val="21"/>
          <w:szCs w:val="21"/>
          <w:highlight w:val="none"/>
        </w:rPr>
        <w:t>联系电话（手机）：</w:t>
      </w:r>
    </w:p>
    <w:p>
      <w:pPr>
        <w:pStyle w:val="48"/>
        <w:spacing w:line="360" w:lineRule="auto"/>
        <w:ind w:firstLine="0" w:firstLineChars="0"/>
        <w:rPr>
          <w:rFonts w:ascii="宋体" w:hAnsi="宋体" w:cs="宋体"/>
          <w:color w:val="auto"/>
          <w:sz w:val="21"/>
          <w:szCs w:val="21"/>
          <w:highlight w:val="none"/>
          <w:u w:val="single"/>
        </w:rPr>
      </w:pPr>
      <w:r>
        <w:rPr>
          <w:rFonts w:hint="eastAsia" w:ascii="宋体" w:hAnsi="宋体" w:cs="宋体"/>
          <w:color w:val="auto"/>
          <w:sz w:val="21"/>
          <w:szCs w:val="21"/>
          <w:highlight w:val="none"/>
        </w:rPr>
        <w:t xml:space="preserve">    单位名称：</w:t>
      </w:r>
    </w:p>
    <w:p>
      <w:pPr>
        <w:pStyle w:val="48"/>
        <w:spacing w:line="360" w:lineRule="auto"/>
        <w:ind w:firstLine="0" w:firstLineChars="0"/>
        <w:rPr>
          <w:rFonts w:ascii="宋体" w:hAnsi="宋体" w:cs="宋体"/>
          <w:color w:val="auto"/>
          <w:sz w:val="21"/>
          <w:szCs w:val="21"/>
          <w:highlight w:val="none"/>
          <w:u w:val="single"/>
        </w:rPr>
      </w:pPr>
      <w:r>
        <w:rPr>
          <w:rFonts w:hint="eastAsia" w:ascii="宋体" w:hAnsi="宋体" w:cs="宋体"/>
          <w:color w:val="auto"/>
          <w:sz w:val="21"/>
          <w:szCs w:val="21"/>
          <w:highlight w:val="none"/>
        </w:rPr>
        <w:t xml:space="preserve">    授权单位盖章：</w:t>
      </w:r>
    </w:p>
    <w:p>
      <w:pPr>
        <w:pStyle w:val="48"/>
        <w:spacing w:line="360" w:lineRule="auto"/>
        <w:ind w:firstLine="420"/>
        <w:rPr>
          <w:rFonts w:ascii="宋体" w:hAnsi="宋体" w:cs="宋体"/>
          <w:color w:val="auto"/>
          <w:sz w:val="21"/>
          <w:szCs w:val="21"/>
          <w:highlight w:val="none"/>
          <w:u w:val="single"/>
        </w:rPr>
      </w:pPr>
      <w:r>
        <w:rPr>
          <w:rFonts w:hint="eastAsia" w:ascii="宋体" w:hAnsi="宋体" w:cs="宋体"/>
          <w:color w:val="auto"/>
          <w:sz w:val="21"/>
          <w:szCs w:val="21"/>
          <w:highlight w:val="none"/>
        </w:rPr>
        <w:t>地址：</w:t>
      </w:r>
    </w:p>
    <w:p>
      <w:pPr>
        <w:pStyle w:val="48"/>
        <w:spacing w:line="360" w:lineRule="auto"/>
        <w:ind w:firstLine="420"/>
        <w:rPr>
          <w:rFonts w:ascii="宋体" w:hAnsi="宋体" w:cs="宋体"/>
          <w:color w:val="auto"/>
          <w:sz w:val="21"/>
          <w:szCs w:val="21"/>
          <w:highlight w:val="none"/>
        </w:rPr>
      </w:pPr>
      <w:r>
        <w:rPr>
          <w:rFonts w:hint="eastAsia" w:ascii="宋体" w:hAnsi="宋体" w:cs="宋体"/>
          <w:color w:val="auto"/>
          <w:sz w:val="21"/>
          <w:szCs w:val="21"/>
          <w:highlight w:val="none"/>
        </w:rPr>
        <w:t>日期：</w:t>
      </w:r>
    </w:p>
    <w:p>
      <w:pPr>
        <w:spacing w:line="460" w:lineRule="exact"/>
        <w:rPr>
          <w:rFonts w:ascii="宋体" w:hAnsi="宋体" w:cs="宋体"/>
          <w:bCs/>
          <w:color w:val="auto"/>
          <w:szCs w:val="21"/>
          <w:highlight w:val="none"/>
        </w:rPr>
      </w:pPr>
    </w:p>
    <w:p>
      <w:pPr>
        <w:spacing w:line="460" w:lineRule="exact"/>
        <w:rPr>
          <w:rFonts w:ascii="宋体" w:hAnsi="宋体" w:cs="宋体"/>
          <w:bCs/>
          <w:color w:val="auto"/>
          <w:sz w:val="24"/>
          <w:highlight w:val="none"/>
        </w:rPr>
      </w:pPr>
    </w:p>
    <w:p>
      <w:pPr>
        <w:spacing w:line="460" w:lineRule="exact"/>
        <w:ind w:firstLine="420" w:firstLineChars="200"/>
        <w:rPr>
          <w:rFonts w:ascii="宋体" w:hAnsi="宋体" w:cs="宋体"/>
          <w:bCs/>
          <w:color w:val="auto"/>
          <w:szCs w:val="21"/>
          <w:highlight w:val="none"/>
        </w:rPr>
      </w:pPr>
      <w:r>
        <w:rPr>
          <w:rFonts w:hint="eastAsia" w:ascii="宋体" w:hAnsi="宋体" w:cs="宋体"/>
          <w:bCs/>
          <w:color w:val="auto"/>
          <w:szCs w:val="21"/>
          <w:highlight w:val="none"/>
        </w:rPr>
        <w:t>被授权人身份证复印件：</w:t>
      </w: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beforeLines="50" w:afterLines="50" w:line="360" w:lineRule="auto"/>
        <w:rPr>
          <w:rFonts w:ascii="宋体" w:hAnsi="宋体" w:cs="宋体"/>
          <w:b/>
          <w:bCs/>
          <w:color w:val="auto"/>
          <w:szCs w:val="21"/>
          <w:highlight w:val="none"/>
        </w:rPr>
      </w:pPr>
    </w:p>
    <w:p>
      <w:pPr>
        <w:rPr>
          <w:rFonts w:ascii="宋体" w:hAnsi="宋体" w:cs="宋体"/>
          <w:b/>
          <w:bCs/>
          <w:color w:val="auto"/>
          <w:szCs w:val="21"/>
          <w:highlight w:val="none"/>
        </w:rPr>
      </w:pPr>
      <w:r>
        <w:rPr>
          <w:rFonts w:hint="eastAsia" w:ascii="宋体" w:hAnsi="宋体" w:cs="宋体"/>
          <w:b/>
          <w:bCs/>
          <w:color w:val="auto"/>
          <w:szCs w:val="21"/>
          <w:highlight w:val="none"/>
        </w:rPr>
        <w:br w:type="page"/>
      </w:r>
    </w:p>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本次采购活动前 3 年内在经营活动中没有重大违法记录的书面声明</w:t>
      </w:r>
    </w:p>
    <w:p>
      <w:pPr>
        <w:spacing w:line="360" w:lineRule="auto"/>
        <w:rPr>
          <w:rFonts w:ascii="宋体" w:hAnsi="宋体" w:cs="宋体"/>
          <w:color w:val="auto"/>
          <w:szCs w:val="21"/>
          <w:highlight w:val="none"/>
        </w:rPr>
      </w:pPr>
    </w:p>
    <w:p>
      <w:pPr>
        <w:spacing w:afterLines="100"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声  明</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我公司郑重声明：参加本次政府采购活动前 3 年内，我公司在经营活动中没有因违法经营受到刑事处罚或者责令停产停业、吊销许可证或者执照、较大数额罚款等行政处罚。</w:t>
      </w:r>
    </w:p>
    <w:p>
      <w:pPr>
        <w:spacing w:line="360" w:lineRule="auto"/>
        <w:rPr>
          <w:rFonts w:ascii="宋体" w:hAnsi="宋体" w:cs="宋体"/>
          <w:bCs/>
          <w:color w:val="auto"/>
          <w:szCs w:val="21"/>
          <w:highlight w:val="none"/>
          <w:u w:val="single"/>
        </w:rPr>
      </w:pPr>
      <w:r>
        <w:rPr>
          <w:rFonts w:hint="eastAsia" w:ascii="宋体" w:hAnsi="宋体" w:cs="宋体"/>
          <w:bCs/>
          <w:color w:val="auto"/>
          <w:szCs w:val="21"/>
          <w:highlight w:val="none"/>
        </w:rPr>
        <w:t xml:space="preserve">                               供应商名称（公章）：</w:t>
      </w:r>
    </w:p>
    <w:p>
      <w:pPr>
        <w:spacing w:line="360" w:lineRule="auto"/>
        <w:rPr>
          <w:rFonts w:ascii="宋体" w:hAnsi="宋体" w:cs="宋体"/>
          <w:bCs/>
          <w:color w:val="auto"/>
          <w:szCs w:val="21"/>
          <w:highlight w:val="none"/>
          <w:u w:val="single"/>
        </w:rPr>
      </w:pPr>
      <w:r>
        <w:rPr>
          <w:rFonts w:hint="eastAsia" w:ascii="宋体" w:hAnsi="宋体" w:cs="宋体"/>
          <w:bCs/>
          <w:color w:val="auto"/>
          <w:szCs w:val="21"/>
          <w:highlight w:val="none"/>
        </w:rPr>
        <w:t xml:space="preserve">                               法定代表人或授权代表签字：</w:t>
      </w:r>
    </w:p>
    <w:p>
      <w:pPr>
        <w:spacing w:line="360" w:lineRule="auto"/>
        <w:rPr>
          <w:rFonts w:ascii="宋体" w:hAnsi="宋体" w:cs="宋体"/>
          <w:bCs/>
          <w:color w:val="auto"/>
          <w:szCs w:val="21"/>
          <w:highlight w:val="none"/>
        </w:rPr>
      </w:pPr>
      <w:r>
        <w:rPr>
          <w:rFonts w:hint="eastAsia" w:ascii="宋体" w:hAnsi="宋体" w:cs="宋体"/>
          <w:bCs/>
          <w:color w:val="auto"/>
          <w:szCs w:val="21"/>
          <w:highlight w:val="none"/>
        </w:rPr>
        <w:t xml:space="preserve">                               日期：年月日</w:t>
      </w: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spacing w:line="460" w:lineRule="exact"/>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pStyle w:val="12"/>
        <w:numPr>
          <w:ilvl w:val="0"/>
          <w:numId w:val="0"/>
        </w:numPr>
        <w:rPr>
          <w:rFonts w:ascii="宋体" w:hAnsi="宋体" w:cs="宋体"/>
          <w:bCs/>
          <w:color w:val="auto"/>
          <w:sz w:val="24"/>
          <w:highlight w:val="none"/>
        </w:rPr>
      </w:pPr>
    </w:p>
    <w:p>
      <w:pPr>
        <w:spacing w:line="460" w:lineRule="exact"/>
        <w:rPr>
          <w:rFonts w:ascii="宋体" w:hAnsi="宋体" w:cs="宋体"/>
          <w:bCs/>
          <w:color w:val="auto"/>
          <w:sz w:val="24"/>
          <w:highlight w:val="none"/>
        </w:rPr>
      </w:pPr>
    </w:p>
    <w:p>
      <w:pPr>
        <w:rPr>
          <w:rFonts w:ascii="宋体" w:hAnsi="宋体"/>
          <w:b/>
          <w:color w:val="auto"/>
          <w:szCs w:val="21"/>
          <w:highlight w:val="none"/>
        </w:rPr>
      </w:pPr>
      <w:r>
        <w:rPr>
          <w:rFonts w:hint="eastAsia" w:ascii="宋体" w:hAnsi="宋体"/>
          <w:b/>
          <w:color w:val="auto"/>
          <w:szCs w:val="21"/>
          <w:highlight w:val="none"/>
        </w:rPr>
        <w:br w:type="page"/>
      </w:r>
    </w:p>
    <w:p>
      <w:pPr>
        <w:spacing w:line="360" w:lineRule="auto"/>
        <w:jc w:val="center"/>
        <w:rPr>
          <w:rFonts w:ascii="宋体" w:hAnsi="宋体"/>
          <w:b/>
          <w:color w:val="auto"/>
          <w:szCs w:val="21"/>
          <w:highlight w:val="none"/>
        </w:rPr>
      </w:pPr>
      <w:r>
        <w:rPr>
          <w:rFonts w:hint="eastAsia" w:ascii="宋体" w:hAnsi="宋体"/>
          <w:b/>
          <w:color w:val="auto"/>
          <w:szCs w:val="21"/>
          <w:highlight w:val="none"/>
        </w:rPr>
        <w:t>供应商信用承诺书</w:t>
      </w:r>
    </w:p>
    <w:p>
      <w:pPr>
        <w:spacing w:line="560" w:lineRule="exact"/>
        <w:rPr>
          <w:rFonts w:ascii="宋体" w:hAnsi="宋体" w:cs="宋体"/>
          <w:color w:val="auto"/>
          <w:szCs w:val="32"/>
          <w:highlight w:val="none"/>
        </w:rPr>
      </w:pPr>
      <w:r>
        <w:rPr>
          <w:rFonts w:hint="eastAsia" w:ascii="宋体" w:hAnsi="宋体" w:cs="宋体"/>
          <w:color w:val="auto"/>
          <w:szCs w:val="32"/>
          <w:highlight w:val="none"/>
        </w:rPr>
        <w:t>承诺主体名称：</w:t>
      </w:r>
    </w:p>
    <w:p>
      <w:pPr>
        <w:spacing w:line="560" w:lineRule="exact"/>
        <w:rPr>
          <w:rFonts w:ascii="宋体" w:hAnsi="宋体" w:cs="宋体"/>
          <w:color w:val="auto"/>
          <w:szCs w:val="32"/>
          <w:highlight w:val="none"/>
        </w:rPr>
      </w:pPr>
      <w:r>
        <w:rPr>
          <w:rFonts w:hint="eastAsia" w:ascii="宋体" w:hAnsi="宋体" w:cs="宋体"/>
          <w:color w:val="auto"/>
          <w:szCs w:val="32"/>
          <w:highlight w:val="none"/>
        </w:rPr>
        <w:t>统一社会信用代码：</w:t>
      </w:r>
    </w:p>
    <w:p>
      <w:pPr>
        <w:spacing w:line="560" w:lineRule="exact"/>
        <w:rPr>
          <w:rFonts w:ascii="宋体" w:hAnsi="宋体" w:cs="宋体"/>
          <w:color w:val="auto"/>
          <w:szCs w:val="32"/>
          <w:highlight w:val="none"/>
        </w:rPr>
      </w:pP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为维护公平竞争、规范有序的市场秩序，营造诚实守信的信用环境，共同推进社会信用体系建设完善，树立企业诚信守法形象，本企业对项目政府采购活动郑重承诺如下:</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一、对提供给注册登记部门、行业管理部门、司法部门、行业组织以及在政府采购活动中提交的所有资料的合法性、真实性、准确性和有效性负责；</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二、严格按照国家法律、法规和规章开展采购活动，全面履行应尽的责任和义务，全面做到履约守信，具备《中华人民共和国政府采购法》第二十二条第一款规定的条件;</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三、严格依法开展生产经营活动，主动接受行业监管，自愿接受依法开展的日常检查；违法失信经营后将自愿接受约束和惩戒，并依法承担相应责任；</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四、自觉接受行政管理部门、行业组织、社会公众、新闻舆论的监督；</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五、自觉做到自我约束、自我管理，不制假售假、商标侵权、虚假宣传、违约毁约、恶意逃债、偷税漏税、垄断和不正当竞争，维护经营者、消费者的合法权益；</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六、提出政府采购质疑和投诉坚持依法依规、诚实信用原则，在全国范围12个月内没有三次以上查无实据的政府采购投诉；</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七、严格遵守信用信息公示相关规定，向社会公示信用信息；</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八、在“信用中国”和“中国政府采购网”网站中无违法违规、较重或严重失信记录；</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九、如违反承诺，自愿接受管理部门依法给予的行政处罚，同意将违反承诺的行为作为不良记录记入信用档案，依法依规进行信息公示，并承担所产生的一切法律责任和经济损失。</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十、本承诺书自签订之日起生效。</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（注：法定代表人或负责人、主体名称发生变更的应当重新做出承诺。）</w:t>
      </w:r>
    </w:p>
    <w:p>
      <w:pPr>
        <w:spacing w:line="560" w:lineRule="exact"/>
        <w:rPr>
          <w:rFonts w:ascii="宋体" w:hAnsi="宋体" w:cs="宋体"/>
          <w:color w:val="auto"/>
          <w:szCs w:val="32"/>
          <w:highlight w:val="none"/>
        </w:rPr>
      </w:pPr>
    </w:p>
    <w:p>
      <w:pPr>
        <w:spacing w:line="560" w:lineRule="exact"/>
        <w:jc w:val="center"/>
        <w:rPr>
          <w:rFonts w:ascii="宋体" w:hAnsi="宋体" w:cs="宋体"/>
          <w:color w:val="auto"/>
          <w:szCs w:val="32"/>
          <w:highlight w:val="none"/>
        </w:rPr>
      </w:pPr>
      <w:r>
        <w:rPr>
          <w:rFonts w:hint="eastAsia" w:ascii="宋体" w:hAnsi="宋体" w:cs="宋体"/>
          <w:color w:val="auto"/>
          <w:szCs w:val="32"/>
          <w:highlight w:val="none"/>
        </w:rPr>
        <w:t xml:space="preserve">　　　　　　　　　　                     承诺单位（签章）：           </w:t>
      </w:r>
    </w:p>
    <w:p>
      <w:pPr>
        <w:spacing w:line="560" w:lineRule="exact"/>
        <w:jc w:val="center"/>
        <w:rPr>
          <w:rFonts w:ascii="宋体" w:hAnsi="宋体" w:cs="宋体"/>
          <w:color w:val="auto"/>
          <w:szCs w:val="32"/>
          <w:highlight w:val="none"/>
        </w:rPr>
      </w:pPr>
      <w:r>
        <w:rPr>
          <w:rFonts w:hint="eastAsia" w:ascii="宋体" w:hAnsi="宋体" w:cs="宋体"/>
          <w:color w:val="auto"/>
          <w:szCs w:val="32"/>
          <w:highlight w:val="none"/>
        </w:rPr>
        <w:t>　　　　　　　　　   　  法定代表人（负责人）：</w:t>
      </w:r>
    </w:p>
    <w:p>
      <w:pPr>
        <w:spacing w:line="560" w:lineRule="exact"/>
        <w:jc w:val="center"/>
        <w:rPr>
          <w:rFonts w:ascii="宋体" w:hAnsi="宋体" w:cs="宋体"/>
          <w:color w:val="auto"/>
          <w:szCs w:val="32"/>
          <w:highlight w:val="none"/>
        </w:rPr>
      </w:pPr>
      <w:r>
        <w:rPr>
          <w:rFonts w:hint="eastAsia" w:ascii="宋体" w:hAnsi="宋体" w:cs="宋体"/>
          <w:color w:val="auto"/>
          <w:szCs w:val="32"/>
          <w:highlight w:val="none"/>
        </w:rPr>
        <w:t>　　　　　　　　　      　年    月    日</w:t>
      </w:r>
    </w:p>
    <w:p>
      <w:pPr>
        <w:rPr>
          <w:rFonts w:ascii="宋体" w:hAnsi="宋体" w:cs="宋体"/>
          <w:b/>
          <w:color w:val="auto"/>
          <w:szCs w:val="21"/>
          <w:highlight w:val="none"/>
        </w:rPr>
      </w:pPr>
      <w:r>
        <w:rPr>
          <w:rFonts w:hint="eastAsia"/>
          <w:b/>
          <w:bCs/>
          <w:color w:val="auto"/>
          <w:highlight w:val="none"/>
        </w:rPr>
        <w:br w:type="page"/>
      </w:r>
    </w:p>
    <w:p>
      <w:pPr>
        <w:spacing w:line="360" w:lineRule="auto"/>
        <w:jc w:val="center"/>
        <w:rPr>
          <w:rFonts w:ascii="宋体" w:hAnsi="宋体" w:cs="宋体"/>
          <w:bCs/>
          <w:color w:val="auto"/>
          <w:sz w:val="24"/>
          <w:highlight w:val="none"/>
        </w:rPr>
      </w:pPr>
      <w:r>
        <w:rPr>
          <w:rFonts w:hint="eastAsia" w:ascii="宋体" w:hAnsi="宋体" w:cs="宋体"/>
          <w:b/>
          <w:color w:val="auto"/>
          <w:szCs w:val="21"/>
          <w:highlight w:val="none"/>
        </w:rPr>
        <w:t>三、开标一览表</w:t>
      </w: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投标人全称（加盖公章）：</w:t>
      </w: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项目名称：</w:t>
      </w: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项目编号：</w:t>
      </w:r>
    </w:p>
    <w:tbl>
      <w:tblPr>
        <w:tblStyle w:val="2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0"/>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1395" w:type="pct"/>
            <w:tcBorders>
              <w:top w:val="single" w:color="auto" w:sz="4" w:space="0"/>
              <w:left w:val="single" w:color="auto" w:sz="4" w:space="0"/>
              <w:bottom w:val="single" w:color="auto" w:sz="4" w:space="0"/>
              <w:right w:val="single" w:color="auto" w:sz="4" w:space="0"/>
            </w:tcBorders>
            <w:vAlign w:val="center"/>
          </w:tcPr>
          <w:p>
            <w:pPr>
              <w:pStyle w:val="8"/>
              <w:adjustRightInd w:val="0"/>
              <w:snapToGrid w:val="0"/>
              <w:spacing w:line="300" w:lineRule="auto"/>
              <w:jc w:val="center"/>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项目名称</w:t>
            </w:r>
          </w:p>
        </w:tc>
        <w:tc>
          <w:tcPr>
            <w:tcW w:w="360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jc w:val="center"/>
        </w:trPr>
        <w:tc>
          <w:tcPr>
            <w:tcW w:w="1395" w:type="pct"/>
            <w:tcBorders>
              <w:top w:val="single" w:color="auto" w:sz="4" w:space="0"/>
              <w:left w:val="single" w:color="auto" w:sz="4" w:space="0"/>
              <w:bottom w:val="single" w:color="auto" w:sz="4" w:space="0"/>
              <w:right w:val="single" w:color="auto" w:sz="4" w:space="0"/>
            </w:tcBorders>
            <w:vAlign w:val="center"/>
          </w:tcPr>
          <w:p>
            <w:pPr>
              <w:pStyle w:val="8"/>
              <w:adjustRightInd w:val="0"/>
              <w:snapToGrid w:val="0"/>
              <w:spacing w:line="300" w:lineRule="auto"/>
              <w:jc w:val="center"/>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auto"/>
                <w:sz w:val="21"/>
                <w:szCs w:val="21"/>
                <w:highlight w:val="none"/>
                <w:lang w:val="en-US" w:eastAsia="zh-CN"/>
              </w:rPr>
              <w:t>投标报价</w:t>
            </w:r>
          </w:p>
        </w:tc>
        <w:tc>
          <w:tcPr>
            <w:tcW w:w="3604" w:type="pct"/>
            <w:tcBorders>
              <w:top w:val="single" w:color="auto" w:sz="4" w:space="0"/>
              <w:left w:val="single" w:color="auto" w:sz="4" w:space="0"/>
              <w:bottom w:val="single" w:color="auto" w:sz="4" w:space="0"/>
              <w:right w:val="single" w:color="auto" w:sz="4" w:space="0"/>
            </w:tcBorders>
            <w:vAlign w:val="center"/>
          </w:tcPr>
          <w:p>
            <w:pPr>
              <w:pStyle w:val="45"/>
              <w:spacing w:before="0" w:after="0" w:line="500" w:lineRule="exact"/>
              <w:rPr>
                <w:rFonts w:ascii="宋体" w:hAnsi="宋体" w:cs="宋体"/>
                <w:color w:val="auto"/>
                <w:kern w:val="2"/>
                <w:sz w:val="21"/>
                <w:szCs w:val="21"/>
                <w:highlight w:val="none"/>
              </w:rPr>
            </w:pPr>
            <w:r>
              <w:rPr>
                <w:rFonts w:hint="eastAsia" w:ascii="宋体" w:hAnsi="宋体" w:cs="宋体"/>
                <w:color w:val="auto"/>
                <w:kern w:val="2"/>
                <w:sz w:val="21"/>
                <w:szCs w:val="21"/>
                <w:highlight w:val="none"/>
              </w:rPr>
              <w:t>投标报价：¥</w:t>
            </w:r>
            <w:r>
              <w:rPr>
                <w:rFonts w:hint="eastAsia" w:ascii="宋体" w:hAnsi="宋体" w:cs="宋体"/>
                <w:color w:val="auto"/>
                <w:kern w:val="2"/>
                <w:sz w:val="21"/>
                <w:szCs w:val="21"/>
                <w:highlight w:val="none"/>
                <w:u w:val="single"/>
                <w:lang w:val="en-US" w:eastAsia="zh-CN"/>
              </w:rPr>
              <w:t xml:space="preserve">               </w:t>
            </w:r>
            <w:r>
              <w:rPr>
                <w:rFonts w:hint="eastAsia" w:ascii="宋体" w:hAnsi="宋体" w:cs="宋体"/>
                <w:color w:val="auto"/>
                <w:kern w:val="2"/>
                <w:sz w:val="21"/>
                <w:szCs w:val="21"/>
                <w:highlight w:val="none"/>
              </w:rPr>
              <w:t>元</w:t>
            </w:r>
          </w:p>
          <w:p>
            <w:pPr>
              <w:pStyle w:val="45"/>
              <w:spacing w:before="0" w:after="0" w:line="500" w:lineRule="exact"/>
              <w:rPr>
                <w:rFonts w:hint="default" w:ascii="宋体" w:hAnsi="宋体" w:eastAsia="宋体" w:cs="宋体"/>
                <w:color w:val="auto"/>
                <w:kern w:val="2"/>
                <w:sz w:val="21"/>
                <w:szCs w:val="21"/>
                <w:highlight w:val="none"/>
                <w:u w:val="single"/>
                <w:lang w:val="en-US" w:eastAsia="zh-CN"/>
              </w:rPr>
            </w:pPr>
            <w:r>
              <w:rPr>
                <w:rFonts w:hint="eastAsia" w:ascii="宋体" w:hAnsi="宋体" w:cs="宋体"/>
                <w:color w:val="auto"/>
                <w:kern w:val="2"/>
                <w:sz w:val="21"/>
                <w:szCs w:val="21"/>
                <w:highlight w:val="none"/>
              </w:rPr>
              <w:t>（大写：人民币）：</w:t>
            </w:r>
            <w:r>
              <w:rPr>
                <w:rFonts w:hint="eastAsia" w:ascii="宋体" w:hAnsi="宋体" w:cs="宋体"/>
                <w:color w:val="auto"/>
                <w:kern w:val="2"/>
                <w:sz w:val="21"/>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1" w:hRule="atLeast"/>
          <w:jc w:val="center"/>
        </w:trPr>
        <w:tc>
          <w:tcPr>
            <w:tcW w:w="1395" w:type="pct"/>
            <w:tcBorders>
              <w:top w:val="single" w:color="auto" w:sz="4" w:space="0"/>
              <w:left w:val="single" w:color="auto" w:sz="4" w:space="0"/>
              <w:bottom w:val="single" w:color="auto" w:sz="4" w:space="0"/>
              <w:right w:val="single" w:color="auto" w:sz="4" w:space="0"/>
            </w:tcBorders>
            <w:vAlign w:val="center"/>
          </w:tcPr>
          <w:p>
            <w:pPr>
              <w:pStyle w:val="8"/>
              <w:adjustRightInd w:val="0"/>
              <w:snapToGrid w:val="0"/>
              <w:spacing w:line="300" w:lineRule="auto"/>
              <w:jc w:val="center"/>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c>
          <w:tcPr>
            <w:tcW w:w="3604" w:type="pct"/>
            <w:tcBorders>
              <w:top w:val="single" w:color="auto" w:sz="4" w:space="0"/>
              <w:left w:val="single" w:color="auto" w:sz="4" w:space="0"/>
              <w:bottom w:val="single" w:color="auto" w:sz="4" w:space="0"/>
              <w:right w:val="single" w:color="auto" w:sz="4" w:space="0"/>
            </w:tcBorders>
            <w:vAlign w:val="center"/>
          </w:tcPr>
          <w:p>
            <w:pPr>
              <w:pStyle w:val="8"/>
              <w:adjustRightInd w:val="0"/>
              <w:snapToGrid w:val="0"/>
              <w:spacing w:line="300" w:lineRule="auto"/>
              <w:rPr>
                <w:rFonts w:ascii="宋体" w:hAnsi="宋体" w:eastAsia="宋体" w:cs="宋体"/>
                <w:color w:val="auto"/>
                <w:kern w:val="2"/>
                <w:sz w:val="21"/>
                <w:szCs w:val="21"/>
                <w:highlight w:val="none"/>
              </w:rPr>
            </w:pPr>
          </w:p>
        </w:tc>
      </w:tr>
    </w:tbl>
    <w:p>
      <w:pPr>
        <w:rPr>
          <w:rFonts w:ascii="宋体" w:hAnsi="宋体" w:cs="宋体"/>
          <w:color w:val="auto"/>
          <w:szCs w:val="21"/>
          <w:highlight w:val="none"/>
        </w:rPr>
      </w:pP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 xml:space="preserve">供应商名称（公章）：                             </w:t>
      </w: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 xml:space="preserve">法定代表人或授权代表签字：                        </w:t>
      </w: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 xml:space="preserve">日期：     年    月    日 </w:t>
      </w:r>
    </w:p>
    <w:p>
      <w:pPr>
        <w:spacing w:line="360" w:lineRule="auto"/>
        <w:jc w:val="center"/>
        <w:rPr>
          <w:rFonts w:ascii="宋体" w:hAnsi="宋体" w:cs="宋体"/>
          <w:b/>
          <w:color w:val="auto"/>
          <w:szCs w:val="21"/>
          <w:highlight w:val="none"/>
        </w:rPr>
      </w:pPr>
    </w:p>
    <w:p>
      <w:pPr>
        <w:spacing w:line="360" w:lineRule="auto"/>
        <w:ind w:firstLine="480"/>
        <w:rPr>
          <w:rFonts w:ascii="宋体" w:hAnsi="宋体" w:cs="宋体"/>
          <w:color w:val="auto"/>
          <w:szCs w:val="21"/>
          <w:highlight w:val="none"/>
        </w:rPr>
      </w:pPr>
      <w:r>
        <w:rPr>
          <w:rFonts w:hint="eastAsia" w:ascii="宋体" w:hAnsi="宋体" w:cs="宋体"/>
          <w:color w:val="auto"/>
          <w:szCs w:val="21"/>
          <w:highlight w:val="none"/>
        </w:rPr>
        <w:t>填写说明：</w:t>
      </w:r>
    </w:p>
    <w:p>
      <w:pPr>
        <w:spacing w:line="360" w:lineRule="auto"/>
        <w:ind w:firstLine="480"/>
        <w:rPr>
          <w:rFonts w:ascii="宋体" w:hAnsi="宋体" w:cs="宋体"/>
          <w:iCs/>
          <w:color w:val="auto"/>
          <w:szCs w:val="21"/>
          <w:highlight w:val="none"/>
          <w:u w:val="single"/>
        </w:rPr>
      </w:pPr>
      <w:r>
        <w:rPr>
          <w:rFonts w:hint="eastAsia" w:ascii="宋体" w:hAnsi="宋体" w:cs="宋体"/>
          <w:iCs/>
          <w:color w:val="auto"/>
          <w:szCs w:val="21"/>
          <w:highlight w:val="none"/>
        </w:rPr>
        <w:t>1、</w:t>
      </w:r>
      <w:r>
        <w:rPr>
          <w:rFonts w:hint="eastAsia" w:ascii="宋体" w:hAnsi="宋体" w:cs="宋体"/>
          <w:b/>
          <w:bCs/>
          <w:iCs/>
          <w:color w:val="auto"/>
          <w:szCs w:val="21"/>
          <w:highlight w:val="none"/>
          <w:u w:val="single"/>
        </w:rPr>
        <w:t>开标一览表</w:t>
      </w:r>
      <w:r>
        <w:rPr>
          <w:rFonts w:hint="eastAsia" w:ascii="宋体" w:hAnsi="宋体" w:cs="宋体"/>
          <w:iCs/>
          <w:color w:val="auto"/>
          <w:szCs w:val="21"/>
          <w:highlight w:val="none"/>
          <w:u w:val="single"/>
        </w:rPr>
        <w:t>必须单独密封，在投标截止时间前与投标文件分别递交。</w:t>
      </w:r>
    </w:p>
    <w:p>
      <w:pPr>
        <w:spacing w:line="360" w:lineRule="auto"/>
        <w:ind w:firstLine="420" w:firstLineChars="200"/>
        <w:rPr>
          <w:color w:val="auto"/>
          <w:highlight w:val="none"/>
        </w:rPr>
      </w:pPr>
      <w:r>
        <w:rPr>
          <w:rFonts w:hint="eastAsia" w:ascii="宋体" w:hAnsi="宋体" w:cs="宋体"/>
          <w:iCs/>
          <w:color w:val="auto"/>
          <w:szCs w:val="21"/>
          <w:highlight w:val="none"/>
        </w:rPr>
        <w:t>2、</w:t>
      </w:r>
      <w:r>
        <w:rPr>
          <w:rFonts w:hint="eastAsia" w:ascii="宋体" w:hAnsi="宋体" w:cs="宋体"/>
          <w:bCs/>
          <w:iCs/>
          <w:color w:val="auto"/>
          <w:szCs w:val="21"/>
          <w:highlight w:val="none"/>
          <w:u w:val="single"/>
        </w:rPr>
        <w:t>开标一览表必须加盖投标人公章（复印件无效）</w:t>
      </w:r>
      <w:r>
        <w:rPr>
          <w:rFonts w:hint="eastAsia" w:ascii="宋体" w:hAnsi="宋体" w:cs="宋体"/>
          <w:iCs/>
          <w:color w:val="auto"/>
          <w:szCs w:val="21"/>
          <w:highlight w:val="none"/>
        </w:rPr>
        <w:t>。</w:t>
      </w:r>
    </w:p>
    <w:p>
      <w:pPr>
        <w:spacing w:line="460" w:lineRule="exact"/>
        <w:rPr>
          <w:rFonts w:ascii="宋体" w:hAnsi="宋体" w:cs="宋体"/>
          <w:bCs/>
          <w:color w:val="auto"/>
          <w:sz w:val="24"/>
          <w:highlight w:val="none"/>
        </w:rPr>
      </w:pPr>
    </w:p>
    <w:p>
      <w:pPr>
        <w:spacing w:line="460" w:lineRule="exact"/>
        <w:rPr>
          <w:rFonts w:ascii="宋体" w:hAnsi="宋体" w:cs="宋体"/>
          <w:bCs/>
          <w:color w:val="auto"/>
          <w:sz w:val="24"/>
          <w:highlight w:val="none"/>
        </w:rPr>
      </w:pPr>
    </w:p>
    <w:p>
      <w:pPr>
        <w:spacing w:line="220" w:lineRule="atLeast"/>
        <w:rPr>
          <w:rFonts w:ascii="宋体" w:hAnsi="宋体" w:cs="宋体"/>
          <w:color w:val="auto"/>
          <w:sz w:val="22"/>
          <w:highlight w:val="none"/>
        </w:rPr>
      </w:pPr>
    </w:p>
    <w:p>
      <w:pPr>
        <w:pStyle w:val="9"/>
        <w:rPr>
          <w:rFonts w:ascii="宋体" w:hAnsi="宋体" w:cs="宋体"/>
          <w:color w:val="auto"/>
          <w:sz w:val="22"/>
          <w:highlight w:val="none"/>
        </w:rPr>
      </w:pPr>
    </w:p>
    <w:p>
      <w:pPr>
        <w:pStyle w:val="9"/>
        <w:rPr>
          <w:rFonts w:ascii="宋体" w:hAnsi="宋体" w:cs="宋体"/>
          <w:color w:val="auto"/>
          <w:sz w:val="22"/>
          <w:highlight w:val="none"/>
        </w:rPr>
      </w:pPr>
    </w:p>
    <w:p>
      <w:pPr>
        <w:pStyle w:val="9"/>
        <w:rPr>
          <w:rFonts w:ascii="宋体" w:hAnsi="宋体" w:cs="宋体"/>
          <w:color w:val="auto"/>
          <w:sz w:val="22"/>
          <w:highlight w:val="none"/>
        </w:rPr>
      </w:pPr>
    </w:p>
    <w:p>
      <w:pPr>
        <w:pStyle w:val="9"/>
        <w:rPr>
          <w:rFonts w:ascii="宋体" w:hAnsi="宋体" w:cs="宋体"/>
          <w:color w:val="auto"/>
          <w:sz w:val="22"/>
          <w:highlight w:val="none"/>
        </w:rPr>
      </w:pPr>
    </w:p>
    <w:p>
      <w:pPr>
        <w:pStyle w:val="9"/>
        <w:rPr>
          <w:rFonts w:ascii="宋体" w:hAnsi="宋体" w:cs="宋体"/>
          <w:color w:val="auto"/>
          <w:sz w:val="22"/>
          <w:highlight w:val="none"/>
        </w:rPr>
      </w:pPr>
    </w:p>
    <w:p>
      <w:pPr>
        <w:rPr>
          <w:color w:val="auto"/>
          <w:highlight w:val="none"/>
        </w:rPr>
      </w:pPr>
    </w:p>
    <w:p>
      <w:pPr>
        <w:pStyle w:val="9"/>
        <w:rPr>
          <w:rFonts w:ascii="宋体" w:hAnsi="宋体" w:cs="宋体"/>
          <w:color w:val="auto"/>
          <w:sz w:val="22"/>
          <w:highlight w:val="none"/>
        </w:rPr>
      </w:pPr>
    </w:p>
    <w:p>
      <w:pPr>
        <w:rPr>
          <w:rFonts w:ascii="宋体" w:hAnsi="宋体"/>
          <w:b/>
          <w:color w:val="auto"/>
          <w:highlight w:val="none"/>
        </w:rPr>
      </w:pPr>
      <w:r>
        <w:rPr>
          <w:rFonts w:hint="eastAsia" w:ascii="宋体" w:hAnsi="宋体"/>
          <w:b/>
          <w:color w:val="auto"/>
          <w:highlight w:val="none"/>
        </w:rPr>
        <w:br w:type="page"/>
      </w:r>
    </w:p>
    <w:p>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四、</w:t>
      </w:r>
      <w:r>
        <w:rPr>
          <w:rFonts w:hint="eastAsia" w:ascii="宋体" w:hAnsi="宋体" w:cs="宋体"/>
          <w:b/>
          <w:color w:val="auto"/>
          <w:szCs w:val="21"/>
          <w:highlight w:val="none"/>
        </w:rPr>
        <w:t>项目人员组成表</w:t>
      </w:r>
    </w:p>
    <w:tbl>
      <w:tblPr>
        <w:tblStyle w:val="2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50"/>
        <w:gridCol w:w="851"/>
        <w:gridCol w:w="1809"/>
        <w:gridCol w:w="1025"/>
        <w:gridCol w:w="1390"/>
        <w:gridCol w:w="162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51" w:type="dxa"/>
            <w:vMerge w:val="restart"/>
            <w:noWrap w:val="0"/>
            <w:vAlign w:val="center"/>
          </w:tcPr>
          <w:p>
            <w:pPr>
              <w:spacing w:line="500" w:lineRule="exact"/>
              <w:jc w:val="center"/>
              <w:rPr>
                <w:rFonts w:hint="eastAsia" w:ascii="宋体" w:hAnsi="宋体" w:eastAsia="宋体" w:cs="宋体"/>
                <w:sz w:val="21"/>
                <w:szCs w:val="21"/>
              </w:rPr>
            </w:pPr>
            <w:r>
              <w:rPr>
                <w:rFonts w:hint="eastAsia" w:ascii="宋体" w:hAnsi="宋体" w:eastAsia="宋体" w:cs="宋体"/>
                <w:sz w:val="21"/>
                <w:szCs w:val="21"/>
              </w:rPr>
              <w:t>姓名</w:t>
            </w:r>
          </w:p>
        </w:tc>
        <w:tc>
          <w:tcPr>
            <w:tcW w:w="850" w:type="dxa"/>
            <w:vMerge w:val="restart"/>
            <w:noWrap w:val="0"/>
            <w:vAlign w:val="center"/>
          </w:tcPr>
          <w:p>
            <w:pPr>
              <w:spacing w:line="500" w:lineRule="exact"/>
              <w:jc w:val="center"/>
              <w:rPr>
                <w:rFonts w:hint="eastAsia" w:ascii="宋体" w:hAnsi="宋体" w:eastAsia="宋体" w:cs="宋体"/>
                <w:sz w:val="21"/>
                <w:szCs w:val="21"/>
              </w:rPr>
            </w:pPr>
            <w:r>
              <w:rPr>
                <w:rFonts w:hint="eastAsia" w:ascii="宋体" w:hAnsi="宋体" w:eastAsia="宋体" w:cs="宋体"/>
                <w:sz w:val="21"/>
                <w:szCs w:val="21"/>
              </w:rPr>
              <w:t>职务</w:t>
            </w:r>
          </w:p>
        </w:tc>
        <w:tc>
          <w:tcPr>
            <w:tcW w:w="851" w:type="dxa"/>
            <w:vMerge w:val="restart"/>
            <w:noWrap w:val="0"/>
            <w:vAlign w:val="center"/>
          </w:tcPr>
          <w:p>
            <w:pPr>
              <w:spacing w:line="500" w:lineRule="exact"/>
              <w:jc w:val="center"/>
              <w:rPr>
                <w:rFonts w:hint="eastAsia" w:ascii="宋体" w:hAnsi="宋体" w:eastAsia="宋体" w:cs="宋体"/>
                <w:sz w:val="21"/>
                <w:szCs w:val="21"/>
              </w:rPr>
            </w:pPr>
            <w:r>
              <w:rPr>
                <w:rFonts w:hint="eastAsia" w:ascii="宋体" w:hAnsi="宋体" w:eastAsia="宋体" w:cs="宋体"/>
                <w:sz w:val="21"/>
                <w:szCs w:val="21"/>
              </w:rPr>
              <w:t>职称</w:t>
            </w:r>
          </w:p>
        </w:tc>
        <w:tc>
          <w:tcPr>
            <w:tcW w:w="5849" w:type="dxa"/>
            <w:gridSpan w:val="4"/>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执业或职业资格证明</w:t>
            </w:r>
          </w:p>
        </w:tc>
        <w:tc>
          <w:tcPr>
            <w:tcW w:w="992" w:type="dxa"/>
            <w:vMerge w:val="restart"/>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51" w:type="dxa"/>
            <w:vMerge w:val="continue"/>
            <w:noWrap w:val="0"/>
            <w:vAlign w:val="center"/>
          </w:tcPr>
          <w:p>
            <w:pPr>
              <w:spacing w:line="500" w:lineRule="exact"/>
              <w:jc w:val="center"/>
              <w:rPr>
                <w:rFonts w:hint="eastAsia" w:ascii="宋体" w:hAnsi="宋体" w:eastAsia="宋体" w:cs="宋体"/>
                <w:sz w:val="21"/>
                <w:szCs w:val="21"/>
              </w:rPr>
            </w:pPr>
          </w:p>
        </w:tc>
        <w:tc>
          <w:tcPr>
            <w:tcW w:w="850" w:type="dxa"/>
            <w:vMerge w:val="continue"/>
            <w:noWrap w:val="0"/>
            <w:vAlign w:val="center"/>
          </w:tcPr>
          <w:p>
            <w:pPr>
              <w:spacing w:line="500" w:lineRule="exact"/>
              <w:jc w:val="center"/>
              <w:rPr>
                <w:rFonts w:hint="eastAsia" w:ascii="宋体" w:hAnsi="宋体" w:eastAsia="宋体" w:cs="宋体"/>
                <w:sz w:val="21"/>
                <w:szCs w:val="21"/>
              </w:rPr>
            </w:pPr>
          </w:p>
        </w:tc>
        <w:tc>
          <w:tcPr>
            <w:tcW w:w="851" w:type="dxa"/>
            <w:vMerge w:val="continue"/>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证书名称</w:t>
            </w:r>
          </w:p>
        </w:tc>
        <w:tc>
          <w:tcPr>
            <w:tcW w:w="1025" w:type="dxa"/>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级别</w:t>
            </w:r>
          </w:p>
        </w:tc>
        <w:tc>
          <w:tcPr>
            <w:tcW w:w="1390" w:type="dxa"/>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证号</w:t>
            </w:r>
          </w:p>
        </w:tc>
        <w:tc>
          <w:tcPr>
            <w:tcW w:w="1625" w:type="dxa"/>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专业</w:t>
            </w:r>
          </w:p>
        </w:tc>
        <w:tc>
          <w:tcPr>
            <w:tcW w:w="992" w:type="dxa"/>
            <w:vMerge w:val="continue"/>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851" w:type="dxa"/>
            <w:noWrap w:val="0"/>
            <w:vAlign w:val="center"/>
          </w:tcPr>
          <w:p>
            <w:pPr>
              <w:spacing w:line="500" w:lineRule="exact"/>
              <w:jc w:val="center"/>
              <w:rPr>
                <w:rFonts w:hint="eastAsia" w:ascii="宋体" w:hAnsi="宋体" w:eastAsia="宋体" w:cs="宋体"/>
                <w:sz w:val="21"/>
                <w:szCs w:val="21"/>
              </w:rPr>
            </w:pPr>
          </w:p>
        </w:tc>
        <w:tc>
          <w:tcPr>
            <w:tcW w:w="850" w:type="dxa"/>
            <w:noWrap w:val="0"/>
            <w:vAlign w:val="center"/>
          </w:tcPr>
          <w:p>
            <w:pPr>
              <w:spacing w:line="500" w:lineRule="exact"/>
              <w:jc w:val="center"/>
              <w:rPr>
                <w:rFonts w:hint="eastAsia" w:ascii="宋体" w:hAnsi="宋体" w:eastAsia="宋体" w:cs="宋体"/>
                <w:sz w:val="21"/>
                <w:szCs w:val="21"/>
              </w:rPr>
            </w:pPr>
          </w:p>
        </w:tc>
        <w:tc>
          <w:tcPr>
            <w:tcW w:w="851" w:type="dxa"/>
            <w:noWrap w:val="0"/>
            <w:vAlign w:val="center"/>
          </w:tcPr>
          <w:p>
            <w:pPr>
              <w:spacing w:line="500" w:lineRule="exact"/>
              <w:jc w:val="center"/>
              <w:rPr>
                <w:rFonts w:hint="eastAsia" w:ascii="宋体" w:hAnsi="宋体" w:eastAsia="宋体" w:cs="宋体"/>
                <w:sz w:val="21"/>
                <w:szCs w:val="21"/>
              </w:rPr>
            </w:pPr>
          </w:p>
        </w:tc>
        <w:tc>
          <w:tcPr>
            <w:tcW w:w="1809" w:type="dxa"/>
            <w:noWrap w:val="0"/>
            <w:vAlign w:val="center"/>
          </w:tcPr>
          <w:p>
            <w:pPr>
              <w:spacing w:line="500" w:lineRule="exact"/>
              <w:jc w:val="center"/>
              <w:rPr>
                <w:rFonts w:hint="eastAsia" w:ascii="宋体" w:hAnsi="宋体" w:eastAsia="宋体" w:cs="宋体"/>
                <w:sz w:val="21"/>
                <w:szCs w:val="21"/>
              </w:rPr>
            </w:pPr>
          </w:p>
        </w:tc>
        <w:tc>
          <w:tcPr>
            <w:tcW w:w="1025" w:type="dxa"/>
            <w:noWrap w:val="0"/>
            <w:vAlign w:val="center"/>
          </w:tcPr>
          <w:p>
            <w:pPr>
              <w:spacing w:line="500" w:lineRule="exact"/>
              <w:jc w:val="center"/>
              <w:rPr>
                <w:rFonts w:hint="eastAsia" w:ascii="宋体" w:hAnsi="宋体" w:eastAsia="宋体" w:cs="宋体"/>
                <w:sz w:val="21"/>
                <w:szCs w:val="21"/>
              </w:rPr>
            </w:pPr>
          </w:p>
        </w:tc>
        <w:tc>
          <w:tcPr>
            <w:tcW w:w="1390" w:type="dxa"/>
            <w:noWrap w:val="0"/>
            <w:vAlign w:val="center"/>
          </w:tcPr>
          <w:p>
            <w:pPr>
              <w:spacing w:line="500" w:lineRule="exact"/>
              <w:jc w:val="center"/>
              <w:rPr>
                <w:rFonts w:hint="eastAsia" w:ascii="宋体" w:hAnsi="宋体" w:eastAsia="宋体" w:cs="宋体"/>
                <w:sz w:val="21"/>
                <w:szCs w:val="21"/>
              </w:rPr>
            </w:pPr>
          </w:p>
        </w:tc>
        <w:tc>
          <w:tcPr>
            <w:tcW w:w="1625" w:type="dxa"/>
            <w:noWrap w:val="0"/>
            <w:vAlign w:val="center"/>
          </w:tcPr>
          <w:p>
            <w:pPr>
              <w:spacing w:line="500" w:lineRule="exact"/>
              <w:jc w:val="center"/>
              <w:rPr>
                <w:rFonts w:hint="eastAsia" w:ascii="宋体" w:hAnsi="宋体" w:eastAsia="宋体" w:cs="宋体"/>
                <w:sz w:val="21"/>
                <w:szCs w:val="21"/>
              </w:rPr>
            </w:pPr>
          </w:p>
        </w:tc>
        <w:tc>
          <w:tcPr>
            <w:tcW w:w="992" w:type="dxa"/>
            <w:noWrap w:val="0"/>
            <w:vAlign w:val="center"/>
          </w:tcPr>
          <w:p>
            <w:pPr>
              <w:spacing w:line="500" w:lineRule="exact"/>
              <w:jc w:val="center"/>
              <w:rPr>
                <w:rFonts w:hint="eastAsia" w:ascii="宋体" w:hAnsi="宋体" w:eastAsia="宋体" w:cs="宋体"/>
                <w:sz w:val="21"/>
                <w:szCs w:val="21"/>
              </w:rPr>
            </w:pPr>
          </w:p>
        </w:tc>
      </w:tr>
    </w:tbl>
    <w:p>
      <w:pPr>
        <w:spacing w:line="240" w:lineRule="auto"/>
        <w:jc w:val="both"/>
        <w:rPr>
          <w:rFonts w:hint="eastAsia" w:ascii="宋体" w:hAnsi="宋体" w:eastAsia="宋体" w:cs="宋体"/>
          <w:sz w:val="21"/>
          <w:szCs w:val="21"/>
        </w:rPr>
      </w:pPr>
      <w:r>
        <w:rPr>
          <w:rFonts w:hint="eastAsia" w:ascii="宋体" w:hAnsi="宋体" w:eastAsia="宋体" w:cs="宋体"/>
          <w:sz w:val="21"/>
          <w:szCs w:val="21"/>
          <w:lang w:val="en-US" w:eastAsia="zh-CN"/>
        </w:rPr>
        <w:t>注：</w:t>
      </w:r>
      <w:r>
        <w:rPr>
          <w:rFonts w:hint="eastAsia" w:ascii="宋体" w:hAnsi="宋体" w:cs="宋体"/>
          <w:sz w:val="21"/>
          <w:szCs w:val="21"/>
          <w:lang w:val="en-US" w:eastAsia="zh-CN"/>
        </w:rPr>
        <w:t>本表后附</w:t>
      </w:r>
      <w:r>
        <w:rPr>
          <w:rFonts w:hint="eastAsia" w:ascii="宋体" w:hAnsi="宋体" w:eastAsia="宋体" w:cs="宋体"/>
          <w:sz w:val="21"/>
          <w:szCs w:val="21"/>
        </w:rPr>
        <w:t>项目人员执业证书或职称证</w:t>
      </w:r>
      <w:r>
        <w:rPr>
          <w:rFonts w:hint="eastAsia" w:ascii="宋体" w:hAnsi="宋体" w:eastAsia="宋体" w:cs="宋体"/>
          <w:sz w:val="21"/>
          <w:szCs w:val="21"/>
          <w:lang w:val="en-US" w:eastAsia="zh-CN"/>
        </w:rPr>
        <w:t>书等相关评分项</w:t>
      </w:r>
      <w:r>
        <w:rPr>
          <w:rFonts w:hint="eastAsia" w:ascii="宋体" w:hAnsi="宋体" w:eastAsia="宋体" w:cs="宋体"/>
          <w:sz w:val="21"/>
          <w:szCs w:val="21"/>
        </w:rPr>
        <w:t>复印件并加</w:t>
      </w:r>
      <w:r>
        <w:rPr>
          <w:rFonts w:hint="eastAsia" w:ascii="宋体" w:hAnsi="宋体" w:eastAsia="宋体" w:cs="宋体"/>
          <w:sz w:val="21"/>
          <w:szCs w:val="21"/>
          <w:lang w:eastAsia="zh-CN"/>
        </w:rPr>
        <w:t>盖</w:t>
      </w:r>
      <w:r>
        <w:rPr>
          <w:rFonts w:hint="eastAsia" w:ascii="宋体" w:hAnsi="宋体" w:eastAsia="宋体" w:cs="宋体"/>
          <w:sz w:val="21"/>
          <w:szCs w:val="21"/>
        </w:rPr>
        <w:t>公章。</w:t>
      </w:r>
    </w:p>
    <w:p>
      <w:pPr>
        <w:spacing w:line="500" w:lineRule="exact"/>
        <w:jc w:val="both"/>
        <w:rPr>
          <w:rFonts w:hint="eastAsia" w:ascii="仿宋" w:hAnsi="仿宋" w:eastAsia="仿宋" w:cs="仿宋"/>
          <w:b/>
          <w:bCs/>
          <w:color w:val="auto"/>
          <w:sz w:val="28"/>
          <w:szCs w:val="28"/>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hint="eastAsia" w:ascii="宋体" w:hAnsi="宋体"/>
          <w:b/>
          <w:color w:val="auto"/>
          <w:highlight w:val="none"/>
          <w:lang w:val="en-US" w:eastAsia="zh-CN"/>
        </w:rPr>
      </w:pPr>
    </w:p>
    <w:p>
      <w:pPr>
        <w:spacing w:line="360" w:lineRule="auto"/>
        <w:ind w:firstLine="422" w:firstLineChars="200"/>
        <w:jc w:val="center"/>
        <w:rPr>
          <w:rFonts w:ascii="宋体" w:hAnsi="宋体"/>
          <w:b/>
          <w:color w:val="auto"/>
          <w:highlight w:val="none"/>
        </w:rPr>
      </w:pPr>
      <w:r>
        <w:rPr>
          <w:rFonts w:hint="eastAsia" w:ascii="宋体" w:hAnsi="宋体"/>
          <w:b/>
          <w:color w:val="auto"/>
          <w:highlight w:val="none"/>
          <w:lang w:val="en-US" w:eastAsia="zh-CN"/>
        </w:rPr>
        <w:t>五</w:t>
      </w:r>
      <w:r>
        <w:rPr>
          <w:rFonts w:hint="eastAsia" w:ascii="宋体" w:hAnsi="宋体"/>
          <w:b/>
          <w:color w:val="auto"/>
          <w:highlight w:val="none"/>
        </w:rPr>
        <w:t>、类似业绩一览表</w:t>
      </w:r>
    </w:p>
    <w:p>
      <w:pPr>
        <w:spacing w:line="360" w:lineRule="auto"/>
        <w:rPr>
          <w:rFonts w:ascii="宋体" w:hAnsi="宋体" w:cs="宋体"/>
          <w:color w:val="auto"/>
          <w:szCs w:val="21"/>
          <w:highlight w:val="none"/>
        </w:rPr>
      </w:pPr>
      <w:r>
        <w:rPr>
          <w:rFonts w:hint="eastAsia" w:ascii="宋体" w:hAnsi="宋体" w:cs="宋体"/>
          <w:color w:val="auto"/>
          <w:szCs w:val="21"/>
          <w:highlight w:val="none"/>
        </w:rPr>
        <w:t>项目名称：</w:t>
      </w:r>
    </w:p>
    <w:p>
      <w:pPr>
        <w:spacing w:line="360" w:lineRule="auto"/>
        <w:rPr>
          <w:rFonts w:ascii="宋体" w:hAnsi="宋体" w:cs="宋体"/>
          <w:color w:val="auto"/>
          <w:szCs w:val="21"/>
          <w:highlight w:val="none"/>
        </w:rPr>
      </w:pPr>
      <w:r>
        <w:rPr>
          <w:rFonts w:hint="eastAsia" w:ascii="宋体" w:hAnsi="宋体" w:cs="宋体"/>
          <w:color w:val="auto"/>
          <w:szCs w:val="21"/>
          <w:highlight w:val="none"/>
        </w:rPr>
        <w:t>项目编号：</w:t>
      </w:r>
    </w:p>
    <w:tbl>
      <w:tblPr>
        <w:tblStyle w:val="24"/>
        <w:tblW w:w="9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2185"/>
        <w:gridCol w:w="1758"/>
        <w:gridCol w:w="1758"/>
        <w:gridCol w:w="1761"/>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185"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项目名称</w:t>
            </w:r>
          </w:p>
        </w:tc>
        <w:tc>
          <w:tcPr>
            <w:tcW w:w="1758" w:type="dxa"/>
            <w:vAlign w:val="center"/>
          </w:tcPr>
          <w:p>
            <w:pPr>
              <w:tabs>
                <w:tab w:val="left" w:pos="6252"/>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委托人</w:t>
            </w:r>
          </w:p>
        </w:tc>
        <w:tc>
          <w:tcPr>
            <w:tcW w:w="1758" w:type="dxa"/>
            <w:vAlign w:val="center"/>
          </w:tcPr>
          <w:p>
            <w:pPr>
              <w:tabs>
                <w:tab w:val="left" w:pos="6252"/>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合同金额</w:t>
            </w:r>
          </w:p>
        </w:tc>
        <w:tc>
          <w:tcPr>
            <w:tcW w:w="1761" w:type="dxa"/>
            <w:vAlign w:val="center"/>
          </w:tcPr>
          <w:p>
            <w:pPr>
              <w:tabs>
                <w:tab w:val="left" w:pos="6252"/>
              </w:tabs>
              <w:spacing w:line="360" w:lineRule="auto"/>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批文备案时间</w:t>
            </w:r>
          </w:p>
        </w:tc>
        <w:tc>
          <w:tcPr>
            <w:tcW w:w="687"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2185"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61" w:type="dxa"/>
            <w:vAlign w:val="center"/>
          </w:tcPr>
          <w:p>
            <w:pPr>
              <w:jc w:val="center"/>
              <w:rPr>
                <w:rFonts w:ascii="宋体" w:hAnsi="宋体" w:cs="宋体"/>
                <w:color w:val="auto"/>
                <w:szCs w:val="21"/>
                <w:highlight w:val="none"/>
              </w:rPr>
            </w:pPr>
          </w:p>
        </w:tc>
        <w:tc>
          <w:tcPr>
            <w:tcW w:w="687" w:type="dxa"/>
            <w:vAlign w:val="center"/>
          </w:tcPr>
          <w:p>
            <w:pPr>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2185"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61" w:type="dxa"/>
            <w:vAlign w:val="center"/>
          </w:tcPr>
          <w:p>
            <w:pPr>
              <w:jc w:val="center"/>
              <w:rPr>
                <w:rFonts w:ascii="宋体" w:hAnsi="宋体" w:cs="宋体"/>
                <w:color w:val="auto"/>
                <w:szCs w:val="21"/>
                <w:highlight w:val="none"/>
              </w:rPr>
            </w:pPr>
          </w:p>
        </w:tc>
        <w:tc>
          <w:tcPr>
            <w:tcW w:w="687" w:type="dxa"/>
            <w:vAlign w:val="center"/>
          </w:tcPr>
          <w:p>
            <w:pPr>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3</w:t>
            </w:r>
          </w:p>
        </w:tc>
        <w:tc>
          <w:tcPr>
            <w:tcW w:w="2185"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61" w:type="dxa"/>
            <w:vAlign w:val="center"/>
          </w:tcPr>
          <w:p>
            <w:pPr>
              <w:jc w:val="center"/>
              <w:rPr>
                <w:rFonts w:ascii="宋体" w:hAnsi="宋体" w:cs="宋体"/>
                <w:color w:val="auto"/>
                <w:szCs w:val="21"/>
                <w:highlight w:val="none"/>
              </w:rPr>
            </w:pPr>
          </w:p>
        </w:tc>
        <w:tc>
          <w:tcPr>
            <w:tcW w:w="687" w:type="dxa"/>
            <w:vAlign w:val="center"/>
          </w:tcPr>
          <w:p>
            <w:pPr>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4</w:t>
            </w:r>
          </w:p>
        </w:tc>
        <w:tc>
          <w:tcPr>
            <w:tcW w:w="2185"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61" w:type="dxa"/>
            <w:vAlign w:val="center"/>
          </w:tcPr>
          <w:p>
            <w:pPr>
              <w:jc w:val="center"/>
              <w:rPr>
                <w:rFonts w:ascii="宋体" w:hAnsi="宋体" w:cs="宋体"/>
                <w:color w:val="auto"/>
                <w:szCs w:val="21"/>
                <w:highlight w:val="none"/>
              </w:rPr>
            </w:pPr>
          </w:p>
        </w:tc>
        <w:tc>
          <w:tcPr>
            <w:tcW w:w="687" w:type="dxa"/>
            <w:vAlign w:val="center"/>
          </w:tcPr>
          <w:p>
            <w:pPr>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5</w:t>
            </w:r>
          </w:p>
        </w:tc>
        <w:tc>
          <w:tcPr>
            <w:tcW w:w="2185"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61" w:type="dxa"/>
            <w:vAlign w:val="center"/>
          </w:tcPr>
          <w:p>
            <w:pPr>
              <w:jc w:val="center"/>
              <w:rPr>
                <w:rFonts w:ascii="宋体" w:hAnsi="宋体" w:cs="宋体"/>
                <w:color w:val="auto"/>
                <w:szCs w:val="21"/>
                <w:highlight w:val="none"/>
              </w:rPr>
            </w:pPr>
          </w:p>
        </w:tc>
        <w:tc>
          <w:tcPr>
            <w:tcW w:w="687" w:type="dxa"/>
            <w:vAlign w:val="center"/>
          </w:tcPr>
          <w:p>
            <w:pPr>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1" w:type="dxa"/>
            <w:vAlign w:val="center"/>
          </w:tcPr>
          <w:p>
            <w:pPr>
              <w:jc w:val="center"/>
              <w:rPr>
                <w:rFonts w:ascii="宋体" w:hAnsi="宋体" w:cs="宋体"/>
                <w:color w:val="auto"/>
                <w:szCs w:val="21"/>
                <w:highlight w:val="none"/>
              </w:rPr>
            </w:pPr>
            <w:r>
              <w:rPr>
                <w:rFonts w:hint="eastAsia" w:ascii="宋体" w:hAnsi="宋体" w:cs="宋体"/>
                <w:color w:val="auto"/>
                <w:szCs w:val="21"/>
                <w:highlight w:val="none"/>
              </w:rPr>
              <w:t>....</w:t>
            </w:r>
          </w:p>
        </w:tc>
        <w:tc>
          <w:tcPr>
            <w:tcW w:w="2185"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58" w:type="dxa"/>
            <w:vAlign w:val="center"/>
          </w:tcPr>
          <w:p>
            <w:pPr>
              <w:jc w:val="center"/>
              <w:rPr>
                <w:rFonts w:ascii="宋体" w:hAnsi="宋体" w:cs="宋体"/>
                <w:color w:val="auto"/>
                <w:szCs w:val="21"/>
                <w:highlight w:val="none"/>
              </w:rPr>
            </w:pPr>
          </w:p>
        </w:tc>
        <w:tc>
          <w:tcPr>
            <w:tcW w:w="1761" w:type="dxa"/>
            <w:vAlign w:val="center"/>
          </w:tcPr>
          <w:p>
            <w:pPr>
              <w:jc w:val="center"/>
              <w:rPr>
                <w:rFonts w:ascii="宋体" w:hAnsi="宋体" w:cs="宋体"/>
                <w:color w:val="auto"/>
                <w:szCs w:val="21"/>
                <w:highlight w:val="none"/>
              </w:rPr>
            </w:pPr>
          </w:p>
        </w:tc>
        <w:tc>
          <w:tcPr>
            <w:tcW w:w="687" w:type="dxa"/>
            <w:vAlign w:val="center"/>
          </w:tcPr>
          <w:p>
            <w:pPr>
              <w:jc w:val="center"/>
              <w:rPr>
                <w:rFonts w:ascii="宋体" w:hAnsi="宋体" w:cs="宋体"/>
                <w:color w:val="auto"/>
                <w:szCs w:val="21"/>
                <w:highlight w:val="none"/>
              </w:rPr>
            </w:pPr>
          </w:p>
        </w:tc>
      </w:tr>
    </w:tbl>
    <w:p>
      <w:pPr>
        <w:spacing w:line="360" w:lineRule="auto"/>
        <w:rPr>
          <w:rFonts w:ascii="宋体" w:hAnsi="宋体" w:cs="宋体"/>
          <w:color w:val="auto"/>
          <w:szCs w:val="21"/>
          <w:highlight w:val="none"/>
        </w:rPr>
      </w:pPr>
    </w:p>
    <w:p>
      <w:pPr>
        <w:spacing w:line="360" w:lineRule="auto"/>
        <w:rPr>
          <w:rFonts w:ascii="宋体" w:hAnsi="宋体" w:cs="宋体"/>
          <w:bCs/>
          <w:color w:val="auto"/>
          <w:szCs w:val="21"/>
          <w:highlight w:val="none"/>
          <w:u w:val="single"/>
        </w:rPr>
      </w:pPr>
      <w:r>
        <w:rPr>
          <w:rFonts w:hint="eastAsia" w:ascii="宋体" w:hAnsi="宋体" w:cs="宋体"/>
          <w:bCs/>
          <w:color w:val="auto"/>
          <w:szCs w:val="21"/>
          <w:highlight w:val="none"/>
        </w:rPr>
        <w:t>供应商名称（公章）：</w:t>
      </w:r>
    </w:p>
    <w:p>
      <w:pPr>
        <w:spacing w:line="360" w:lineRule="auto"/>
        <w:rPr>
          <w:rFonts w:ascii="宋体" w:hAnsi="宋体" w:cs="宋体"/>
          <w:bCs/>
          <w:color w:val="auto"/>
          <w:szCs w:val="21"/>
          <w:highlight w:val="none"/>
        </w:rPr>
      </w:pPr>
      <w:r>
        <w:rPr>
          <w:rFonts w:hint="eastAsia" w:ascii="宋体" w:hAnsi="宋体" w:cs="宋体"/>
          <w:bCs/>
          <w:color w:val="auto"/>
          <w:szCs w:val="21"/>
          <w:highlight w:val="none"/>
        </w:rPr>
        <w:t>法定代表人或授权代表签字：</w:t>
      </w:r>
    </w:p>
    <w:p>
      <w:pPr>
        <w:spacing w:line="360" w:lineRule="auto"/>
        <w:rPr>
          <w:rFonts w:ascii="宋体" w:hAnsi="宋体" w:cs="宋体"/>
          <w:bCs/>
          <w:color w:val="auto"/>
          <w:szCs w:val="21"/>
          <w:highlight w:val="none"/>
        </w:rPr>
      </w:pPr>
      <w:r>
        <w:rPr>
          <w:rFonts w:hint="eastAsia" w:ascii="宋体" w:hAnsi="宋体" w:cs="宋体"/>
          <w:bCs/>
          <w:color w:val="auto"/>
          <w:szCs w:val="21"/>
          <w:highlight w:val="none"/>
        </w:rPr>
        <w:t>日期：年月日</w:t>
      </w:r>
    </w:p>
    <w:p>
      <w:pPr>
        <w:spacing w:line="360" w:lineRule="auto"/>
        <w:rPr>
          <w:rFonts w:ascii="宋体" w:hAnsi="宋体" w:cs="宋体"/>
          <w:color w:val="auto"/>
          <w:szCs w:val="21"/>
          <w:highlight w:val="none"/>
        </w:rPr>
      </w:pPr>
    </w:p>
    <w:p>
      <w:pPr>
        <w:spacing w:line="360" w:lineRule="auto"/>
        <w:rPr>
          <w:rFonts w:ascii="宋体" w:hAnsi="宋体" w:cs="宋体"/>
          <w:bCs/>
          <w:color w:val="auto"/>
          <w:szCs w:val="21"/>
          <w:highlight w:val="none"/>
        </w:rPr>
      </w:pPr>
      <w:r>
        <w:rPr>
          <w:rFonts w:hint="eastAsia" w:ascii="宋体" w:hAnsi="宋体" w:cs="宋体"/>
          <w:color w:val="auto"/>
          <w:szCs w:val="21"/>
          <w:highlight w:val="none"/>
        </w:rPr>
        <w:t>注：</w:t>
      </w:r>
      <w:r>
        <w:rPr>
          <w:rFonts w:hint="eastAsia" w:ascii="宋体" w:hAnsi="宋体" w:cs="宋体"/>
          <w:bCs/>
          <w:color w:val="auto"/>
          <w:szCs w:val="21"/>
          <w:highlight w:val="none"/>
        </w:rPr>
        <w:t>须提供合同</w:t>
      </w:r>
      <w:r>
        <w:rPr>
          <w:rFonts w:hint="eastAsia" w:ascii="宋体" w:hAnsi="宋体" w:cs="宋体"/>
          <w:bCs/>
          <w:color w:val="auto"/>
          <w:szCs w:val="21"/>
          <w:highlight w:val="none"/>
          <w:lang w:val="en-US" w:eastAsia="zh-CN"/>
        </w:rPr>
        <w:t>及批文</w:t>
      </w:r>
      <w:r>
        <w:rPr>
          <w:rFonts w:hint="eastAsia" w:ascii="宋体" w:hAnsi="宋体" w:cs="宋体"/>
          <w:bCs/>
          <w:color w:val="auto"/>
          <w:szCs w:val="21"/>
          <w:highlight w:val="none"/>
        </w:rPr>
        <w:t>复印件加盖投标人公章等证明材料。</w:t>
      </w:r>
    </w:p>
    <w:p>
      <w:pPr>
        <w:jc w:val="center"/>
        <w:rPr>
          <w:rFonts w:ascii="宋体" w:hAnsi="宋体" w:cs="宋体"/>
          <w:bCs/>
          <w:color w:val="auto"/>
          <w:szCs w:val="21"/>
          <w:highlight w:val="none"/>
        </w:rPr>
      </w:pPr>
      <w:r>
        <w:rPr>
          <w:rFonts w:hint="eastAsia" w:ascii="宋体" w:hAnsi="宋体" w:cs="宋体"/>
          <w:bCs/>
          <w:color w:val="auto"/>
          <w:szCs w:val="21"/>
          <w:highlight w:val="none"/>
        </w:rPr>
        <w:br w:type="page"/>
      </w:r>
    </w:p>
    <w:p>
      <w:pPr>
        <w:jc w:val="center"/>
        <w:rPr>
          <w:rFonts w:ascii="宋体" w:hAnsi="宋体"/>
          <w:b/>
          <w:color w:val="auto"/>
          <w:highlight w:val="none"/>
        </w:rPr>
      </w:pPr>
    </w:p>
    <w:p>
      <w:pPr>
        <w:jc w:val="center"/>
        <w:rPr>
          <w:rFonts w:hint="eastAsia" w:ascii="宋体" w:hAnsi="宋体" w:eastAsia="宋体"/>
          <w:b/>
          <w:color w:val="auto"/>
          <w:highlight w:val="none"/>
          <w:lang w:val="en-US" w:eastAsia="zh-CN"/>
        </w:rPr>
      </w:pPr>
      <w:r>
        <w:rPr>
          <w:rFonts w:hint="eastAsia" w:ascii="宋体" w:hAnsi="宋体"/>
          <w:b/>
          <w:color w:val="auto"/>
          <w:highlight w:val="none"/>
          <w:lang w:val="en-US" w:eastAsia="zh-CN"/>
        </w:rPr>
        <w:t>六</w:t>
      </w:r>
      <w:r>
        <w:rPr>
          <w:rFonts w:hint="eastAsia" w:ascii="宋体" w:hAnsi="宋体"/>
          <w:b/>
          <w:color w:val="auto"/>
          <w:highlight w:val="none"/>
        </w:rPr>
        <w:t>、服务</w:t>
      </w:r>
      <w:r>
        <w:rPr>
          <w:rFonts w:hint="eastAsia" w:ascii="宋体" w:hAnsi="宋体"/>
          <w:b/>
          <w:color w:val="auto"/>
          <w:highlight w:val="none"/>
          <w:lang w:val="en-US" w:eastAsia="zh-CN"/>
        </w:rPr>
        <w:t>承诺</w:t>
      </w:r>
    </w:p>
    <w:p>
      <w:pPr>
        <w:jc w:val="left"/>
        <w:rPr>
          <w:rFonts w:ascii="宋体" w:hAnsi="宋体"/>
          <w:b/>
          <w:color w:val="auto"/>
          <w:highlight w:val="none"/>
        </w:rPr>
      </w:pPr>
    </w:p>
    <w:p>
      <w:pPr>
        <w:spacing w:line="360" w:lineRule="auto"/>
        <w:jc w:val="center"/>
        <w:rPr>
          <w:rFonts w:ascii="宋体" w:hAnsi="宋体"/>
          <w:color w:val="auto"/>
          <w:highlight w:val="none"/>
        </w:rPr>
      </w:pPr>
      <w:r>
        <w:rPr>
          <w:rFonts w:hint="eastAsia" w:ascii="宋体" w:hAnsi="宋体"/>
          <w:color w:val="auto"/>
          <w:highlight w:val="none"/>
        </w:rPr>
        <w:t>（根据评分标准自行编制）</w:t>
      </w:r>
    </w:p>
    <w:p>
      <w:pPr>
        <w:pStyle w:val="3"/>
        <w:rPr>
          <w:rFonts w:ascii="宋体" w:hAnsi="宋体"/>
          <w:color w:val="auto"/>
          <w:highlight w:val="none"/>
        </w:rPr>
      </w:pPr>
    </w:p>
    <w:p>
      <w:pPr>
        <w:jc w:val="center"/>
        <w:rPr>
          <w:rFonts w:ascii="宋体" w:hAnsi="宋体"/>
          <w:b/>
          <w:color w:val="auto"/>
          <w:highlight w:val="none"/>
        </w:rPr>
      </w:pPr>
      <w:r>
        <w:rPr>
          <w:rFonts w:hint="eastAsia" w:ascii="宋体" w:hAnsi="宋体"/>
          <w:b/>
          <w:color w:val="auto"/>
          <w:highlight w:val="none"/>
          <w:lang w:val="en-US" w:eastAsia="zh-CN"/>
        </w:rPr>
        <w:t>七</w:t>
      </w:r>
      <w:r>
        <w:rPr>
          <w:rFonts w:hint="eastAsia" w:ascii="宋体" w:hAnsi="宋体"/>
          <w:b/>
          <w:color w:val="auto"/>
          <w:highlight w:val="none"/>
        </w:rPr>
        <w:t>、实施方案</w:t>
      </w:r>
    </w:p>
    <w:p>
      <w:pPr>
        <w:jc w:val="left"/>
        <w:rPr>
          <w:rFonts w:ascii="宋体" w:hAnsi="宋体"/>
          <w:b/>
          <w:color w:val="auto"/>
          <w:highlight w:val="none"/>
        </w:rPr>
      </w:pPr>
    </w:p>
    <w:p>
      <w:pPr>
        <w:spacing w:line="360" w:lineRule="auto"/>
        <w:jc w:val="center"/>
        <w:rPr>
          <w:bCs/>
          <w:color w:val="auto"/>
          <w:highlight w:val="none"/>
        </w:rPr>
      </w:pPr>
      <w:r>
        <w:rPr>
          <w:rFonts w:hint="eastAsia" w:ascii="宋体" w:hAnsi="宋体"/>
          <w:color w:val="auto"/>
          <w:highlight w:val="none"/>
        </w:rPr>
        <w:t>（根据评分标准自行编制）</w:t>
      </w:r>
    </w:p>
    <w:p>
      <w:pPr>
        <w:rPr>
          <w:color w:val="auto"/>
          <w:highlight w:val="none"/>
        </w:rPr>
      </w:pPr>
    </w:p>
    <w:sectPr>
      <w:headerReference r:id="rId3" w:type="default"/>
      <w:footerReference r:id="rId4" w:type="default"/>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path/>
          <v:fill on="f" focussize="0,0"/>
          <v:stroke on="f" weight="0.5pt" joinstyle="miter"/>
          <v:imagedata o:title=""/>
          <o:lock v:ext="edit"/>
          <v:textbox inset="0mm,0mm,0mm,0mm" style="mso-fit-shape-to-text:t;">
            <w:txbxContent>
              <w:sdt>
                <w:sdtPr>
                  <w:id w:val="-732242583"/>
                </w:sdtPr>
                <w:sdtContent>
                  <w:p>
                    <w:pPr>
                      <w:pStyle w:val="17"/>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2"/>
                  <w:ind w:firstLine="420"/>
                </w:pPr>
              </w:p>
            </w:txbxContent>
          </v:textbox>
        </v:shape>
      </w:pict>
    </w: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pPr>
  </w:p>
  <w:p>
    <w:pPr>
      <w:pStyle w:val="1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69466438"/>
    <w:multiLevelType w:val="multilevel"/>
    <w:tmpl w:val="69466438"/>
    <w:lvl w:ilvl="0" w:tentative="0">
      <w:start w:val="6"/>
      <w:numFmt w:val="japaneseCounting"/>
      <w:pStyle w:val="12"/>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outline w:val="0"/>
        <w:shadow w:val="0"/>
        <w:emboss w:val="0"/>
        <w:imprint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pStyle w:val="29"/>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5MDg3NzE2YTA5MjdkMTY0MjlkOGU4MzAwOWFiZGEifQ=="/>
  </w:docVars>
  <w:rsids>
    <w:rsidRoot w:val="00A5101D"/>
    <w:rsid w:val="000466BE"/>
    <w:rsid w:val="00046A61"/>
    <w:rsid w:val="00050768"/>
    <w:rsid w:val="000516BC"/>
    <w:rsid w:val="00061B6C"/>
    <w:rsid w:val="000A1760"/>
    <w:rsid w:val="000B616E"/>
    <w:rsid w:val="0021274E"/>
    <w:rsid w:val="00223660"/>
    <w:rsid w:val="00230098"/>
    <w:rsid w:val="002A3BDB"/>
    <w:rsid w:val="002B0494"/>
    <w:rsid w:val="002B0AEE"/>
    <w:rsid w:val="002D0B18"/>
    <w:rsid w:val="002D5336"/>
    <w:rsid w:val="002E0FF4"/>
    <w:rsid w:val="002E623F"/>
    <w:rsid w:val="00311B29"/>
    <w:rsid w:val="0034374E"/>
    <w:rsid w:val="00351835"/>
    <w:rsid w:val="00353D8F"/>
    <w:rsid w:val="0037693B"/>
    <w:rsid w:val="003C05C0"/>
    <w:rsid w:val="003E4C0D"/>
    <w:rsid w:val="00443FCE"/>
    <w:rsid w:val="00445826"/>
    <w:rsid w:val="004814D6"/>
    <w:rsid w:val="00497303"/>
    <w:rsid w:val="004A46C0"/>
    <w:rsid w:val="004B7140"/>
    <w:rsid w:val="00523BFD"/>
    <w:rsid w:val="00535C96"/>
    <w:rsid w:val="005877B6"/>
    <w:rsid w:val="005C1BB6"/>
    <w:rsid w:val="005D0DDE"/>
    <w:rsid w:val="0066117F"/>
    <w:rsid w:val="006C7418"/>
    <w:rsid w:val="006D2A98"/>
    <w:rsid w:val="006D4541"/>
    <w:rsid w:val="006F1D64"/>
    <w:rsid w:val="00704687"/>
    <w:rsid w:val="00720646"/>
    <w:rsid w:val="0074290A"/>
    <w:rsid w:val="007640CE"/>
    <w:rsid w:val="007818C1"/>
    <w:rsid w:val="00783B99"/>
    <w:rsid w:val="00887727"/>
    <w:rsid w:val="009026D3"/>
    <w:rsid w:val="0091668F"/>
    <w:rsid w:val="00961F7F"/>
    <w:rsid w:val="00966646"/>
    <w:rsid w:val="009875E4"/>
    <w:rsid w:val="0099111A"/>
    <w:rsid w:val="009C1137"/>
    <w:rsid w:val="009E740E"/>
    <w:rsid w:val="00A5101D"/>
    <w:rsid w:val="00A7112D"/>
    <w:rsid w:val="00A87CA2"/>
    <w:rsid w:val="00AB0157"/>
    <w:rsid w:val="00AB3698"/>
    <w:rsid w:val="00AD462B"/>
    <w:rsid w:val="00AE6615"/>
    <w:rsid w:val="00B0583D"/>
    <w:rsid w:val="00B24547"/>
    <w:rsid w:val="00B4644A"/>
    <w:rsid w:val="00B50D3C"/>
    <w:rsid w:val="00B80E34"/>
    <w:rsid w:val="00B85F4D"/>
    <w:rsid w:val="00B877EB"/>
    <w:rsid w:val="00BB5C89"/>
    <w:rsid w:val="00BF3AFC"/>
    <w:rsid w:val="00BF3DE5"/>
    <w:rsid w:val="00C31344"/>
    <w:rsid w:val="00C34CED"/>
    <w:rsid w:val="00C43608"/>
    <w:rsid w:val="00C5691C"/>
    <w:rsid w:val="00CB018F"/>
    <w:rsid w:val="00CB6434"/>
    <w:rsid w:val="00CC6736"/>
    <w:rsid w:val="00CF48E5"/>
    <w:rsid w:val="00D40328"/>
    <w:rsid w:val="00D41E5C"/>
    <w:rsid w:val="00D56B10"/>
    <w:rsid w:val="00DD08E7"/>
    <w:rsid w:val="00DD7BD8"/>
    <w:rsid w:val="00DF2F1B"/>
    <w:rsid w:val="00E023DB"/>
    <w:rsid w:val="00E70B59"/>
    <w:rsid w:val="00E746C9"/>
    <w:rsid w:val="00EE1787"/>
    <w:rsid w:val="00F36CCE"/>
    <w:rsid w:val="00FC14AD"/>
    <w:rsid w:val="00FC2DED"/>
    <w:rsid w:val="013C61FA"/>
    <w:rsid w:val="01C96D0E"/>
    <w:rsid w:val="01E10E76"/>
    <w:rsid w:val="01FD5165"/>
    <w:rsid w:val="027F1706"/>
    <w:rsid w:val="02F70D3E"/>
    <w:rsid w:val="033678A9"/>
    <w:rsid w:val="033E5543"/>
    <w:rsid w:val="03C6403E"/>
    <w:rsid w:val="03F81772"/>
    <w:rsid w:val="03FA6D38"/>
    <w:rsid w:val="0410030A"/>
    <w:rsid w:val="042A46C1"/>
    <w:rsid w:val="04BC5D9C"/>
    <w:rsid w:val="05A32387"/>
    <w:rsid w:val="06950D05"/>
    <w:rsid w:val="06CB7068"/>
    <w:rsid w:val="06F000C4"/>
    <w:rsid w:val="06FF01C2"/>
    <w:rsid w:val="071531E1"/>
    <w:rsid w:val="07485D75"/>
    <w:rsid w:val="07CC44A3"/>
    <w:rsid w:val="08D51D74"/>
    <w:rsid w:val="096C1857"/>
    <w:rsid w:val="09926E4D"/>
    <w:rsid w:val="09EE0F0C"/>
    <w:rsid w:val="0A846B09"/>
    <w:rsid w:val="0A8F2B63"/>
    <w:rsid w:val="0ABE1004"/>
    <w:rsid w:val="0AE71855"/>
    <w:rsid w:val="0B36035D"/>
    <w:rsid w:val="0B5C3B6D"/>
    <w:rsid w:val="0BCE06F6"/>
    <w:rsid w:val="0C832502"/>
    <w:rsid w:val="0D295DC7"/>
    <w:rsid w:val="0D656657"/>
    <w:rsid w:val="0DAA559A"/>
    <w:rsid w:val="0E223337"/>
    <w:rsid w:val="0F036C57"/>
    <w:rsid w:val="1007764D"/>
    <w:rsid w:val="108C2B57"/>
    <w:rsid w:val="11002D49"/>
    <w:rsid w:val="111F74C2"/>
    <w:rsid w:val="11465397"/>
    <w:rsid w:val="11A12B6A"/>
    <w:rsid w:val="123E1747"/>
    <w:rsid w:val="125F6E0B"/>
    <w:rsid w:val="12A14FB7"/>
    <w:rsid w:val="13781284"/>
    <w:rsid w:val="139F5206"/>
    <w:rsid w:val="13A63124"/>
    <w:rsid w:val="13D94406"/>
    <w:rsid w:val="13FD6452"/>
    <w:rsid w:val="151829DD"/>
    <w:rsid w:val="154F471B"/>
    <w:rsid w:val="1579277C"/>
    <w:rsid w:val="159C0046"/>
    <w:rsid w:val="15F64E32"/>
    <w:rsid w:val="16891C16"/>
    <w:rsid w:val="16D15681"/>
    <w:rsid w:val="16DD3198"/>
    <w:rsid w:val="16E17CE0"/>
    <w:rsid w:val="1724110D"/>
    <w:rsid w:val="17604A64"/>
    <w:rsid w:val="178E650A"/>
    <w:rsid w:val="17BF5E77"/>
    <w:rsid w:val="18532E5F"/>
    <w:rsid w:val="18C97170"/>
    <w:rsid w:val="19952103"/>
    <w:rsid w:val="1B713DB0"/>
    <w:rsid w:val="1B8C096F"/>
    <w:rsid w:val="1BC2131D"/>
    <w:rsid w:val="1BEB5062"/>
    <w:rsid w:val="1C673580"/>
    <w:rsid w:val="1CB30208"/>
    <w:rsid w:val="1D2928BE"/>
    <w:rsid w:val="1D4448AD"/>
    <w:rsid w:val="1D867D95"/>
    <w:rsid w:val="1E3A525C"/>
    <w:rsid w:val="1F335E15"/>
    <w:rsid w:val="214E287D"/>
    <w:rsid w:val="225C272E"/>
    <w:rsid w:val="227C193D"/>
    <w:rsid w:val="22AB75E9"/>
    <w:rsid w:val="23435A49"/>
    <w:rsid w:val="234E4EA7"/>
    <w:rsid w:val="23C12B2D"/>
    <w:rsid w:val="25DC15CA"/>
    <w:rsid w:val="260534EB"/>
    <w:rsid w:val="26140D83"/>
    <w:rsid w:val="268B2061"/>
    <w:rsid w:val="26C06D43"/>
    <w:rsid w:val="26FA0C9C"/>
    <w:rsid w:val="27C263A0"/>
    <w:rsid w:val="28544C70"/>
    <w:rsid w:val="287037E5"/>
    <w:rsid w:val="28EF0DFE"/>
    <w:rsid w:val="292D6E86"/>
    <w:rsid w:val="296574B0"/>
    <w:rsid w:val="298323EF"/>
    <w:rsid w:val="2A8F7F85"/>
    <w:rsid w:val="2B3E75BA"/>
    <w:rsid w:val="2B676B24"/>
    <w:rsid w:val="2B7425B3"/>
    <w:rsid w:val="2C5D762D"/>
    <w:rsid w:val="2D635F72"/>
    <w:rsid w:val="2DBA63C5"/>
    <w:rsid w:val="2E1611C8"/>
    <w:rsid w:val="2EA645EA"/>
    <w:rsid w:val="2F1021B8"/>
    <w:rsid w:val="2F311CD3"/>
    <w:rsid w:val="2F55650B"/>
    <w:rsid w:val="2FAD659D"/>
    <w:rsid w:val="308E197E"/>
    <w:rsid w:val="31E70327"/>
    <w:rsid w:val="31FD4AA0"/>
    <w:rsid w:val="326326AD"/>
    <w:rsid w:val="32DD7C4A"/>
    <w:rsid w:val="32E9317E"/>
    <w:rsid w:val="33B2140A"/>
    <w:rsid w:val="33F31B7D"/>
    <w:rsid w:val="34183DF3"/>
    <w:rsid w:val="346E0E6A"/>
    <w:rsid w:val="34955E0D"/>
    <w:rsid w:val="34FD33E3"/>
    <w:rsid w:val="35452497"/>
    <w:rsid w:val="35F46606"/>
    <w:rsid w:val="35FF3AF3"/>
    <w:rsid w:val="366A35F7"/>
    <w:rsid w:val="36E77967"/>
    <w:rsid w:val="36E817DD"/>
    <w:rsid w:val="370D2870"/>
    <w:rsid w:val="371E1BE5"/>
    <w:rsid w:val="37B95D33"/>
    <w:rsid w:val="382177D6"/>
    <w:rsid w:val="383A69FC"/>
    <w:rsid w:val="38A95BD3"/>
    <w:rsid w:val="38AC419E"/>
    <w:rsid w:val="392E0314"/>
    <w:rsid w:val="39640388"/>
    <w:rsid w:val="3A4848F3"/>
    <w:rsid w:val="3A630531"/>
    <w:rsid w:val="3A6D6409"/>
    <w:rsid w:val="3B31058A"/>
    <w:rsid w:val="3B7E7E33"/>
    <w:rsid w:val="3C340232"/>
    <w:rsid w:val="3C771E06"/>
    <w:rsid w:val="3CF33D92"/>
    <w:rsid w:val="3D216882"/>
    <w:rsid w:val="3DF21949"/>
    <w:rsid w:val="4021297B"/>
    <w:rsid w:val="405E722E"/>
    <w:rsid w:val="41206B0B"/>
    <w:rsid w:val="41EF2605"/>
    <w:rsid w:val="42BA4840"/>
    <w:rsid w:val="42E17AB5"/>
    <w:rsid w:val="438F22F2"/>
    <w:rsid w:val="441617EF"/>
    <w:rsid w:val="44A52B7D"/>
    <w:rsid w:val="44ED286E"/>
    <w:rsid w:val="45DB2A77"/>
    <w:rsid w:val="45EE7CB8"/>
    <w:rsid w:val="4698406B"/>
    <w:rsid w:val="47A74C0A"/>
    <w:rsid w:val="47C63E40"/>
    <w:rsid w:val="484E210D"/>
    <w:rsid w:val="48F1663C"/>
    <w:rsid w:val="491D214E"/>
    <w:rsid w:val="49B95769"/>
    <w:rsid w:val="4A233ED0"/>
    <w:rsid w:val="4A7A501C"/>
    <w:rsid w:val="4A9E78A6"/>
    <w:rsid w:val="4AAE709F"/>
    <w:rsid w:val="4AC64E75"/>
    <w:rsid w:val="4B5C5665"/>
    <w:rsid w:val="4B633C9E"/>
    <w:rsid w:val="4BA8113C"/>
    <w:rsid w:val="4C1718C3"/>
    <w:rsid w:val="4C26756B"/>
    <w:rsid w:val="4C3C4AFB"/>
    <w:rsid w:val="4CB703AD"/>
    <w:rsid w:val="4CBB4931"/>
    <w:rsid w:val="4D2B5D1A"/>
    <w:rsid w:val="4DA132EC"/>
    <w:rsid w:val="4DB16256"/>
    <w:rsid w:val="4DC3347D"/>
    <w:rsid w:val="4E0C429F"/>
    <w:rsid w:val="4E3441C2"/>
    <w:rsid w:val="4F2E279F"/>
    <w:rsid w:val="4F6A7D50"/>
    <w:rsid w:val="4F7924E3"/>
    <w:rsid w:val="50270816"/>
    <w:rsid w:val="50B448F3"/>
    <w:rsid w:val="515C7A82"/>
    <w:rsid w:val="51956A24"/>
    <w:rsid w:val="51AB0DB7"/>
    <w:rsid w:val="51B32EA7"/>
    <w:rsid w:val="51B605F8"/>
    <w:rsid w:val="52080CB7"/>
    <w:rsid w:val="5456453C"/>
    <w:rsid w:val="546413E9"/>
    <w:rsid w:val="54972E53"/>
    <w:rsid w:val="555A0DDC"/>
    <w:rsid w:val="56110B2B"/>
    <w:rsid w:val="561F730F"/>
    <w:rsid w:val="56247069"/>
    <w:rsid w:val="56CE7683"/>
    <w:rsid w:val="574A5B4F"/>
    <w:rsid w:val="577B236C"/>
    <w:rsid w:val="580959D0"/>
    <w:rsid w:val="582A0FB5"/>
    <w:rsid w:val="586F7A04"/>
    <w:rsid w:val="588A78FA"/>
    <w:rsid w:val="59D803A9"/>
    <w:rsid w:val="5A32779B"/>
    <w:rsid w:val="5A4A3489"/>
    <w:rsid w:val="5AAC7EFE"/>
    <w:rsid w:val="5B772EA5"/>
    <w:rsid w:val="5B8E6A04"/>
    <w:rsid w:val="5C032708"/>
    <w:rsid w:val="5C093851"/>
    <w:rsid w:val="5C1E7BF4"/>
    <w:rsid w:val="5C325CB8"/>
    <w:rsid w:val="5C6F47CB"/>
    <w:rsid w:val="5C9352DD"/>
    <w:rsid w:val="5C9A13C5"/>
    <w:rsid w:val="5D6238F8"/>
    <w:rsid w:val="5D7900CA"/>
    <w:rsid w:val="5DB01D09"/>
    <w:rsid w:val="5E59139B"/>
    <w:rsid w:val="5EC200EC"/>
    <w:rsid w:val="5F4F0732"/>
    <w:rsid w:val="5F4F0EF3"/>
    <w:rsid w:val="5F8F35F9"/>
    <w:rsid w:val="60136C47"/>
    <w:rsid w:val="61293DF3"/>
    <w:rsid w:val="6146146A"/>
    <w:rsid w:val="62BC61DE"/>
    <w:rsid w:val="63227F57"/>
    <w:rsid w:val="6360709F"/>
    <w:rsid w:val="63B43622"/>
    <w:rsid w:val="647226F7"/>
    <w:rsid w:val="649C1C26"/>
    <w:rsid w:val="65055217"/>
    <w:rsid w:val="66625263"/>
    <w:rsid w:val="66EB0CD7"/>
    <w:rsid w:val="670D2F87"/>
    <w:rsid w:val="672D0F2C"/>
    <w:rsid w:val="6766353D"/>
    <w:rsid w:val="67B213FE"/>
    <w:rsid w:val="6828492B"/>
    <w:rsid w:val="685D0C28"/>
    <w:rsid w:val="68F2080B"/>
    <w:rsid w:val="69760037"/>
    <w:rsid w:val="6A04687E"/>
    <w:rsid w:val="6A250A93"/>
    <w:rsid w:val="6A865CFF"/>
    <w:rsid w:val="6B874FA4"/>
    <w:rsid w:val="6C854CBC"/>
    <w:rsid w:val="6C972BDB"/>
    <w:rsid w:val="6D0D353A"/>
    <w:rsid w:val="6D4636F7"/>
    <w:rsid w:val="6DAB5A29"/>
    <w:rsid w:val="6EA620FA"/>
    <w:rsid w:val="6EC5055E"/>
    <w:rsid w:val="6F1E31CA"/>
    <w:rsid w:val="6F742218"/>
    <w:rsid w:val="6F7A7BBB"/>
    <w:rsid w:val="6F96006C"/>
    <w:rsid w:val="70B9544F"/>
    <w:rsid w:val="713F07A5"/>
    <w:rsid w:val="71764206"/>
    <w:rsid w:val="71A566B9"/>
    <w:rsid w:val="722A4917"/>
    <w:rsid w:val="727A0B83"/>
    <w:rsid w:val="72A10820"/>
    <w:rsid w:val="73DA5384"/>
    <w:rsid w:val="7414425C"/>
    <w:rsid w:val="744A64C5"/>
    <w:rsid w:val="74503B5E"/>
    <w:rsid w:val="74F1743F"/>
    <w:rsid w:val="75375698"/>
    <w:rsid w:val="75454707"/>
    <w:rsid w:val="754C147A"/>
    <w:rsid w:val="75575362"/>
    <w:rsid w:val="75D84E01"/>
    <w:rsid w:val="76633EC3"/>
    <w:rsid w:val="77041E07"/>
    <w:rsid w:val="771A00D7"/>
    <w:rsid w:val="771A3CB7"/>
    <w:rsid w:val="77AC693B"/>
    <w:rsid w:val="77BA756E"/>
    <w:rsid w:val="78063D47"/>
    <w:rsid w:val="780F5E0D"/>
    <w:rsid w:val="79CA57A1"/>
    <w:rsid w:val="7A945088"/>
    <w:rsid w:val="7B31720F"/>
    <w:rsid w:val="7B8C50E2"/>
    <w:rsid w:val="7C6249AD"/>
    <w:rsid w:val="7CA81E21"/>
    <w:rsid w:val="7CE56503"/>
    <w:rsid w:val="7CE87873"/>
    <w:rsid w:val="7D262E1B"/>
    <w:rsid w:val="7DC9260B"/>
    <w:rsid w:val="7E676E21"/>
    <w:rsid w:val="7E996E10"/>
    <w:rsid w:val="7EAD3051"/>
    <w:rsid w:val="7EB6399F"/>
    <w:rsid w:val="7ED134F8"/>
    <w:rsid w:val="7F3E6E99"/>
    <w:rsid w:val="7FCD63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qFormat="1" w:unhideWhenUsed="0" w:uiPriority="0" w:name="toc 9"/>
    <w:lsdException w:qFormat="1"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iPriority="99" w:name="Body Text First Indent"/>
    <w:lsdException w:qFormat="1" w:unhideWhenUsed="0" w:uiPriority="0" w:semiHidden="0" w:name="Body Text First Indent 2"/>
    <w:lsdException w:uiPriority="99" w:name="Note Heading"/>
    <w:lsdException w:uiPriority="99" w:name="Body Text 2"/>
    <w:lsdException w:qFormat="1"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autoRedefine/>
    <w:qFormat/>
    <w:uiPriority w:val="9"/>
    <w:pPr>
      <w:keepNext/>
      <w:keepLines/>
      <w:spacing w:before="340" w:after="330" w:line="578" w:lineRule="auto"/>
      <w:outlineLvl w:val="0"/>
    </w:pPr>
    <w:rPr>
      <w:b/>
      <w:bCs/>
      <w:kern w:val="44"/>
      <w:sz w:val="44"/>
      <w:szCs w:val="44"/>
    </w:rPr>
  </w:style>
  <w:style w:type="paragraph" w:styleId="4">
    <w:name w:val="heading 3"/>
    <w:basedOn w:val="1"/>
    <w:next w:val="1"/>
    <w:autoRedefine/>
    <w:unhideWhenUsed/>
    <w:qFormat/>
    <w:uiPriority w:val="99"/>
    <w:pPr>
      <w:keepNext/>
      <w:keepLines/>
      <w:spacing w:before="260" w:after="260" w:line="416" w:lineRule="auto"/>
      <w:outlineLvl w:val="2"/>
    </w:pPr>
    <w:rPr>
      <w:rFonts w:eastAsia="黑体"/>
      <w:b/>
      <w:bCs/>
      <w:sz w:val="32"/>
      <w:szCs w:val="32"/>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缩进）"/>
    <w:basedOn w:val="1"/>
    <w:next w:val="1"/>
    <w:autoRedefine/>
    <w:qFormat/>
    <w:uiPriority w:val="0"/>
    <w:pPr>
      <w:spacing w:before="156" w:after="156"/>
      <w:ind w:firstLine="480" w:firstLineChars="200"/>
    </w:pPr>
  </w:style>
  <w:style w:type="paragraph" w:styleId="5">
    <w:name w:val="Normal Indent"/>
    <w:basedOn w:val="1"/>
    <w:next w:val="1"/>
    <w:autoRedefine/>
    <w:unhideWhenUsed/>
    <w:qFormat/>
    <w:uiPriority w:val="0"/>
    <w:pPr>
      <w:ind w:firstLine="420" w:firstLineChars="200"/>
    </w:pPr>
  </w:style>
  <w:style w:type="paragraph" w:styleId="6">
    <w:name w:val="annotation text"/>
    <w:basedOn w:val="1"/>
    <w:link w:val="39"/>
    <w:autoRedefine/>
    <w:unhideWhenUsed/>
    <w:qFormat/>
    <w:uiPriority w:val="99"/>
    <w:pPr>
      <w:jc w:val="left"/>
    </w:pPr>
  </w:style>
  <w:style w:type="paragraph" w:styleId="7">
    <w:name w:val="Body Text 3"/>
    <w:basedOn w:val="1"/>
    <w:next w:val="1"/>
    <w:autoRedefine/>
    <w:semiHidden/>
    <w:unhideWhenUsed/>
    <w:qFormat/>
    <w:uiPriority w:val="99"/>
    <w:pPr>
      <w:snapToGrid w:val="0"/>
      <w:spacing w:before="50" w:after="50"/>
    </w:pPr>
    <w:rPr>
      <w:rFonts w:ascii="Calibri" w:hAnsi="宋体" w:eastAsia="仿宋_GB2312"/>
      <w:b/>
      <w:bCs/>
      <w:sz w:val="24"/>
      <w:szCs w:val="20"/>
    </w:rPr>
  </w:style>
  <w:style w:type="paragraph" w:styleId="8">
    <w:name w:val="Body Text"/>
    <w:basedOn w:val="1"/>
    <w:next w:val="1"/>
    <w:link w:val="40"/>
    <w:autoRedefine/>
    <w:qFormat/>
    <w:uiPriority w:val="0"/>
    <w:rPr>
      <w:rFonts w:ascii="楷体_GB2312" w:hAnsi="Arial" w:eastAsia="楷体_GB2312"/>
      <w:kern w:val="0"/>
      <w:sz w:val="28"/>
      <w:szCs w:val="28"/>
    </w:rPr>
  </w:style>
  <w:style w:type="paragraph" w:styleId="9">
    <w:name w:val="Body Text Indent"/>
    <w:basedOn w:val="1"/>
    <w:next w:val="10"/>
    <w:link w:val="52"/>
    <w:autoRedefine/>
    <w:semiHidden/>
    <w:unhideWhenUsed/>
    <w:qFormat/>
    <w:uiPriority w:val="99"/>
    <w:pPr>
      <w:spacing w:after="120"/>
      <w:ind w:left="420" w:leftChars="200"/>
    </w:pPr>
  </w:style>
  <w:style w:type="paragraph" w:styleId="10">
    <w:name w:val="envelope return"/>
    <w:basedOn w:val="1"/>
    <w:next w:val="11"/>
    <w:autoRedefine/>
    <w:qFormat/>
    <w:uiPriority w:val="0"/>
    <w:pPr>
      <w:snapToGrid w:val="0"/>
    </w:pPr>
    <w:rPr>
      <w:rFonts w:ascii="Arial" w:hAnsi="Arial"/>
    </w:rPr>
  </w:style>
  <w:style w:type="paragraph" w:styleId="11">
    <w:name w:val="Title"/>
    <w:basedOn w:val="1"/>
    <w:next w:val="1"/>
    <w:autoRedefine/>
    <w:qFormat/>
    <w:uiPriority w:val="10"/>
    <w:pPr>
      <w:spacing w:before="240" w:after="60"/>
      <w:jc w:val="center"/>
      <w:outlineLvl w:val="0"/>
    </w:pPr>
    <w:rPr>
      <w:rFonts w:ascii="Cambria" w:hAnsi="Cambria"/>
      <w:b/>
      <w:bCs/>
      <w:kern w:val="0"/>
      <w:sz w:val="32"/>
      <w:szCs w:val="32"/>
    </w:rPr>
  </w:style>
  <w:style w:type="paragraph" w:styleId="12">
    <w:name w:val="List Bullet 2"/>
    <w:basedOn w:val="1"/>
    <w:autoRedefine/>
    <w:unhideWhenUsed/>
    <w:qFormat/>
    <w:uiPriority w:val="99"/>
    <w:pPr>
      <w:numPr>
        <w:ilvl w:val="0"/>
        <w:numId w:val="1"/>
      </w:numPr>
      <w:tabs>
        <w:tab w:val="left" w:pos="780"/>
      </w:tabs>
    </w:pPr>
  </w:style>
  <w:style w:type="paragraph" w:styleId="13">
    <w:name w:val="index 4"/>
    <w:basedOn w:val="1"/>
    <w:next w:val="1"/>
    <w:autoRedefine/>
    <w:semiHidden/>
    <w:unhideWhenUsed/>
    <w:qFormat/>
    <w:uiPriority w:val="99"/>
    <w:pPr>
      <w:ind w:left="600" w:leftChars="600"/>
    </w:pPr>
  </w:style>
  <w:style w:type="paragraph" w:styleId="14">
    <w:name w:val="Plain Text"/>
    <w:basedOn w:val="1"/>
    <w:link w:val="41"/>
    <w:autoRedefine/>
    <w:qFormat/>
    <w:uiPriority w:val="99"/>
    <w:rPr>
      <w:rFonts w:ascii="宋体" w:hAnsi="Courier New" w:eastAsiaTheme="minorEastAsia" w:cstheme="minorBidi"/>
    </w:rPr>
  </w:style>
  <w:style w:type="paragraph" w:styleId="15">
    <w:name w:val="Date"/>
    <w:basedOn w:val="1"/>
    <w:next w:val="1"/>
    <w:link w:val="42"/>
    <w:autoRedefine/>
    <w:qFormat/>
    <w:uiPriority w:val="99"/>
    <w:rPr>
      <w:sz w:val="24"/>
      <w:szCs w:val="20"/>
    </w:rPr>
  </w:style>
  <w:style w:type="paragraph" w:styleId="16">
    <w:name w:val="Balloon Text"/>
    <w:basedOn w:val="1"/>
    <w:link w:val="57"/>
    <w:autoRedefine/>
    <w:semiHidden/>
    <w:unhideWhenUsed/>
    <w:qFormat/>
    <w:uiPriority w:val="99"/>
    <w:rPr>
      <w:sz w:val="18"/>
      <w:szCs w:val="18"/>
    </w:rPr>
  </w:style>
  <w:style w:type="paragraph" w:styleId="17">
    <w:name w:val="footer"/>
    <w:basedOn w:val="1"/>
    <w:link w:val="43"/>
    <w:autoRedefine/>
    <w:unhideWhenUsed/>
    <w:qFormat/>
    <w:uiPriority w:val="99"/>
    <w:pPr>
      <w:tabs>
        <w:tab w:val="center" w:pos="4153"/>
        <w:tab w:val="right" w:pos="8306"/>
      </w:tabs>
      <w:snapToGrid w:val="0"/>
      <w:jc w:val="left"/>
    </w:pPr>
    <w:rPr>
      <w:kern w:val="0"/>
      <w:sz w:val="18"/>
      <w:szCs w:val="18"/>
    </w:rPr>
  </w:style>
  <w:style w:type="paragraph" w:styleId="18">
    <w:name w:val="header"/>
    <w:basedOn w:val="1"/>
    <w:link w:val="4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unhideWhenUsed/>
    <w:qFormat/>
    <w:uiPriority w:val="39"/>
    <w:pPr>
      <w:tabs>
        <w:tab w:val="right" w:leader="dot" w:pos="8296"/>
      </w:tabs>
      <w:jc w:val="center"/>
    </w:pPr>
    <w:rPr>
      <w:rFonts w:ascii="宋体" w:hAnsi="宋体" w:cs="宋体"/>
      <w:sz w:val="28"/>
      <w:szCs w:val="28"/>
    </w:rPr>
  </w:style>
  <w:style w:type="paragraph" w:styleId="20">
    <w:name w:val="toc 9"/>
    <w:basedOn w:val="1"/>
    <w:next w:val="1"/>
    <w:autoRedefine/>
    <w:semiHidden/>
    <w:qFormat/>
    <w:uiPriority w:val="0"/>
    <w:pPr>
      <w:ind w:left="3360" w:leftChars="1600"/>
    </w:pPr>
  </w:style>
  <w:style w:type="paragraph" w:styleId="21">
    <w:name w:val="annotation subject"/>
    <w:basedOn w:val="6"/>
    <w:next w:val="6"/>
    <w:link w:val="59"/>
    <w:semiHidden/>
    <w:unhideWhenUsed/>
    <w:qFormat/>
    <w:uiPriority w:val="99"/>
    <w:rPr>
      <w:b/>
      <w:bCs/>
    </w:rPr>
  </w:style>
  <w:style w:type="paragraph" w:styleId="22">
    <w:name w:val="Body Text First Indent"/>
    <w:basedOn w:val="8"/>
    <w:next w:val="23"/>
    <w:autoRedefine/>
    <w:semiHidden/>
    <w:unhideWhenUsed/>
    <w:qFormat/>
    <w:uiPriority w:val="99"/>
    <w:pPr>
      <w:ind w:firstLine="100" w:firstLineChars="100"/>
    </w:pPr>
  </w:style>
  <w:style w:type="paragraph" w:styleId="23">
    <w:name w:val="Body Text First Indent 2"/>
    <w:basedOn w:val="9"/>
    <w:next w:val="1"/>
    <w:link w:val="53"/>
    <w:autoRedefine/>
    <w:qFormat/>
    <w:uiPriority w:val="0"/>
    <w:pPr>
      <w:ind w:firstLine="420"/>
    </w:pPr>
    <w:rPr>
      <w:kern w:val="0"/>
      <w:sz w:val="20"/>
      <w:szCs w:val="24"/>
    </w:rPr>
  </w:style>
  <w:style w:type="table" w:styleId="25">
    <w:name w:val="Table Grid"/>
    <w:basedOn w:val="2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Hyperlink"/>
    <w:autoRedefine/>
    <w:unhideWhenUsed/>
    <w:qFormat/>
    <w:uiPriority w:val="99"/>
    <w:rPr>
      <w:color w:val="333333"/>
      <w:u w:val="none"/>
    </w:rPr>
  </w:style>
  <w:style w:type="character" w:styleId="28">
    <w:name w:val="annotation reference"/>
    <w:autoRedefine/>
    <w:unhideWhenUsed/>
    <w:qFormat/>
    <w:uiPriority w:val="0"/>
    <w:rPr>
      <w:sz w:val="21"/>
      <w:szCs w:val="21"/>
    </w:rPr>
  </w:style>
  <w:style w:type="paragraph" w:customStyle="1" w:styleId="29">
    <w:name w:val="标题 5（有编号）（绿盟科技）"/>
    <w:basedOn w:val="1"/>
    <w:next w:val="30"/>
    <w:autoRedefine/>
    <w:qFormat/>
    <w:uiPriority w:val="0"/>
    <w:pPr>
      <w:keepNext/>
      <w:keepLines/>
      <w:numPr>
        <w:ilvl w:val="4"/>
        <w:numId w:val="2"/>
      </w:numPr>
      <w:spacing w:before="280" w:after="156" w:line="377" w:lineRule="auto"/>
      <w:jc w:val="left"/>
      <w:outlineLvl w:val="4"/>
    </w:pPr>
    <w:rPr>
      <w:rFonts w:ascii="Arial" w:hAnsi="Arial" w:eastAsia="黑体"/>
      <w:b/>
      <w:sz w:val="24"/>
      <w:szCs w:val="28"/>
    </w:rPr>
  </w:style>
  <w:style w:type="paragraph" w:customStyle="1" w:styleId="30">
    <w:name w:val="正文（绿盟科技）"/>
    <w:autoRedefine/>
    <w:qFormat/>
    <w:uiPriority w:val="0"/>
    <w:pPr>
      <w:spacing w:line="300" w:lineRule="auto"/>
    </w:pPr>
    <w:rPr>
      <w:rFonts w:ascii="Arial" w:hAnsi="Arial" w:eastAsia="宋体" w:cs="Times New Roman"/>
      <w:sz w:val="21"/>
      <w:szCs w:val="21"/>
      <w:lang w:val="en-US" w:eastAsia="zh-CN" w:bidi="ar-SA"/>
    </w:rPr>
  </w:style>
  <w:style w:type="paragraph" w:customStyle="1" w:styleId="31">
    <w:name w:val="首行缩进"/>
    <w:basedOn w:val="1"/>
    <w:autoRedefine/>
    <w:qFormat/>
    <w:uiPriority w:val="0"/>
    <w:pPr>
      <w:spacing w:line="360" w:lineRule="auto"/>
      <w:ind w:firstLine="480" w:firstLineChars="200"/>
      <w:jc w:val="left"/>
    </w:pPr>
    <w:rPr>
      <w:rFonts w:ascii="宋体" w:hAnsi="宋体"/>
      <w:sz w:val="24"/>
      <w:szCs w:val="24"/>
    </w:rPr>
  </w:style>
  <w:style w:type="paragraph" w:customStyle="1" w:styleId="32">
    <w:name w:val="Char Char Char Char Char Char Char Char Char"/>
    <w:basedOn w:val="1"/>
    <w:next w:val="33"/>
    <w:autoRedefine/>
    <w:qFormat/>
    <w:uiPriority w:val="99"/>
    <w:pPr>
      <w:ind w:left="360" w:firstLine="5784"/>
    </w:pPr>
  </w:style>
  <w:style w:type="paragraph" w:customStyle="1" w:styleId="33">
    <w:name w:val="正文文本 21"/>
    <w:basedOn w:val="1"/>
    <w:next w:val="34"/>
    <w:autoRedefine/>
    <w:qFormat/>
    <w:uiPriority w:val="99"/>
    <w:pPr>
      <w:widowControl/>
      <w:autoSpaceDE w:val="0"/>
      <w:autoSpaceDN w:val="0"/>
      <w:ind w:left="720" w:firstLine="5680"/>
    </w:pPr>
    <w:rPr>
      <w:szCs w:val="21"/>
    </w:rPr>
  </w:style>
  <w:style w:type="paragraph" w:customStyle="1" w:styleId="34">
    <w:name w:val="默认段落字体 Para Char Char Char Char Char Char Char"/>
    <w:basedOn w:val="1"/>
    <w:next w:val="35"/>
    <w:autoRedefine/>
    <w:qFormat/>
    <w:uiPriority w:val="99"/>
    <w:pPr>
      <w:ind w:firstLine="200" w:firstLineChars="200"/>
    </w:pPr>
    <w:rPr>
      <w:rFonts w:cs="Arial"/>
    </w:rPr>
  </w:style>
  <w:style w:type="paragraph" w:customStyle="1" w:styleId="35">
    <w:name w:val="样式 首行缩进:  2 字符"/>
    <w:basedOn w:val="1"/>
    <w:next w:val="36"/>
    <w:qFormat/>
    <w:uiPriority w:val="99"/>
    <w:pPr>
      <w:spacing w:line="360" w:lineRule="auto"/>
      <w:ind w:left="480" w:firstLine="5856"/>
    </w:pPr>
  </w:style>
  <w:style w:type="paragraph" w:customStyle="1" w:styleId="36">
    <w:name w:val="样式 段后: 0.25 行"/>
    <w:basedOn w:val="1"/>
    <w:next w:val="37"/>
    <w:autoRedefine/>
    <w:qFormat/>
    <w:uiPriority w:val="99"/>
    <w:pPr>
      <w:widowControl/>
      <w:spacing w:line="300" w:lineRule="auto"/>
      <w:ind w:left="420" w:firstLine="5796"/>
    </w:pPr>
  </w:style>
  <w:style w:type="paragraph" w:customStyle="1" w:styleId="37">
    <w:name w:val="正文 New New New New New New New New New New New New New New"/>
    <w:next w:val="20"/>
    <w:autoRedefine/>
    <w:qFormat/>
    <w:uiPriority w:val="99"/>
    <w:pPr>
      <w:widowControl w:val="0"/>
      <w:ind w:firstLine="2048"/>
      <w:jc w:val="both"/>
    </w:pPr>
    <w:rPr>
      <w:rFonts w:ascii="Calibri" w:hAnsi="Calibri" w:eastAsia="宋体" w:cs="Times New Roman"/>
      <w:lang w:val="en-US" w:eastAsia="zh-CN" w:bidi="ar-SA"/>
    </w:rPr>
  </w:style>
  <w:style w:type="character" w:customStyle="1" w:styleId="38">
    <w:name w:val="标题 1 Char"/>
    <w:basedOn w:val="26"/>
    <w:link w:val="3"/>
    <w:autoRedefine/>
    <w:qFormat/>
    <w:uiPriority w:val="9"/>
    <w:rPr>
      <w:rFonts w:ascii="Times New Roman" w:hAnsi="Times New Roman" w:eastAsia="宋体" w:cs="Times New Roman"/>
      <w:b/>
      <w:bCs/>
      <w:kern w:val="44"/>
      <w:sz w:val="44"/>
      <w:szCs w:val="44"/>
    </w:rPr>
  </w:style>
  <w:style w:type="character" w:customStyle="1" w:styleId="39">
    <w:name w:val="批注文字 Char"/>
    <w:basedOn w:val="26"/>
    <w:link w:val="6"/>
    <w:autoRedefine/>
    <w:qFormat/>
    <w:uiPriority w:val="99"/>
    <w:rPr>
      <w:rFonts w:ascii="Times New Roman" w:hAnsi="Times New Roman" w:eastAsia="宋体" w:cs="Times New Roman"/>
    </w:rPr>
  </w:style>
  <w:style w:type="character" w:customStyle="1" w:styleId="40">
    <w:name w:val="正文文本 Char"/>
    <w:basedOn w:val="26"/>
    <w:link w:val="8"/>
    <w:autoRedefine/>
    <w:qFormat/>
    <w:uiPriority w:val="0"/>
    <w:rPr>
      <w:rFonts w:ascii="楷体_GB2312" w:hAnsi="Arial" w:eastAsia="楷体_GB2312" w:cs="Times New Roman"/>
      <w:kern w:val="0"/>
      <w:sz w:val="28"/>
      <w:szCs w:val="28"/>
    </w:rPr>
  </w:style>
  <w:style w:type="character" w:customStyle="1" w:styleId="41">
    <w:name w:val="纯文本 Char1"/>
    <w:basedOn w:val="26"/>
    <w:link w:val="14"/>
    <w:autoRedefine/>
    <w:qFormat/>
    <w:uiPriority w:val="99"/>
    <w:rPr>
      <w:rFonts w:ascii="宋体" w:hAnsi="Courier New"/>
    </w:rPr>
  </w:style>
  <w:style w:type="character" w:customStyle="1" w:styleId="42">
    <w:name w:val="日期 Char"/>
    <w:basedOn w:val="26"/>
    <w:link w:val="15"/>
    <w:autoRedefine/>
    <w:qFormat/>
    <w:uiPriority w:val="99"/>
    <w:rPr>
      <w:rFonts w:ascii="Times New Roman" w:hAnsi="Times New Roman" w:eastAsia="宋体" w:cs="Times New Roman"/>
      <w:sz w:val="24"/>
      <w:szCs w:val="20"/>
    </w:rPr>
  </w:style>
  <w:style w:type="character" w:customStyle="1" w:styleId="43">
    <w:name w:val="页脚 Char"/>
    <w:basedOn w:val="26"/>
    <w:link w:val="17"/>
    <w:autoRedefine/>
    <w:qFormat/>
    <w:uiPriority w:val="99"/>
    <w:rPr>
      <w:rFonts w:ascii="Times New Roman" w:hAnsi="Times New Roman" w:eastAsia="宋体" w:cs="Times New Roman"/>
      <w:kern w:val="0"/>
      <w:sz w:val="18"/>
      <w:szCs w:val="18"/>
    </w:rPr>
  </w:style>
  <w:style w:type="character" w:customStyle="1" w:styleId="44">
    <w:name w:val="页眉 Char"/>
    <w:basedOn w:val="26"/>
    <w:link w:val="18"/>
    <w:autoRedefine/>
    <w:qFormat/>
    <w:uiPriority w:val="99"/>
    <w:rPr>
      <w:rFonts w:ascii="Times New Roman" w:hAnsi="Times New Roman" w:eastAsia="宋体" w:cs="Times New Roman"/>
      <w:sz w:val="18"/>
      <w:szCs w:val="18"/>
    </w:rPr>
  </w:style>
  <w:style w:type="paragraph" w:customStyle="1" w:styleId="45">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szCs w:val="24"/>
    </w:rPr>
  </w:style>
  <w:style w:type="character" w:customStyle="1" w:styleId="46">
    <w:name w:val="列出段落 Char"/>
    <w:link w:val="47"/>
    <w:autoRedefine/>
    <w:qFormat/>
    <w:locked/>
    <w:uiPriority w:val="0"/>
    <w:rPr>
      <w:rFonts w:ascii="Calibri" w:hAnsi="Calibri" w:eastAsia="宋体" w:cs="Times New Roman"/>
    </w:rPr>
  </w:style>
  <w:style w:type="paragraph" w:customStyle="1" w:styleId="47">
    <w:name w:val="列出段落1"/>
    <w:basedOn w:val="1"/>
    <w:link w:val="46"/>
    <w:autoRedefine/>
    <w:qFormat/>
    <w:uiPriority w:val="0"/>
    <w:pPr>
      <w:ind w:firstLine="200" w:firstLineChars="200"/>
    </w:pPr>
    <w:rPr>
      <w:rFonts w:ascii="Calibri" w:hAnsi="Calibri"/>
    </w:rPr>
  </w:style>
  <w:style w:type="paragraph" w:customStyle="1" w:styleId="48">
    <w:name w:val="Char"/>
    <w:basedOn w:val="1"/>
    <w:autoRedefine/>
    <w:qFormat/>
    <w:uiPriority w:val="0"/>
    <w:pPr>
      <w:tabs>
        <w:tab w:val="left" w:pos="360"/>
      </w:tabs>
      <w:ind w:firstLine="200" w:firstLineChars="200"/>
    </w:pPr>
    <w:rPr>
      <w:sz w:val="28"/>
      <w:szCs w:val="30"/>
    </w:rPr>
  </w:style>
  <w:style w:type="paragraph" w:styleId="49">
    <w:name w:val="List Paragraph"/>
    <w:basedOn w:val="1"/>
    <w:autoRedefine/>
    <w:qFormat/>
    <w:uiPriority w:val="34"/>
    <w:pPr>
      <w:ind w:firstLine="420" w:firstLineChars="200"/>
    </w:pPr>
  </w:style>
  <w:style w:type="paragraph" w:customStyle="1" w:styleId="50">
    <w:name w:val="正文1"/>
    <w:next w:val="9"/>
    <w:autoRedefine/>
    <w:qFormat/>
    <w:uiPriority w:val="3"/>
    <w:rPr>
      <w:rFonts w:ascii="Times New Roman" w:hAnsi="Times New Roman" w:eastAsia="宋体" w:cs="Times New Roman"/>
      <w:lang w:val="en-US" w:eastAsia="zh-CN" w:bidi="ar-SA"/>
    </w:rPr>
  </w:style>
  <w:style w:type="character" w:customStyle="1" w:styleId="51">
    <w:name w:val="纯文本 Char"/>
    <w:autoRedefine/>
    <w:qFormat/>
    <w:uiPriority w:val="99"/>
    <w:rPr>
      <w:rFonts w:ascii="宋体" w:hAnsi="Courier New" w:eastAsia="宋体" w:cs="Times New Roman"/>
      <w:kern w:val="0"/>
      <w:sz w:val="20"/>
      <w:szCs w:val="21"/>
    </w:rPr>
  </w:style>
  <w:style w:type="character" w:customStyle="1" w:styleId="52">
    <w:name w:val="正文文本缩进 Char"/>
    <w:basedOn w:val="26"/>
    <w:link w:val="9"/>
    <w:autoRedefine/>
    <w:semiHidden/>
    <w:qFormat/>
    <w:uiPriority w:val="99"/>
    <w:rPr>
      <w:rFonts w:ascii="Times New Roman" w:hAnsi="Times New Roman" w:eastAsia="宋体" w:cs="Times New Roman"/>
      <w:kern w:val="2"/>
      <w:sz w:val="21"/>
      <w:szCs w:val="22"/>
    </w:rPr>
  </w:style>
  <w:style w:type="character" w:customStyle="1" w:styleId="53">
    <w:name w:val="正文首行缩进 2 Char"/>
    <w:basedOn w:val="52"/>
    <w:link w:val="23"/>
    <w:autoRedefine/>
    <w:qFormat/>
    <w:uiPriority w:val="0"/>
    <w:rPr>
      <w:rFonts w:ascii="Times New Roman" w:hAnsi="Times New Roman" w:eastAsia="宋体" w:cs="Times New Roman"/>
      <w:kern w:val="2"/>
      <w:sz w:val="21"/>
      <w:szCs w:val="24"/>
    </w:rPr>
  </w:style>
  <w:style w:type="character" w:customStyle="1" w:styleId="54">
    <w:name w:val="font11"/>
    <w:autoRedefine/>
    <w:qFormat/>
    <w:uiPriority w:val="0"/>
    <w:rPr>
      <w:rFonts w:hint="eastAsia" w:ascii="宋体" w:hAnsi="宋体" w:eastAsia="宋体" w:cs="宋体"/>
      <w:color w:val="000000"/>
      <w:sz w:val="24"/>
      <w:szCs w:val="24"/>
      <w:u w:val="none"/>
    </w:rPr>
  </w:style>
  <w:style w:type="character" w:customStyle="1" w:styleId="55">
    <w:name w:val="font21"/>
    <w:basedOn w:val="26"/>
    <w:autoRedefine/>
    <w:qFormat/>
    <w:uiPriority w:val="0"/>
    <w:rPr>
      <w:rFonts w:hint="default" w:ascii="Times New Roman" w:hAnsi="Times New Roman" w:cs="Times New Roman"/>
      <w:color w:val="000000"/>
      <w:sz w:val="24"/>
      <w:szCs w:val="24"/>
      <w:u w:val="none"/>
    </w:rPr>
  </w:style>
  <w:style w:type="character" w:customStyle="1" w:styleId="56">
    <w:name w:val="font31"/>
    <w:basedOn w:val="26"/>
    <w:autoRedefine/>
    <w:qFormat/>
    <w:uiPriority w:val="0"/>
    <w:rPr>
      <w:rFonts w:hint="default" w:ascii="Times New Roman" w:hAnsi="Times New Roman" w:cs="Times New Roman"/>
      <w:color w:val="000000"/>
      <w:sz w:val="24"/>
      <w:szCs w:val="24"/>
      <w:u w:val="none"/>
    </w:rPr>
  </w:style>
  <w:style w:type="character" w:customStyle="1" w:styleId="57">
    <w:name w:val="批注框文本 Char"/>
    <w:basedOn w:val="26"/>
    <w:link w:val="16"/>
    <w:autoRedefine/>
    <w:semiHidden/>
    <w:qFormat/>
    <w:uiPriority w:val="99"/>
    <w:rPr>
      <w:kern w:val="2"/>
      <w:sz w:val="18"/>
      <w:szCs w:val="18"/>
    </w:rPr>
  </w:style>
  <w:style w:type="paragraph" w:customStyle="1" w:styleId="58">
    <w:name w:val="正文2"/>
    <w:autoRedefine/>
    <w:qFormat/>
    <w:uiPriority w:val="0"/>
    <w:pPr>
      <w:jc w:val="both"/>
    </w:pPr>
    <w:rPr>
      <w:rFonts w:ascii="Times New Roman" w:hAnsi="Times New Roman" w:eastAsia="宋体" w:cs="Times New Roman"/>
      <w:kern w:val="2"/>
      <w:sz w:val="21"/>
      <w:szCs w:val="21"/>
      <w:lang w:val="en-US" w:eastAsia="zh-CN" w:bidi="ar-SA"/>
    </w:rPr>
  </w:style>
  <w:style w:type="character" w:customStyle="1" w:styleId="59">
    <w:name w:val="批注主题 Char"/>
    <w:basedOn w:val="39"/>
    <w:link w:val="21"/>
    <w:autoRedefine/>
    <w:semiHidden/>
    <w:qFormat/>
    <w:uiPriority w:val="99"/>
    <w:rPr>
      <w:b/>
      <w:bCs/>
      <w:kern w:val="2"/>
      <w:sz w:val="21"/>
      <w:szCs w:val="22"/>
    </w:rPr>
  </w:style>
  <w:style w:type="paragraph" w:customStyle="1" w:styleId="60">
    <w:name w:val="正文文本1"/>
    <w:basedOn w:val="50"/>
    <w:autoRedefine/>
    <w:qFormat/>
    <w:uiPriority w:val="0"/>
    <w:pPr>
      <w:spacing w:line="400" w:lineRule="exact"/>
    </w:pPr>
    <w:rPr>
      <w:rFonts w:ascii="楷体_GB2312" w:hAnsi="楷体_GB2312" w:eastAsia="楷体_GB2312"/>
      <w:sz w:val="24"/>
    </w:rPr>
  </w:style>
  <w:style w:type="paragraph" w:customStyle="1" w:styleId="61">
    <w:name w:val="Default"/>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40F9E5-BBF4-4D57-AA9D-1F408FCEEDDE}">
  <ds:schemaRefs/>
</ds:datastoreItem>
</file>

<file path=docProps/app.xml><?xml version="1.0" encoding="utf-8"?>
<Properties xmlns="http://schemas.openxmlformats.org/officeDocument/2006/extended-properties" xmlns:vt="http://schemas.openxmlformats.org/officeDocument/2006/docPropsVTypes">
  <Template>Normal</Template>
  <Pages>42</Pages>
  <Words>4599</Words>
  <Characters>26218</Characters>
  <Lines>218</Lines>
  <Paragraphs>61</Paragraphs>
  <TotalTime>30</TotalTime>
  <ScaleCrop>false</ScaleCrop>
  <LinksUpToDate>false</LinksUpToDate>
  <CharactersWithSpaces>30756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2022-04-25T09:29:00Z</dcterms:created>
  <dc:creator>Lenovo</dc:creator>
  <cp:lastModifiedBy>Administrator</cp:lastModifiedBy>
  <cp:lastPrinted>2023-11-02T01:45:00Z</cp:lastPrinted>
  <dcterms:modified xsi:type="dcterms:W3CDTF">2024-04-23T07:00:20Z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31801A31D0BA46B2A20DC6F0FC6C2EAD_13</vt:lpwstr>
  </property>
</Properties>
</file>