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BFA3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61" w:line="324" w:lineRule="auto"/>
        <w:jc w:val="center"/>
        <w:textAlignment w:val="baseline"/>
        <w:outlineLvl w:val="0"/>
        <w:rPr>
          <w:rFonts w:hint="eastAsia" w:asciiTheme="minorEastAsia" w:hAnsiTheme="minorEastAsia" w:eastAsiaTheme="minorEastAsia" w:cstheme="minorEastAsia"/>
          <w:b/>
          <w:bCs/>
          <w:color w:val="auto"/>
          <w:spacing w:val="-3"/>
          <w:sz w:val="31"/>
          <w:szCs w:val="31"/>
          <w:highlight w:val="none"/>
        </w:rPr>
      </w:pPr>
      <w:bookmarkStart w:id="0" w:name="_Toc4419"/>
      <w:r>
        <w:rPr>
          <w:rFonts w:hint="eastAsia" w:asciiTheme="minorEastAsia" w:hAnsiTheme="minorEastAsia" w:eastAsiaTheme="minorEastAsia" w:cstheme="minorEastAsia"/>
          <w:b/>
          <w:bCs/>
          <w:color w:val="auto"/>
          <w:sz w:val="31"/>
          <w:szCs w:val="31"/>
          <w:highlight w:val="none"/>
        </w:rPr>
        <w:t>江苏长江水务股份有限公司供水管道检漏、探测定位服务</w:t>
      </w:r>
      <w:r>
        <w:rPr>
          <w:rFonts w:hint="eastAsia" w:asciiTheme="minorEastAsia" w:hAnsiTheme="minorEastAsia" w:eastAsiaTheme="minorEastAsia" w:cstheme="minorEastAsia"/>
          <w:b/>
          <w:bCs/>
          <w:color w:val="auto"/>
          <w:spacing w:val="5"/>
          <w:sz w:val="31"/>
          <w:szCs w:val="31"/>
          <w:highlight w:val="none"/>
        </w:rPr>
        <w:t>项</w:t>
      </w:r>
      <w:r>
        <w:rPr>
          <w:rFonts w:hint="eastAsia" w:asciiTheme="minorEastAsia" w:hAnsiTheme="minorEastAsia" w:eastAsiaTheme="minorEastAsia" w:cstheme="minorEastAsia"/>
          <w:b/>
          <w:bCs/>
          <w:color w:val="auto"/>
          <w:spacing w:val="-3"/>
          <w:sz w:val="31"/>
          <w:szCs w:val="31"/>
          <w:highlight w:val="none"/>
        </w:rPr>
        <w:t>目公开招标公告</w:t>
      </w:r>
      <w:bookmarkEnd w:id="0"/>
    </w:p>
    <w:p w14:paraId="225FDB65">
      <w:pPr>
        <w:pStyle w:val="2"/>
        <w:keepNext w:val="0"/>
        <w:keepLines w:val="0"/>
        <w:pageBreakBefore w:val="0"/>
        <w:widowControl/>
        <w:kinsoku w:val="0"/>
        <w:wordWrap/>
        <w:overflowPunct/>
        <w:topLinePunct w:val="0"/>
        <w:autoSpaceDE w:val="0"/>
        <w:autoSpaceDN w:val="0"/>
        <w:bidi w:val="0"/>
        <w:adjustRightInd w:val="0"/>
        <w:snapToGrid w:val="0"/>
        <w:spacing w:line="324" w:lineRule="auto"/>
        <w:ind w:left="0" w:right="0" w:firstLine="444" w:firstLineChars="200"/>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lang w:eastAsia="zh-CN"/>
        </w:rPr>
        <w:t>中企华建友工程管理有限公司</w:t>
      </w:r>
      <w:r>
        <w:rPr>
          <w:rFonts w:hint="eastAsia" w:asciiTheme="minorEastAsia" w:hAnsiTheme="minorEastAsia" w:eastAsiaTheme="minorEastAsia" w:cstheme="minorEastAsia"/>
          <w:color w:val="auto"/>
          <w:spacing w:val="1"/>
          <w:sz w:val="22"/>
          <w:szCs w:val="22"/>
          <w:highlight w:val="none"/>
        </w:rPr>
        <w:t>受</w:t>
      </w:r>
      <w:r>
        <w:rPr>
          <w:rFonts w:hint="eastAsia" w:asciiTheme="minorEastAsia" w:hAnsiTheme="minorEastAsia" w:eastAsiaTheme="minorEastAsia" w:cstheme="minorEastAsia"/>
          <w:color w:val="auto"/>
          <w:spacing w:val="1"/>
          <w:sz w:val="22"/>
          <w:szCs w:val="22"/>
          <w:highlight w:val="none"/>
          <w:lang w:eastAsia="zh-CN"/>
        </w:rPr>
        <w:t>江苏长江水务股份有限公司</w:t>
      </w:r>
      <w:r>
        <w:rPr>
          <w:rFonts w:hint="eastAsia" w:asciiTheme="minorEastAsia" w:hAnsiTheme="minorEastAsia" w:eastAsiaTheme="minorEastAsia" w:cstheme="minorEastAsia"/>
          <w:color w:val="auto"/>
          <w:spacing w:val="1"/>
          <w:sz w:val="22"/>
          <w:szCs w:val="22"/>
          <w:highlight w:val="none"/>
        </w:rPr>
        <w:t>的委托，就</w:t>
      </w:r>
      <w:r>
        <w:rPr>
          <w:rFonts w:hint="eastAsia" w:asciiTheme="minorEastAsia" w:hAnsiTheme="minorEastAsia" w:eastAsiaTheme="minorEastAsia" w:cstheme="minorEastAsia"/>
          <w:color w:val="auto"/>
          <w:spacing w:val="1"/>
          <w:sz w:val="22"/>
          <w:szCs w:val="22"/>
          <w:highlight w:val="none"/>
          <w:lang w:eastAsia="zh-CN"/>
        </w:rPr>
        <w:t>江苏长江水务股份有限公司</w:t>
      </w:r>
      <w:r>
        <w:rPr>
          <w:rFonts w:hint="eastAsia" w:asciiTheme="minorEastAsia" w:hAnsiTheme="minorEastAsia" w:eastAsiaTheme="minorEastAsia" w:cstheme="minorEastAsia"/>
          <w:color w:val="auto"/>
          <w:spacing w:val="1"/>
          <w:sz w:val="22"/>
          <w:szCs w:val="22"/>
          <w:highlight w:val="none"/>
        </w:rPr>
        <w:t>供水管道检漏、探测定位服务项目</w:t>
      </w:r>
      <w:r>
        <w:rPr>
          <w:rFonts w:hint="eastAsia" w:asciiTheme="minorEastAsia" w:hAnsiTheme="minorEastAsia" w:eastAsiaTheme="minorEastAsia" w:cstheme="minorEastAsia"/>
          <w:color w:val="auto"/>
          <w:spacing w:val="-1"/>
          <w:sz w:val="22"/>
          <w:szCs w:val="22"/>
          <w:highlight w:val="none"/>
        </w:rPr>
        <w:t>进行公开招标，现欢迎符合相关条件的供应商参</w:t>
      </w:r>
      <w:r>
        <w:rPr>
          <w:rFonts w:hint="eastAsia" w:asciiTheme="minorEastAsia" w:hAnsiTheme="minorEastAsia" w:eastAsiaTheme="minorEastAsia" w:cstheme="minorEastAsia"/>
          <w:color w:val="auto"/>
          <w:spacing w:val="-2"/>
          <w:sz w:val="22"/>
          <w:szCs w:val="22"/>
          <w:highlight w:val="none"/>
        </w:rPr>
        <w:t>加投标。</w:t>
      </w:r>
    </w:p>
    <w:p w14:paraId="705ED112">
      <w:pPr>
        <w:pStyle w:val="2"/>
        <w:keepNext w:val="0"/>
        <w:keepLines w:val="0"/>
        <w:pageBreakBefore w:val="0"/>
        <w:widowControl/>
        <w:kinsoku w:val="0"/>
        <w:wordWrap/>
        <w:overflowPunct/>
        <w:topLinePunct w:val="0"/>
        <w:autoSpaceDE w:val="0"/>
        <w:autoSpaceDN w:val="0"/>
        <w:bidi w:val="0"/>
        <w:adjustRightInd w:val="0"/>
        <w:snapToGrid w:val="0"/>
        <w:spacing w:before="32" w:line="324" w:lineRule="auto"/>
        <w:ind w:firstLine="422" w:firstLineChars="200"/>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5"/>
          <w:sz w:val="22"/>
          <w:szCs w:val="22"/>
          <w:highlight w:val="none"/>
        </w:rPr>
        <w:t>一、招标项目名称</w:t>
      </w:r>
    </w:p>
    <w:p w14:paraId="3DB8468F">
      <w:pPr>
        <w:pStyle w:val="2"/>
        <w:keepNext w:val="0"/>
        <w:keepLines w:val="0"/>
        <w:pageBreakBefore w:val="0"/>
        <w:widowControl/>
        <w:kinsoku w:val="0"/>
        <w:wordWrap/>
        <w:overflowPunct/>
        <w:topLinePunct w:val="0"/>
        <w:autoSpaceDE w:val="0"/>
        <w:autoSpaceDN w:val="0"/>
        <w:bidi w:val="0"/>
        <w:adjustRightInd w:val="0"/>
        <w:snapToGrid w:val="0"/>
        <w:spacing w:before="205" w:line="324" w:lineRule="auto"/>
        <w:ind w:firstLine="436" w:firstLineChars="200"/>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项目名称：江苏长江水务股份有限公司供水管道检漏、探测定位服务项目</w:t>
      </w:r>
    </w:p>
    <w:p w14:paraId="5626417A">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firstLine="436"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项目编号：ZQHJY-GK-20250115</w:t>
      </w:r>
    </w:p>
    <w:p w14:paraId="21564ED2">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firstLine="436" w:firstLineChars="200"/>
        <w:textAlignment w:val="baseline"/>
        <w:rPr>
          <w:rFonts w:hint="eastAsia" w:asciiTheme="minorEastAsia" w:hAnsiTheme="minorEastAsia" w:eastAsiaTheme="minorEastAsia" w:cstheme="minorEastAsia"/>
          <w:color w:val="auto"/>
          <w:spacing w:val="-1"/>
          <w:sz w:val="22"/>
          <w:szCs w:val="22"/>
          <w:highlight w:val="none"/>
          <w:lang w:val="en-US" w:eastAsia="zh-CN"/>
        </w:rPr>
      </w:pPr>
      <w:r>
        <w:rPr>
          <w:rFonts w:hint="eastAsia" w:asciiTheme="minorEastAsia" w:hAnsiTheme="minorEastAsia" w:eastAsiaTheme="minorEastAsia" w:cstheme="minorEastAsia"/>
          <w:color w:val="auto"/>
          <w:spacing w:val="-1"/>
          <w:sz w:val="22"/>
          <w:szCs w:val="22"/>
          <w:highlight w:val="none"/>
          <w:lang w:val="en-US" w:eastAsia="zh-CN"/>
        </w:rPr>
        <w:t>采购预算：350万元</w:t>
      </w:r>
    </w:p>
    <w:p w14:paraId="2F04624A">
      <w:pPr>
        <w:pStyle w:val="2"/>
        <w:keepNext w:val="0"/>
        <w:keepLines w:val="0"/>
        <w:pageBreakBefore w:val="0"/>
        <w:widowControl/>
        <w:kinsoku w:val="0"/>
        <w:wordWrap/>
        <w:overflowPunct/>
        <w:topLinePunct w:val="0"/>
        <w:autoSpaceDE w:val="0"/>
        <w:autoSpaceDN w:val="0"/>
        <w:bidi w:val="0"/>
        <w:adjustRightInd w:val="0"/>
        <w:snapToGrid w:val="0"/>
        <w:spacing w:before="208" w:line="324" w:lineRule="auto"/>
        <w:ind w:firstLine="430" w:firstLineChars="200"/>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3"/>
          <w:sz w:val="22"/>
          <w:szCs w:val="22"/>
          <w:highlight w:val="none"/>
        </w:rPr>
        <w:t>二、招标项目简要说明</w:t>
      </w:r>
    </w:p>
    <w:p w14:paraId="2A0CE767">
      <w:pPr>
        <w:pStyle w:val="2"/>
        <w:keepNext w:val="0"/>
        <w:keepLines w:val="0"/>
        <w:pageBreakBefore w:val="0"/>
        <w:widowControl/>
        <w:kinsoku w:val="0"/>
        <w:wordWrap/>
        <w:overflowPunct/>
        <w:topLinePunct w:val="0"/>
        <w:autoSpaceDE w:val="0"/>
        <w:autoSpaceDN w:val="0"/>
        <w:bidi w:val="0"/>
        <w:adjustRightInd w:val="0"/>
        <w:snapToGrid w:val="0"/>
        <w:spacing w:before="116" w:line="324" w:lineRule="auto"/>
        <w:ind w:right="224" w:firstLine="432" w:firstLineChars="200"/>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2"/>
          <w:sz w:val="22"/>
          <w:szCs w:val="22"/>
          <w:highlight w:val="none"/>
        </w:rPr>
        <w:t>（一）最高限价：本项目最高限价采用单价限价，报价超过下表中各含税综合单价限价的视为无效响应文件。</w:t>
      </w:r>
    </w:p>
    <w:p w14:paraId="7F7B86F1">
      <w:pPr>
        <w:keepNext w:val="0"/>
        <w:keepLines w:val="0"/>
        <w:pageBreakBefore w:val="0"/>
        <w:widowControl/>
        <w:kinsoku w:val="0"/>
        <w:wordWrap/>
        <w:overflowPunct/>
        <w:topLinePunct w:val="0"/>
        <w:autoSpaceDE w:val="0"/>
        <w:autoSpaceDN w:val="0"/>
        <w:bidi w:val="0"/>
        <w:adjustRightInd w:val="0"/>
        <w:snapToGrid w:val="0"/>
        <w:spacing w:line="324" w:lineRule="auto"/>
        <w:textAlignment w:val="baseline"/>
        <w:rPr>
          <w:rFonts w:hint="eastAsia" w:asciiTheme="minorEastAsia" w:hAnsiTheme="minorEastAsia" w:eastAsiaTheme="minorEastAsia" w:cstheme="minorEastAsia"/>
          <w:color w:val="auto"/>
          <w:sz w:val="2"/>
          <w:highlight w:val="none"/>
        </w:rPr>
      </w:pPr>
    </w:p>
    <w:tbl>
      <w:tblPr>
        <w:tblStyle w:val="4"/>
        <w:tblW w:w="9073"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717"/>
        <w:gridCol w:w="3514"/>
        <w:gridCol w:w="2552"/>
        <w:gridCol w:w="714"/>
        <w:gridCol w:w="1034"/>
      </w:tblGrid>
      <w:tr w14:paraId="5B4FF8BC">
        <w:tblPrEx>
          <w:tblLayout w:type="fixed"/>
        </w:tblPrEx>
        <w:trPr>
          <w:trHeight w:val="1076" w:hRule="atLeast"/>
        </w:trPr>
        <w:tc>
          <w:tcPr>
            <w:tcW w:w="542" w:type="dxa"/>
            <w:shd w:val="clear" w:color="auto" w:fill="auto"/>
            <w:vAlign w:val="center"/>
          </w:tcPr>
          <w:p w14:paraId="0C1FAC1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序号</w:t>
            </w:r>
          </w:p>
        </w:tc>
        <w:tc>
          <w:tcPr>
            <w:tcW w:w="717" w:type="dxa"/>
            <w:shd w:val="clear" w:color="auto" w:fill="auto"/>
            <w:vAlign w:val="center"/>
          </w:tcPr>
          <w:p w14:paraId="1E4F1C8D">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分类</w:t>
            </w:r>
          </w:p>
        </w:tc>
        <w:tc>
          <w:tcPr>
            <w:tcW w:w="3514" w:type="dxa"/>
            <w:shd w:val="clear" w:color="auto" w:fill="auto"/>
            <w:vAlign w:val="center"/>
          </w:tcPr>
          <w:p w14:paraId="1FA5D2C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项目特征</w:t>
            </w:r>
          </w:p>
        </w:tc>
        <w:tc>
          <w:tcPr>
            <w:tcW w:w="2552" w:type="dxa"/>
            <w:shd w:val="clear" w:color="auto" w:fill="auto"/>
            <w:vAlign w:val="center"/>
          </w:tcPr>
          <w:p w14:paraId="4E0413AD">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管道口径</w:t>
            </w:r>
          </w:p>
        </w:tc>
        <w:tc>
          <w:tcPr>
            <w:tcW w:w="714" w:type="dxa"/>
            <w:shd w:val="clear" w:color="auto" w:fill="auto"/>
            <w:vAlign w:val="center"/>
          </w:tcPr>
          <w:p w14:paraId="1404F74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单位</w:t>
            </w:r>
          </w:p>
        </w:tc>
        <w:tc>
          <w:tcPr>
            <w:tcW w:w="1034" w:type="dxa"/>
            <w:shd w:val="clear" w:color="auto" w:fill="auto"/>
            <w:vAlign w:val="center"/>
          </w:tcPr>
          <w:p w14:paraId="10C8A5D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控制单价</w:t>
            </w:r>
          </w:p>
          <w:p w14:paraId="2230303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（元）</w:t>
            </w:r>
          </w:p>
        </w:tc>
      </w:tr>
      <w:tr w14:paraId="552E58DC">
        <w:tblPrEx>
          <w:tblLayout w:type="fixed"/>
        </w:tblPrEx>
        <w:trPr>
          <w:trHeight w:val="90" w:hRule="atLeast"/>
        </w:trPr>
        <w:tc>
          <w:tcPr>
            <w:tcW w:w="542" w:type="dxa"/>
            <w:shd w:val="clear" w:color="auto" w:fill="auto"/>
            <w:vAlign w:val="center"/>
          </w:tcPr>
          <w:p w14:paraId="67C70BE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1</w:t>
            </w:r>
          </w:p>
        </w:tc>
        <w:tc>
          <w:tcPr>
            <w:tcW w:w="717" w:type="dxa"/>
            <w:vMerge w:val="restart"/>
            <w:shd w:val="clear" w:color="auto" w:fill="auto"/>
            <w:vAlign w:val="center"/>
          </w:tcPr>
          <w:p w14:paraId="3B639B64">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暗漏</w:t>
            </w:r>
          </w:p>
        </w:tc>
        <w:tc>
          <w:tcPr>
            <w:tcW w:w="3514" w:type="dxa"/>
            <w:vMerge w:val="restart"/>
            <w:shd w:val="clear" w:color="auto" w:fill="auto"/>
            <w:vAlign w:val="center"/>
          </w:tcPr>
          <w:p w14:paraId="35685018">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24" w:lineRule="auto"/>
              <w:ind w:leftChars="0"/>
              <w:jc w:val="both"/>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zh-CN" w:bidi="ar-SA"/>
              </w:rPr>
              <w:t>1.</w:t>
            </w: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不易发现且路面无积水现象</w:t>
            </w:r>
          </w:p>
          <w:p w14:paraId="7A0EDF1C">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24" w:lineRule="auto"/>
              <w:ind w:leftChars="0"/>
              <w:jc w:val="both"/>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zh-CN" w:bidi="ar-SA"/>
              </w:rPr>
              <w:t>2.</w:t>
            </w: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同一管道两漏点距离在3米内(含3米)按1个漏点算，超过3米外按实际漏点计算</w:t>
            </w:r>
          </w:p>
        </w:tc>
        <w:tc>
          <w:tcPr>
            <w:tcW w:w="2552" w:type="dxa"/>
            <w:shd w:val="clear" w:color="auto" w:fill="auto"/>
            <w:vAlign w:val="center"/>
          </w:tcPr>
          <w:p w14:paraId="05DB6C8E">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DN50（含）以下</w:t>
            </w:r>
          </w:p>
        </w:tc>
        <w:tc>
          <w:tcPr>
            <w:tcW w:w="714" w:type="dxa"/>
            <w:shd w:val="clear" w:color="auto" w:fill="auto"/>
            <w:vAlign w:val="center"/>
          </w:tcPr>
          <w:p w14:paraId="121CAFB7">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处</w:t>
            </w:r>
          </w:p>
        </w:tc>
        <w:tc>
          <w:tcPr>
            <w:tcW w:w="1034" w:type="dxa"/>
            <w:shd w:val="clear" w:color="auto" w:fill="auto"/>
            <w:vAlign w:val="center"/>
          </w:tcPr>
          <w:p w14:paraId="0475CEAD">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800</w:t>
            </w:r>
          </w:p>
        </w:tc>
      </w:tr>
      <w:tr w14:paraId="687E2E33">
        <w:tblPrEx>
          <w:tblLayout w:type="fixed"/>
        </w:tblPrEx>
        <w:trPr>
          <w:trHeight w:val="90" w:hRule="atLeast"/>
        </w:trPr>
        <w:tc>
          <w:tcPr>
            <w:tcW w:w="542" w:type="dxa"/>
            <w:shd w:val="clear" w:color="auto" w:fill="auto"/>
            <w:vAlign w:val="center"/>
          </w:tcPr>
          <w:p w14:paraId="3E4F9BF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2</w:t>
            </w:r>
          </w:p>
        </w:tc>
        <w:tc>
          <w:tcPr>
            <w:tcW w:w="717" w:type="dxa"/>
            <w:vMerge w:val="continue"/>
            <w:shd w:val="clear" w:color="auto" w:fill="auto"/>
            <w:vAlign w:val="center"/>
          </w:tcPr>
          <w:p w14:paraId="2F59E778">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3514" w:type="dxa"/>
            <w:vMerge w:val="continue"/>
            <w:shd w:val="clear" w:color="auto" w:fill="auto"/>
            <w:vAlign w:val="center"/>
          </w:tcPr>
          <w:p w14:paraId="6FC72F7A">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2552" w:type="dxa"/>
            <w:shd w:val="clear" w:color="auto" w:fill="auto"/>
            <w:vAlign w:val="center"/>
          </w:tcPr>
          <w:p w14:paraId="1873C71D">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DN50(不含)至</w:t>
            </w:r>
          </w:p>
          <w:p w14:paraId="0CB8B31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DN200 (含)</w:t>
            </w:r>
          </w:p>
        </w:tc>
        <w:tc>
          <w:tcPr>
            <w:tcW w:w="714" w:type="dxa"/>
            <w:shd w:val="clear" w:color="auto" w:fill="auto"/>
            <w:vAlign w:val="center"/>
          </w:tcPr>
          <w:p w14:paraId="67A3D44E">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处</w:t>
            </w:r>
          </w:p>
        </w:tc>
        <w:tc>
          <w:tcPr>
            <w:tcW w:w="1034" w:type="dxa"/>
            <w:shd w:val="clear" w:color="auto" w:fill="auto"/>
            <w:vAlign w:val="center"/>
          </w:tcPr>
          <w:p w14:paraId="279BC529">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1200</w:t>
            </w:r>
          </w:p>
        </w:tc>
      </w:tr>
      <w:tr w14:paraId="5EE5DB2C">
        <w:tblPrEx>
          <w:tblLayout w:type="fixed"/>
        </w:tblPrEx>
        <w:trPr>
          <w:trHeight w:val="90" w:hRule="atLeast"/>
        </w:trPr>
        <w:tc>
          <w:tcPr>
            <w:tcW w:w="542" w:type="dxa"/>
            <w:shd w:val="clear" w:color="auto" w:fill="auto"/>
            <w:vAlign w:val="center"/>
          </w:tcPr>
          <w:p w14:paraId="230BD545">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3</w:t>
            </w:r>
          </w:p>
        </w:tc>
        <w:tc>
          <w:tcPr>
            <w:tcW w:w="717" w:type="dxa"/>
            <w:vMerge w:val="continue"/>
            <w:shd w:val="clear" w:color="auto" w:fill="auto"/>
            <w:vAlign w:val="center"/>
          </w:tcPr>
          <w:p w14:paraId="14F5B263">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3514" w:type="dxa"/>
            <w:vMerge w:val="continue"/>
            <w:shd w:val="clear" w:color="auto" w:fill="auto"/>
            <w:vAlign w:val="center"/>
          </w:tcPr>
          <w:p w14:paraId="7B407BB6">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2552" w:type="dxa"/>
            <w:shd w:val="clear" w:color="auto" w:fill="auto"/>
            <w:vAlign w:val="center"/>
          </w:tcPr>
          <w:p w14:paraId="3DB52B1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DN200 (不含)至</w:t>
            </w:r>
          </w:p>
          <w:p w14:paraId="58CF38DF">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DN500(不含)</w:t>
            </w:r>
          </w:p>
        </w:tc>
        <w:tc>
          <w:tcPr>
            <w:tcW w:w="714" w:type="dxa"/>
            <w:shd w:val="clear" w:color="auto" w:fill="auto"/>
            <w:vAlign w:val="center"/>
          </w:tcPr>
          <w:p w14:paraId="107FBE6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处</w:t>
            </w:r>
          </w:p>
        </w:tc>
        <w:tc>
          <w:tcPr>
            <w:tcW w:w="1034" w:type="dxa"/>
            <w:shd w:val="clear" w:color="auto" w:fill="auto"/>
            <w:vAlign w:val="center"/>
          </w:tcPr>
          <w:p w14:paraId="70C6359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2200</w:t>
            </w:r>
          </w:p>
        </w:tc>
      </w:tr>
      <w:tr w14:paraId="749623DA">
        <w:tblPrEx>
          <w:tblLayout w:type="fixed"/>
        </w:tblPrEx>
        <w:trPr>
          <w:trHeight w:val="90" w:hRule="atLeast"/>
        </w:trPr>
        <w:tc>
          <w:tcPr>
            <w:tcW w:w="542" w:type="dxa"/>
            <w:shd w:val="clear" w:color="auto" w:fill="auto"/>
            <w:vAlign w:val="center"/>
          </w:tcPr>
          <w:p w14:paraId="12FA585B">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4</w:t>
            </w:r>
          </w:p>
        </w:tc>
        <w:tc>
          <w:tcPr>
            <w:tcW w:w="717" w:type="dxa"/>
            <w:vMerge w:val="continue"/>
            <w:shd w:val="clear" w:color="auto" w:fill="auto"/>
            <w:vAlign w:val="center"/>
          </w:tcPr>
          <w:p w14:paraId="0B7146A2">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3514" w:type="dxa"/>
            <w:vMerge w:val="continue"/>
            <w:shd w:val="clear" w:color="auto" w:fill="auto"/>
            <w:vAlign w:val="center"/>
          </w:tcPr>
          <w:p w14:paraId="278EB05A">
            <w:pPr>
              <w:keepNext w:val="0"/>
              <w:keepLines w:val="0"/>
              <w:pageBreakBefore w:val="0"/>
              <w:widowControl/>
              <w:kinsoku w:val="0"/>
              <w:wordWrap/>
              <w:overflowPunct/>
              <w:topLinePunct w:val="0"/>
              <w:autoSpaceDE w:val="0"/>
              <w:autoSpaceDN w:val="0"/>
              <w:bidi w:val="0"/>
              <w:adjustRightInd w:val="0"/>
              <w:snapToGrid w:val="0"/>
              <w:spacing w:line="324" w:lineRule="auto"/>
              <w:ind w:firstLine="480"/>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p>
        </w:tc>
        <w:tc>
          <w:tcPr>
            <w:tcW w:w="2552" w:type="dxa"/>
            <w:shd w:val="clear" w:color="auto" w:fill="auto"/>
            <w:vAlign w:val="center"/>
          </w:tcPr>
          <w:p w14:paraId="2E68311D">
            <w:pPr>
              <w:keepNext w:val="0"/>
              <w:keepLines w:val="0"/>
              <w:pageBreakBefore w:val="0"/>
              <w:widowControl/>
              <w:tabs>
                <w:tab w:val="left" w:pos="2095"/>
              </w:tabs>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DN500(含)以上</w:t>
            </w:r>
          </w:p>
        </w:tc>
        <w:tc>
          <w:tcPr>
            <w:tcW w:w="714" w:type="dxa"/>
            <w:shd w:val="clear" w:color="auto" w:fill="auto"/>
            <w:vAlign w:val="center"/>
          </w:tcPr>
          <w:p w14:paraId="0A13FB1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处</w:t>
            </w:r>
          </w:p>
        </w:tc>
        <w:tc>
          <w:tcPr>
            <w:tcW w:w="1034" w:type="dxa"/>
            <w:shd w:val="clear" w:color="auto" w:fill="auto"/>
            <w:vAlign w:val="center"/>
          </w:tcPr>
          <w:p w14:paraId="48776B1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4200</w:t>
            </w:r>
          </w:p>
        </w:tc>
      </w:tr>
      <w:tr w14:paraId="0F15AEAA">
        <w:tblPrEx>
          <w:tblLayout w:type="fixed"/>
        </w:tblPrEx>
        <w:trPr>
          <w:trHeight w:val="2255" w:hRule="atLeast"/>
        </w:trPr>
        <w:tc>
          <w:tcPr>
            <w:tcW w:w="542" w:type="dxa"/>
            <w:shd w:val="clear" w:color="auto" w:fill="auto"/>
            <w:vAlign w:val="center"/>
          </w:tcPr>
          <w:p w14:paraId="18F1016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5</w:t>
            </w:r>
          </w:p>
        </w:tc>
        <w:tc>
          <w:tcPr>
            <w:tcW w:w="717" w:type="dxa"/>
            <w:shd w:val="clear" w:color="auto" w:fill="auto"/>
            <w:vAlign w:val="center"/>
          </w:tcPr>
          <w:p w14:paraId="5844A436">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明漏</w:t>
            </w:r>
          </w:p>
        </w:tc>
        <w:tc>
          <w:tcPr>
            <w:tcW w:w="3514" w:type="dxa"/>
            <w:shd w:val="clear" w:color="auto" w:fill="auto"/>
            <w:vAlign w:val="center"/>
          </w:tcPr>
          <w:p w14:paraId="619433BF">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24" w:lineRule="auto"/>
              <w:ind w:leftChars="0"/>
              <w:jc w:val="both"/>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zh-CN" w:bidi="ar-SA"/>
              </w:rPr>
              <w:t>1.</w:t>
            </w: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水管、阀门、水表、排气阀、排污阀、止回阀等附属设施裸露在外有漏水以及漏水可见的现象。</w:t>
            </w:r>
          </w:p>
          <w:p w14:paraId="6728FFEA">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24" w:lineRule="auto"/>
              <w:ind w:leftChars="0"/>
              <w:jc w:val="both"/>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2.地面返水点距实际确定漏水点3米之内 (含3米)认定为明漏水点，3米之外为暗漏点。3.发现明漏通过仪器精确定位。4.特殊情况由建设单位界定。</w:t>
            </w:r>
          </w:p>
        </w:tc>
        <w:tc>
          <w:tcPr>
            <w:tcW w:w="2552" w:type="dxa"/>
            <w:shd w:val="clear" w:color="auto" w:fill="auto"/>
            <w:vAlign w:val="center"/>
          </w:tcPr>
          <w:p w14:paraId="74DE0ACF">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不分管道口径</w:t>
            </w:r>
          </w:p>
        </w:tc>
        <w:tc>
          <w:tcPr>
            <w:tcW w:w="714" w:type="dxa"/>
            <w:shd w:val="clear" w:color="auto" w:fill="auto"/>
            <w:vAlign w:val="center"/>
          </w:tcPr>
          <w:p w14:paraId="76F2166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处</w:t>
            </w:r>
          </w:p>
        </w:tc>
        <w:tc>
          <w:tcPr>
            <w:tcW w:w="1034" w:type="dxa"/>
            <w:shd w:val="clear" w:color="auto" w:fill="auto"/>
            <w:vAlign w:val="center"/>
          </w:tcPr>
          <w:p w14:paraId="2854237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100</w:t>
            </w:r>
          </w:p>
        </w:tc>
      </w:tr>
      <w:tr w14:paraId="17AC1ADD">
        <w:tblPrEx>
          <w:tblLayout w:type="fixed"/>
        </w:tblPrEx>
        <w:trPr>
          <w:trHeight w:val="786" w:hRule="atLeast"/>
        </w:trPr>
        <w:tc>
          <w:tcPr>
            <w:tcW w:w="542" w:type="dxa"/>
            <w:shd w:val="clear" w:color="auto" w:fill="auto"/>
            <w:vAlign w:val="center"/>
          </w:tcPr>
          <w:p w14:paraId="7A54147A">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6</w:t>
            </w:r>
          </w:p>
        </w:tc>
        <w:tc>
          <w:tcPr>
            <w:tcW w:w="717" w:type="dxa"/>
            <w:shd w:val="clear" w:color="auto" w:fill="auto"/>
            <w:vAlign w:val="center"/>
          </w:tcPr>
          <w:p w14:paraId="310BE552">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管道探测定位</w:t>
            </w:r>
          </w:p>
        </w:tc>
        <w:tc>
          <w:tcPr>
            <w:tcW w:w="3514" w:type="dxa"/>
            <w:shd w:val="clear" w:color="auto" w:fill="auto"/>
            <w:vAlign w:val="center"/>
          </w:tcPr>
          <w:p w14:paraId="60AAEBB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通过定位仪器定位管道。</w:t>
            </w:r>
          </w:p>
        </w:tc>
        <w:tc>
          <w:tcPr>
            <w:tcW w:w="2552" w:type="dxa"/>
            <w:shd w:val="clear" w:color="auto" w:fill="auto"/>
            <w:vAlign w:val="center"/>
          </w:tcPr>
          <w:p w14:paraId="164F0A93">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zh-CN" w:eastAsia="en-US" w:bidi="ar-SA"/>
              </w:rPr>
              <w:t>不分管道口径，按管道长度计算（含管道以外的供水附属设施）。</w:t>
            </w:r>
          </w:p>
        </w:tc>
        <w:tc>
          <w:tcPr>
            <w:tcW w:w="714" w:type="dxa"/>
            <w:shd w:val="clear" w:color="auto" w:fill="auto"/>
            <w:vAlign w:val="center"/>
          </w:tcPr>
          <w:p w14:paraId="357E32CE">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zh-CN"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千米</w:t>
            </w:r>
          </w:p>
        </w:tc>
        <w:tc>
          <w:tcPr>
            <w:tcW w:w="1034" w:type="dxa"/>
            <w:shd w:val="clear" w:color="auto" w:fill="auto"/>
            <w:vAlign w:val="center"/>
          </w:tcPr>
          <w:p w14:paraId="3D12C491">
            <w:pPr>
              <w:keepNext w:val="0"/>
              <w:keepLines w:val="0"/>
              <w:pageBreakBefore w:val="0"/>
              <w:widowControl/>
              <w:kinsoku w:val="0"/>
              <w:wordWrap/>
              <w:overflowPunct/>
              <w:topLinePunct w:val="0"/>
              <w:autoSpaceDE w:val="0"/>
              <w:autoSpaceDN w:val="0"/>
              <w:bidi w:val="0"/>
              <w:adjustRightInd w:val="0"/>
              <w:snapToGrid w:val="0"/>
              <w:spacing w:line="324" w:lineRule="auto"/>
              <w:jc w:val="center"/>
              <w:textAlignment w:val="baseline"/>
              <w:rPr>
                <w:rFonts w:hint="eastAsia" w:asciiTheme="minorEastAsia" w:hAnsiTheme="minorEastAsia" w:eastAsiaTheme="minorEastAsia" w:cstheme="minorEastAsia"/>
                <w:snapToGrid w:val="0"/>
                <w:color w:val="auto"/>
                <w:spacing w:val="-2"/>
                <w:kern w:val="0"/>
                <w:sz w:val="22"/>
                <w:szCs w:val="22"/>
                <w:highlight w:val="none"/>
                <w:lang w:val="en-US" w:eastAsia="en-US" w:bidi="ar-SA"/>
              </w:rPr>
            </w:pPr>
            <w:r>
              <w:rPr>
                <w:rFonts w:hint="eastAsia" w:asciiTheme="minorEastAsia" w:hAnsiTheme="minorEastAsia" w:eastAsiaTheme="minorEastAsia" w:cstheme="minorEastAsia"/>
                <w:snapToGrid w:val="0"/>
                <w:color w:val="auto"/>
                <w:spacing w:val="-2"/>
                <w:kern w:val="0"/>
                <w:sz w:val="22"/>
                <w:szCs w:val="22"/>
                <w:highlight w:val="none"/>
                <w:lang w:val="en-US" w:eastAsia="en-US" w:bidi="ar-SA"/>
              </w:rPr>
              <w:t>1800</w:t>
            </w:r>
          </w:p>
        </w:tc>
      </w:tr>
    </w:tbl>
    <w:p w14:paraId="3168FE48">
      <w:pPr>
        <w:pStyle w:val="2"/>
        <w:keepNext w:val="0"/>
        <w:keepLines w:val="0"/>
        <w:pageBreakBefore w:val="0"/>
        <w:widowControl/>
        <w:kinsoku w:val="0"/>
        <w:wordWrap/>
        <w:overflowPunct/>
        <w:topLinePunct w:val="0"/>
        <w:autoSpaceDE w:val="0"/>
        <w:autoSpaceDN w:val="0"/>
        <w:bidi w:val="0"/>
        <w:adjustRightInd w:val="0"/>
        <w:snapToGrid w:val="0"/>
        <w:spacing w:before="35" w:line="324" w:lineRule="auto"/>
        <w:ind w:right="221" w:firstLine="440" w:firstLineChars="200"/>
        <w:textAlignment w:val="baseline"/>
        <w:rPr>
          <w:rFonts w:hint="eastAsia" w:asciiTheme="minorEastAsia" w:hAnsiTheme="minorEastAsia" w:eastAsiaTheme="minorEastAsia" w:cstheme="minorEastAsia"/>
          <w:color w:val="auto"/>
          <w:sz w:val="22"/>
          <w:szCs w:val="22"/>
          <w:highlight w:val="none"/>
        </w:rPr>
      </w:pPr>
    </w:p>
    <w:p w14:paraId="1CDE86BB">
      <w:pPr>
        <w:pStyle w:val="2"/>
        <w:keepNext w:val="0"/>
        <w:keepLines w:val="0"/>
        <w:pageBreakBefore w:val="0"/>
        <w:widowControl/>
        <w:kinsoku w:val="0"/>
        <w:wordWrap/>
        <w:overflowPunct/>
        <w:topLinePunct w:val="0"/>
        <w:autoSpaceDE w:val="0"/>
        <w:autoSpaceDN w:val="0"/>
        <w:bidi w:val="0"/>
        <w:adjustRightInd w:val="0"/>
        <w:snapToGrid w:val="0"/>
        <w:spacing w:before="35" w:line="324" w:lineRule="auto"/>
        <w:ind w:right="221" w:firstLine="440" w:firstLineChars="200"/>
        <w:textAlignment w:val="baseline"/>
        <w:rPr>
          <w:rFonts w:hint="eastAsia" w:asciiTheme="minorEastAsia" w:hAnsiTheme="minorEastAsia" w:eastAsiaTheme="minorEastAsia" w:cstheme="minorEastAsia"/>
          <w:color w:val="auto"/>
          <w:sz w:val="22"/>
          <w:szCs w:val="22"/>
          <w:highlight w:val="none"/>
        </w:rPr>
      </w:pPr>
    </w:p>
    <w:p w14:paraId="78666E51">
      <w:pPr>
        <w:pStyle w:val="2"/>
        <w:keepNext w:val="0"/>
        <w:keepLines w:val="0"/>
        <w:pageBreakBefore w:val="0"/>
        <w:widowControl/>
        <w:kinsoku w:val="0"/>
        <w:wordWrap/>
        <w:overflowPunct/>
        <w:topLinePunct w:val="0"/>
        <w:autoSpaceDE w:val="0"/>
        <w:autoSpaceDN w:val="0"/>
        <w:bidi w:val="0"/>
        <w:adjustRightInd w:val="0"/>
        <w:snapToGrid w:val="0"/>
        <w:spacing w:before="35" w:line="324" w:lineRule="auto"/>
        <w:ind w:right="221" w:firstLine="440" w:firstLineChars="200"/>
        <w:textAlignment w:val="baseline"/>
        <w:rPr>
          <w:rFonts w:hint="eastAsia" w:asciiTheme="minorEastAsia" w:hAnsiTheme="minorEastAsia" w:eastAsiaTheme="minorEastAsia" w:cstheme="minorEastAsia"/>
          <w:color w:val="auto"/>
          <w:sz w:val="22"/>
          <w:szCs w:val="22"/>
          <w:highlight w:val="none"/>
        </w:rPr>
      </w:pPr>
    </w:p>
    <w:p w14:paraId="57B1D7B3">
      <w:pPr>
        <w:pStyle w:val="2"/>
        <w:keepNext w:val="0"/>
        <w:keepLines w:val="0"/>
        <w:pageBreakBefore w:val="0"/>
        <w:widowControl/>
        <w:kinsoku w:val="0"/>
        <w:wordWrap/>
        <w:overflowPunct/>
        <w:topLinePunct w:val="0"/>
        <w:autoSpaceDE w:val="0"/>
        <w:autoSpaceDN w:val="0"/>
        <w:bidi w:val="0"/>
        <w:adjustRightInd w:val="0"/>
        <w:snapToGrid w:val="0"/>
        <w:spacing w:before="35" w:line="324" w:lineRule="auto"/>
        <w:ind w:right="221" w:firstLine="440" w:firstLineChars="200"/>
        <w:textAlignment w:val="baseline"/>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color w:val="auto"/>
          <w:sz w:val="22"/>
          <w:szCs w:val="22"/>
          <w:highlight w:val="none"/>
        </w:rPr>
        <w:t>（二）</w:t>
      </w:r>
      <w:r>
        <w:rPr>
          <w:rFonts w:hint="eastAsia" w:asciiTheme="minorEastAsia" w:hAnsiTheme="minorEastAsia" w:eastAsiaTheme="minorEastAsia" w:cstheme="minorEastAsia"/>
          <w:color w:val="auto"/>
          <w:spacing w:val="-64"/>
          <w:sz w:val="22"/>
          <w:szCs w:val="22"/>
          <w:highlight w:val="none"/>
        </w:rPr>
        <w:t xml:space="preserve"> </w:t>
      </w:r>
      <w:r>
        <w:rPr>
          <w:rFonts w:hint="eastAsia" w:asciiTheme="minorEastAsia" w:hAnsiTheme="minorEastAsia" w:eastAsiaTheme="minorEastAsia" w:cstheme="minorEastAsia"/>
          <w:color w:val="auto"/>
          <w:sz w:val="22"/>
          <w:szCs w:val="22"/>
          <w:highlight w:val="none"/>
        </w:rPr>
        <w:t>招标范围:</w:t>
      </w:r>
      <w:r>
        <w:rPr>
          <w:rFonts w:hint="eastAsia" w:asciiTheme="minorEastAsia" w:hAnsiTheme="minorEastAsia" w:eastAsiaTheme="minorEastAsia" w:cstheme="minorEastAsia"/>
          <w:color w:val="auto"/>
          <w:sz w:val="22"/>
          <w:szCs w:val="22"/>
          <w:lang w:eastAsia="zh-CN"/>
        </w:rPr>
        <w:t>入围2家单位，开展供水管道检漏、探测定位服务。</w:t>
      </w:r>
    </w:p>
    <w:p w14:paraId="45FD0ED3">
      <w:pPr>
        <w:pStyle w:val="2"/>
        <w:keepNext w:val="0"/>
        <w:keepLines w:val="0"/>
        <w:pageBreakBefore w:val="0"/>
        <w:widowControl/>
        <w:kinsoku w:val="0"/>
        <w:wordWrap/>
        <w:overflowPunct/>
        <w:topLinePunct w:val="0"/>
        <w:autoSpaceDE w:val="0"/>
        <w:autoSpaceDN w:val="0"/>
        <w:bidi w:val="0"/>
        <w:adjustRightInd w:val="0"/>
        <w:snapToGrid w:val="0"/>
        <w:spacing w:before="165" w:line="324" w:lineRule="auto"/>
        <w:ind w:firstLine="432" w:firstLineChars="200"/>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2"/>
          <w:sz w:val="22"/>
          <w:szCs w:val="22"/>
          <w:highlight w:val="none"/>
        </w:rPr>
        <w:t>（三）服务内容：</w:t>
      </w:r>
    </w:p>
    <w:p w14:paraId="5B64CFA9">
      <w:pPr>
        <w:pStyle w:val="2"/>
        <w:keepNext w:val="0"/>
        <w:keepLines w:val="0"/>
        <w:pageBreakBefore w:val="0"/>
        <w:widowControl/>
        <w:kinsoku w:val="0"/>
        <w:wordWrap/>
        <w:overflowPunct/>
        <w:topLinePunct w:val="0"/>
        <w:autoSpaceDE w:val="0"/>
        <w:autoSpaceDN w:val="0"/>
        <w:bidi w:val="0"/>
        <w:adjustRightInd w:val="0"/>
        <w:snapToGrid w:val="0"/>
        <w:spacing w:line="324" w:lineRule="auto"/>
        <w:ind w:left="0"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招标人指定区域范围内的市政自来水管网的暗漏检测、管道探测定位服务</w:t>
      </w:r>
      <w:r>
        <w:rPr>
          <w:rFonts w:hint="eastAsia" w:asciiTheme="minorEastAsia" w:hAnsiTheme="minorEastAsia" w:eastAsiaTheme="minorEastAsia" w:cstheme="minorEastAsia"/>
          <w:color w:val="auto"/>
          <w:spacing w:val="1"/>
          <w:sz w:val="22"/>
          <w:szCs w:val="22"/>
          <w:highlight w:val="none"/>
          <w:lang w:eastAsia="zh-CN"/>
        </w:rPr>
        <w:t>，</w:t>
      </w:r>
      <w:r>
        <w:rPr>
          <w:rFonts w:hint="eastAsia" w:asciiTheme="minorEastAsia" w:hAnsiTheme="minorEastAsia" w:eastAsiaTheme="minorEastAsia" w:cstheme="minorEastAsia"/>
          <w:color w:val="auto"/>
          <w:spacing w:val="1"/>
          <w:sz w:val="22"/>
          <w:szCs w:val="22"/>
          <w:highlight w:val="none"/>
          <w:lang w:val="en-US" w:eastAsia="zh-CN"/>
        </w:rPr>
        <w:t>详见招标文件</w:t>
      </w:r>
      <w:r>
        <w:rPr>
          <w:rFonts w:hint="eastAsia" w:asciiTheme="minorEastAsia" w:hAnsiTheme="minorEastAsia" w:eastAsiaTheme="minorEastAsia" w:cstheme="minorEastAsia"/>
          <w:color w:val="auto"/>
          <w:spacing w:val="1"/>
          <w:sz w:val="22"/>
          <w:szCs w:val="22"/>
          <w:highlight w:val="none"/>
        </w:rPr>
        <w:t>。</w:t>
      </w:r>
    </w:p>
    <w:p w14:paraId="472328FD">
      <w:pPr>
        <w:pStyle w:val="2"/>
        <w:keepNext w:val="0"/>
        <w:keepLines w:val="0"/>
        <w:pageBreakBefore w:val="0"/>
        <w:widowControl/>
        <w:kinsoku w:val="0"/>
        <w:wordWrap/>
        <w:overflowPunct/>
        <w:topLinePunct w:val="0"/>
        <w:autoSpaceDE w:val="0"/>
        <w:autoSpaceDN w:val="0"/>
        <w:bidi w:val="0"/>
        <w:adjustRightInd w:val="0"/>
        <w:snapToGrid w:val="0"/>
        <w:spacing w:before="165" w:line="324" w:lineRule="auto"/>
        <w:ind w:left="468"/>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2"/>
          <w:sz w:val="22"/>
          <w:szCs w:val="22"/>
          <w:highlight w:val="none"/>
        </w:rPr>
        <w:t>（四）服务地点：</w:t>
      </w:r>
    </w:p>
    <w:p w14:paraId="2445693E">
      <w:pPr>
        <w:pStyle w:val="2"/>
        <w:keepNext w:val="0"/>
        <w:keepLines w:val="0"/>
        <w:pageBreakBefore w:val="0"/>
        <w:widowControl/>
        <w:kinsoku w:val="0"/>
        <w:wordWrap/>
        <w:overflowPunct/>
        <w:topLinePunct w:val="0"/>
        <w:autoSpaceDE w:val="0"/>
        <w:autoSpaceDN w:val="0"/>
        <w:bidi w:val="0"/>
        <w:adjustRightInd w:val="0"/>
        <w:snapToGrid w:val="0"/>
        <w:spacing w:before="166" w:line="324" w:lineRule="auto"/>
        <w:ind w:left="23" w:right="10" w:firstLine="445"/>
        <w:textAlignment w:val="baseline"/>
        <w:outlineLvl w:val="9"/>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扬州市指定区域范围（根据实际情况，招标人有权对探测计划进行调整）</w:t>
      </w:r>
      <w:r>
        <w:rPr>
          <w:rFonts w:hint="eastAsia" w:asciiTheme="minorEastAsia" w:hAnsiTheme="minorEastAsia" w:eastAsiaTheme="minorEastAsia" w:cstheme="minorEastAsia"/>
          <w:color w:val="auto"/>
          <w:spacing w:val="1"/>
          <w:sz w:val="22"/>
          <w:szCs w:val="22"/>
          <w:highlight w:val="none"/>
          <w:lang w:eastAsia="zh-CN"/>
        </w:rPr>
        <w:t>。</w:t>
      </w:r>
    </w:p>
    <w:p w14:paraId="3DA64D5A">
      <w:pPr>
        <w:pStyle w:val="2"/>
        <w:keepNext w:val="0"/>
        <w:keepLines w:val="0"/>
        <w:pageBreakBefore w:val="0"/>
        <w:widowControl/>
        <w:kinsoku w:val="0"/>
        <w:wordWrap/>
        <w:overflowPunct/>
        <w:topLinePunct w:val="0"/>
        <w:autoSpaceDE w:val="0"/>
        <w:autoSpaceDN w:val="0"/>
        <w:bidi w:val="0"/>
        <w:adjustRightInd w:val="0"/>
        <w:snapToGrid w:val="0"/>
        <w:spacing w:before="166" w:line="324" w:lineRule="auto"/>
        <w:ind w:left="23" w:right="10" w:firstLine="445"/>
        <w:textAlignment w:val="baseline"/>
        <w:outlineLvl w:val="9"/>
        <w:rPr>
          <w:rFonts w:hint="eastAsia" w:asciiTheme="minorEastAsia" w:hAnsiTheme="minorEastAsia" w:eastAsiaTheme="minorEastAsia" w:cstheme="minorEastAsia"/>
          <w:color w:val="auto"/>
          <w:spacing w:val="-2"/>
          <w:sz w:val="22"/>
          <w:szCs w:val="22"/>
          <w:highlight w:val="none"/>
        </w:rPr>
      </w:pPr>
      <w:r>
        <w:rPr>
          <w:rFonts w:hint="eastAsia" w:asciiTheme="minorEastAsia" w:hAnsiTheme="minorEastAsia" w:eastAsiaTheme="minorEastAsia" w:cstheme="minorEastAsia"/>
          <w:color w:val="auto"/>
          <w:spacing w:val="-2"/>
          <w:sz w:val="22"/>
          <w:szCs w:val="22"/>
          <w:highlight w:val="none"/>
        </w:rPr>
        <w:t>（五）服务周期：</w:t>
      </w:r>
    </w:p>
    <w:p w14:paraId="557D3E05">
      <w:pPr>
        <w:pStyle w:val="2"/>
        <w:keepNext w:val="0"/>
        <w:keepLines w:val="0"/>
        <w:pageBreakBefore w:val="0"/>
        <w:widowControl/>
        <w:kinsoku w:val="0"/>
        <w:wordWrap/>
        <w:overflowPunct/>
        <w:topLinePunct w:val="0"/>
        <w:autoSpaceDE w:val="0"/>
        <w:autoSpaceDN w:val="0"/>
        <w:bidi w:val="0"/>
        <w:adjustRightInd w:val="0"/>
        <w:snapToGrid w:val="0"/>
        <w:spacing w:before="164" w:line="324" w:lineRule="auto"/>
        <w:ind w:left="468"/>
        <w:textAlignment w:val="baseline"/>
        <w:outlineLvl w:val="9"/>
        <w:rPr>
          <w:rFonts w:hint="eastAsia" w:asciiTheme="minorEastAsia" w:hAnsiTheme="minorEastAsia" w:eastAsiaTheme="minorEastAsia" w:cstheme="minorEastAsia"/>
          <w:color w:val="auto"/>
          <w:spacing w:val="-2"/>
          <w:sz w:val="22"/>
          <w:szCs w:val="22"/>
          <w:highlight w:val="none"/>
          <w:lang w:val="en-US" w:eastAsia="zh-CN"/>
        </w:rPr>
      </w:pPr>
      <w:r>
        <w:rPr>
          <w:rFonts w:hint="eastAsia" w:asciiTheme="minorEastAsia" w:hAnsiTheme="minorEastAsia" w:eastAsiaTheme="minorEastAsia" w:cstheme="minorEastAsia"/>
          <w:color w:val="auto"/>
          <w:spacing w:val="-2"/>
          <w:sz w:val="22"/>
          <w:szCs w:val="22"/>
          <w:highlight w:val="none"/>
          <w:lang w:val="en-US" w:eastAsia="zh-CN"/>
        </w:rPr>
        <w:t>一年。</w:t>
      </w:r>
    </w:p>
    <w:p w14:paraId="73220B89">
      <w:pPr>
        <w:pStyle w:val="2"/>
        <w:keepNext w:val="0"/>
        <w:keepLines w:val="0"/>
        <w:pageBreakBefore w:val="0"/>
        <w:widowControl/>
        <w:kinsoku w:val="0"/>
        <w:wordWrap/>
        <w:overflowPunct/>
        <w:topLinePunct w:val="0"/>
        <w:autoSpaceDE w:val="0"/>
        <w:autoSpaceDN w:val="0"/>
        <w:bidi w:val="0"/>
        <w:adjustRightInd w:val="0"/>
        <w:snapToGrid w:val="0"/>
        <w:spacing w:before="164" w:line="324" w:lineRule="auto"/>
        <w:ind w:left="468"/>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2"/>
          <w:sz w:val="22"/>
          <w:szCs w:val="22"/>
          <w:highlight w:val="none"/>
        </w:rPr>
        <w:t>（六）质量要求：</w:t>
      </w:r>
    </w:p>
    <w:p w14:paraId="1148B2BE">
      <w:pPr>
        <w:pStyle w:val="2"/>
        <w:keepNext w:val="0"/>
        <w:keepLines w:val="0"/>
        <w:pageBreakBefore w:val="0"/>
        <w:widowControl/>
        <w:kinsoku w:val="0"/>
        <w:wordWrap/>
        <w:overflowPunct/>
        <w:topLinePunct w:val="0"/>
        <w:autoSpaceDE w:val="0"/>
        <w:autoSpaceDN w:val="0"/>
        <w:bidi w:val="0"/>
        <w:adjustRightInd w:val="0"/>
        <w:snapToGrid w:val="0"/>
        <w:spacing w:before="151" w:line="324" w:lineRule="auto"/>
        <w:ind w:left="23" w:right="7" w:firstLine="445"/>
        <w:textAlignment w:val="baseline"/>
        <w:rPr>
          <w:rFonts w:hint="eastAsia" w:asciiTheme="minorEastAsia" w:hAnsiTheme="minorEastAsia" w:eastAsiaTheme="minorEastAsia" w:cstheme="minorEastAsia"/>
          <w:color w:val="auto"/>
          <w:spacing w:val="-1"/>
          <w:sz w:val="22"/>
          <w:szCs w:val="22"/>
          <w:highlight w:val="none"/>
          <w:lang w:val="en-US" w:eastAsia="zh-CN"/>
        </w:rPr>
      </w:pPr>
      <w:r>
        <w:rPr>
          <w:rFonts w:hint="eastAsia" w:asciiTheme="minorEastAsia" w:hAnsiTheme="minorEastAsia" w:eastAsiaTheme="minorEastAsia" w:cstheme="minorEastAsia"/>
          <w:color w:val="auto"/>
          <w:spacing w:val="-1"/>
          <w:sz w:val="22"/>
          <w:szCs w:val="22"/>
          <w:highlight w:val="none"/>
          <w:lang w:val="en-US" w:eastAsia="zh-CN"/>
        </w:rPr>
        <w:t>详见招标文件第六章技术要求。</w:t>
      </w:r>
    </w:p>
    <w:p w14:paraId="28F1096A">
      <w:pPr>
        <w:pStyle w:val="2"/>
        <w:keepNext w:val="0"/>
        <w:keepLines w:val="0"/>
        <w:pageBreakBefore w:val="0"/>
        <w:widowControl/>
        <w:kinsoku w:val="0"/>
        <w:wordWrap/>
        <w:overflowPunct/>
        <w:topLinePunct w:val="0"/>
        <w:autoSpaceDE w:val="0"/>
        <w:autoSpaceDN w:val="0"/>
        <w:bidi w:val="0"/>
        <w:adjustRightInd w:val="0"/>
        <w:snapToGrid w:val="0"/>
        <w:spacing w:before="166" w:line="324" w:lineRule="auto"/>
        <w:ind w:left="23" w:right="10" w:firstLine="445"/>
        <w:textAlignment w:val="baseline"/>
        <w:outlineLvl w:val="9"/>
        <w:rPr>
          <w:rFonts w:hint="eastAsia" w:asciiTheme="minorEastAsia" w:hAnsiTheme="minorEastAsia" w:eastAsiaTheme="minorEastAsia" w:cstheme="minorEastAsia"/>
          <w:color w:val="auto"/>
          <w:spacing w:val="1"/>
          <w:sz w:val="22"/>
          <w:szCs w:val="22"/>
          <w:highlight w:val="none"/>
          <w:lang w:val="en-US"/>
        </w:rPr>
      </w:pPr>
      <w:r>
        <w:rPr>
          <w:rFonts w:hint="eastAsia" w:asciiTheme="minorEastAsia" w:hAnsiTheme="minorEastAsia" w:eastAsiaTheme="minorEastAsia" w:cstheme="minorEastAsia"/>
          <w:color w:val="auto"/>
          <w:spacing w:val="1"/>
          <w:sz w:val="22"/>
          <w:szCs w:val="22"/>
          <w:highlight w:val="none"/>
        </w:rPr>
        <w:t>（七）</w:t>
      </w:r>
      <w:r>
        <w:rPr>
          <w:rFonts w:hint="eastAsia" w:asciiTheme="minorEastAsia" w:hAnsiTheme="minorEastAsia" w:eastAsiaTheme="minorEastAsia" w:cstheme="minorEastAsia"/>
          <w:color w:val="auto"/>
          <w:spacing w:val="1"/>
          <w:sz w:val="22"/>
          <w:szCs w:val="22"/>
          <w:highlight w:val="none"/>
          <w:lang w:eastAsia="zh-CN"/>
        </w:rPr>
        <w:t>本项目将按评分结果确定排名前 2 名的供应商作为成交供应商，2 名成交供应商需按采购人/使用单位要求制定探漏计划探漏，</w:t>
      </w:r>
      <w:r>
        <w:rPr>
          <w:rFonts w:hint="eastAsia" w:asciiTheme="minorEastAsia" w:hAnsiTheme="minorEastAsia" w:eastAsiaTheme="minorEastAsia" w:cstheme="minorEastAsia"/>
          <w:color w:val="auto"/>
          <w:spacing w:val="1"/>
          <w:sz w:val="22"/>
          <w:szCs w:val="22"/>
          <w:highlight w:val="none"/>
          <w:lang w:val="en-US" w:eastAsia="zh-CN"/>
        </w:rPr>
        <w:t>经采购人核定通过后，方可进场</w:t>
      </w:r>
      <w:r>
        <w:rPr>
          <w:rFonts w:hint="eastAsia" w:asciiTheme="minorEastAsia" w:hAnsiTheme="minorEastAsia" w:eastAsiaTheme="minorEastAsia" w:cstheme="minorEastAsia"/>
          <w:color w:val="auto"/>
          <w:spacing w:val="1"/>
          <w:sz w:val="22"/>
          <w:szCs w:val="22"/>
          <w:highlight w:val="none"/>
          <w:lang w:eastAsia="zh-CN"/>
        </w:rPr>
        <w:t>。</w:t>
      </w:r>
      <w:r>
        <w:rPr>
          <w:rFonts w:hint="eastAsia" w:asciiTheme="minorEastAsia" w:hAnsiTheme="minorEastAsia" w:eastAsiaTheme="minorEastAsia" w:cstheme="minorEastAsia"/>
          <w:color w:val="auto"/>
          <w:spacing w:val="1"/>
          <w:sz w:val="22"/>
          <w:szCs w:val="22"/>
          <w:highlight w:val="none"/>
          <w:lang w:val="en-US" w:eastAsia="zh-CN"/>
        </w:rPr>
        <w:t>采购人</w:t>
      </w:r>
      <w:r>
        <w:rPr>
          <w:rFonts w:hint="eastAsia" w:asciiTheme="minorEastAsia" w:hAnsiTheme="minorEastAsia" w:eastAsiaTheme="minorEastAsia" w:cstheme="minorEastAsia"/>
          <w:color w:val="auto"/>
          <w:spacing w:val="1"/>
          <w:sz w:val="22"/>
          <w:szCs w:val="22"/>
          <w:highlight w:val="none"/>
          <w:lang w:eastAsia="zh-CN"/>
        </w:rPr>
        <w:t>有权对</w:t>
      </w:r>
      <w:r>
        <w:rPr>
          <w:rFonts w:hint="eastAsia" w:asciiTheme="minorEastAsia" w:hAnsiTheme="minorEastAsia" w:eastAsiaTheme="minorEastAsia" w:cstheme="minorEastAsia"/>
          <w:color w:val="auto"/>
          <w:spacing w:val="1"/>
          <w:sz w:val="22"/>
          <w:szCs w:val="22"/>
          <w:highlight w:val="none"/>
          <w:lang w:val="en-US" w:eastAsia="zh-CN"/>
        </w:rPr>
        <w:t>成交供应商</w:t>
      </w:r>
      <w:r>
        <w:rPr>
          <w:rFonts w:hint="eastAsia" w:asciiTheme="minorEastAsia" w:hAnsiTheme="minorEastAsia" w:eastAsiaTheme="minorEastAsia" w:cstheme="minorEastAsia"/>
          <w:color w:val="auto"/>
          <w:spacing w:val="1"/>
          <w:sz w:val="22"/>
          <w:szCs w:val="22"/>
          <w:highlight w:val="none"/>
          <w:lang w:eastAsia="zh-CN"/>
        </w:rPr>
        <w:t>的检漏、探测工作进行核定，包括但不限于轮换片区复测等方式。成交供应商按合同、招标文件内容及采购人要求完成工作量，工作量经确认后，按漏水点确认单和取费标准，按季度与</w:t>
      </w:r>
      <w:r>
        <w:rPr>
          <w:rFonts w:hint="eastAsia" w:asciiTheme="minorEastAsia" w:hAnsiTheme="minorEastAsia" w:eastAsiaTheme="minorEastAsia" w:cstheme="minorEastAsia"/>
          <w:color w:val="auto"/>
          <w:spacing w:val="1"/>
          <w:sz w:val="22"/>
          <w:szCs w:val="22"/>
          <w:highlight w:val="none"/>
          <w:lang w:val="en-US" w:eastAsia="zh-CN"/>
        </w:rPr>
        <w:t>采购人</w:t>
      </w:r>
      <w:r>
        <w:rPr>
          <w:rFonts w:hint="eastAsia" w:asciiTheme="minorEastAsia" w:hAnsiTheme="minorEastAsia" w:eastAsiaTheme="minorEastAsia" w:cstheme="minorEastAsia"/>
          <w:color w:val="auto"/>
          <w:spacing w:val="1"/>
          <w:sz w:val="22"/>
          <w:szCs w:val="22"/>
          <w:highlight w:val="none"/>
          <w:lang w:eastAsia="zh-CN"/>
        </w:rPr>
        <w:t>结算一次。</w:t>
      </w:r>
      <w:r>
        <w:rPr>
          <w:rFonts w:hint="eastAsia" w:asciiTheme="minorEastAsia" w:hAnsiTheme="minorEastAsia" w:eastAsiaTheme="minorEastAsia" w:cstheme="minorEastAsia"/>
          <w:b w:val="0"/>
          <w:bCs/>
          <w:color w:val="auto"/>
          <w:sz w:val="21"/>
          <w:szCs w:val="21"/>
          <w:highlight w:val="none"/>
          <w:lang w:val="en-US" w:eastAsia="zh-CN"/>
        </w:rPr>
        <w:t>每次结算时，成交供应商须按规定提供足额合法合规的增值税专用发票，否则不予付款。</w:t>
      </w:r>
    </w:p>
    <w:p w14:paraId="34AC507D">
      <w:pPr>
        <w:pStyle w:val="2"/>
        <w:keepNext w:val="0"/>
        <w:keepLines w:val="0"/>
        <w:pageBreakBefore w:val="0"/>
        <w:widowControl/>
        <w:kinsoku w:val="0"/>
        <w:wordWrap/>
        <w:overflowPunct/>
        <w:topLinePunct w:val="0"/>
        <w:autoSpaceDE w:val="0"/>
        <w:autoSpaceDN w:val="0"/>
        <w:bidi w:val="0"/>
        <w:adjustRightInd w:val="0"/>
        <w:snapToGrid w:val="0"/>
        <w:spacing w:before="166" w:line="324" w:lineRule="auto"/>
        <w:ind w:left="23" w:right="10" w:firstLine="445"/>
        <w:textAlignment w:val="baseline"/>
        <w:outlineLvl w:val="9"/>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（八）本次采购不接受联合体形式的投标。</w:t>
      </w:r>
    </w:p>
    <w:p w14:paraId="20010A3D">
      <w:pPr>
        <w:pStyle w:val="2"/>
        <w:keepNext w:val="0"/>
        <w:keepLines w:val="0"/>
        <w:pageBreakBefore w:val="0"/>
        <w:widowControl/>
        <w:kinsoku w:val="0"/>
        <w:wordWrap/>
        <w:overflowPunct/>
        <w:topLinePunct w:val="0"/>
        <w:autoSpaceDE w:val="0"/>
        <w:autoSpaceDN w:val="0"/>
        <w:bidi w:val="0"/>
        <w:adjustRightInd w:val="0"/>
        <w:snapToGrid w:val="0"/>
        <w:spacing w:before="257" w:line="324" w:lineRule="auto"/>
        <w:ind w:left="464"/>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3"/>
          <w:sz w:val="22"/>
          <w:szCs w:val="22"/>
          <w:highlight w:val="none"/>
        </w:rPr>
        <w:t>三、投标人的资质要求</w:t>
      </w:r>
    </w:p>
    <w:p w14:paraId="42E84E8A">
      <w:pPr>
        <w:pStyle w:val="2"/>
        <w:keepNext w:val="0"/>
        <w:keepLines w:val="0"/>
        <w:pageBreakBefore w:val="0"/>
        <w:widowControl/>
        <w:kinsoku w:val="0"/>
        <w:wordWrap/>
        <w:overflowPunct/>
        <w:topLinePunct w:val="0"/>
        <w:autoSpaceDE w:val="0"/>
        <w:autoSpaceDN w:val="0"/>
        <w:bidi w:val="0"/>
        <w:adjustRightInd w:val="0"/>
        <w:snapToGrid w:val="0"/>
        <w:spacing w:before="205" w:line="324" w:lineRule="auto"/>
        <w:ind w:left="468"/>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（一）投标人应具备下列资格条件：</w:t>
      </w:r>
    </w:p>
    <w:p w14:paraId="5F42A308">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(1)投标函(原件)</w:t>
      </w:r>
    </w:p>
    <w:p w14:paraId="002B56CB">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(2)资格声明(原件)</w:t>
      </w:r>
    </w:p>
    <w:p w14:paraId="0B9BBC65">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(3)被授权人参加投标的，须提供《法定代表人授权委托书》原件和被授权人身 份证复印件(原件备查)；法定代表人参加投标的，须提供本人身份证复印件(原件备查)</w:t>
      </w:r>
    </w:p>
    <w:p w14:paraId="79899C08">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(4)营业执照副本(复印件加盖公章）</w:t>
      </w:r>
    </w:p>
    <w:p w14:paraId="6376F5B9">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(5)依法缴纳职工社会保障资金的证明材料(复印件加盖公章） (税务、银行或社 会保险基金管理部门出具的近三个月内任意一份缴纳职工社会保障资金的缴款凭证或缴款证明)</w:t>
      </w:r>
    </w:p>
    <w:p w14:paraId="1C8D3F90">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(6)供应商近三个月内任意一份依法纳税的缴款凭证(复印件加盖公章）</w:t>
      </w:r>
    </w:p>
    <w:p w14:paraId="0D8D40DE">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(7)与第（6）条相对应的纳税申报表或经会计师事务所审计的 2022 或 2023 年度财务报告(复印件加盖公章）</w:t>
      </w:r>
    </w:p>
    <w:p w14:paraId="0812020E">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71" w:firstLine="444" w:firstLineChars="200"/>
        <w:textAlignment w:val="baseline"/>
        <w:rPr>
          <w:rFonts w:hint="eastAsia" w:asciiTheme="minorEastAsia" w:hAnsiTheme="minorEastAsia" w:eastAsiaTheme="minorEastAsia" w:cstheme="minorEastAsia"/>
          <w:color w:val="auto"/>
          <w:spacing w:val="1"/>
          <w:sz w:val="22"/>
          <w:szCs w:val="22"/>
          <w:highlight w:val="none"/>
        </w:rPr>
      </w:pPr>
      <w:r>
        <w:rPr>
          <w:rFonts w:hint="eastAsia" w:asciiTheme="minorEastAsia" w:hAnsiTheme="minorEastAsia" w:eastAsiaTheme="minorEastAsia" w:cstheme="minorEastAsia"/>
          <w:color w:val="auto"/>
          <w:spacing w:val="1"/>
          <w:sz w:val="22"/>
          <w:szCs w:val="22"/>
          <w:highlight w:val="none"/>
        </w:rPr>
        <w:t>(8)供应商参加采购活动前 3 年内在经营活动中没有重大违法记录的书面声明（原件）</w:t>
      </w:r>
    </w:p>
    <w:p w14:paraId="30F4C1E9">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firstLine="428" w:firstLineChars="200"/>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3"/>
          <w:sz w:val="22"/>
          <w:szCs w:val="22"/>
          <w:highlight w:val="none"/>
        </w:rPr>
        <w:t>（二）采购人根据本项目要求规定的特定条件：</w:t>
      </w:r>
    </w:p>
    <w:p w14:paraId="5F6312B0">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24" w:right="9" w:firstLine="453"/>
        <w:textAlignment w:val="baseline"/>
        <w:rPr>
          <w:rFonts w:hint="eastAsia" w:asciiTheme="minorEastAsia" w:hAnsiTheme="minorEastAsia" w:eastAsiaTheme="minorEastAsia" w:cstheme="minorEastAsia"/>
          <w:color w:val="auto"/>
          <w:spacing w:val="-3"/>
          <w:sz w:val="22"/>
          <w:szCs w:val="22"/>
          <w:highlight w:val="none"/>
          <w:lang w:val="en-US" w:eastAsia="zh-CN"/>
        </w:rPr>
      </w:pPr>
      <w:r>
        <w:rPr>
          <w:rFonts w:hint="eastAsia" w:asciiTheme="minorEastAsia" w:hAnsiTheme="minorEastAsia" w:eastAsiaTheme="minorEastAsia" w:cstheme="minorEastAsia"/>
          <w:color w:val="auto"/>
          <w:spacing w:val="-3"/>
          <w:sz w:val="22"/>
          <w:szCs w:val="22"/>
          <w:highlight w:val="none"/>
          <w:lang w:val="en-US" w:eastAsia="zh-CN"/>
        </w:rPr>
        <w:t>1、投标人具有乙级及以上测绘资质证书，且专业范围须包含工程测量</w:t>
      </w:r>
    </w:p>
    <w:p w14:paraId="7374DCF1">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24" w:right="9" w:firstLine="453"/>
        <w:textAlignment w:val="baseline"/>
        <w:rPr>
          <w:rFonts w:hint="eastAsia" w:asciiTheme="minorEastAsia" w:hAnsiTheme="minorEastAsia" w:eastAsiaTheme="minorEastAsia" w:cstheme="minorEastAsia"/>
          <w:color w:val="auto"/>
          <w:spacing w:val="-3"/>
          <w:sz w:val="22"/>
          <w:szCs w:val="22"/>
          <w:highlight w:val="none"/>
          <w:lang w:eastAsia="zh-CN"/>
        </w:rPr>
      </w:pPr>
      <w:r>
        <w:rPr>
          <w:rFonts w:hint="eastAsia" w:asciiTheme="minorEastAsia" w:hAnsiTheme="minorEastAsia" w:eastAsiaTheme="minorEastAsia" w:cstheme="minorEastAsia"/>
          <w:color w:val="auto"/>
          <w:spacing w:val="-3"/>
          <w:sz w:val="22"/>
          <w:szCs w:val="22"/>
          <w:highlight w:val="none"/>
        </w:rPr>
        <w:t>（提供证书复印件加盖公章</w:t>
      </w:r>
      <w:r>
        <w:rPr>
          <w:rFonts w:hint="eastAsia" w:asciiTheme="minorEastAsia" w:hAnsiTheme="minorEastAsia" w:eastAsiaTheme="minorEastAsia" w:cstheme="minorEastAsia"/>
          <w:color w:val="auto"/>
          <w:spacing w:val="-3"/>
          <w:sz w:val="22"/>
          <w:szCs w:val="22"/>
          <w:highlight w:val="none"/>
          <w:lang w:eastAsia="zh-CN"/>
        </w:rPr>
        <w:t>）</w:t>
      </w:r>
    </w:p>
    <w:p w14:paraId="2E653654">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468"/>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（三）拒绝下述供应商参加本次采购活动：</w:t>
      </w:r>
    </w:p>
    <w:p w14:paraId="7C88C412">
      <w:pPr>
        <w:pStyle w:val="2"/>
        <w:keepNext w:val="0"/>
        <w:keepLines w:val="0"/>
        <w:pageBreakBefore w:val="0"/>
        <w:widowControl/>
        <w:kinsoku w:val="0"/>
        <w:wordWrap/>
        <w:overflowPunct/>
        <w:topLinePunct w:val="0"/>
        <w:autoSpaceDE w:val="0"/>
        <w:autoSpaceDN w:val="0"/>
        <w:bidi w:val="0"/>
        <w:adjustRightInd w:val="0"/>
        <w:snapToGrid w:val="0"/>
        <w:spacing w:before="134" w:line="324" w:lineRule="auto"/>
        <w:ind w:left="24" w:right="217" w:firstLine="453"/>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1、供应商单位负责人为同一人或者存在直接控股、管理关系的不同供</w:t>
      </w:r>
      <w:r>
        <w:rPr>
          <w:rFonts w:hint="eastAsia" w:asciiTheme="minorEastAsia" w:hAnsiTheme="minorEastAsia" w:eastAsiaTheme="minorEastAsia" w:cstheme="minorEastAsia"/>
          <w:color w:val="auto"/>
          <w:sz w:val="22"/>
          <w:szCs w:val="22"/>
          <w:highlight w:val="none"/>
        </w:rPr>
        <w:t xml:space="preserve">应商，不得 </w:t>
      </w:r>
      <w:r>
        <w:rPr>
          <w:rFonts w:hint="eastAsia" w:asciiTheme="minorEastAsia" w:hAnsiTheme="minorEastAsia" w:eastAsiaTheme="minorEastAsia" w:cstheme="minorEastAsia"/>
          <w:color w:val="auto"/>
          <w:spacing w:val="-3"/>
          <w:sz w:val="22"/>
          <w:szCs w:val="22"/>
          <w:highlight w:val="none"/>
        </w:rPr>
        <w:t>参加同一合同项下的采购活动。</w:t>
      </w:r>
    </w:p>
    <w:p w14:paraId="1373DBB5">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23" w:right="225" w:firstLine="441"/>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 xml:space="preserve">2、凡为采购项目提供整体设计、规范编制或者项目管理、设计、检测等服务的供 </w:t>
      </w:r>
      <w:r>
        <w:rPr>
          <w:rFonts w:hint="eastAsia" w:asciiTheme="minorEastAsia" w:hAnsiTheme="minorEastAsia" w:eastAsiaTheme="minorEastAsia" w:cstheme="minorEastAsia"/>
          <w:color w:val="auto"/>
          <w:spacing w:val="-1"/>
          <w:sz w:val="22"/>
          <w:szCs w:val="22"/>
          <w:highlight w:val="none"/>
        </w:rPr>
        <w:t>应商，不得再参加该项目的其他采购活动。</w:t>
      </w:r>
    </w:p>
    <w:p w14:paraId="1864186A">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23" w:right="213" w:firstLine="443"/>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3、供应商被“信用中国”网站（www.creditchina.go</w:t>
      </w:r>
      <w:r>
        <w:rPr>
          <w:rFonts w:hint="eastAsia" w:asciiTheme="minorEastAsia" w:hAnsiTheme="minorEastAsia" w:eastAsiaTheme="minorEastAsia" w:cstheme="minorEastAsia"/>
          <w:color w:val="auto"/>
          <w:spacing w:val="-2"/>
          <w:sz w:val="22"/>
          <w:szCs w:val="22"/>
          <w:highlight w:val="none"/>
        </w:rPr>
        <w:t>v.cn）、“</w:t>
      </w:r>
      <w:r>
        <w:rPr>
          <w:rFonts w:hint="eastAsia" w:asciiTheme="minorEastAsia" w:hAnsiTheme="minorEastAsia" w:eastAsiaTheme="minorEastAsia" w:cstheme="minorEastAsia"/>
          <w:color w:val="auto"/>
          <w:spacing w:val="-2"/>
          <w:sz w:val="22"/>
          <w:szCs w:val="22"/>
          <w:highlight w:val="none"/>
        </w:rPr>
        <w:t>中国政府采购网"</w:t>
      </w:r>
      <w:r>
        <w:rPr>
          <w:rFonts w:hint="eastAsia" w:asciiTheme="minorEastAsia" w:hAnsiTheme="minorEastAsia" w:eastAsiaTheme="minorEastAsia" w:cstheme="minorEastAsia"/>
          <w:color w:val="auto"/>
          <w:sz w:val="22"/>
          <w:szCs w:val="22"/>
          <w:highlight w:val="none"/>
        </w:rPr>
        <w:t xml:space="preserve"> </w:t>
      </w:r>
      <w:r>
        <w:rPr>
          <w:rFonts w:hint="eastAsia" w:asciiTheme="minorEastAsia" w:hAnsiTheme="minorEastAsia" w:eastAsiaTheme="minorEastAsia" w:cstheme="minorEastAsia"/>
          <w:color w:val="auto"/>
          <w:spacing w:val="1"/>
          <w:sz w:val="22"/>
          <w:szCs w:val="22"/>
          <w:highlight w:val="none"/>
        </w:rPr>
        <w:t>(</w:t>
      </w:r>
      <w:r>
        <w:rPr>
          <w:rFonts w:hint="eastAsia" w:asciiTheme="minorEastAsia" w:hAnsiTheme="minorEastAsia" w:eastAsiaTheme="minorEastAsia" w:cstheme="minorEastAsia"/>
          <w:color w:val="auto"/>
          <w:sz w:val="22"/>
          <w:szCs w:val="22"/>
          <w:highlight w:val="none"/>
        </w:rPr>
        <w:t>www</w:t>
      </w:r>
      <w:r>
        <w:rPr>
          <w:rFonts w:hint="eastAsia" w:asciiTheme="minorEastAsia" w:hAnsiTheme="minorEastAsia" w:eastAsiaTheme="minorEastAsia" w:cstheme="minorEastAsia"/>
          <w:color w:val="auto"/>
          <w:spacing w:val="1"/>
          <w:sz w:val="22"/>
          <w:szCs w:val="22"/>
          <w:highlight w:val="none"/>
        </w:rPr>
        <w:t>.</w:t>
      </w:r>
      <w:r>
        <w:rPr>
          <w:rFonts w:hint="eastAsia" w:asciiTheme="minorEastAsia" w:hAnsiTheme="minorEastAsia" w:eastAsiaTheme="minorEastAsia" w:cstheme="minorEastAsia"/>
          <w:color w:val="auto"/>
          <w:sz w:val="22"/>
          <w:szCs w:val="22"/>
          <w:highlight w:val="none"/>
        </w:rPr>
        <w:t>ccgp</w:t>
      </w:r>
      <w:r>
        <w:rPr>
          <w:rFonts w:hint="eastAsia" w:asciiTheme="minorEastAsia" w:hAnsiTheme="minorEastAsia" w:eastAsiaTheme="minorEastAsia" w:cstheme="minorEastAsia"/>
          <w:color w:val="auto"/>
          <w:spacing w:val="1"/>
          <w:sz w:val="22"/>
          <w:szCs w:val="22"/>
          <w:highlight w:val="none"/>
        </w:rPr>
        <w:t>.</w:t>
      </w:r>
      <w:r>
        <w:rPr>
          <w:rFonts w:hint="eastAsia" w:asciiTheme="minorEastAsia" w:hAnsiTheme="minorEastAsia" w:eastAsiaTheme="minorEastAsia" w:cstheme="minorEastAsia"/>
          <w:color w:val="auto"/>
          <w:sz w:val="22"/>
          <w:szCs w:val="22"/>
          <w:highlight w:val="none"/>
        </w:rPr>
        <w:t>gov</w:t>
      </w:r>
      <w:r>
        <w:rPr>
          <w:rFonts w:hint="eastAsia" w:asciiTheme="minorEastAsia" w:hAnsiTheme="minorEastAsia" w:eastAsiaTheme="minorEastAsia" w:cstheme="minorEastAsia"/>
          <w:color w:val="auto"/>
          <w:spacing w:val="1"/>
          <w:sz w:val="22"/>
          <w:szCs w:val="22"/>
          <w:highlight w:val="none"/>
        </w:rPr>
        <w:t>.</w:t>
      </w:r>
      <w:r>
        <w:rPr>
          <w:rFonts w:hint="eastAsia" w:asciiTheme="minorEastAsia" w:hAnsiTheme="minorEastAsia" w:eastAsiaTheme="minorEastAsia" w:cstheme="minorEastAsia"/>
          <w:color w:val="auto"/>
          <w:sz w:val="22"/>
          <w:szCs w:val="22"/>
          <w:highlight w:val="none"/>
        </w:rPr>
        <w:t>cn</w:t>
      </w:r>
      <w:r>
        <w:rPr>
          <w:rFonts w:hint="eastAsia" w:asciiTheme="minorEastAsia" w:hAnsiTheme="minorEastAsia" w:eastAsiaTheme="minorEastAsia" w:cstheme="minorEastAsia"/>
          <w:color w:val="auto"/>
          <w:spacing w:val="1"/>
          <w:sz w:val="22"/>
          <w:szCs w:val="22"/>
          <w:highlight w:val="none"/>
        </w:rPr>
        <w:t>)列入失信被执行人、重大税收违法案件当事人名单、政府采购严重</w:t>
      </w:r>
      <w:r>
        <w:rPr>
          <w:rFonts w:hint="eastAsia" w:asciiTheme="minorEastAsia" w:hAnsiTheme="minorEastAsia" w:eastAsiaTheme="minorEastAsia" w:cstheme="minorEastAsia"/>
          <w:color w:val="auto"/>
          <w:spacing w:val="12"/>
          <w:sz w:val="22"/>
          <w:szCs w:val="22"/>
          <w:highlight w:val="none"/>
        </w:rPr>
        <w:t xml:space="preserve"> </w:t>
      </w:r>
      <w:r>
        <w:rPr>
          <w:rFonts w:hint="eastAsia" w:asciiTheme="minorEastAsia" w:hAnsiTheme="minorEastAsia" w:eastAsiaTheme="minorEastAsia" w:cstheme="minorEastAsia"/>
          <w:color w:val="auto"/>
          <w:spacing w:val="-1"/>
          <w:sz w:val="22"/>
          <w:szCs w:val="22"/>
          <w:highlight w:val="none"/>
        </w:rPr>
        <w:t>违法失信行为记录名单。</w:t>
      </w:r>
    </w:p>
    <w:p w14:paraId="38DC4C6D">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485"/>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5"/>
          <w:sz w:val="22"/>
          <w:szCs w:val="22"/>
          <w:highlight w:val="none"/>
        </w:rPr>
        <w:t>四、招标文件发布信息</w:t>
      </w:r>
    </w:p>
    <w:p w14:paraId="37CE8A51">
      <w:pPr>
        <w:pStyle w:val="2"/>
        <w:keepNext w:val="0"/>
        <w:keepLines w:val="0"/>
        <w:pageBreakBefore w:val="0"/>
        <w:widowControl/>
        <w:kinsoku w:val="0"/>
        <w:wordWrap/>
        <w:overflowPunct/>
        <w:topLinePunct w:val="0"/>
        <w:autoSpaceDE w:val="0"/>
        <w:autoSpaceDN w:val="0"/>
        <w:bidi w:val="0"/>
        <w:adjustRightInd w:val="0"/>
        <w:snapToGrid w:val="0"/>
        <w:spacing w:before="38" w:line="324" w:lineRule="auto"/>
        <w:ind w:left="24" w:right="216" w:firstLine="444"/>
        <w:jc w:val="both"/>
        <w:textAlignment w:val="baseline"/>
        <w:rPr>
          <w:rFonts w:hint="eastAsia" w:asciiTheme="minorEastAsia" w:hAnsiTheme="minorEastAsia" w:eastAsiaTheme="minorEastAsia" w:cstheme="minorEastAsia"/>
          <w:color w:val="auto"/>
          <w:spacing w:val="-6"/>
          <w:sz w:val="22"/>
          <w:szCs w:val="22"/>
          <w:highlight w:val="none"/>
        </w:rPr>
      </w:pPr>
      <w:r>
        <w:rPr>
          <w:rFonts w:hint="eastAsia" w:asciiTheme="minorEastAsia" w:hAnsiTheme="minorEastAsia" w:eastAsiaTheme="minorEastAsia" w:cstheme="minorEastAsia"/>
          <w:color w:val="auto"/>
          <w:spacing w:val="-6"/>
          <w:sz w:val="22"/>
          <w:szCs w:val="22"/>
          <w:highlight w:val="none"/>
        </w:rPr>
        <w:t>时间：2025年</w:t>
      </w:r>
      <w:r>
        <w:rPr>
          <w:rFonts w:hint="eastAsia" w:asciiTheme="minorEastAsia" w:hAnsiTheme="minorEastAsia" w:eastAsiaTheme="minorEastAsia" w:cstheme="minorEastAsia"/>
          <w:color w:val="auto"/>
          <w:spacing w:val="-6"/>
          <w:sz w:val="22"/>
          <w:szCs w:val="22"/>
          <w:highlight w:val="none"/>
          <w:lang w:val="en-US" w:eastAsia="zh-CN"/>
        </w:rPr>
        <w:t xml:space="preserve"> 2 </w:t>
      </w:r>
      <w:r>
        <w:rPr>
          <w:rFonts w:hint="eastAsia" w:asciiTheme="minorEastAsia" w:hAnsiTheme="minorEastAsia" w:eastAsiaTheme="minorEastAsia" w:cstheme="minorEastAsia"/>
          <w:color w:val="auto"/>
          <w:spacing w:val="-6"/>
          <w:sz w:val="22"/>
          <w:szCs w:val="22"/>
          <w:highlight w:val="none"/>
        </w:rPr>
        <w:t>月</w:t>
      </w:r>
      <w:r>
        <w:rPr>
          <w:rFonts w:hint="eastAsia" w:asciiTheme="minorEastAsia" w:hAnsiTheme="minorEastAsia" w:eastAsiaTheme="minorEastAsia" w:cstheme="minorEastAsia"/>
          <w:color w:val="auto"/>
          <w:spacing w:val="-6"/>
          <w:sz w:val="22"/>
          <w:szCs w:val="22"/>
          <w:highlight w:val="none"/>
          <w:lang w:val="en-US" w:eastAsia="zh-CN"/>
        </w:rPr>
        <w:t xml:space="preserve"> 5 </w:t>
      </w:r>
      <w:r>
        <w:rPr>
          <w:rFonts w:hint="eastAsia" w:asciiTheme="minorEastAsia" w:hAnsiTheme="minorEastAsia" w:eastAsiaTheme="minorEastAsia" w:cstheme="minorEastAsia"/>
          <w:color w:val="auto"/>
          <w:spacing w:val="-6"/>
          <w:sz w:val="22"/>
          <w:szCs w:val="22"/>
          <w:highlight w:val="none"/>
        </w:rPr>
        <w:t>日至2025年</w:t>
      </w:r>
      <w:r>
        <w:rPr>
          <w:rFonts w:hint="eastAsia" w:asciiTheme="minorEastAsia" w:hAnsiTheme="minorEastAsia" w:eastAsiaTheme="minorEastAsia" w:cstheme="minorEastAsia"/>
          <w:color w:val="auto"/>
          <w:spacing w:val="-6"/>
          <w:sz w:val="22"/>
          <w:szCs w:val="22"/>
          <w:highlight w:val="none"/>
          <w:lang w:val="en-US" w:eastAsia="zh-CN"/>
        </w:rPr>
        <w:t xml:space="preserve"> 2 </w:t>
      </w:r>
      <w:r>
        <w:rPr>
          <w:rFonts w:hint="eastAsia" w:asciiTheme="minorEastAsia" w:hAnsiTheme="minorEastAsia" w:eastAsiaTheme="minorEastAsia" w:cstheme="minorEastAsia"/>
          <w:color w:val="auto"/>
          <w:spacing w:val="-6"/>
          <w:sz w:val="22"/>
          <w:szCs w:val="22"/>
          <w:highlight w:val="none"/>
        </w:rPr>
        <w:t xml:space="preserve">月 </w:t>
      </w:r>
      <w:r>
        <w:rPr>
          <w:rFonts w:hint="eastAsia" w:asciiTheme="minorEastAsia" w:hAnsiTheme="minorEastAsia" w:eastAsiaTheme="minorEastAsia" w:cstheme="minorEastAsia"/>
          <w:color w:val="auto"/>
          <w:spacing w:val="-6"/>
          <w:sz w:val="22"/>
          <w:szCs w:val="22"/>
          <w:highlight w:val="none"/>
          <w:lang w:val="en-US" w:eastAsia="zh-CN"/>
        </w:rPr>
        <w:t xml:space="preserve">11 </w:t>
      </w:r>
      <w:r>
        <w:rPr>
          <w:rFonts w:hint="eastAsia" w:asciiTheme="minorEastAsia" w:hAnsiTheme="minorEastAsia" w:eastAsiaTheme="minorEastAsia" w:cstheme="minorEastAsia"/>
          <w:color w:val="auto"/>
          <w:spacing w:val="-6"/>
          <w:sz w:val="22"/>
          <w:szCs w:val="22"/>
          <w:highlight w:val="none"/>
        </w:rPr>
        <w:t>日，每天上午9：00至11：30，下午14：30至17：00（北京时间，法定节假日除外）</w:t>
      </w:r>
    </w:p>
    <w:p w14:paraId="2E98C16C">
      <w:pPr>
        <w:pStyle w:val="2"/>
        <w:keepNext w:val="0"/>
        <w:keepLines w:val="0"/>
        <w:pageBreakBefore w:val="0"/>
        <w:widowControl/>
        <w:kinsoku w:val="0"/>
        <w:wordWrap/>
        <w:overflowPunct/>
        <w:topLinePunct w:val="0"/>
        <w:autoSpaceDE w:val="0"/>
        <w:autoSpaceDN w:val="0"/>
        <w:bidi w:val="0"/>
        <w:adjustRightInd w:val="0"/>
        <w:snapToGrid w:val="0"/>
        <w:spacing w:before="38" w:line="324" w:lineRule="auto"/>
        <w:ind w:left="24" w:right="216" w:firstLine="444"/>
        <w:jc w:val="both"/>
        <w:textAlignment w:val="baseline"/>
        <w:outlineLvl w:val="9"/>
        <w:rPr>
          <w:rFonts w:hint="eastAsia" w:asciiTheme="minorEastAsia" w:hAnsiTheme="minorEastAsia" w:eastAsiaTheme="minorEastAsia" w:cstheme="minorEastAsia"/>
          <w:color w:val="auto"/>
          <w:spacing w:val="-6"/>
          <w:sz w:val="22"/>
          <w:szCs w:val="22"/>
          <w:highlight w:val="none"/>
          <w:lang w:val="en-US" w:eastAsia="zh-CN"/>
        </w:rPr>
      </w:pPr>
      <w:r>
        <w:rPr>
          <w:rFonts w:hint="eastAsia" w:asciiTheme="minorEastAsia" w:hAnsiTheme="minorEastAsia" w:eastAsiaTheme="minorEastAsia" w:cstheme="minorEastAsia"/>
          <w:color w:val="auto"/>
          <w:spacing w:val="-6"/>
          <w:sz w:val="22"/>
          <w:szCs w:val="22"/>
          <w:highlight w:val="none"/>
        </w:rPr>
        <w:t>地点：</w:t>
      </w:r>
      <w:r>
        <w:rPr>
          <w:rFonts w:hint="eastAsia" w:asciiTheme="minorEastAsia" w:hAnsiTheme="minorEastAsia" w:eastAsiaTheme="minorEastAsia" w:cstheme="minorEastAsia"/>
          <w:color w:val="auto"/>
          <w:spacing w:val="-6"/>
          <w:sz w:val="22"/>
          <w:szCs w:val="22"/>
          <w:highlight w:val="none"/>
          <w:lang w:val="en-US" w:eastAsia="zh-CN"/>
        </w:rPr>
        <w:t>扬州市经济技术开发区智谷科技D座1802室</w:t>
      </w:r>
    </w:p>
    <w:p w14:paraId="3E493BA4">
      <w:pPr>
        <w:pStyle w:val="2"/>
        <w:keepNext w:val="0"/>
        <w:keepLines w:val="0"/>
        <w:pageBreakBefore w:val="0"/>
        <w:widowControl/>
        <w:kinsoku w:val="0"/>
        <w:wordWrap/>
        <w:overflowPunct/>
        <w:topLinePunct w:val="0"/>
        <w:autoSpaceDE w:val="0"/>
        <w:autoSpaceDN w:val="0"/>
        <w:bidi w:val="0"/>
        <w:adjustRightInd w:val="0"/>
        <w:snapToGrid w:val="0"/>
        <w:spacing w:before="38" w:line="324" w:lineRule="auto"/>
        <w:ind w:left="24" w:right="216" w:firstLine="444"/>
        <w:jc w:val="both"/>
        <w:textAlignment w:val="baseline"/>
        <w:rPr>
          <w:rFonts w:hint="eastAsia" w:asciiTheme="minorEastAsia" w:hAnsiTheme="minorEastAsia" w:eastAsiaTheme="minorEastAsia" w:cstheme="minorEastAsia"/>
          <w:color w:val="auto"/>
          <w:spacing w:val="-6"/>
          <w:sz w:val="22"/>
          <w:szCs w:val="22"/>
          <w:highlight w:val="none"/>
        </w:rPr>
      </w:pPr>
      <w:r>
        <w:rPr>
          <w:rFonts w:hint="eastAsia" w:asciiTheme="minorEastAsia" w:hAnsiTheme="minorEastAsia" w:eastAsiaTheme="minorEastAsia" w:cstheme="minorEastAsia"/>
          <w:color w:val="auto"/>
          <w:spacing w:val="-6"/>
          <w:sz w:val="22"/>
          <w:szCs w:val="22"/>
          <w:highlight w:val="none"/>
        </w:rPr>
        <w:t>方式：凡有意参加投标供应商，请于上述时间内</w:t>
      </w:r>
      <w:r>
        <w:rPr>
          <w:rFonts w:hint="eastAsia" w:asciiTheme="minorEastAsia" w:hAnsiTheme="minorEastAsia" w:eastAsiaTheme="minorEastAsia" w:cstheme="minorEastAsia"/>
          <w:color w:val="auto"/>
          <w:spacing w:val="-6"/>
          <w:sz w:val="22"/>
          <w:szCs w:val="22"/>
          <w:highlight w:val="none"/>
          <w:lang w:val="en-US" w:eastAsia="zh-CN"/>
        </w:rPr>
        <w:t>将</w:t>
      </w:r>
      <w:r>
        <w:rPr>
          <w:rFonts w:hint="eastAsia" w:asciiTheme="minorEastAsia" w:hAnsiTheme="minorEastAsia" w:eastAsiaTheme="minorEastAsia" w:cstheme="minorEastAsia"/>
          <w:color w:val="auto"/>
          <w:spacing w:val="-6"/>
          <w:sz w:val="22"/>
          <w:szCs w:val="22"/>
          <w:highlight w:val="none"/>
        </w:rPr>
        <w:t>营业执照复印件（加盖单位公章）、法定代表人授权委托书原件、被授权人身份证复印件（加盖单位公章）</w:t>
      </w:r>
      <w:r>
        <w:rPr>
          <w:rFonts w:hint="eastAsia" w:asciiTheme="minorEastAsia" w:hAnsiTheme="minorEastAsia" w:eastAsiaTheme="minorEastAsia" w:cstheme="minorEastAsia"/>
          <w:color w:val="auto"/>
          <w:spacing w:val="-6"/>
          <w:sz w:val="22"/>
          <w:szCs w:val="22"/>
          <w:highlight w:val="none"/>
          <w:lang w:val="en-US" w:eastAsia="zh-CN"/>
        </w:rPr>
        <w:t>发送</w:t>
      </w:r>
      <w:r>
        <w:rPr>
          <w:rFonts w:hint="eastAsia" w:asciiTheme="minorEastAsia" w:hAnsiTheme="minorEastAsia" w:eastAsiaTheme="minorEastAsia" w:cstheme="minorEastAsia"/>
          <w:color w:val="auto"/>
          <w:spacing w:val="-6"/>
          <w:sz w:val="22"/>
          <w:szCs w:val="22"/>
          <w:highlight w:val="none"/>
        </w:rPr>
        <w:t>邮箱：</w:t>
      </w:r>
      <w:r>
        <w:rPr>
          <w:rFonts w:hint="eastAsia" w:asciiTheme="minorEastAsia" w:hAnsiTheme="minorEastAsia" w:eastAsiaTheme="minorEastAsia" w:cstheme="minorEastAsia"/>
          <w:color w:val="auto"/>
          <w:spacing w:val="-6"/>
          <w:sz w:val="22"/>
          <w:szCs w:val="22"/>
          <w:highlight w:val="none"/>
          <w:lang w:val="en-US" w:eastAsia="zh-CN"/>
        </w:rPr>
        <w:t>1054428799</w:t>
      </w:r>
      <w:r>
        <w:rPr>
          <w:rFonts w:hint="eastAsia" w:asciiTheme="minorEastAsia" w:hAnsiTheme="minorEastAsia" w:eastAsiaTheme="minorEastAsia" w:cstheme="minorEastAsia"/>
          <w:color w:val="auto"/>
          <w:spacing w:val="-6"/>
          <w:sz w:val="22"/>
          <w:szCs w:val="22"/>
          <w:highlight w:val="none"/>
        </w:rPr>
        <w:t>@qq.com，邮件标题备注公司全称+项目简称，联系电话：</w:t>
      </w:r>
      <w:r>
        <w:rPr>
          <w:rFonts w:hint="eastAsia" w:asciiTheme="minorEastAsia" w:hAnsiTheme="minorEastAsia" w:eastAsiaTheme="minorEastAsia" w:cstheme="minorEastAsia"/>
          <w:color w:val="auto"/>
          <w:spacing w:val="-6"/>
          <w:sz w:val="22"/>
          <w:szCs w:val="22"/>
          <w:highlight w:val="none"/>
          <w:lang w:val="en-US" w:eastAsia="zh-CN"/>
        </w:rPr>
        <w:t>18936399365</w:t>
      </w:r>
      <w:r>
        <w:rPr>
          <w:rFonts w:hint="eastAsia" w:asciiTheme="minorEastAsia" w:hAnsiTheme="minorEastAsia" w:eastAsiaTheme="minorEastAsia" w:cstheme="minorEastAsia"/>
          <w:color w:val="auto"/>
          <w:spacing w:val="-6"/>
          <w:sz w:val="22"/>
          <w:szCs w:val="22"/>
          <w:highlight w:val="none"/>
        </w:rPr>
        <w:t>），同时需与采购代理机构经办人确认是否收到；</w:t>
      </w:r>
    </w:p>
    <w:p w14:paraId="46AA79D7">
      <w:pPr>
        <w:pStyle w:val="2"/>
        <w:keepNext w:val="0"/>
        <w:keepLines w:val="0"/>
        <w:pageBreakBefore w:val="0"/>
        <w:widowControl/>
        <w:kinsoku w:val="0"/>
        <w:wordWrap/>
        <w:overflowPunct/>
        <w:topLinePunct w:val="0"/>
        <w:autoSpaceDE w:val="0"/>
        <w:autoSpaceDN w:val="0"/>
        <w:bidi w:val="0"/>
        <w:adjustRightInd w:val="0"/>
        <w:snapToGrid w:val="0"/>
        <w:spacing w:before="38" w:line="324" w:lineRule="auto"/>
        <w:ind w:left="24" w:right="216" w:firstLine="444"/>
        <w:jc w:val="both"/>
        <w:textAlignment w:val="baseline"/>
        <w:rPr>
          <w:rFonts w:hint="eastAsia" w:asciiTheme="minorEastAsia" w:hAnsiTheme="minorEastAsia" w:eastAsiaTheme="minorEastAsia" w:cstheme="minorEastAsia"/>
          <w:color w:val="auto"/>
          <w:spacing w:val="-6"/>
          <w:sz w:val="22"/>
          <w:szCs w:val="22"/>
          <w:highlight w:val="none"/>
          <w:u w:val="single"/>
          <w:lang w:val="en-US" w:eastAsia="zh-CN"/>
        </w:rPr>
      </w:pPr>
      <w:r>
        <w:rPr>
          <w:rFonts w:hint="eastAsia" w:asciiTheme="minorEastAsia" w:hAnsiTheme="minorEastAsia" w:eastAsiaTheme="minorEastAsia" w:cstheme="minorEastAsia"/>
          <w:color w:val="auto"/>
          <w:spacing w:val="-6"/>
          <w:sz w:val="22"/>
          <w:szCs w:val="22"/>
          <w:highlight w:val="none"/>
          <w:lang w:val="en-US" w:eastAsia="zh-CN"/>
        </w:rPr>
        <w:t>售价：</w:t>
      </w:r>
      <w:r>
        <w:rPr>
          <w:rFonts w:hint="eastAsia" w:asciiTheme="minorEastAsia" w:hAnsiTheme="minorEastAsia" w:eastAsiaTheme="minorEastAsia" w:cstheme="minorEastAsia"/>
          <w:color w:val="auto"/>
          <w:spacing w:val="-6"/>
          <w:sz w:val="22"/>
          <w:szCs w:val="22"/>
          <w:highlight w:val="none"/>
          <w:u w:val="single"/>
          <w:lang w:val="en-US" w:eastAsia="zh-CN"/>
        </w:rPr>
        <w:t>0元</w:t>
      </w:r>
    </w:p>
    <w:p w14:paraId="047F3638">
      <w:pPr>
        <w:pStyle w:val="2"/>
        <w:keepNext w:val="0"/>
        <w:keepLines w:val="0"/>
        <w:pageBreakBefore w:val="0"/>
        <w:widowControl/>
        <w:kinsoku w:val="0"/>
        <w:wordWrap/>
        <w:overflowPunct/>
        <w:topLinePunct w:val="0"/>
        <w:autoSpaceDE w:val="0"/>
        <w:autoSpaceDN w:val="0"/>
        <w:bidi w:val="0"/>
        <w:adjustRightInd w:val="0"/>
        <w:snapToGrid w:val="0"/>
        <w:spacing w:before="38" w:line="324" w:lineRule="auto"/>
        <w:ind w:left="24" w:right="216" w:firstLine="444"/>
        <w:jc w:val="both"/>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公告期限：自招标公告在扬州市公共资源交易服务平台、扬州市城建国有资产控股（集团）有限责任公司、江苏长江水务股份有限公司网站发布之日起5个工作日。</w:t>
      </w:r>
    </w:p>
    <w:p w14:paraId="1787B5CB">
      <w:pPr>
        <w:pStyle w:val="2"/>
        <w:keepNext w:val="0"/>
        <w:keepLines w:val="0"/>
        <w:pageBreakBefore w:val="0"/>
        <w:widowControl/>
        <w:kinsoku w:val="0"/>
        <w:wordWrap/>
        <w:overflowPunct/>
        <w:topLinePunct w:val="0"/>
        <w:autoSpaceDE w:val="0"/>
        <w:autoSpaceDN w:val="0"/>
        <w:bidi w:val="0"/>
        <w:adjustRightInd w:val="0"/>
        <w:snapToGrid w:val="0"/>
        <w:spacing w:before="33" w:line="324" w:lineRule="auto"/>
        <w:ind w:left="466"/>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5"/>
          <w:sz w:val="22"/>
          <w:szCs w:val="22"/>
          <w:highlight w:val="none"/>
          <w:lang w:val="en-US" w:eastAsia="zh-CN"/>
        </w:rPr>
        <w:t>五</w:t>
      </w:r>
      <w:r>
        <w:rPr>
          <w:rFonts w:hint="eastAsia" w:asciiTheme="minorEastAsia" w:hAnsiTheme="minorEastAsia" w:eastAsiaTheme="minorEastAsia" w:cstheme="minorEastAsia"/>
          <w:b/>
          <w:bCs/>
          <w:color w:val="auto"/>
          <w:spacing w:val="-5"/>
          <w:sz w:val="22"/>
          <w:szCs w:val="22"/>
          <w:highlight w:val="none"/>
        </w:rPr>
        <w:t>、投标文件接收信息</w:t>
      </w:r>
    </w:p>
    <w:p w14:paraId="09230FF1">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464"/>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5"/>
          <w:sz w:val="22"/>
          <w:szCs w:val="22"/>
          <w:highlight w:val="none"/>
        </w:rPr>
        <w:t>投标文件接收开始时间：202</w:t>
      </w:r>
      <w:r>
        <w:rPr>
          <w:rFonts w:hint="eastAsia" w:asciiTheme="minorEastAsia" w:hAnsiTheme="minorEastAsia" w:eastAsiaTheme="minorEastAsia" w:cstheme="minorEastAsia"/>
          <w:color w:val="auto"/>
          <w:spacing w:val="-5"/>
          <w:sz w:val="22"/>
          <w:szCs w:val="22"/>
          <w:highlight w:val="none"/>
          <w:lang w:val="en-US" w:eastAsia="zh-CN"/>
        </w:rPr>
        <w:t>5</w:t>
      </w:r>
      <w:r>
        <w:rPr>
          <w:rFonts w:hint="eastAsia" w:asciiTheme="minorEastAsia" w:hAnsiTheme="minorEastAsia" w:eastAsiaTheme="minorEastAsia" w:cstheme="minorEastAsia"/>
          <w:color w:val="auto"/>
          <w:spacing w:val="-30"/>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rPr>
        <w:t>年</w:t>
      </w:r>
      <w:r>
        <w:rPr>
          <w:rFonts w:hint="eastAsia" w:asciiTheme="minorEastAsia" w:hAnsiTheme="minorEastAsia" w:eastAsiaTheme="minorEastAsia" w:cstheme="minorEastAsia"/>
          <w:color w:val="auto"/>
          <w:spacing w:val="-42"/>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2</w:t>
      </w:r>
      <w:r>
        <w:rPr>
          <w:rFonts w:hint="eastAsia" w:asciiTheme="minorEastAsia" w:hAnsiTheme="minorEastAsia" w:eastAsiaTheme="minorEastAsia" w:cstheme="minorEastAsia"/>
          <w:color w:val="auto"/>
          <w:spacing w:val="-43"/>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rPr>
        <w:t>月</w:t>
      </w:r>
      <w:r>
        <w:rPr>
          <w:rFonts w:hint="eastAsia" w:asciiTheme="minorEastAsia" w:hAnsiTheme="minorEastAsia" w:eastAsiaTheme="minorEastAsia" w:cstheme="minorEastAsia"/>
          <w:color w:val="auto"/>
          <w:spacing w:val="-46"/>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26</w:t>
      </w:r>
      <w:r>
        <w:rPr>
          <w:rFonts w:hint="eastAsia" w:asciiTheme="minorEastAsia" w:hAnsiTheme="minorEastAsia" w:eastAsiaTheme="minorEastAsia" w:cstheme="minorEastAsia"/>
          <w:color w:val="auto"/>
          <w:spacing w:val="-5"/>
          <w:sz w:val="22"/>
          <w:szCs w:val="22"/>
          <w:highlight w:val="none"/>
        </w:rPr>
        <w:t xml:space="preserve"> 日</w:t>
      </w:r>
      <w:r>
        <w:rPr>
          <w:rFonts w:hint="eastAsia" w:asciiTheme="minorEastAsia" w:hAnsiTheme="minorEastAsia" w:eastAsiaTheme="minorEastAsia" w:cstheme="minorEastAsia"/>
          <w:color w:val="auto"/>
          <w:spacing w:val="-32"/>
          <w:sz w:val="22"/>
          <w:szCs w:val="22"/>
          <w:highlight w:val="none"/>
        </w:rPr>
        <w:t xml:space="preserve"> </w:t>
      </w:r>
      <w:r>
        <w:rPr>
          <w:rFonts w:hint="eastAsia" w:asciiTheme="minorEastAsia" w:hAnsiTheme="minorEastAsia" w:eastAsiaTheme="minorEastAsia" w:cstheme="minorEastAsia"/>
          <w:color w:val="auto"/>
          <w:spacing w:val="-32"/>
          <w:sz w:val="22"/>
          <w:szCs w:val="22"/>
          <w:highlight w:val="none"/>
          <w:lang w:eastAsia="zh-CN"/>
        </w:rPr>
        <w:t>9 ：0 0</w:t>
      </w:r>
      <w:r>
        <w:rPr>
          <w:rFonts w:hint="eastAsia" w:asciiTheme="minorEastAsia" w:hAnsiTheme="minorEastAsia" w:eastAsiaTheme="minorEastAsia" w:cstheme="minorEastAsia"/>
          <w:color w:val="auto"/>
          <w:spacing w:val="-5"/>
          <w:sz w:val="22"/>
          <w:szCs w:val="22"/>
          <w:highlight w:val="none"/>
          <w:lang w:val="en-US" w:eastAsia="zh-CN"/>
        </w:rPr>
        <w:t xml:space="preserve"> </w:t>
      </w:r>
      <w:r>
        <w:rPr>
          <w:rFonts w:hint="eastAsia" w:asciiTheme="minorEastAsia" w:hAnsiTheme="minorEastAsia" w:eastAsiaTheme="minorEastAsia" w:cstheme="minorEastAsia"/>
          <w:color w:val="auto"/>
          <w:spacing w:val="-5"/>
          <w:sz w:val="22"/>
          <w:szCs w:val="22"/>
          <w:highlight w:val="none"/>
        </w:rPr>
        <w:t>（北京时间）</w:t>
      </w:r>
    </w:p>
    <w:p w14:paraId="042D9802">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464"/>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5"/>
          <w:sz w:val="22"/>
          <w:szCs w:val="22"/>
          <w:highlight w:val="none"/>
        </w:rPr>
        <w:t>投标文件接收截止时间：202</w:t>
      </w:r>
      <w:r>
        <w:rPr>
          <w:rFonts w:hint="eastAsia" w:asciiTheme="minorEastAsia" w:hAnsiTheme="minorEastAsia" w:eastAsiaTheme="minorEastAsia" w:cstheme="minorEastAsia"/>
          <w:color w:val="auto"/>
          <w:spacing w:val="-5"/>
          <w:sz w:val="22"/>
          <w:szCs w:val="22"/>
          <w:highlight w:val="none"/>
          <w:lang w:val="en-US" w:eastAsia="zh-CN"/>
        </w:rPr>
        <w:t>5</w:t>
      </w:r>
      <w:r>
        <w:rPr>
          <w:rFonts w:hint="eastAsia" w:asciiTheme="minorEastAsia" w:hAnsiTheme="minorEastAsia" w:eastAsiaTheme="minorEastAsia" w:cstheme="minorEastAsia"/>
          <w:color w:val="auto"/>
          <w:spacing w:val="-30"/>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rPr>
        <w:t>年</w:t>
      </w:r>
      <w:r>
        <w:rPr>
          <w:rFonts w:hint="eastAsia" w:asciiTheme="minorEastAsia" w:hAnsiTheme="minorEastAsia" w:eastAsiaTheme="minorEastAsia" w:cstheme="minorEastAsia"/>
          <w:color w:val="auto"/>
          <w:spacing w:val="-42"/>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w:t>
      </w:r>
      <w:r>
        <w:rPr>
          <w:rFonts w:hint="eastAsia" w:asciiTheme="minorEastAsia" w:hAnsiTheme="minorEastAsia" w:eastAsiaTheme="minorEastAsia" w:cstheme="minorEastAsia"/>
          <w:color w:val="auto"/>
          <w:spacing w:val="-43"/>
          <w:sz w:val="22"/>
          <w:szCs w:val="22"/>
          <w:highlight w:val="none"/>
        </w:rPr>
        <w:t xml:space="preserve"> </w:t>
      </w:r>
      <w:r>
        <w:rPr>
          <w:rFonts w:hint="eastAsia" w:asciiTheme="minorEastAsia" w:hAnsiTheme="minorEastAsia" w:eastAsiaTheme="minorEastAsia" w:cstheme="minorEastAsia"/>
          <w:color w:val="auto"/>
          <w:spacing w:val="-43"/>
          <w:sz w:val="22"/>
          <w:szCs w:val="22"/>
          <w:highlight w:val="none"/>
          <w:lang w:eastAsia="zh-CN"/>
        </w:rPr>
        <w:t xml:space="preserve">2  </w:t>
      </w:r>
      <w:r>
        <w:rPr>
          <w:rFonts w:hint="eastAsia" w:asciiTheme="minorEastAsia" w:hAnsiTheme="minorEastAsia" w:eastAsiaTheme="minorEastAsia" w:cstheme="minorEastAsia"/>
          <w:color w:val="auto"/>
          <w:spacing w:val="-5"/>
          <w:sz w:val="22"/>
          <w:szCs w:val="22"/>
          <w:highlight w:val="none"/>
        </w:rPr>
        <w:t>月</w:t>
      </w:r>
      <w:r>
        <w:rPr>
          <w:rFonts w:hint="eastAsia" w:asciiTheme="minorEastAsia" w:hAnsiTheme="minorEastAsia" w:eastAsiaTheme="minorEastAsia" w:cstheme="minorEastAsia"/>
          <w:color w:val="auto"/>
          <w:spacing w:val="-46"/>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26</w:t>
      </w:r>
      <w:r>
        <w:rPr>
          <w:rFonts w:hint="eastAsia" w:asciiTheme="minorEastAsia" w:hAnsiTheme="minorEastAsia" w:eastAsiaTheme="minorEastAsia" w:cstheme="minorEastAsia"/>
          <w:color w:val="auto"/>
          <w:spacing w:val="-5"/>
          <w:sz w:val="22"/>
          <w:szCs w:val="22"/>
          <w:highlight w:val="none"/>
        </w:rPr>
        <w:t xml:space="preserve"> 日</w:t>
      </w:r>
      <w:r>
        <w:rPr>
          <w:rFonts w:hint="eastAsia" w:asciiTheme="minorEastAsia" w:hAnsiTheme="minorEastAsia" w:eastAsiaTheme="minorEastAsia" w:cstheme="minorEastAsia"/>
          <w:color w:val="auto"/>
          <w:spacing w:val="-32"/>
          <w:sz w:val="22"/>
          <w:szCs w:val="22"/>
          <w:highlight w:val="none"/>
        </w:rPr>
        <w:t xml:space="preserve"> </w:t>
      </w:r>
      <w:r>
        <w:rPr>
          <w:rFonts w:hint="eastAsia" w:asciiTheme="minorEastAsia" w:hAnsiTheme="minorEastAsia" w:eastAsiaTheme="minorEastAsia" w:cstheme="minorEastAsia"/>
          <w:color w:val="auto"/>
          <w:spacing w:val="-32"/>
          <w:sz w:val="22"/>
          <w:szCs w:val="22"/>
          <w:highlight w:val="none"/>
          <w:lang w:eastAsia="zh-CN"/>
        </w:rPr>
        <w:t>9  ：3 0</w:t>
      </w:r>
      <w:r>
        <w:rPr>
          <w:rFonts w:hint="eastAsia" w:asciiTheme="minorEastAsia" w:hAnsiTheme="minorEastAsia" w:eastAsiaTheme="minorEastAsia" w:cstheme="minorEastAsia"/>
          <w:color w:val="auto"/>
          <w:spacing w:val="-5"/>
          <w:sz w:val="22"/>
          <w:szCs w:val="22"/>
          <w:highlight w:val="none"/>
          <w:lang w:val="en-US" w:eastAsia="zh-CN"/>
        </w:rPr>
        <w:t xml:space="preserve"> </w:t>
      </w:r>
      <w:r>
        <w:rPr>
          <w:rFonts w:hint="eastAsia" w:asciiTheme="minorEastAsia" w:hAnsiTheme="minorEastAsia" w:eastAsiaTheme="minorEastAsia" w:cstheme="minorEastAsia"/>
          <w:color w:val="auto"/>
          <w:spacing w:val="-5"/>
          <w:sz w:val="22"/>
          <w:szCs w:val="22"/>
          <w:highlight w:val="none"/>
        </w:rPr>
        <w:t>（北京时间）</w:t>
      </w:r>
    </w:p>
    <w:p w14:paraId="23815BD1">
      <w:pPr>
        <w:pStyle w:val="2"/>
        <w:keepNext w:val="0"/>
        <w:keepLines w:val="0"/>
        <w:pageBreakBefore w:val="0"/>
        <w:widowControl/>
        <w:kinsoku w:val="0"/>
        <w:wordWrap/>
        <w:overflowPunct/>
        <w:topLinePunct w:val="0"/>
        <w:autoSpaceDE w:val="0"/>
        <w:autoSpaceDN w:val="0"/>
        <w:bidi w:val="0"/>
        <w:adjustRightInd w:val="0"/>
        <w:snapToGrid w:val="0"/>
        <w:spacing w:before="134" w:line="324" w:lineRule="auto"/>
        <w:ind w:left="30" w:right="2" w:firstLine="417"/>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2"/>
          <w:sz w:val="22"/>
          <w:szCs w:val="22"/>
          <w:highlight w:val="none"/>
        </w:rPr>
        <w:t>投标文件接收地点：</w:t>
      </w:r>
      <w:r>
        <w:rPr>
          <w:rFonts w:hint="eastAsia" w:asciiTheme="minorEastAsia" w:hAnsiTheme="minorEastAsia" w:eastAsiaTheme="minorEastAsia" w:cstheme="minorEastAsia"/>
          <w:color w:val="auto"/>
          <w:spacing w:val="-2"/>
          <w:sz w:val="22"/>
          <w:szCs w:val="22"/>
          <w:highlight w:val="none"/>
          <w:lang w:eastAsia="zh-CN"/>
        </w:rPr>
        <w:t>中企华建友工程管理有限公司</w:t>
      </w:r>
      <w:r>
        <w:rPr>
          <w:rFonts w:hint="eastAsia" w:asciiTheme="minorEastAsia" w:hAnsiTheme="minorEastAsia" w:eastAsiaTheme="minorEastAsia" w:cstheme="minorEastAsia"/>
          <w:color w:val="auto"/>
          <w:spacing w:val="-2"/>
          <w:sz w:val="22"/>
          <w:szCs w:val="22"/>
          <w:highlight w:val="none"/>
        </w:rPr>
        <w:t>开标室（</w:t>
      </w:r>
      <w:r>
        <w:rPr>
          <w:rFonts w:hint="eastAsia" w:asciiTheme="minorEastAsia" w:hAnsiTheme="minorEastAsia" w:eastAsiaTheme="minorEastAsia" w:cstheme="minorEastAsia"/>
          <w:color w:val="auto"/>
          <w:spacing w:val="-6"/>
          <w:sz w:val="22"/>
          <w:szCs w:val="22"/>
          <w:highlight w:val="none"/>
          <w:lang w:val="en-US" w:eastAsia="zh-CN"/>
        </w:rPr>
        <w:t>扬州市经济技术开发区智谷科技D座1807室</w:t>
      </w:r>
      <w:r>
        <w:rPr>
          <w:rFonts w:hint="eastAsia" w:asciiTheme="minorEastAsia" w:hAnsiTheme="minorEastAsia" w:eastAsiaTheme="minorEastAsia" w:cstheme="minorEastAsia"/>
          <w:color w:val="auto"/>
          <w:spacing w:val="7"/>
          <w:sz w:val="22"/>
          <w:szCs w:val="22"/>
          <w:highlight w:val="none"/>
        </w:rPr>
        <w:t>）</w:t>
      </w:r>
    </w:p>
    <w:p w14:paraId="28F31570">
      <w:pPr>
        <w:pStyle w:val="2"/>
        <w:keepNext w:val="0"/>
        <w:keepLines w:val="0"/>
        <w:pageBreakBefore w:val="0"/>
        <w:widowControl/>
        <w:kinsoku w:val="0"/>
        <w:wordWrap/>
        <w:overflowPunct/>
        <w:topLinePunct w:val="0"/>
        <w:autoSpaceDE w:val="0"/>
        <w:autoSpaceDN w:val="0"/>
        <w:bidi w:val="0"/>
        <w:adjustRightInd w:val="0"/>
        <w:snapToGrid w:val="0"/>
        <w:spacing w:before="32" w:line="324" w:lineRule="auto"/>
        <w:ind w:left="448"/>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1"/>
          <w:sz w:val="22"/>
          <w:szCs w:val="22"/>
          <w:highlight w:val="none"/>
        </w:rPr>
        <w:t>投标文件份数：一份正本，</w:t>
      </w:r>
      <w:r>
        <w:rPr>
          <w:rFonts w:hint="eastAsia" w:asciiTheme="minorEastAsia" w:hAnsiTheme="minorEastAsia" w:eastAsiaTheme="minorEastAsia" w:cstheme="minorEastAsia"/>
          <w:color w:val="auto"/>
          <w:spacing w:val="-1"/>
          <w:sz w:val="22"/>
          <w:szCs w:val="22"/>
          <w:highlight w:val="none"/>
          <w:lang w:val="en-US" w:eastAsia="zh-CN"/>
        </w:rPr>
        <w:t>四</w:t>
      </w:r>
      <w:r>
        <w:rPr>
          <w:rFonts w:hint="eastAsia" w:asciiTheme="minorEastAsia" w:hAnsiTheme="minorEastAsia" w:eastAsiaTheme="minorEastAsia" w:cstheme="minorEastAsia"/>
          <w:color w:val="auto"/>
          <w:spacing w:val="-1"/>
          <w:sz w:val="22"/>
          <w:szCs w:val="22"/>
          <w:highlight w:val="none"/>
        </w:rPr>
        <w:t>份副本</w:t>
      </w:r>
    </w:p>
    <w:p w14:paraId="3288DEA0">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463"/>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3"/>
          <w:sz w:val="22"/>
          <w:szCs w:val="22"/>
          <w:highlight w:val="none"/>
        </w:rPr>
        <w:t>七、开标有关信息</w:t>
      </w:r>
    </w:p>
    <w:p w14:paraId="6754DD73">
      <w:pPr>
        <w:pStyle w:val="2"/>
        <w:keepNext w:val="0"/>
        <w:keepLines w:val="0"/>
        <w:pageBreakBefore w:val="0"/>
        <w:widowControl/>
        <w:kinsoku w:val="0"/>
        <w:wordWrap/>
        <w:overflowPunct/>
        <w:topLinePunct w:val="0"/>
        <w:autoSpaceDE w:val="0"/>
        <w:autoSpaceDN w:val="0"/>
        <w:bidi w:val="0"/>
        <w:adjustRightInd w:val="0"/>
        <w:snapToGrid w:val="0"/>
        <w:spacing w:before="205" w:line="324" w:lineRule="auto"/>
        <w:ind w:left="463"/>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5"/>
          <w:sz w:val="22"/>
          <w:szCs w:val="22"/>
          <w:highlight w:val="none"/>
        </w:rPr>
        <w:t>开标时间：202</w:t>
      </w:r>
      <w:r>
        <w:rPr>
          <w:rFonts w:hint="eastAsia" w:asciiTheme="minorEastAsia" w:hAnsiTheme="minorEastAsia" w:eastAsiaTheme="minorEastAsia" w:cstheme="minorEastAsia"/>
          <w:color w:val="auto"/>
          <w:spacing w:val="-5"/>
          <w:sz w:val="22"/>
          <w:szCs w:val="22"/>
          <w:highlight w:val="none"/>
          <w:lang w:val="en-US" w:eastAsia="zh-CN"/>
        </w:rPr>
        <w:t>5</w:t>
      </w:r>
      <w:r>
        <w:rPr>
          <w:rFonts w:hint="eastAsia" w:asciiTheme="minorEastAsia" w:hAnsiTheme="minorEastAsia" w:eastAsiaTheme="minorEastAsia" w:cstheme="minorEastAsia"/>
          <w:color w:val="auto"/>
          <w:spacing w:val="-5"/>
          <w:sz w:val="22"/>
          <w:szCs w:val="22"/>
          <w:highlight w:val="none"/>
        </w:rPr>
        <w:t>年</w:t>
      </w:r>
      <w:r>
        <w:rPr>
          <w:rFonts w:hint="eastAsia" w:asciiTheme="minorEastAsia" w:hAnsiTheme="minorEastAsia" w:eastAsiaTheme="minorEastAsia" w:cstheme="minorEastAsia"/>
          <w:color w:val="auto"/>
          <w:spacing w:val="-42"/>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2 </w:t>
      </w:r>
      <w:r>
        <w:rPr>
          <w:rFonts w:hint="eastAsia" w:asciiTheme="minorEastAsia" w:hAnsiTheme="minorEastAsia" w:eastAsiaTheme="minorEastAsia" w:cstheme="minorEastAsia"/>
          <w:color w:val="auto"/>
          <w:spacing w:val="-40"/>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rPr>
        <w:t>月</w:t>
      </w:r>
      <w:r>
        <w:rPr>
          <w:rFonts w:hint="eastAsia" w:asciiTheme="minorEastAsia" w:hAnsiTheme="minorEastAsia" w:eastAsiaTheme="minorEastAsia" w:cstheme="minorEastAsia"/>
          <w:color w:val="auto"/>
          <w:spacing w:val="-48"/>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26 </w:t>
      </w:r>
      <w:r>
        <w:rPr>
          <w:rFonts w:hint="eastAsia" w:asciiTheme="minorEastAsia" w:hAnsiTheme="minorEastAsia" w:eastAsiaTheme="minorEastAsia" w:cstheme="minorEastAsia"/>
          <w:color w:val="auto"/>
          <w:spacing w:val="-5"/>
          <w:sz w:val="22"/>
          <w:szCs w:val="22"/>
          <w:highlight w:val="none"/>
        </w:rPr>
        <w:t>日</w:t>
      </w:r>
      <w:r>
        <w:rPr>
          <w:rFonts w:hint="eastAsia" w:asciiTheme="minorEastAsia" w:hAnsiTheme="minorEastAsia" w:eastAsiaTheme="minorEastAsia" w:cstheme="minorEastAsia"/>
          <w:color w:val="auto"/>
          <w:spacing w:val="-30"/>
          <w:sz w:val="22"/>
          <w:szCs w:val="22"/>
          <w:highlight w:val="none"/>
        </w:rPr>
        <w:t xml:space="preserve"> </w:t>
      </w:r>
      <w:r>
        <w:rPr>
          <w:rFonts w:hint="eastAsia" w:asciiTheme="minorEastAsia" w:hAnsiTheme="minorEastAsia" w:eastAsiaTheme="minorEastAsia" w:cstheme="minorEastAsia"/>
          <w:color w:val="auto"/>
          <w:spacing w:val="-5"/>
          <w:sz w:val="22"/>
          <w:szCs w:val="22"/>
          <w:highlight w:val="none"/>
          <w:lang w:val="en-US" w:eastAsia="zh-CN"/>
        </w:rPr>
        <w:t xml:space="preserve"> 9 </w:t>
      </w:r>
      <w:r>
        <w:rPr>
          <w:rFonts w:hint="eastAsia" w:asciiTheme="minorEastAsia" w:hAnsiTheme="minorEastAsia" w:eastAsiaTheme="minorEastAsia" w:cstheme="minorEastAsia"/>
          <w:color w:val="auto"/>
          <w:spacing w:val="-5"/>
          <w:sz w:val="22"/>
          <w:szCs w:val="22"/>
          <w:highlight w:val="none"/>
        </w:rPr>
        <w:t>：</w:t>
      </w:r>
      <w:r>
        <w:rPr>
          <w:rFonts w:hint="eastAsia" w:asciiTheme="minorEastAsia" w:hAnsiTheme="minorEastAsia" w:eastAsiaTheme="minorEastAsia" w:cstheme="minorEastAsia"/>
          <w:color w:val="auto"/>
          <w:spacing w:val="-5"/>
          <w:sz w:val="22"/>
          <w:szCs w:val="22"/>
          <w:highlight w:val="none"/>
          <w:lang w:eastAsia="zh-CN"/>
        </w:rPr>
        <w:t>30</w:t>
      </w:r>
      <w:r>
        <w:rPr>
          <w:rFonts w:hint="eastAsia" w:asciiTheme="minorEastAsia" w:hAnsiTheme="minorEastAsia" w:eastAsiaTheme="minorEastAsia" w:cstheme="minorEastAsia"/>
          <w:color w:val="auto"/>
          <w:spacing w:val="-5"/>
          <w:sz w:val="22"/>
          <w:szCs w:val="22"/>
          <w:highlight w:val="none"/>
          <w:lang w:val="en-US" w:eastAsia="zh-CN"/>
        </w:rPr>
        <w:t xml:space="preserve">  </w:t>
      </w:r>
      <w:r>
        <w:rPr>
          <w:rFonts w:hint="eastAsia" w:asciiTheme="minorEastAsia" w:hAnsiTheme="minorEastAsia" w:eastAsiaTheme="minorEastAsia" w:cstheme="minorEastAsia"/>
          <w:color w:val="auto"/>
          <w:spacing w:val="-5"/>
          <w:sz w:val="22"/>
          <w:szCs w:val="22"/>
          <w:highlight w:val="none"/>
        </w:rPr>
        <w:t>（北京时间）</w:t>
      </w:r>
    </w:p>
    <w:p w14:paraId="3C5D1863">
      <w:pPr>
        <w:pStyle w:val="2"/>
        <w:keepNext w:val="0"/>
        <w:keepLines w:val="0"/>
        <w:pageBreakBefore w:val="0"/>
        <w:widowControl/>
        <w:kinsoku w:val="0"/>
        <w:wordWrap/>
        <w:overflowPunct/>
        <w:topLinePunct w:val="0"/>
        <w:autoSpaceDE w:val="0"/>
        <w:autoSpaceDN w:val="0"/>
        <w:bidi w:val="0"/>
        <w:adjustRightInd w:val="0"/>
        <w:snapToGrid w:val="0"/>
        <w:spacing w:before="206" w:line="324" w:lineRule="auto"/>
        <w:ind w:left="29" w:firstLine="417"/>
        <w:textAlignment w:val="baseline"/>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pacing w:val="-4"/>
          <w:sz w:val="22"/>
          <w:szCs w:val="22"/>
          <w:highlight w:val="none"/>
        </w:rPr>
        <w:t>开标地点：</w:t>
      </w:r>
      <w:r>
        <w:rPr>
          <w:rFonts w:hint="eastAsia" w:asciiTheme="minorEastAsia" w:hAnsiTheme="minorEastAsia" w:eastAsiaTheme="minorEastAsia" w:cstheme="minorEastAsia"/>
          <w:color w:val="auto"/>
          <w:spacing w:val="-4"/>
          <w:sz w:val="22"/>
          <w:szCs w:val="22"/>
          <w:highlight w:val="none"/>
          <w:lang w:eastAsia="zh-CN"/>
        </w:rPr>
        <w:t>中企华建友工程管理有限公司开标室（扬州市经济技术开发区智谷科技D座1807室）</w:t>
      </w:r>
      <w:bookmarkStart w:id="2" w:name="_GoBack"/>
      <w:bookmarkEnd w:id="2"/>
    </w:p>
    <w:p w14:paraId="3B1C9FF4">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69"/>
        <w:textAlignment w:val="baseline"/>
        <w:outlineLvl w:val="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pacing w:val="-4"/>
          <w:sz w:val="22"/>
          <w:szCs w:val="22"/>
          <w:highlight w:val="none"/>
          <w:lang w:val="en-US" w:eastAsia="zh-CN"/>
        </w:rPr>
        <w:t>八</w:t>
      </w:r>
      <w:r>
        <w:rPr>
          <w:rFonts w:hint="eastAsia" w:asciiTheme="minorEastAsia" w:hAnsiTheme="minorEastAsia" w:eastAsiaTheme="minorEastAsia" w:cstheme="minorEastAsia"/>
          <w:b/>
          <w:bCs/>
          <w:color w:val="auto"/>
          <w:spacing w:val="-4"/>
          <w:sz w:val="22"/>
          <w:szCs w:val="22"/>
          <w:highlight w:val="none"/>
        </w:rPr>
        <w:t>、投标保证金</w:t>
      </w:r>
    </w:p>
    <w:p w14:paraId="5B03BA92">
      <w:pPr>
        <w:pStyle w:val="2"/>
        <w:keepNext w:val="0"/>
        <w:keepLines w:val="0"/>
        <w:pageBreakBefore w:val="0"/>
        <w:widowControl/>
        <w:kinsoku w:val="0"/>
        <w:wordWrap/>
        <w:overflowPunct/>
        <w:topLinePunct w:val="0"/>
        <w:autoSpaceDE w:val="0"/>
        <w:autoSpaceDN w:val="0"/>
        <w:bidi w:val="0"/>
        <w:adjustRightInd w:val="0"/>
        <w:snapToGrid w:val="0"/>
        <w:spacing w:before="205" w:line="324" w:lineRule="auto"/>
        <w:ind w:left="446"/>
        <w:textAlignment w:val="baseline"/>
        <w:rPr>
          <w:rFonts w:hint="eastAsia" w:asciiTheme="minorEastAsia" w:hAnsiTheme="minorEastAsia" w:eastAsiaTheme="minorEastAsia" w:cstheme="minorEastAsia"/>
          <w:b/>
          <w:bCs/>
          <w:color w:val="auto"/>
          <w:spacing w:val="-4"/>
          <w:sz w:val="22"/>
          <w:szCs w:val="22"/>
          <w:highlight w:val="none"/>
          <w:lang w:val="en-US" w:eastAsia="zh-CN"/>
        </w:rPr>
      </w:pPr>
      <w:r>
        <w:rPr>
          <w:rFonts w:hint="eastAsia" w:asciiTheme="minorEastAsia" w:hAnsiTheme="minorEastAsia" w:eastAsiaTheme="minorEastAsia" w:cstheme="minorEastAsia"/>
          <w:color w:val="auto"/>
          <w:spacing w:val="-2"/>
          <w:sz w:val="22"/>
          <w:szCs w:val="22"/>
          <w:highlight w:val="none"/>
        </w:rPr>
        <w:t>本项目无须缴纳投标保证金。</w:t>
      </w:r>
    </w:p>
    <w:p w14:paraId="00575D2E">
      <w:pPr>
        <w:pStyle w:val="2"/>
        <w:keepNext w:val="0"/>
        <w:keepLines w:val="0"/>
        <w:pageBreakBefore w:val="0"/>
        <w:widowControl/>
        <w:kinsoku w:val="0"/>
        <w:wordWrap/>
        <w:overflowPunct/>
        <w:topLinePunct w:val="0"/>
        <w:autoSpaceDE w:val="0"/>
        <w:autoSpaceDN w:val="0"/>
        <w:bidi w:val="0"/>
        <w:adjustRightInd w:val="0"/>
        <w:snapToGrid w:val="0"/>
        <w:spacing w:before="207" w:line="324" w:lineRule="auto"/>
        <w:ind w:left="469"/>
        <w:textAlignment w:val="baseline"/>
        <w:outlineLvl w:val="9"/>
        <w:rPr>
          <w:rFonts w:hint="eastAsia" w:asciiTheme="minorEastAsia" w:hAnsiTheme="minorEastAsia" w:eastAsiaTheme="minorEastAsia" w:cstheme="minorEastAsia"/>
          <w:b/>
          <w:bCs/>
          <w:color w:val="auto"/>
          <w:spacing w:val="-4"/>
          <w:sz w:val="22"/>
          <w:szCs w:val="22"/>
          <w:highlight w:val="none"/>
          <w:lang w:val="en-US" w:eastAsia="zh-CN"/>
        </w:rPr>
      </w:pPr>
      <w:r>
        <w:rPr>
          <w:rFonts w:hint="eastAsia" w:asciiTheme="minorEastAsia" w:hAnsiTheme="minorEastAsia" w:eastAsiaTheme="minorEastAsia" w:cstheme="minorEastAsia"/>
          <w:b/>
          <w:bCs/>
          <w:color w:val="auto"/>
          <w:spacing w:val="-4"/>
          <w:sz w:val="22"/>
          <w:szCs w:val="22"/>
          <w:highlight w:val="none"/>
          <w:lang w:val="en-US" w:eastAsia="zh-CN"/>
        </w:rPr>
        <w:t>九、对本次招标提出询问，请按以下方式联系</w:t>
      </w:r>
    </w:p>
    <w:p w14:paraId="04C655D3">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r>
        <w:rPr>
          <w:rFonts w:hint="eastAsia" w:asciiTheme="minorEastAsia" w:hAnsiTheme="minorEastAsia" w:eastAsiaTheme="minorEastAsia" w:cstheme="minorEastAsia"/>
          <w:color w:val="auto"/>
          <w:szCs w:val="21"/>
          <w:highlight w:val="none"/>
          <w:lang w:val="en-US" w:eastAsia="zh-CN"/>
        </w:rPr>
        <w:t>招标人</w:t>
      </w:r>
      <w:r>
        <w:rPr>
          <w:rFonts w:hint="eastAsia" w:asciiTheme="minorEastAsia" w:hAnsiTheme="minorEastAsia" w:eastAsiaTheme="minorEastAsia" w:cstheme="minorEastAsia"/>
          <w:color w:val="auto"/>
          <w:szCs w:val="21"/>
          <w:highlight w:val="none"/>
        </w:rPr>
        <w:t>信息</w:t>
      </w:r>
    </w:p>
    <w:p w14:paraId="7BEDF3B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名称：</w:t>
      </w:r>
      <w:bookmarkStart w:id="1" w:name="_Hlk183944397"/>
      <w:r>
        <w:rPr>
          <w:rFonts w:hint="eastAsia" w:asciiTheme="minorEastAsia" w:hAnsiTheme="minorEastAsia" w:eastAsiaTheme="minorEastAsia" w:cstheme="minorEastAsia"/>
          <w:color w:val="auto"/>
          <w:szCs w:val="21"/>
          <w:highlight w:val="none"/>
          <w:u w:val="single"/>
        </w:rPr>
        <w:t>江苏长江水务股份有限公司</w:t>
      </w:r>
      <w:bookmarkEnd w:id="1"/>
    </w:p>
    <w:p w14:paraId="07C140E8">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shd w:val="clear" w:color="auto" w:fill="FFFFFF"/>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扬州文汇东路249号</w:t>
      </w:r>
    </w:p>
    <w:p w14:paraId="034FE824">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lang w:val="en-US" w:eastAsia="zh-CN"/>
        </w:rPr>
      </w:pPr>
      <w:r>
        <w:rPr>
          <w:rFonts w:hint="eastAsia" w:asciiTheme="minorEastAsia" w:hAnsiTheme="minorEastAsia" w:eastAsiaTheme="minorEastAsia" w:cstheme="minorEastAsia"/>
          <w:color w:val="auto"/>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杨继业</w:t>
      </w:r>
    </w:p>
    <w:p w14:paraId="1C755EEC">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lang w:val="en-US" w:eastAsia="zh-CN"/>
        </w:rPr>
      </w:pPr>
      <w:r>
        <w:rPr>
          <w:rFonts w:hint="eastAsia" w:asciiTheme="minorEastAsia" w:hAnsiTheme="minorEastAsia" w:eastAsiaTheme="minorEastAsia" w:cstheme="minorEastAsia"/>
          <w:color w:val="auto"/>
          <w:szCs w:val="21"/>
          <w:highlight w:val="none"/>
        </w:rPr>
        <w:t>联系方式：</w:t>
      </w:r>
      <w:r>
        <w:rPr>
          <w:rFonts w:hint="eastAsia" w:asciiTheme="minorEastAsia" w:hAnsiTheme="minorEastAsia" w:eastAsiaTheme="minorEastAsia" w:cstheme="minorEastAsia"/>
          <w:color w:val="auto"/>
          <w:u w:val="single"/>
          <w:lang w:eastAsia="zh-CN"/>
        </w:rPr>
        <w:t>0514-82980012</w:t>
      </w:r>
    </w:p>
    <w:p w14:paraId="467A4AD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outlineLvl w:val="9"/>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en-US" w:eastAsia="zh-CN"/>
        </w:rPr>
        <w:t>招标</w:t>
      </w:r>
      <w:r>
        <w:rPr>
          <w:rFonts w:hint="eastAsia" w:asciiTheme="minorEastAsia" w:hAnsiTheme="minorEastAsia" w:eastAsiaTheme="minorEastAsia" w:cstheme="minorEastAsia"/>
          <w:color w:val="auto"/>
          <w:szCs w:val="21"/>
          <w:highlight w:val="none"/>
        </w:rPr>
        <w:t>代理单位信息</w:t>
      </w:r>
    </w:p>
    <w:p w14:paraId="69F629FF">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lang w:val="en-US" w:eastAsia="zh-CN"/>
        </w:rPr>
      </w:pPr>
      <w:r>
        <w:rPr>
          <w:rFonts w:hint="eastAsia" w:asciiTheme="minorEastAsia" w:hAnsiTheme="minorEastAsia" w:eastAsiaTheme="minorEastAsia" w:cstheme="minorEastAsia"/>
          <w:color w:val="auto"/>
          <w:szCs w:val="21"/>
          <w:highlight w:val="none"/>
        </w:rPr>
        <w:t>名称：</w:t>
      </w:r>
      <w:r>
        <w:rPr>
          <w:rFonts w:hint="eastAsia" w:asciiTheme="minorEastAsia" w:hAnsiTheme="minorEastAsia" w:eastAsiaTheme="minorEastAsia" w:cstheme="minorEastAsia"/>
          <w:color w:val="auto"/>
          <w:szCs w:val="21"/>
          <w:highlight w:val="none"/>
          <w:u w:val="single"/>
          <w:lang w:val="en-US" w:eastAsia="zh-CN"/>
        </w:rPr>
        <w:t>中企华建友工程管理有限公司</w:t>
      </w:r>
    </w:p>
    <w:p w14:paraId="0C8A5A48">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shd w:val="clear" w:color="auto" w:fill="FFFFFF"/>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扬州市经济技术开发区智谷科技D座180</w:t>
      </w:r>
      <w:r>
        <w:rPr>
          <w:rFonts w:hint="eastAsia" w:asciiTheme="minorEastAsia" w:hAnsiTheme="minorEastAsia" w:eastAsiaTheme="minorEastAsia" w:cstheme="minorEastAsia"/>
          <w:color w:val="auto"/>
          <w:szCs w:val="21"/>
          <w:highlight w:val="none"/>
          <w:u w:val="single"/>
          <w:lang w:val="en-US" w:eastAsia="zh-CN"/>
        </w:rPr>
        <w:t>2</w:t>
      </w:r>
      <w:r>
        <w:rPr>
          <w:rFonts w:hint="eastAsia" w:asciiTheme="minorEastAsia" w:hAnsiTheme="minorEastAsia" w:eastAsiaTheme="minorEastAsia" w:cstheme="minorEastAsia"/>
          <w:color w:val="auto"/>
          <w:szCs w:val="21"/>
          <w:highlight w:val="none"/>
          <w:u w:val="single"/>
        </w:rPr>
        <w:t>室</w:t>
      </w:r>
    </w:p>
    <w:p w14:paraId="6382A256">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联系人：</w:t>
      </w:r>
      <w:r>
        <w:rPr>
          <w:rFonts w:hint="eastAsia" w:asciiTheme="minorEastAsia" w:hAnsiTheme="minorEastAsia" w:eastAsiaTheme="minorEastAsia" w:cstheme="minorEastAsia"/>
          <w:color w:val="auto"/>
          <w:szCs w:val="21"/>
          <w:highlight w:val="none"/>
          <w:u w:val="single"/>
          <w:lang w:val="en-US" w:eastAsia="zh-CN"/>
        </w:rPr>
        <w:t>李</w:t>
      </w:r>
      <w:r>
        <w:rPr>
          <w:rFonts w:hint="eastAsia" w:asciiTheme="minorEastAsia" w:hAnsiTheme="minorEastAsia" w:eastAsiaTheme="minorEastAsia" w:cstheme="minorEastAsia"/>
          <w:color w:val="auto"/>
          <w:szCs w:val="21"/>
          <w:highlight w:val="none"/>
          <w:u w:val="single"/>
        </w:rPr>
        <w:t>工</w:t>
      </w:r>
    </w:p>
    <w:p w14:paraId="06E6420A">
      <w:pPr>
        <w:keepNext w:val="0"/>
        <w:keepLines w:val="0"/>
        <w:pageBreakBefore w:val="0"/>
        <w:widowControl/>
        <w:kinsoku w:val="0"/>
        <w:wordWrap/>
        <w:overflowPunct/>
        <w:topLinePunct w:val="0"/>
        <w:autoSpaceDE w:val="0"/>
        <w:autoSpaceDN w:val="0"/>
        <w:bidi w:val="0"/>
        <w:adjustRightInd w:val="0"/>
        <w:snapToGrid w:val="0"/>
        <w:spacing w:line="324" w:lineRule="auto"/>
        <w:ind w:firstLine="420" w:firstLineChars="200"/>
        <w:textAlignment w:val="baseline"/>
        <w:rPr>
          <w:rFonts w:hint="eastAsia" w:asciiTheme="minorEastAsia" w:hAnsiTheme="minorEastAsia" w:eastAsiaTheme="minorEastAsia" w:cstheme="minorEastAsia"/>
          <w:color w:val="auto"/>
          <w:szCs w:val="21"/>
          <w:highlight w:val="none"/>
          <w:u w:val="single"/>
          <w:lang w:val="en-US" w:eastAsia="zh-CN"/>
        </w:rPr>
      </w:pPr>
      <w:r>
        <w:rPr>
          <w:rFonts w:hint="eastAsia" w:asciiTheme="minorEastAsia" w:hAnsiTheme="minorEastAsia" w:eastAsiaTheme="minorEastAsia" w:cstheme="minorEastAsia"/>
          <w:color w:val="auto"/>
          <w:szCs w:val="21"/>
          <w:highlight w:val="none"/>
        </w:rPr>
        <w:t>联系方式：</w:t>
      </w:r>
      <w:r>
        <w:rPr>
          <w:rFonts w:hint="eastAsia" w:asciiTheme="minorEastAsia" w:hAnsiTheme="minorEastAsia" w:eastAsiaTheme="minorEastAsia" w:cstheme="minorEastAsia"/>
          <w:color w:val="auto"/>
          <w:szCs w:val="21"/>
          <w:highlight w:val="none"/>
          <w:u w:val="single"/>
          <w:lang w:val="en-US" w:eastAsia="zh-CN"/>
        </w:rPr>
        <w:t>18936399365</w:t>
      </w:r>
    </w:p>
    <w:p w14:paraId="0F8F97B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customStyle="1" w:styleId="5">
    <w:name w:val="List Paragraph"/>
    <w:basedOn w:val="1"/>
    <w:qFormat/>
    <w:uiPriority w:val="34"/>
    <w:pPr>
      <w:spacing w:after="0" w:line="240" w:lineRule="auto"/>
      <w:ind w:firstLine="420" w:firstLineChars="200"/>
      <w:jc w:val="both"/>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2077</Words>
  <Characters>2285</Characters>
  <Lines>0</Lines>
  <Paragraphs>0</Paragraphs>
  <TotalTime>0</TotalTime>
  <ScaleCrop>false</ScaleCrop>
  <LinksUpToDate>false</LinksUpToDate>
  <CharactersWithSpaces>2350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2025-01-22T08:47:00Z</dcterms:created>
  <dc:creator>10544</dc:creator>
  <cp:lastModifiedBy>iPhone</cp:lastModifiedBy>
  <cp:lastPrinted>2025-01-22T15:05:45Z</cp:lastPrinted>
  <dcterms:modified xsi:type="dcterms:W3CDTF">2025-02-05T15:22:00Z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2052-12.20.1</vt:lpwstr>
  </property>
  <property fmtid="{D5CDD505-2E9C-101B-9397-08002B2CF9AE}" pid="3" name="ICV">
    <vt:lpwstr>06FE17C937CC42DCBBCFC79392EC685F_11</vt:lpwstr>
  </property>
  <property fmtid="{D5CDD505-2E9C-101B-9397-08002B2CF9AE}" pid="4" name="KSOTemplateDocerSaveRecord">
    <vt:lpwstr>eyJoZGlkIjoiYzY1NzliYTg4OTAwY2QzYTAwZmJiY2I0OGViMmU5ZTIiLCJ1c2VySWQiOiIxNjU5Nzk0MDE0In0=</vt:lpwstr>
  </property>
</Properties>
</file>