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仿宋"/>
          <w:b/>
          <w:bCs/>
          <w:sz w:val="72"/>
          <w:szCs w:val="72"/>
        </w:rPr>
      </w:pPr>
      <w:bookmarkStart w:id="37" w:name="_GoBack"/>
      <w:bookmarkEnd w:id="37"/>
    </w:p>
    <w:p>
      <w:pPr>
        <w:rPr>
          <w:rFonts w:ascii="黑体" w:hAnsi="黑体" w:eastAsia="黑体" w:cs="仿宋"/>
          <w:b/>
          <w:bCs/>
          <w:sz w:val="72"/>
          <w:szCs w:val="72"/>
        </w:rPr>
      </w:pPr>
      <w:r>
        <w:rPr>
          <w:rFonts w:hint="eastAsia" w:ascii="黑体" w:hAnsi="黑体" w:eastAsia="黑体" w:cs="仿宋"/>
          <w:b/>
          <w:bCs/>
          <w:sz w:val="72"/>
          <w:szCs w:val="72"/>
        </w:rPr>
        <w:t>江苏长江水务股份有限公司</w:t>
      </w:r>
    </w:p>
    <w:p>
      <w:pPr>
        <w:rPr>
          <w:rFonts w:ascii="黑体" w:hAnsi="黑体" w:eastAsia="黑体" w:cs="仿宋"/>
          <w:b/>
          <w:bCs/>
          <w:sz w:val="72"/>
          <w:szCs w:val="72"/>
        </w:rPr>
      </w:pPr>
    </w:p>
    <w:p>
      <w:pPr>
        <w:tabs>
          <w:tab w:val="left" w:pos="8100"/>
        </w:tabs>
        <w:jc w:val="left"/>
        <w:rPr>
          <w:rFonts w:ascii="仿宋" w:hAnsi="仿宋" w:eastAsia="仿宋" w:cs="仿宋"/>
          <w:b/>
          <w:sz w:val="28"/>
          <w:szCs w:val="28"/>
        </w:rPr>
      </w:pPr>
      <w:r>
        <w:rPr>
          <w:rFonts w:ascii="仿宋" w:hAnsi="仿宋" w:eastAsia="仿宋" w:cs="仿宋"/>
          <w:b/>
          <w:sz w:val="28"/>
          <w:szCs w:val="28"/>
        </w:rPr>
        <w:tab/>
      </w:r>
    </w:p>
    <w:p>
      <w:pPr>
        <w:ind w:firstLine="1446" w:firstLineChars="200"/>
        <w:rPr>
          <w:rFonts w:ascii="黑体" w:hAnsi="黑体" w:eastAsia="黑体" w:cs="仿宋"/>
          <w:b/>
          <w:bCs/>
          <w:sz w:val="72"/>
          <w:szCs w:val="72"/>
        </w:rPr>
      </w:pPr>
      <w:r>
        <w:rPr>
          <w:rFonts w:hint="eastAsia" w:ascii="黑体" w:hAnsi="黑体" w:eastAsia="黑体" w:cs="仿宋"/>
          <w:b/>
          <w:bCs/>
          <w:sz w:val="72"/>
          <w:szCs w:val="72"/>
        </w:rPr>
        <w:t>财产保险招标文件</w:t>
      </w:r>
    </w:p>
    <w:p>
      <w:pPr>
        <w:rPr>
          <w:rFonts w:ascii="仿宋" w:hAnsi="仿宋" w:eastAsia="仿宋" w:cs="仿宋"/>
          <w:sz w:val="28"/>
          <w:szCs w:val="28"/>
        </w:rPr>
      </w:pPr>
    </w:p>
    <w:p>
      <w:pPr>
        <w:rPr>
          <w:rFonts w:ascii="仿宋" w:hAnsi="仿宋" w:eastAsia="仿宋" w:cs="仿宋"/>
          <w:sz w:val="28"/>
          <w:szCs w:val="28"/>
        </w:rPr>
      </w:pPr>
    </w:p>
    <w:p>
      <w:pPr>
        <w:ind w:firstLine="2570" w:firstLineChars="800"/>
        <w:rPr>
          <w:rFonts w:hint="eastAsia" w:cs="仿宋" w:asciiTheme="minorEastAsia" w:hAnsiTheme="minorEastAsia" w:eastAsiaTheme="minorEastAsia"/>
          <w:b/>
          <w:sz w:val="32"/>
          <w:szCs w:val="32"/>
        </w:rPr>
      </w:pPr>
      <w:r>
        <w:rPr>
          <w:rFonts w:hint="eastAsia" w:cs="仿宋" w:asciiTheme="minorEastAsia" w:hAnsiTheme="minorEastAsia" w:eastAsiaTheme="minorEastAsia"/>
          <w:b/>
          <w:sz w:val="32"/>
          <w:szCs w:val="32"/>
        </w:rPr>
        <w:t>法务办【2023】017</w:t>
      </w:r>
    </w:p>
    <w:p>
      <w:pPr>
        <w:rPr>
          <w:rFonts w:ascii="仿宋" w:hAnsi="仿宋" w:eastAsia="仿宋" w:cs="仿宋"/>
          <w:sz w:val="28"/>
          <w:szCs w:val="28"/>
        </w:rPr>
      </w:pPr>
    </w:p>
    <w:p>
      <w:pPr>
        <w:rPr>
          <w:rFonts w:cs="仿宋" w:asciiTheme="minorEastAsia" w:hAnsiTheme="minorEastAsia" w:eastAsiaTheme="minorEastAsia"/>
          <w:b/>
          <w:sz w:val="32"/>
          <w:szCs w:val="32"/>
        </w:rPr>
      </w:pPr>
    </w:p>
    <w:p>
      <w:pPr>
        <w:rPr>
          <w:rFonts w:ascii="仿宋" w:hAnsi="仿宋" w:eastAsia="仿宋" w:cs="仿宋"/>
          <w:sz w:val="28"/>
          <w:szCs w:val="28"/>
        </w:rPr>
      </w:pPr>
    </w:p>
    <w:p>
      <w:pPr>
        <w:rPr>
          <w:rFonts w:ascii="仿宋" w:hAnsi="仿宋" w:eastAsia="仿宋" w:cs="仿宋"/>
          <w:sz w:val="28"/>
          <w:szCs w:val="28"/>
        </w:rPr>
      </w:pPr>
    </w:p>
    <w:p>
      <w:pPr>
        <w:spacing w:before="100" w:beforeAutospacing="1" w:after="100" w:afterAutospacing="1" w:line="360" w:lineRule="auto"/>
        <w:ind w:left="840" w:leftChars="400" w:firstLine="784" w:firstLineChars="280"/>
        <w:rPr>
          <w:rFonts w:ascii="仿宋" w:hAnsi="仿宋" w:eastAsia="仿宋" w:cs="仿宋"/>
          <w:sz w:val="28"/>
          <w:szCs w:val="28"/>
        </w:rPr>
      </w:pPr>
      <w:r>
        <w:rPr>
          <w:rFonts w:hint="eastAsia" w:ascii="仿宋" w:hAnsi="仿宋" w:eastAsia="仿宋" w:cs="仿宋"/>
          <w:sz w:val="28"/>
          <w:szCs w:val="28"/>
        </w:rPr>
        <w:t>招  标  人：江苏长江水务股份有限公司</w:t>
      </w:r>
    </w:p>
    <w:p>
      <w:pPr>
        <w:ind w:firstLine="1960" w:firstLineChars="700"/>
        <w:rPr>
          <w:rFonts w:ascii="仿宋" w:hAnsi="仿宋" w:eastAsia="仿宋" w:cs="仿宋"/>
          <w:sz w:val="28"/>
          <w:szCs w:val="28"/>
        </w:rPr>
      </w:pPr>
      <w:r>
        <w:rPr>
          <w:rFonts w:hint="eastAsia" w:ascii="仿宋" w:hAnsi="仿宋" w:eastAsia="仿宋" w:cs="仿宋"/>
          <w:sz w:val="28"/>
          <w:szCs w:val="28"/>
        </w:rPr>
        <w:t>日  期：二0二三年二月</w:t>
      </w:r>
    </w:p>
    <w:p>
      <w:pPr>
        <w:tabs>
          <w:tab w:val="center" w:pos="4535"/>
          <w:tab w:val="left" w:pos="6840"/>
        </w:tabs>
        <w:spacing w:beforeLines="100" w:line="240" w:lineRule="atLeast"/>
        <w:jc w:val="center"/>
        <w:textAlignment w:val="baseline"/>
        <w:rPr>
          <w:rFonts w:ascii="仿宋" w:hAnsi="仿宋" w:eastAsia="仿宋" w:cs="仿宋"/>
          <w:b/>
          <w:sz w:val="32"/>
          <w:szCs w:val="32"/>
        </w:rPr>
        <w:sectPr>
          <w:headerReference r:id="rId3" w:type="default"/>
          <w:pgSz w:w="11906" w:h="16838"/>
          <w:pgMar w:top="1440" w:right="866" w:bottom="1440" w:left="1800" w:header="851" w:footer="992" w:gutter="0"/>
          <w:cols w:space="425" w:num="1"/>
          <w:docGrid w:type="lines" w:linePitch="312" w:charSpace="0"/>
        </w:sectPr>
      </w:pPr>
    </w:p>
    <w:p>
      <w:pPr>
        <w:tabs>
          <w:tab w:val="center" w:pos="4535"/>
          <w:tab w:val="left" w:pos="6840"/>
        </w:tabs>
        <w:spacing w:beforeLines="100" w:line="240" w:lineRule="atLeast"/>
        <w:jc w:val="center"/>
        <w:textAlignment w:val="baseline"/>
        <w:rPr>
          <w:rFonts w:ascii="仿宋" w:hAnsi="仿宋" w:eastAsia="仿宋" w:cs="仿宋"/>
          <w:b/>
          <w:sz w:val="32"/>
          <w:szCs w:val="32"/>
        </w:rPr>
      </w:pPr>
      <w:r>
        <w:rPr>
          <w:rFonts w:hint="eastAsia" w:ascii="仿宋" w:hAnsi="仿宋" w:eastAsia="仿宋" w:cs="仿宋"/>
          <w:b/>
          <w:sz w:val="32"/>
          <w:szCs w:val="32"/>
        </w:rPr>
        <w:t>目 录</w:t>
      </w:r>
    </w:p>
    <w:p>
      <w:pPr>
        <w:pStyle w:val="11"/>
        <w:tabs>
          <w:tab w:val="right" w:leader="dot" w:pos="9060"/>
        </w:tabs>
        <w:spacing w:beforeLines="50" w:afterLines="50" w:line="360" w:lineRule="auto"/>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TOC \o "1-3" \h \z </w:instrText>
      </w:r>
      <w:r>
        <w:rPr>
          <w:rFonts w:hint="eastAsia" w:ascii="宋体" w:hAnsi="宋体" w:cs="宋体"/>
          <w:sz w:val="28"/>
          <w:szCs w:val="28"/>
        </w:rPr>
        <w:fldChar w:fldCharType="separate"/>
      </w:r>
      <w:r>
        <w:fldChar w:fldCharType="begin"/>
      </w:r>
      <w:r>
        <w:instrText xml:space="preserve"> HYPERLINK \l "_Toc216420218" </w:instrText>
      </w:r>
      <w:r>
        <w:fldChar w:fldCharType="separate"/>
      </w:r>
      <w:r>
        <w:rPr>
          <w:rStyle w:val="13"/>
          <w:rFonts w:hint="eastAsia" w:ascii="宋体" w:hAnsi="宋体" w:cs="宋体"/>
          <w:color w:val="auto"/>
          <w:kern w:val="44"/>
          <w:sz w:val="28"/>
          <w:szCs w:val="28"/>
        </w:rPr>
        <w:t>第一章 招标函</w:t>
      </w:r>
      <w:r>
        <w:rPr>
          <w:rFonts w:hint="eastAsia" w:ascii="宋体" w:hAnsi="宋体" w:cs="宋体"/>
          <w:sz w:val="28"/>
          <w:szCs w:val="28"/>
        </w:rPr>
        <w:tab/>
      </w:r>
      <w:r>
        <w:rPr>
          <w:rFonts w:hint="eastAsia" w:ascii="宋体" w:hAnsi="宋体" w:cs="宋体"/>
          <w:sz w:val="28"/>
          <w:szCs w:val="28"/>
        </w:rPr>
        <w:fldChar w:fldCharType="end"/>
      </w:r>
      <w:r>
        <w:rPr>
          <w:rFonts w:hint="eastAsia" w:ascii="宋体" w:hAnsi="宋体" w:cs="宋体"/>
          <w:sz w:val="28"/>
          <w:szCs w:val="28"/>
        </w:rPr>
        <w:t>2</w:t>
      </w:r>
    </w:p>
    <w:p>
      <w:pPr>
        <w:pStyle w:val="11"/>
        <w:tabs>
          <w:tab w:val="right" w:leader="dot" w:pos="9060"/>
        </w:tabs>
        <w:spacing w:beforeLines="50" w:afterLines="50" w:line="360" w:lineRule="auto"/>
        <w:rPr>
          <w:rFonts w:ascii="宋体" w:hAnsi="宋体" w:cs="宋体"/>
          <w:sz w:val="28"/>
          <w:szCs w:val="28"/>
        </w:rPr>
      </w:pPr>
      <w:r>
        <w:fldChar w:fldCharType="begin"/>
      </w:r>
      <w:r>
        <w:instrText xml:space="preserve"> HYPERLINK \l "_Toc216420220" </w:instrText>
      </w:r>
      <w:r>
        <w:fldChar w:fldCharType="separate"/>
      </w:r>
      <w:r>
        <w:rPr>
          <w:rStyle w:val="13"/>
          <w:rFonts w:hint="eastAsia" w:ascii="宋体" w:hAnsi="宋体" w:cs="宋体"/>
          <w:color w:val="auto"/>
          <w:kern w:val="44"/>
          <w:sz w:val="28"/>
          <w:szCs w:val="28"/>
        </w:rPr>
        <w:t>第二章 投标人</w:t>
      </w:r>
      <w:bookmarkStart w:id="0" w:name="_Hlt247795664"/>
      <w:bookmarkStart w:id="1" w:name="_Hlt247795663"/>
      <w:r>
        <w:rPr>
          <w:rStyle w:val="13"/>
          <w:rFonts w:hint="eastAsia" w:ascii="宋体" w:hAnsi="宋体" w:cs="宋体"/>
          <w:color w:val="auto"/>
          <w:kern w:val="44"/>
          <w:sz w:val="28"/>
          <w:szCs w:val="28"/>
        </w:rPr>
        <w:t>须</w:t>
      </w:r>
      <w:bookmarkEnd w:id="0"/>
      <w:bookmarkEnd w:id="1"/>
      <w:r>
        <w:rPr>
          <w:rStyle w:val="13"/>
          <w:rFonts w:hint="eastAsia" w:ascii="宋体" w:hAnsi="宋体" w:cs="宋体"/>
          <w:color w:val="auto"/>
          <w:kern w:val="44"/>
          <w:sz w:val="28"/>
          <w:szCs w:val="28"/>
        </w:rPr>
        <w:t>知</w:t>
      </w:r>
      <w:r>
        <w:rPr>
          <w:rFonts w:hint="eastAsia" w:ascii="宋体" w:hAnsi="宋体" w:cs="宋体"/>
          <w:sz w:val="28"/>
          <w:szCs w:val="28"/>
        </w:rPr>
        <w:tab/>
      </w:r>
      <w:r>
        <w:rPr>
          <w:rFonts w:hint="eastAsia" w:ascii="宋体" w:hAnsi="宋体" w:cs="宋体"/>
          <w:sz w:val="28"/>
          <w:szCs w:val="28"/>
        </w:rPr>
        <w:t>3</w:t>
      </w:r>
      <w:r>
        <w:rPr>
          <w:rFonts w:hint="eastAsia" w:ascii="宋体" w:hAnsi="宋体" w:cs="宋体"/>
          <w:sz w:val="28"/>
          <w:szCs w:val="28"/>
        </w:rPr>
        <w:fldChar w:fldCharType="end"/>
      </w:r>
    </w:p>
    <w:p>
      <w:pPr>
        <w:pStyle w:val="11"/>
        <w:tabs>
          <w:tab w:val="right" w:leader="dot" w:pos="9060"/>
        </w:tabs>
        <w:spacing w:beforeLines="50" w:afterLines="50" w:line="360" w:lineRule="auto"/>
        <w:rPr>
          <w:rFonts w:ascii="宋体" w:hAnsi="宋体" w:cs="宋体"/>
          <w:sz w:val="28"/>
          <w:szCs w:val="28"/>
        </w:rPr>
      </w:pPr>
      <w:r>
        <w:fldChar w:fldCharType="begin"/>
      </w:r>
      <w:r>
        <w:instrText xml:space="preserve"> HYPERLINK \l "_Toc216420222" </w:instrText>
      </w:r>
      <w:r>
        <w:fldChar w:fldCharType="separate"/>
      </w:r>
      <w:r>
        <w:rPr>
          <w:rStyle w:val="13"/>
          <w:rFonts w:hint="eastAsia" w:ascii="宋体" w:hAnsi="宋体" w:cs="宋体"/>
          <w:color w:val="auto"/>
          <w:kern w:val="44"/>
          <w:sz w:val="28"/>
          <w:szCs w:val="28"/>
        </w:rPr>
        <w:t>第三章 保</w:t>
      </w:r>
      <w:bookmarkStart w:id="2" w:name="_Hlt247297844"/>
      <w:r>
        <w:rPr>
          <w:rStyle w:val="13"/>
          <w:rFonts w:hint="eastAsia" w:ascii="宋体" w:hAnsi="宋体" w:cs="宋体"/>
          <w:color w:val="auto"/>
          <w:kern w:val="44"/>
          <w:sz w:val="28"/>
          <w:szCs w:val="28"/>
        </w:rPr>
        <w:t>险</w:t>
      </w:r>
      <w:bookmarkEnd w:id="2"/>
      <w:bookmarkStart w:id="3" w:name="_Hlt247288855"/>
      <w:r>
        <w:rPr>
          <w:rStyle w:val="13"/>
          <w:rFonts w:hint="eastAsia" w:ascii="宋体" w:hAnsi="宋体" w:cs="宋体"/>
          <w:color w:val="auto"/>
          <w:kern w:val="44"/>
          <w:sz w:val="28"/>
          <w:szCs w:val="28"/>
        </w:rPr>
        <w:t>方</w:t>
      </w:r>
      <w:bookmarkEnd w:id="3"/>
      <w:r>
        <w:rPr>
          <w:rStyle w:val="13"/>
          <w:rFonts w:hint="eastAsia" w:ascii="宋体" w:hAnsi="宋体" w:cs="宋体"/>
          <w:color w:val="auto"/>
          <w:kern w:val="44"/>
          <w:sz w:val="28"/>
          <w:szCs w:val="28"/>
        </w:rPr>
        <w:t>案</w:t>
      </w:r>
      <w:r>
        <w:rPr>
          <w:rFonts w:hint="eastAsia" w:ascii="宋体" w:hAnsi="宋体" w:cs="宋体"/>
          <w:sz w:val="28"/>
          <w:szCs w:val="28"/>
        </w:rPr>
        <w:tab/>
      </w:r>
      <w:r>
        <w:rPr>
          <w:rFonts w:hint="eastAsia" w:ascii="宋体" w:hAnsi="宋体" w:cs="宋体"/>
          <w:sz w:val="28"/>
          <w:szCs w:val="28"/>
        </w:rPr>
        <w:t>9</w:t>
      </w:r>
      <w:r>
        <w:rPr>
          <w:rFonts w:hint="eastAsia" w:ascii="宋体" w:hAnsi="宋体" w:cs="宋体"/>
          <w:sz w:val="28"/>
          <w:szCs w:val="28"/>
        </w:rPr>
        <w:fldChar w:fldCharType="end"/>
      </w:r>
    </w:p>
    <w:p>
      <w:pPr>
        <w:pStyle w:val="11"/>
        <w:tabs>
          <w:tab w:val="right" w:leader="dot" w:pos="9060"/>
        </w:tabs>
        <w:spacing w:beforeLines="50" w:afterLines="50" w:line="360" w:lineRule="auto"/>
        <w:rPr>
          <w:rFonts w:ascii="宋体" w:hAnsi="宋体" w:cs="宋体"/>
          <w:sz w:val="28"/>
          <w:szCs w:val="28"/>
        </w:rPr>
      </w:pPr>
      <w:r>
        <w:fldChar w:fldCharType="begin"/>
      </w:r>
      <w:r>
        <w:instrText xml:space="preserve"> HYPERLINK \l "_Toc216420223" </w:instrText>
      </w:r>
      <w:r>
        <w:fldChar w:fldCharType="separate"/>
      </w:r>
      <w:r>
        <w:rPr>
          <w:rStyle w:val="13"/>
          <w:rFonts w:hint="eastAsia" w:ascii="宋体" w:hAnsi="宋体" w:cs="宋体"/>
          <w:color w:val="auto"/>
          <w:kern w:val="44"/>
          <w:sz w:val="28"/>
          <w:szCs w:val="28"/>
        </w:rPr>
        <w:t>第四章 基本</w:t>
      </w:r>
      <w:bookmarkStart w:id="4" w:name="_Hlt216444711"/>
      <w:r>
        <w:rPr>
          <w:rStyle w:val="13"/>
          <w:rFonts w:hint="eastAsia" w:ascii="宋体" w:hAnsi="宋体" w:cs="宋体"/>
          <w:color w:val="auto"/>
          <w:kern w:val="44"/>
          <w:sz w:val="28"/>
          <w:szCs w:val="28"/>
        </w:rPr>
        <w:t>服</w:t>
      </w:r>
      <w:bookmarkEnd w:id="4"/>
      <w:r>
        <w:rPr>
          <w:rStyle w:val="13"/>
          <w:rFonts w:hint="eastAsia" w:ascii="宋体" w:hAnsi="宋体" w:cs="宋体"/>
          <w:color w:val="auto"/>
          <w:kern w:val="44"/>
          <w:sz w:val="28"/>
          <w:szCs w:val="28"/>
        </w:rPr>
        <w:t>务要求</w:t>
      </w:r>
      <w:r>
        <w:rPr>
          <w:rFonts w:hint="eastAsia" w:ascii="宋体" w:hAnsi="宋体" w:cs="宋体"/>
          <w:sz w:val="28"/>
          <w:szCs w:val="28"/>
        </w:rPr>
        <w:tab/>
      </w:r>
      <w:r>
        <w:rPr>
          <w:rFonts w:hint="eastAsia" w:ascii="宋体" w:hAnsi="宋体" w:cs="宋体"/>
          <w:sz w:val="28"/>
          <w:szCs w:val="28"/>
        </w:rPr>
        <w:fldChar w:fldCharType="end"/>
      </w:r>
      <w:r>
        <w:rPr>
          <w:rFonts w:hint="eastAsia" w:ascii="宋体" w:hAnsi="宋体" w:cs="宋体"/>
          <w:sz w:val="28"/>
          <w:szCs w:val="28"/>
        </w:rPr>
        <w:t>10</w:t>
      </w:r>
    </w:p>
    <w:p>
      <w:pPr>
        <w:pStyle w:val="11"/>
        <w:tabs>
          <w:tab w:val="right" w:leader="dot" w:pos="9060"/>
        </w:tabs>
        <w:spacing w:beforeLines="50" w:afterLines="50" w:line="360" w:lineRule="auto"/>
        <w:rPr>
          <w:rFonts w:ascii="宋体" w:hAnsi="宋体" w:cs="宋体"/>
          <w:bCs/>
          <w:sz w:val="28"/>
          <w:szCs w:val="28"/>
        </w:rPr>
      </w:pPr>
      <w:r>
        <w:fldChar w:fldCharType="begin"/>
      </w:r>
      <w:r>
        <w:instrText xml:space="preserve"> HYPERLINK \l "_Toc216420224" </w:instrText>
      </w:r>
      <w:r>
        <w:fldChar w:fldCharType="separate"/>
      </w:r>
      <w:r>
        <w:rPr>
          <w:rStyle w:val="13"/>
          <w:rFonts w:hint="eastAsia" w:ascii="宋体" w:hAnsi="宋体" w:cs="宋体"/>
          <w:bCs/>
          <w:color w:val="auto"/>
          <w:kern w:val="44"/>
          <w:sz w:val="28"/>
          <w:szCs w:val="28"/>
        </w:rPr>
        <w:t>附件</w:t>
      </w:r>
      <w:r>
        <w:rPr>
          <w:rFonts w:hint="eastAsia" w:ascii="宋体" w:hAnsi="宋体" w:cs="宋体"/>
          <w:bCs/>
          <w:sz w:val="28"/>
          <w:szCs w:val="28"/>
        </w:rPr>
        <w:tab/>
      </w:r>
      <w:r>
        <w:rPr>
          <w:rFonts w:hint="eastAsia" w:ascii="宋体" w:hAnsi="宋体" w:cs="宋体"/>
          <w:bCs/>
          <w:sz w:val="28"/>
          <w:szCs w:val="28"/>
        </w:rPr>
        <w:fldChar w:fldCharType="end"/>
      </w:r>
      <w:r>
        <w:rPr>
          <w:rFonts w:hint="eastAsia" w:ascii="宋体" w:hAnsi="宋体" w:cs="宋体"/>
          <w:bCs/>
          <w:sz w:val="28"/>
          <w:szCs w:val="28"/>
        </w:rPr>
        <w:t>12</w:t>
      </w:r>
    </w:p>
    <w:p>
      <w:pPr>
        <w:pStyle w:val="11"/>
        <w:tabs>
          <w:tab w:val="right" w:leader="dot" w:pos="9060"/>
        </w:tabs>
        <w:spacing w:beforeLines="50" w:afterLines="50" w:line="360" w:lineRule="auto"/>
        <w:rPr>
          <w:rFonts w:ascii="宋体" w:hAnsi="宋体" w:cs="宋体"/>
          <w:bCs/>
          <w:sz w:val="28"/>
          <w:szCs w:val="28"/>
        </w:rPr>
      </w:pPr>
    </w:p>
    <w:p>
      <w:pPr>
        <w:ind w:firstLine="411" w:firstLineChars="147"/>
        <w:rPr>
          <w:rFonts w:ascii="宋体" w:hAnsi="宋体" w:cs="宋体"/>
          <w:bCs/>
          <w:sz w:val="28"/>
          <w:szCs w:val="28"/>
        </w:rPr>
      </w:pPr>
    </w:p>
    <w:p>
      <w:pPr>
        <w:pStyle w:val="3"/>
        <w:spacing w:beforeLines="50" w:afterLines="50" w:line="360" w:lineRule="auto"/>
        <w:ind w:left="200"/>
        <w:jc w:val="center"/>
        <w:rPr>
          <w:rStyle w:val="16"/>
          <w:rFonts w:ascii="宋体" w:hAnsi="宋体" w:cs="宋体"/>
          <w:b/>
          <w:sz w:val="32"/>
          <w:szCs w:val="32"/>
        </w:rPr>
      </w:pPr>
      <w:r>
        <w:rPr>
          <w:rFonts w:hint="eastAsia" w:ascii="宋体" w:hAnsi="宋体" w:eastAsia="宋体" w:cs="宋体"/>
          <w:b w:val="0"/>
          <w:sz w:val="28"/>
          <w:szCs w:val="28"/>
        </w:rPr>
        <w:fldChar w:fldCharType="end"/>
      </w:r>
      <w:r>
        <w:rPr>
          <w:rFonts w:hint="eastAsia" w:ascii="宋体" w:hAnsi="宋体" w:eastAsia="宋体" w:cs="宋体"/>
          <w:sz w:val="28"/>
          <w:szCs w:val="28"/>
        </w:rPr>
        <w:br w:type="page"/>
      </w:r>
      <w:bookmarkStart w:id="5" w:name="_Toc216420218"/>
      <w:r>
        <w:rPr>
          <w:rStyle w:val="16"/>
          <w:rFonts w:hint="eastAsia" w:ascii="宋体" w:hAnsi="宋体" w:cs="宋体"/>
          <w:b/>
          <w:sz w:val="32"/>
          <w:szCs w:val="32"/>
        </w:rPr>
        <w:t>第一章  招标函</w:t>
      </w:r>
      <w:bookmarkEnd w:id="5"/>
    </w:p>
    <w:p>
      <w:pPr>
        <w:rPr>
          <w:rFonts w:ascii="宋体" w:hAnsi="宋体" w:cs="宋体"/>
          <w:sz w:val="28"/>
          <w:szCs w:val="28"/>
        </w:rPr>
      </w:pPr>
      <w:r>
        <w:rPr>
          <w:rFonts w:hint="eastAsia" w:ascii="宋体" w:hAnsi="宋体" w:cs="宋体"/>
          <w:sz w:val="28"/>
          <w:szCs w:val="28"/>
          <w:u w:val="single"/>
        </w:rPr>
        <w:t>各保险公司</w:t>
      </w:r>
      <w:r>
        <w:rPr>
          <w:rFonts w:hint="eastAsia" w:ascii="宋体" w:hAnsi="宋体" w:cs="宋体"/>
          <w:sz w:val="28"/>
          <w:szCs w:val="28"/>
        </w:rPr>
        <w:t>：</w:t>
      </w:r>
    </w:p>
    <w:p>
      <w:pPr>
        <w:widowControl/>
        <w:spacing w:line="330" w:lineRule="atLeast"/>
        <w:ind w:firstLine="816" w:firstLineChars="300"/>
        <w:jc w:val="left"/>
        <w:rPr>
          <w:rFonts w:ascii="宋体" w:hAnsi="宋体" w:cs="宋体"/>
          <w:spacing w:val="-4"/>
          <w:sz w:val="28"/>
          <w:szCs w:val="28"/>
        </w:rPr>
      </w:pPr>
      <w:r>
        <w:rPr>
          <w:rFonts w:hint="eastAsia" w:ascii="宋体" w:hAnsi="宋体" w:cs="宋体"/>
          <w:spacing w:val="-4"/>
          <w:sz w:val="28"/>
          <w:szCs w:val="28"/>
        </w:rPr>
        <w:t>我公司拟对财产综合险、机器损坏险等业务进行保险招标，</w:t>
      </w:r>
      <w:r>
        <w:rPr>
          <w:rFonts w:hint="eastAsia" w:ascii="宋体" w:hAnsi="宋体" w:cs="宋体"/>
          <w:kern w:val="0"/>
          <w:sz w:val="28"/>
          <w:szCs w:val="28"/>
        </w:rPr>
        <w:t>该</w:t>
      </w:r>
      <w:r>
        <w:rPr>
          <w:rFonts w:hint="eastAsia" w:ascii="宋体" w:hAnsi="宋体" w:cs="宋体"/>
          <w:spacing w:val="-4"/>
          <w:sz w:val="28"/>
          <w:szCs w:val="28"/>
        </w:rPr>
        <w:t>项目采用公开招标方式，择优选择承保公司。</w:t>
      </w:r>
    </w:p>
    <w:p>
      <w:pPr>
        <w:numPr>
          <w:ilvl w:val="0"/>
          <w:numId w:val="2"/>
        </w:numPr>
        <w:ind w:firstLine="560"/>
        <w:rPr>
          <w:rFonts w:ascii="宋体" w:hAnsi="宋体" w:cs="宋体"/>
          <w:spacing w:val="-4"/>
          <w:sz w:val="28"/>
          <w:szCs w:val="28"/>
        </w:rPr>
      </w:pPr>
      <w:r>
        <w:rPr>
          <w:rFonts w:hint="eastAsia" w:ascii="宋体" w:hAnsi="宋体" w:cs="宋体"/>
          <w:spacing w:val="-4"/>
          <w:sz w:val="28"/>
          <w:szCs w:val="28"/>
        </w:rPr>
        <w:t>投保人/被保险人：江苏长江水务股份有限公司。</w:t>
      </w:r>
    </w:p>
    <w:p>
      <w:pPr>
        <w:numPr>
          <w:ilvl w:val="0"/>
          <w:numId w:val="2"/>
        </w:numPr>
        <w:ind w:firstLine="560"/>
        <w:rPr>
          <w:rFonts w:ascii="宋体" w:hAnsi="宋体" w:cs="宋体"/>
          <w:spacing w:val="-4"/>
          <w:sz w:val="28"/>
          <w:szCs w:val="28"/>
        </w:rPr>
      </w:pPr>
      <w:r>
        <w:rPr>
          <w:rFonts w:hint="eastAsia" w:ascii="宋体" w:hAnsi="宋体" w:cs="宋体"/>
          <w:spacing w:val="-4"/>
          <w:sz w:val="28"/>
          <w:szCs w:val="28"/>
        </w:rPr>
        <w:t>招标险种：财产综合险、机器损坏险。</w:t>
      </w:r>
    </w:p>
    <w:p>
      <w:pPr>
        <w:ind w:left="560"/>
        <w:rPr>
          <w:rFonts w:ascii="宋体" w:hAnsi="宋体" w:cs="宋体"/>
          <w:spacing w:val="-4"/>
          <w:sz w:val="28"/>
          <w:szCs w:val="28"/>
        </w:rPr>
      </w:pPr>
      <w:r>
        <w:rPr>
          <w:rFonts w:hint="eastAsia" w:ascii="宋体" w:hAnsi="宋体" w:cs="宋体"/>
          <w:spacing w:val="-4"/>
          <w:sz w:val="28"/>
          <w:szCs w:val="28"/>
        </w:rPr>
        <w:t>三、招标控制价：财产综合险保险费率不超过0.36</w:t>
      </w:r>
      <w:r>
        <w:rPr>
          <w:rFonts w:ascii="Arial" w:hAnsi="Arial" w:cs="Arial"/>
          <w:spacing w:val="-4"/>
          <w:sz w:val="28"/>
          <w:szCs w:val="28"/>
        </w:rPr>
        <w:t>‰</w:t>
      </w:r>
      <w:r>
        <w:rPr>
          <w:rFonts w:hint="eastAsia" w:ascii="宋体" w:hAnsi="宋体" w:cs="宋体"/>
          <w:spacing w:val="-4"/>
          <w:sz w:val="28"/>
          <w:szCs w:val="28"/>
        </w:rPr>
        <w:t>,机器损坏险保险费率不超过0.73</w:t>
      </w:r>
      <w:r>
        <w:rPr>
          <w:rFonts w:ascii="Arial" w:hAnsi="Arial" w:cs="Arial"/>
          <w:spacing w:val="-4"/>
          <w:sz w:val="28"/>
          <w:szCs w:val="28"/>
        </w:rPr>
        <w:t>‰</w:t>
      </w:r>
      <w:r>
        <w:rPr>
          <w:rFonts w:hint="eastAsia" w:ascii="宋体" w:hAnsi="宋体" w:cs="宋体"/>
          <w:spacing w:val="-4"/>
          <w:sz w:val="28"/>
          <w:szCs w:val="28"/>
        </w:rPr>
        <w:t>，当年保险保额以上一年度财务数据为准。</w:t>
      </w:r>
    </w:p>
    <w:p>
      <w:pPr>
        <w:ind w:firstLine="570"/>
        <w:rPr>
          <w:rFonts w:ascii="宋体" w:hAnsi="宋体" w:cs="宋体"/>
          <w:sz w:val="28"/>
          <w:szCs w:val="28"/>
        </w:rPr>
      </w:pPr>
      <w:r>
        <w:rPr>
          <w:rFonts w:hint="eastAsia" w:ascii="宋体" w:hAnsi="宋体" w:cs="宋体"/>
          <w:sz w:val="28"/>
          <w:szCs w:val="28"/>
        </w:rPr>
        <w:t>三、投标截止时间： 2023年 2</w:t>
      </w:r>
      <w:r>
        <w:rPr>
          <w:rFonts w:hint="eastAsia" w:ascii="宋体" w:hAnsi="宋体" w:cs="宋体"/>
          <w:color w:val="FF0000"/>
          <w:sz w:val="28"/>
          <w:szCs w:val="28"/>
        </w:rPr>
        <w:t>月 24 日</w:t>
      </w:r>
      <w:r>
        <w:rPr>
          <w:rFonts w:hint="eastAsia" w:ascii="宋体" w:hAnsi="宋体" w:cs="宋体"/>
          <w:sz w:val="28"/>
          <w:szCs w:val="28"/>
        </w:rPr>
        <w:t>12:00（北京时间）。</w:t>
      </w:r>
    </w:p>
    <w:p>
      <w:pPr>
        <w:ind w:firstLine="570"/>
        <w:rPr>
          <w:rFonts w:ascii="宋体" w:hAnsi="宋体" w:cs="宋体"/>
          <w:sz w:val="28"/>
          <w:szCs w:val="28"/>
        </w:rPr>
      </w:pPr>
      <w:r>
        <w:rPr>
          <w:rFonts w:hint="eastAsia" w:ascii="宋体" w:hAnsi="宋体" w:cs="宋体"/>
          <w:sz w:val="28"/>
          <w:szCs w:val="28"/>
        </w:rPr>
        <w:t>四、投递标书地点：</w:t>
      </w:r>
      <w:r>
        <w:rPr>
          <w:rFonts w:hint="eastAsia" w:ascii="宋体" w:hAnsi="宋体" w:cs="宋体"/>
          <w:color w:val="FF0000"/>
          <w:sz w:val="28"/>
          <w:szCs w:val="28"/>
        </w:rPr>
        <w:t>扬州市文汇东路249号。</w:t>
      </w:r>
    </w:p>
    <w:p>
      <w:pPr>
        <w:ind w:firstLine="1260" w:firstLineChars="450"/>
        <w:rPr>
          <w:rFonts w:ascii="宋体" w:hAnsi="宋体" w:cs="宋体"/>
          <w:sz w:val="28"/>
          <w:szCs w:val="28"/>
        </w:rPr>
      </w:pPr>
    </w:p>
    <w:p>
      <w:pPr>
        <w:ind w:firstLine="1260"/>
        <w:rPr>
          <w:rFonts w:ascii="宋体" w:hAnsi="宋体" w:cs="宋体"/>
          <w:sz w:val="28"/>
          <w:szCs w:val="28"/>
        </w:rPr>
      </w:pPr>
      <w:r>
        <w:rPr>
          <w:rFonts w:hint="eastAsia" w:ascii="宋体" w:hAnsi="宋体" w:cs="宋体"/>
          <w:sz w:val="28"/>
          <w:szCs w:val="28"/>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b/>
          <w:spacing w:val="-4"/>
          <w:sz w:val="28"/>
          <w:szCs w:val="28"/>
        </w:rPr>
      </w:pPr>
      <w:r>
        <w:rPr>
          <w:rFonts w:hint="eastAsia" w:ascii="宋体" w:hAnsi="宋体" w:cs="宋体"/>
          <w:sz w:val="28"/>
          <w:szCs w:val="28"/>
        </w:rPr>
        <w:t xml:space="preserve">                          </w:t>
      </w:r>
      <w:r>
        <w:rPr>
          <w:rFonts w:hint="eastAsia" w:ascii="宋体" w:hAnsi="宋体" w:cs="宋体"/>
          <w:b/>
          <w:sz w:val="28"/>
          <w:szCs w:val="28"/>
        </w:rPr>
        <w:t>招标人：江苏长江水务股份有限公司</w:t>
      </w:r>
    </w:p>
    <w:p>
      <w:pPr>
        <w:rPr>
          <w:rFonts w:ascii="宋体" w:hAnsi="宋体" w:cs="宋体"/>
          <w:b/>
          <w:sz w:val="28"/>
          <w:szCs w:val="28"/>
        </w:rPr>
      </w:pPr>
      <w:r>
        <w:rPr>
          <w:rFonts w:hint="eastAsia" w:ascii="宋体" w:hAnsi="宋体" w:cs="宋体"/>
          <w:b/>
          <w:spacing w:val="-4"/>
          <w:sz w:val="28"/>
          <w:szCs w:val="28"/>
        </w:rPr>
        <w:t xml:space="preserve">                                    二○二三年二月</w:t>
      </w:r>
    </w:p>
    <w:p>
      <w:pPr>
        <w:pStyle w:val="3"/>
        <w:spacing w:after="120"/>
        <w:jc w:val="center"/>
        <w:rPr>
          <w:rStyle w:val="16"/>
          <w:rFonts w:ascii="宋体" w:hAnsi="宋体" w:cs="宋体"/>
          <w:b/>
          <w:sz w:val="32"/>
          <w:szCs w:val="32"/>
        </w:rPr>
      </w:pPr>
      <w:r>
        <w:rPr>
          <w:rFonts w:hint="eastAsia" w:ascii="宋体" w:hAnsi="宋体" w:eastAsia="宋体" w:cs="宋体"/>
          <w:spacing w:val="-4"/>
          <w:sz w:val="28"/>
          <w:szCs w:val="28"/>
        </w:rPr>
        <w:br w:type="page"/>
      </w:r>
      <w:bookmarkStart w:id="6" w:name="_Toc216420220"/>
      <w:r>
        <w:rPr>
          <w:rStyle w:val="16"/>
          <w:rFonts w:hint="eastAsia" w:ascii="宋体" w:hAnsi="宋体" w:cs="宋体"/>
          <w:b/>
          <w:sz w:val="32"/>
          <w:szCs w:val="32"/>
        </w:rPr>
        <w:t>第二章  投标人须知</w:t>
      </w:r>
      <w:bookmarkEnd w:id="6"/>
    </w:p>
    <w:p>
      <w:pPr>
        <w:pStyle w:val="8"/>
        <w:spacing w:line="360" w:lineRule="auto"/>
        <w:ind w:firstLine="568" w:firstLineChars="202"/>
        <w:outlineLvl w:val="1"/>
        <w:rPr>
          <w:rFonts w:ascii="宋体" w:eastAsia="宋体" w:cs="宋体"/>
          <w:b/>
          <w:kern w:val="0"/>
          <w:szCs w:val="28"/>
        </w:rPr>
      </w:pPr>
      <w:r>
        <w:rPr>
          <w:rFonts w:hint="eastAsia" w:ascii="宋体" w:eastAsia="宋体" w:cs="宋体"/>
          <w:b/>
          <w:kern w:val="0"/>
          <w:szCs w:val="28"/>
        </w:rPr>
        <w:t>一、定义</w:t>
      </w:r>
    </w:p>
    <w:p>
      <w:pPr>
        <w:spacing w:line="360" w:lineRule="auto"/>
        <w:ind w:firstLine="565" w:firstLineChars="202"/>
        <w:rPr>
          <w:rFonts w:ascii="宋体" w:hAnsi="宋体" w:cs="宋体"/>
          <w:sz w:val="28"/>
          <w:szCs w:val="28"/>
        </w:rPr>
      </w:pPr>
      <w:r>
        <w:rPr>
          <w:rFonts w:hint="eastAsia" w:ascii="宋体" w:hAnsi="宋体" w:cs="宋体"/>
          <w:sz w:val="28"/>
          <w:szCs w:val="28"/>
        </w:rPr>
        <w:t>招标文件中下列术语应解释为：</w:t>
      </w:r>
    </w:p>
    <w:p>
      <w:pPr>
        <w:spacing w:line="360" w:lineRule="auto"/>
        <w:ind w:firstLine="568" w:firstLineChars="202"/>
        <w:rPr>
          <w:rFonts w:ascii="宋体" w:hAnsi="宋体" w:cs="宋体"/>
          <w:spacing w:val="-4"/>
          <w:sz w:val="28"/>
          <w:szCs w:val="28"/>
        </w:rPr>
      </w:pPr>
      <w:r>
        <w:rPr>
          <w:rFonts w:hint="eastAsia" w:ascii="宋体" w:hAnsi="宋体" w:cs="宋体"/>
          <w:b/>
          <w:sz w:val="28"/>
          <w:szCs w:val="28"/>
        </w:rPr>
        <w:t>（一）</w:t>
      </w:r>
      <w:r>
        <w:rPr>
          <w:rFonts w:hint="eastAsia" w:ascii="宋体" w:hAnsi="宋体" w:cs="宋体"/>
          <w:b/>
          <w:spacing w:val="-4"/>
          <w:sz w:val="28"/>
          <w:szCs w:val="28"/>
        </w:rPr>
        <w:t>“招标人”</w:t>
      </w:r>
      <w:r>
        <w:rPr>
          <w:rFonts w:hint="eastAsia" w:ascii="宋体" w:hAnsi="宋体" w:cs="宋体"/>
          <w:spacing w:val="-4"/>
          <w:sz w:val="28"/>
          <w:szCs w:val="28"/>
        </w:rPr>
        <w:t>，系指</w:t>
      </w:r>
      <w:r>
        <w:rPr>
          <w:rFonts w:hint="eastAsia" w:ascii="宋体" w:hAnsi="宋体" w:cs="宋体"/>
          <w:b/>
          <w:sz w:val="28"/>
          <w:szCs w:val="28"/>
        </w:rPr>
        <w:t>江苏长江水务股份有限公司</w:t>
      </w:r>
      <w:r>
        <w:rPr>
          <w:rFonts w:hint="eastAsia" w:ascii="宋体" w:hAnsi="宋体" w:cs="宋体"/>
          <w:spacing w:val="-4"/>
          <w:sz w:val="28"/>
          <w:szCs w:val="28"/>
        </w:rPr>
        <w:t>。</w:t>
      </w:r>
    </w:p>
    <w:p>
      <w:pPr>
        <w:spacing w:line="360" w:lineRule="auto"/>
        <w:ind w:firstLine="568" w:firstLineChars="202"/>
        <w:rPr>
          <w:rFonts w:ascii="宋体" w:hAnsi="宋体" w:cs="宋体"/>
          <w:spacing w:val="-4"/>
          <w:sz w:val="28"/>
          <w:szCs w:val="28"/>
        </w:rPr>
      </w:pPr>
      <w:r>
        <w:rPr>
          <w:rFonts w:hint="eastAsia" w:ascii="宋体" w:hAnsi="宋体" w:cs="宋体"/>
          <w:b/>
          <w:sz w:val="28"/>
          <w:szCs w:val="28"/>
        </w:rPr>
        <w:t>（二）</w:t>
      </w:r>
      <w:r>
        <w:rPr>
          <w:rFonts w:hint="eastAsia" w:ascii="宋体" w:hAnsi="宋体" w:cs="宋体"/>
          <w:b/>
          <w:spacing w:val="-4"/>
          <w:sz w:val="28"/>
          <w:szCs w:val="28"/>
        </w:rPr>
        <w:t>“投标人”</w:t>
      </w:r>
      <w:r>
        <w:rPr>
          <w:rFonts w:hint="eastAsia" w:ascii="宋体" w:hAnsi="宋体" w:cs="宋体"/>
          <w:spacing w:val="-4"/>
          <w:sz w:val="28"/>
          <w:szCs w:val="28"/>
        </w:rPr>
        <w:t>，系指接到</w:t>
      </w:r>
      <w:r>
        <w:rPr>
          <w:rFonts w:hint="eastAsia" w:ascii="宋体" w:hAnsi="宋体" w:cs="宋体"/>
          <w:b/>
          <w:sz w:val="28"/>
          <w:szCs w:val="28"/>
        </w:rPr>
        <w:t>江苏长江水务股份有限公司</w:t>
      </w:r>
      <w:r>
        <w:rPr>
          <w:rFonts w:hint="eastAsia" w:ascii="宋体" w:hAnsi="宋体" w:cs="宋体"/>
          <w:spacing w:val="-4"/>
          <w:sz w:val="28"/>
          <w:szCs w:val="28"/>
        </w:rPr>
        <w:t>招标通知，遵守招标文件要求，并向招标人提交投标文件的市级财产保险公司。</w:t>
      </w:r>
    </w:p>
    <w:p>
      <w:pPr>
        <w:spacing w:line="360" w:lineRule="auto"/>
        <w:ind w:firstLine="568" w:firstLineChars="202"/>
        <w:outlineLvl w:val="2"/>
        <w:rPr>
          <w:rFonts w:ascii="宋体" w:hAnsi="宋体" w:cs="宋体"/>
          <w:b/>
          <w:sz w:val="28"/>
          <w:szCs w:val="28"/>
        </w:rPr>
      </w:pPr>
      <w:r>
        <w:rPr>
          <w:rFonts w:hint="eastAsia" w:ascii="宋体" w:hAnsi="宋体" w:cs="宋体"/>
          <w:b/>
          <w:sz w:val="28"/>
          <w:szCs w:val="28"/>
        </w:rPr>
        <w:t>二、招标内容</w:t>
      </w:r>
      <w:bookmarkStart w:id="7" w:name="_Toc215857424"/>
    </w:p>
    <w:p>
      <w:pPr>
        <w:spacing w:line="360" w:lineRule="auto"/>
        <w:rPr>
          <w:rFonts w:ascii="宋体" w:hAnsi="宋体" w:cs="宋体"/>
          <w:sz w:val="28"/>
          <w:szCs w:val="28"/>
        </w:rPr>
      </w:pPr>
      <w:r>
        <w:rPr>
          <w:rFonts w:hint="eastAsia" w:ascii="宋体" w:hAnsi="宋体" w:cs="宋体"/>
          <w:b/>
          <w:sz w:val="28"/>
          <w:szCs w:val="28"/>
        </w:rPr>
        <w:t xml:space="preserve"> </w:t>
      </w:r>
      <w:bookmarkEnd w:id="7"/>
      <w:bookmarkStart w:id="8" w:name="_Toc215857425"/>
      <w:r>
        <w:rPr>
          <w:rFonts w:hint="eastAsia" w:ascii="宋体" w:hAnsi="宋体" w:cs="宋体"/>
          <w:b/>
          <w:sz w:val="28"/>
          <w:szCs w:val="28"/>
        </w:rPr>
        <w:t xml:space="preserve">       1、招标险种：</w:t>
      </w:r>
      <w:r>
        <w:rPr>
          <w:rFonts w:hint="eastAsia" w:ascii="宋体" w:hAnsi="宋体" w:cs="宋体"/>
          <w:spacing w:val="-4"/>
          <w:sz w:val="28"/>
          <w:szCs w:val="28"/>
        </w:rPr>
        <w:t>财产综合险、机器损坏险</w:t>
      </w:r>
      <w:bookmarkEnd w:id="8"/>
      <w:bookmarkStart w:id="9" w:name="_Toc215857426"/>
      <w:r>
        <w:rPr>
          <w:rFonts w:hint="eastAsia" w:ascii="宋体" w:hAnsi="宋体" w:cs="宋体"/>
          <w:spacing w:val="-4"/>
          <w:sz w:val="28"/>
          <w:szCs w:val="28"/>
        </w:rPr>
        <w:t>等。</w:t>
      </w:r>
    </w:p>
    <w:p>
      <w:pPr>
        <w:spacing w:line="360" w:lineRule="auto"/>
        <w:ind w:firstLine="568" w:firstLineChars="202"/>
        <w:outlineLvl w:val="2"/>
        <w:rPr>
          <w:rFonts w:ascii="宋体" w:hAnsi="宋体" w:cs="宋体"/>
          <w:sz w:val="28"/>
          <w:szCs w:val="28"/>
        </w:rPr>
      </w:pPr>
      <w:r>
        <w:rPr>
          <w:rFonts w:hint="eastAsia" w:ascii="宋体" w:hAnsi="宋体" w:cs="宋体"/>
          <w:b/>
          <w:sz w:val="28"/>
          <w:szCs w:val="28"/>
        </w:rPr>
        <w:t xml:space="preserve">    2、招标项目要求：</w:t>
      </w:r>
      <w:r>
        <w:rPr>
          <w:rFonts w:hint="eastAsia" w:ascii="宋体" w:hAnsi="宋体" w:cs="宋体"/>
          <w:sz w:val="28"/>
          <w:szCs w:val="28"/>
        </w:rPr>
        <w:t>见招标文件第三章《保险方案》</w:t>
      </w:r>
      <w:bookmarkEnd w:id="9"/>
      <w:bookmarkStart w:id="10" w:name="_Toc215857427"/>
      <w:r>
        <w:rPr>
          <w:rFonts w:hint="eastAsia" w:ascii="宋体" w:hAnsi="宋体" w:cs="宋体"/>
          <w:sz w:val="28"/>
          <w:szCs w:val="28"/>
        </w:rPr>
        <w:t>。</w:t>
      </w:r>
    </w:p>
    <w:bookmarkEnd w:id="10"/>
    <w:p>
      <w:pPr>
        <w:pStyle w:val="6"/>
        <w:spacing w:line="360" w:lineRule="auto"/>
        <w:ind w:firstLine="568" w:firstLineChars="202"/>
        <w:outlineLvl w:val="1"/>
        <w:rPr>
          <w:rFonts w:ascii="宋体" w:hAnsi="宋体" w:cs="宋体"/>
          <w:b/>
          <w:sz w:val="28"/>
          <w:szCs w:val="28"/>
        </w:rPr>
      </w:pPr>
      <w:r>
        <w:rPr>
          <w:rFonts w:hint="eastAsia" w:ascii="宋体" w:hAnsi="宋体" w:cs="宋体"/>
          <w:b/>
          <w:sz w:val="28"/>
          <w:szCs w:val="28"/>
        </w:rPr>
        <w:t>三、合格的投标人</w:t>
      </w:r>
    </w:p>
    <w:p>
      <w:pPr>
        <w:tabs>
          <w:tab w:val="left" w:pos="0"/>
          <w:tab w:val="left" w:pos="525"/>
        </w:tabs>
        <w:spacing w:line="360" w:lineRule="auto"/>
        <w:ind w:firstLine="565" w:firstLineChars="202"/>
        <w:outlineLvl w:val="2"/>
        <w:rPr>
          <w:rFonts w:ascii="宋体" w:hAnsi="宋体" w:cs="宋体"/>
          <w:sz w:val="28"/>
          <w:szCs w:val="28"/>
        </w:rPr>
      </w:pPr>
      <w:r>
        <w:rPr>
          <w:rFonts w:hint="eastAsia" w:ascii="宋体" w:hAnsi="宋体" w:cs="宋体"/>
          <w:sz w:val="28"/>
          <w:szCs w:val="28"/>
        </w:rPr>
        <w:t>（一）投标人必须是经中国银行保险监督管理委员会（以下简称“中国银保监会”）批准的，具有法定保险执业资格，并在扬州市区设有授权经营服务机构的财产保险公司；</w:t>
      </w:r>
    </w:p>
    <w:p>
      <w:pPr>
        <w:tabs>
          <w:tab w:val="left" w:pos="0"/>
          <w:tab w:val="left" w:pos="525"/>
        </w:tabs>
        <w:spacing w:line="360" w:lineRule="auto"/>
        <w:ind w:firstLine="565" w:firstLineChars="202"/>
        <w:outlineLvl w:val="2"/>
        <w:rPr>
          <w:rFonts w:ascii="宋体" w:hAnsi="宋体" w:cs="宋体"/>
          <w:sz w:val="28"/>
          <w:szCs w:val="28"/>
        </w:rPr>
      </w:pPr>
      <w:r>
        <w:rPr>
          <w:rFonts w:hint="eastAsia" w:ascii="宋体" w:hAnsi="宋体" w:cs="宋体"/>
          <w:sz w:val="28"/>
          <w:szCs w:val="28"/>
        </w:rPr>
        <w:t>（二）</w:t>
      </w:r>
      <w:r>
        <w:rPr>
          <w:rFonts w:hint="eastAsia" w:ascii="宋体" w:hAnsi="宋体" w:cs="宋体"/>
          <w:spacing w:val="-4"/>
          <w:sz w:val="28"/>
          <w:szCs w:val="28"/>
        </w:rPr>
        <w:t>具有独立承担</w:t>
      </w:r>
      <w:r>
        <w:rPr>
          <w:rFonts w:hint="eastAsia" w:ascii="宋体" w:hAnsi="宋体" w:cs="宋体"/>
          <w:bCs/>
          <w:sz w:val="28"/>
          <w:szCs w:val="28"/>
        </w:rPr>
        <w:t>江苏长江水务股份有限公司</w:t>
      </w:r>
      <w:r>
        <w:rPr>
          <w:rFonts w:hint="eastAsia" w:ascii="宋体" w:hAnsi="宋体" w:cs="宋体"/>
          <w:spacing w:val="-4"/>
          <w:sz w:val="28"/>
          <w:szCs w:val="28"/>
        </w:rPr>
        <w:t>保险业务能力；</w:t>
      </w:r>
    </w:p>
    <w:p>
      <w:pPr>
        <w:spacing w:line="360" w:lineRule="auto"/>
        <w:ind w:firstLine="565" w:firstLineChars="202"/>
        <w:rPr>
          <w:rFonts w:ascii="宋体" w:hAnsi="宋体" w:cs="宋体"/>
          <w:spacing w:val="-4"/>
          <w:sz w:val="28"/>
          <w:szCs w:val="28"/>
        </w:rPr>
      </w:pPr>
      <w:r>
        <w:rPr>
          <w:rFonts w:hint="eastAsia" w:ascii="宋体" w:hAnsi="宋体" w:cs="宋体"/>
          <w:sz w:val="28"/>
          <w:szCs w:val="28"/>
        </w:rPr>
        <w:t>（三）</w:t>
      </w:r>
      <w:r>
        <w:rPr>
          <w:rFonts w:hint="eastAsia" w:ascii="宋体" w:hAnsi="宋体" w:cs="宋体"/>
          <w:spacing w:val="-4"/>
          <w:sz w:val="28"/>
          <w:szCs w:val="28"/>
        </w:rPr>
        <w:t>有良好的商业信誉和售后服务能力及措施；</w:t>
      </w:r>
    </w:p>
    <w:p>
      <w:pPr>
        <w:spacing w:line="360" w:lineRule="auto"/>
        <w:ind w:firstLine="565" w:firstLineChars="202"/>
        <w:rPr>
          <w:rFonts w:ascii="宋体" w:hAnsi="宋体" w:cs="宋体"/>
          <w:spacing w:val="-4"/>
          <w:sz w:val="28"/>
          <w:szCs w:val="28"/>
        </w:rPr>
      </w:pPr>
      <w:r>
        <w:rPr>
          <w:rFonts w:hint="eastAsia" w:ascii="宋体" w:hAnsi="宋体" w:cs="宋体"/>
          <w:sz w:val="28"/>
          <w:szCs w:val="28"/>
        </w:rPr>
        <w:t>（四）</w:t>
      </w:r>
      <w:r>
        <w:rPr>
          <w:rFonts w:hint="eastAsia" w:ascii="宋体" w:hAnsi="宋体" w:cs="宋体"/>
          <w:spacing w:val="-4"/>
          <w:sz w:val="28"/>
          <w:szCs w:val="28"/>
        </w:rPr>
        <w:t>熟悉国家现行保险法、条例及有关保险行业特殊规定；</w:t>
      </w:r>
    </w:p>
    <w:p>
      <w:pPr>
        <w:spacing w:line="360" w:lineRule="auto"/>
        <w:ind w:firstLine="565" w:firstLineChars="202"/>
        <w:rPr>
          <w:rFonts w:ascii="宋体" w:hAnsi="宋体" w:cs="宋体"/>
          <w:spacing w:val="-4"/>
          <w:sz w:val="28"/>
          <w:szCs w:val="28"/>
        </w:rPr>
      </w:pPr>
      <w:r>
        <w:rPr>
          <w:rFonts w:hint="eastAsia" w:ascii="宋体" w:hAnsi="宋体" w:cs="宋体"/>
          <w:sz w:val="28"/>
          <w:szCs w:val="28"/>
        </w:rPr>
        <w:t>（五）</w:t>
      </w:r>
      <w:r>
        <w:rPr>
          <w:rFonts w:hint="eastAsia" w:ascii="宋体" w:hAnsi="宋体" w:cs="宋体"/>
          <w:spacing w:val="-4"/>
          <w:sz w:val="28"/>
          <w:szCs w:val="28"/>
        </w:rPr>
        <w:t>经营、资格证件齐全；</w:t>
      </w:r>
    </w:p>
    <w:p>
      <w:pPr>
        <w:spacing w:line="360" w:lineRule="auto"/>
        <w:ind w:firstLine="565" w:firstLineChars="202"/>
        <w:rPr>
          <w:rFonts w:ascii="宋体" w:hAnsi="宋体" w:cs="宋体"/>
          <w:spacing w:val="-4"/>
          <w:sz w:val="28"/>
          <w:szCs w:val="28"/>
        </w:rPr>
      </w:pPr>
      <w:r>
        <w:rPr>
          <w:rFonts w:hint="eastAsia" w:ascii="宋体" w:hAnsi="宋体" w:cs="宋体"/>
          <w:sz w:val="28"/>
          <w:szCs w:val="28"/>
        </w:rPr>
        <w:t>（六）具有良好征信记录，投标人</w:t>
      </w:r>
      <w:r>
        <w:rPr>
          <w:rFonts w:hint="eastAsia" w:ascii="宋体" w:hAnsi="宋体" w:cs="宋体"/>
          <w:spacing w:val="-4"/>
          <w:sz w:val="28"/>
          <w:szCs w:val="28"/>
        </w:rPr>
        <w:t>近三年未受到监管及政府相关部门处罚；</w:t>
      </w:r>
    </w:p>
    <w:p>
      <w:pPr>
        <w:spacing w:line="360" w:lineRule="auto"/>
        <w:ind w:firstLine="565" w:firstLineChars="202"/>
        <w:rPr>
          <w:rFonts w:ascii="宋体" w:hAnsi="宋体" w:cs="宋体"/>
          <w:b/>
          <w:sz w:val="28"/>
          <w:szCs w:val="28"/>
        </w:rPr>
      </w:pPr>
      <w:r>
        <w:rPr>
          <w:rFonts w:hint="eastAsia" w:ascii="宋体" w:hAnsi="宋体" w:cs="宋体"/>
          <w:sz w:val="28"/>
          <w:szCs w:val="28"/>
        </w:rPr>
        <w:t>（七）上述任何一项缺失，即为无效投标人</w:t>
      </w:r>
      <w:r>
        <w:rPr>
          <w:rFonts w:hint="eastAsia" w:ascii="宋体" w:hAnsi="宋体" w:cs="宋体"/>
          <w:spacing w:val="-4"/>
          <w:sz w:val="28"/>
          <w:szCs w:val="28"/>
        </w:rPr>
        <w:t>。</w:t>
      </w:r>
    </w:p>
    <w:p>
      <w:pPr>
        <w:tabs>
          <w:tab w:val="left" w:pos="0"/>
          <w:tab w:val="left" w:pos="525"/>
        </w:tabs>
        <w:spacing w:line="360" w:lineRule="auto"/>
        <w:ind w:firstLine="568" w:firstLineChars="202"/>
        <w:outlineLvl w:val="1"/>
        <w:rPr>
          <w:rFonts w:ascii="宋体" w:hAnsi="宋体" w:cs="宋体"/>
          <w:b/>
          <w:sz w:val="28"/>
          <w:szCs w:val="28"/>
        </w:rPr>
      </w:pPr>
      <w:r>
        <w:rPr>
          <w:rFonts w:hint="eastAsia" w:ascii="宋体" w:hAnsi="宋体" w:cs="宋体"/>
          <w:b/>
          <w:sz w:val="28"/>
          <w:szCs w:val="28"/>
        </w:rPr>
        <w:t>四、招标文件的组成</w:t>
      </w:r>
    </w:p>
    <w:p>
      <w:pPr>
        <w:pStyle w:val="8"/>
        <w:spacing w:line="360" w:lineRule="auto"/>
        <w:ind w:firstLine="565" w:firstLineChars="202"/>
        <w:outlineLvl w:val="2"/>
        <w:rPr>
          <w:rFonts w:ascii="宋体" w:eastAsia="宋体" w:cs="宋体"/>
          <w:szCs w:val="28"/>
        </w:rPr>
      </w:pPr>
      <w:r>
        <w:rPr>
          <w:rFonts w:hint="eastAsia" w:ascii="宋体" w:eastAsia="宋体" w:cs="宋体"/>
          <w:szCs w:val="28"/>
        </w:rPr>
        <w:t xml:space="preserve">（一）第一章  招标函 </w:t>
      </w:r>
    </w:p>
    <w:p>
      <w:pPr>
        <w:pStyle w:val="8"/>
        <w:spacing w:line="360" w:lineRule="auto"/>
        <w:ind w:firstLine="565" w:firstLineChars="202"/>
        <w:outlineLvl w:val="2"/>
        <w:rPr>
          <w:rFonts w:ascii="宋体" w:eastAsia="宋体" w:cs="宋体"/>
          <w:szCs w:val="28"/>
        </w:rPr>
      </w:pPr>
      <w:r>
        <w:rPr>
          <w:rFonts w:hint="eastAsia" w:ascii="宋体" w:eastAsia="宋体" w:cs="宋体"/>
          <w:szCs w:val="28"/>
        </w:rPr>
        <w:t>（二）第二章  投标人须知</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（三）第三章  保险方案</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（四）第四章  基本服务要求</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（五）招标人发出的与本次招标有关的通知、修改、澄清及补充。</w:t>
      </w:r>
    </w:p>
    <w:p>
      <w:pPr>
        <w:pStyle w:val="6"/>
        <w:spacing w:line="360" w:lineRule="auto"/>
        <w:ind w:firstLine="568" w:firstLineChars="202"/>
        <w:outlineLvl w:val="2"/>
        <w:rPr>
          <w:rFonts w:ascii="宋体" w:hAnsi="宋体" w:cs="宋体"/>
          <w:b/>
          <w:sz w:val="28"/>
          <w:szCs w:val="28"/>
        </w:rPr>
      </w:pPr>
      <w:r>
        <w:rPr>
          <w:rFonts w:hint="eastAsia" w:ascii="宋体" w:hAnsi="宋体" w:cs="宋体"/>
          <w:b/>
          <w:sz w:val="28"/>
          <w:szCs w:val="28"/>
        </w:rPr>
        <w:t>五、招标文件的修改、澄清、解释</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一）在投标文件截止日期前，招标人有权主动或在答复投标人提出的问题时对招标文件进行修改。招标文件的修改将以书面形式通知所有领取招标文件的投标人，并对投标人具有约束力，投标人在收到上述通知后应在规定时间内立即以书面形式向招标人回函确认。</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（二）为使投标人有充裕的时间对修改后的招标文件进行研究，招标人可酌情延长投标截止日期,并以书面形式通知所有已领取招标文件的投标人。</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（三）要求澄清招标文件的投标人应当以书面形式，向招标人提出申请，招标人将对投标截止日期5日前收到的申请予以答复，并将答复以书面形式通知所有招标文件收受人。</w:t>
      </w:r>
    </w:p>
    <w:p>
      <w:pPr>
        <w:pStyle w:val="6"/>
        <w:spacing w:line="360" w:lineRule="auto"/>
        <w:ind w:firstLine="568" w:firstLineChars="202"/>
        <w:outlineLvl w:val="2"/>
        <w:rPr>
          <w:rFonts w:ascii="宋体" w:hAnsi="宋体" w:cs="宋体"/>
          <w:b/>
          <w:sz w:val="28"/>
          <w:szCs w:val="28"/>
        </w:rPr>
      </w:pPr>
      <w:r>
        <w:rPr>
          <w:rFonts w:hint="eastAsia" w:ascii="宋体" w:hAnsi="宋体" w:cs="宋体"/>
          <w:b/>
          <w:sz w:val="28"/>
          <w:szCs w:val="28"/>
        </w:rPr>
        <w:t>六、投标文件的组成</w:t>
      </w:r>
    </w:p>
    <w:p>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 公司介绍</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 xml:space="preserve">2. 投标报价单（格式详见附件） </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3．承保服务方案（格式自拟）</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4. 理赔服务方案（格式自拟）</w:t>
      </w:r>
    </w:p>
    <w:p>
      <w:pPr>
        <w:adjustRightInd w:val="0"/>
        <w:snapToGrid w:val="0"/>
        <w:spacing w:line="360" w:lineRule="auto"/>
        <w:ind w:firstLine="568" w:firstLineChars="202"/>
        <w:outlineLvl w:val="3"/>
        <w:rPr>
          <w:rFonts w:ascii="宋体" w:hAnsi="宋体" w:cs="宋体"/>
          <w:b/>
          <w:sz w:val="28"/>
          <w:szCs w:val="28"/>
        </w:rPr>
      </w:pPr>
      <w:bookmarkStart w:id="11" w:name="_Toc215857429"/>
      <w:r>
        <w:rPr>
          <w:rFonts w:hint="eastAsia" w:ascii="宋体" w:hAnsi="宋体" w:cs="宋体"/>
          <w:b/>
          <w:sz w:val="28"/>
          <w:szCs w:val="28"/>
        </w:rPr>
        <w:t>七、投标文件的编制、包装要求</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（一）投标人应认真阅读招标文件，理解招标文件中所有的事项、格式、条款和规范等的要求。在完全理解招标文件的基础上，按招标文件格式要求编制投标文件。如果没有按照招标文件要求提交全</w:t>
      </w:r>
      <w:bookmarkEnd w:id="11"/>
      <w:bookmarkStart w:id="12" w:name="_Toc215857430"/>
      <w:r>
        <w:rPr>
          <w:rFonts w:hint="eastAsia" w:ascii="宋体" w:hAnsi="宋体" w:cs="宋体"/>
          <w:sz w:val="28"/>
          <w:szCs w:val="28"/>
        </w:rPr>
        <w:t>部资料或者投标文件，或没有对招标文件做出实质性响应，该投标有可能被拒绝，其风险应由投标人自行承担。</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（二）投标文件正本和所有副本须用不褪色的墨水，并用A4纸张书写或打印，装订成册。投标文件中若有修改须由投标人的授权代表签字并加盖公章，</w:t>
      </w:r>
      <w:bookmarkEnd w:id="12"/>
      <w:bookmarkStart w:id="13" w:name="_Toc215857431"/>
      <w:r>
        <w:rPr>
          <w:rFonts w:hint="eastAsia" w:ascii="宋体" w:hAnsi="宋体" w:cs="宋体"/>
          <w:sz w:val="28"/>
          <w:szCs w:val="28"/>
        </w:rPr>
        <w:t>否则视为无效的修改。字迹潦草、表达不清、未按要求填写或可能导致非唯一理解的投标文件可能被定为废标。</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（三）如果投标人没有按照招标文件要求提交全部资料或者投标文件没有</w:t>
      </w:r>
      <w:bookmarkEnd w:id="13"/>
      <w:bookmarkStart w:id="14" w:name="_Toc215857432"/>
      <w:r>
        <w:rPr>
          <w:rFonts w:hint="eastAsia" w:ascii="宋体" w:hAnsi="宋体" w:cs="宋体"/>
          <w:sz w:val="28"/>
          <w:szCs w:val="28"/>
        </w:rPr>
        <w:t>对招标文件做出实质性响应，在开标之后招标人没有再向投标人澄清的义务，同时投标人也没有再解释的权力。</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（四）投标文件应按招标文件的规定，在必须加盖单位公章并由投标人的授权代表签字或盖章的地方，加盖单位公章并由投标人的授权代表签字或盖章</w:t>
      </w:r>
      <w:bookmarkEnd w:id="14"/>
      <w:bookmarkStart w:id="15" w:name="_Toc215857433"/>
      <w:r>
        <w:rPr>
          <w:rFonts w:hint="eastAsia" w:ascii="宋体" w:hAnsi="宋体" w:cs="宋体"/>
          <w:sz w:val="28"/>
          <w:szCs w:val="28"/>
        </w:rPr>
        <w:t>。</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（五）投标人的投标文件以及投标人就有关投标的所有来往函电均应</w:t>
      </w:r>
      <w:bookmarkEnd w:id="15"/>
      <w:bookmarkStart w:id="16" w:name="_Toc215857434"/>
      <w:r>
        <w:rPr>
          <w:rFonts w:hint="eastAsia" w:ascii="宋体" w:hAnsi="宋体" w:cs="宋体"/>
          <w:sz w:val="28"/>
          <w:szCs w:val="28"/>
        </w:rPr>
        <w:t>使用中文。投标文件中所使用的计量单位除招标文件中有特殊规定外，一律使</w:t>
      </w:r>
      <w:bookmarkEnd w:id="16"/>
      <w:bookmarkStart w:id="17" w:name="_Toc215857435"/>
      <w:r>
        <w:rPr>
          <w:rFonts w:hint="eastAsia" w:ascii="宋体" w:hAnsi="宋体" w:cs="宋体"/>
          <w:sz w:val="28"/>
          <w:szCs w:val="28"/>
        </w:rPr>
        <w:t>用中华人民共和国法定计量单位。</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（六）投标文</w:t>
      </w:r>
      <w:bookmarkEnd w:id="17"/>
      <w:bookmarkStart w:id="18" w:name="_Toc215857437"/>
      <w:r>
        <w:rPr>
          <w:rFonts w:hint="eastAsia" w:ascii="宋体" w:hAnsi="宋体" w:cs="宋体"/>
          <w:sz w:val="28"/>
          <w:szCs w:val="28"/>
        </w:rPr>
        <w:t>件应编写目录及标注页码。</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（七）投标文件的份数：</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1．投标文件正本一份；</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2．投标文件副本贰份；</w:t>
      </w:r>
    </w:p>
    <w:p>
      <w:pPr>
        <w:adjustRightInd w:val="0"/>
        <w:snapToGrid w:val="0"/>
        <w:spacing w:line="360" w:lineRule="auto"/>
        <w:ind w:firstLine="568" w:firstLineChars="202"/>
        <w:outlineLvl w:val="3"/>
        <w:rPr>
          <w:rFonts w:ascii="宋体" w:hAnsi="宋体" w:cs="宋体"/>
          <w:b/>
          <w:sz w:val="28"/>
          <w:szCs w:val="28"/>
        </w:rPr>
      </w:pPr>
      <w:r>
        <w:rPr>
          <w:rFonts w:hint="eastAsia" w:ascii="宋体" w:hAnsi="宋体" w:cs="宋体"/>
          <w:b/>
          <w:sz w:val="28"/>
          <w:szCs w:val="28"/>
        </w:rPr>
        <w:t>八、投标</w:t>
      </w:r>
      <w:bookmarkEnd w:id="18"/>
      <w:bookmarkStart w:id="19" w:name="_Toc215857438"/>
      <w:r>
        <w:rPr>
          <w:rFonts w:hint="eastAsia" w:ascii="宋体" w:hAnsi="宋体" w:cs="宋体"/>
          <w:b/>
          <w:sz w:val="28"/>
          <w:szCs w:val="28"/>
        </w:rPr>
        <w:t>有效期及投标报价</w:t>
      </w:r>
      <w:bookmarkEnd w:id="19"/>
      <w:bookmarkStart w:id="20" w:name="_Toc215857439"/>
      <w:r>
        <w:rPr>
          <w:rFonts w:hint="eastAsia" w:ascii="宋体" w:hAnsi="宋体" w:cs="宋体"/>
          <w:b/>
          <w:sz w:val="28"/>
          <w:szCs w:val="28"/>
        </w:rPr>
        <w:t>有效期：投标有效期从提交投标文件截止日起30天内，投标报价有效期与投标有效期一致。</w:t>
      </w:r>
    </w:p>
    <w:bookmarkEnd w:id="20"/>
    <w:p>
      <w:pPr>
        <w:adjustRightInd w:val="0"/>
        <w:snapToGrid w:val="0"/>
        <w:spacing w:line="360" w:lineRule="auto"/>
        <w:ind w:firstLine="562"/>
        <w:outlineLvl w:val="3"/>
        <w:rPr>
          <w:rFonts w:ascii="宋体" w:hAnsi="宋体" w:cs="宋体"/>
          <w:b/>
          <w:sz w:val="28"/>
          <w:szCs w:val="28"/>
        </w:rPr>
      </w:pPr>
      <w:bookmarkStart w:id="21" w:name="_Toc215857444"/>
      <w:r>
        <w:rPr>
          <w:rFonts w:hint="eastAsia" w:ascii="宋体" w:hAnsi="宋体" w:cs="宋体"/>
          <w:b/>
          <w:sz w:val="28"/>
          <w:szCs w:val="28"/>
        </w:rPr>
        <w:t>九、</w:t>
      </w:r>
      <w:bookmarkEnd w:id="21"/>
      <w:r>
        <w:rPr>
          <w:rFonts w:hint="eastAsia" w:ascii="宋体" w:hAnsi="宋体" w:cs="宋体"/>
          <w:b/>
          <w:sz w:val="28"/>
          <w:szCs w:val="28"/>
        </w:rPr>
        <w:t>投</w:t>
      </w:r>
      <w:bookmarkStart w:id="22" w:name="_Toc215857445"/>
      <w:r>
        <w:rPr>
          <w:rFonts w:hint="eastAsia" w:ascii="宋体" w:hAnsi="宋体" w:cs="宋体"/>
          <w:b/>
          <w:sz w:val="28"/>
          <w:szCs w:val="28"/>
        </w:rPr>
        <w:t>标文件的递交</w:t>
      </w:r>
    </w:p>
    <w:p>
      <w:pPr>
        <w:adjustRightInd w:val="0"/>
        <w:snapToGrid w:val="0"/>
        <w:spacing w:line="360" w:lineRule="auto"/>
        <w:ind w:firstLine="560"/>
        <w:outlineLvl w:val="3"/>
        <w:rPr>
          <w:rFonts w:ascii="宋体" w:hAnsi="宋体" w:cs="宋体"/>
          <w:sz w:val="28"/>
          <w:szCs w:val="28"/>
        </w:rPr>
      </w:pPr>
      <w:r>
        <w:rPr>
          <w:rFonts w:hint="eastAsia" w:ascii="宋体" w:hAnsi="宋体" w:cs="宋体"/>
          <w:sz w:val="28"/>
          <w:szCs w:val="28"/>
        </w:rPr>
        <w:t>（一）投标人应严格按规定将投标文件密封（正本和副本可密封在一个封装袋内），招标人拒绝接收任何未按规</w:t>
      </w:r>
      <w:bookmarkEnd w:id="22"/>
      <w:r>
        <w:rPr>
          <w:rFonts w:hint="eastAsia" w:ascii="宋体" w:hAnsi="宋体" w:cs="宋体"/>
          <w:sz w:val="28"/>
          <w:szCs w:val="28"/>
        </w:rPr>
        <w:t xml:space="preserve">定密封的投标文件。 </w:t>
      </w:r>
    </w:p>
    <w:p>
      <w:pPr>
        <w:adjustRightInd w:val="0"/>
        <w:snapToGrid w:val="0"/>
        <w:spacing w:line="360" w:lineRule="auto"/>
        <w:ind w:firstLine="560"/>
        <w:outlineLvl w:val="3"/>
        <w:rPr>
          <w:rFonts w:ascii="宋体" w:hAnsi="宋体" w:cs="宋体"/>
          <w:sz w:val="28"/>
          <w:szCs w:val="28"/>
        </w:rPr>
      </w:pPr>
      <w:r>
        <w:rPr>
          <w:rFonts w:hint="eastAsia" w:ascii="宋体" w:hAnsi="宋体" w:cs="宋体"/>
          <w:sz w:val="28"/>
          <w:szCs w:val="28"/>
        </w:rPr>
        <w:t>（二）投标人应在下述截标时间前将投标文件送达</w:t>
      </w:r>
      <w:bookmarkStart w:id="23" w:name="_Toc215857446"/>
      <w:r>
        <w:rPr>
          <w:rFonts w:hint="eastAsia" w:ascii="宋体" w:hAnsi="宋体" w:cs="宋体"/>
          <w:sz w:val="28"/>
          <w:szCs w:val="28"/>
        </w:rPr>
        <w:t>以下开标地点递交，逾期不予受理。</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截标时间：2023年2</w:t>
      </w:r>
      <w:r>
        <w:rPr>
          <w:rFonts w:hint="eastAsia" w:ascii="宋体" w:eastAsia="宋体" w:cs="宋体"/>
          <w:color w:val="FF0000"/>
          <w:szCs w:val="28"/>
        </w:rPr>
        <w:t>月 24日</w:t>
      </w:r>
      <w:r>
        <w:rPr>
          <w:rFonts w:hint="eastAsia" w:ascii="宋体" w:eastAsia="宋体" w:cs="宋体"/>
          <w:szCs w:val="28"/>
        </w:rPr>
        <w:t>12:00</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地址：扬州文汇东路249号宝带东楼508室</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联系人：张新培</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电  话：0514-82980051</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电子邮件：邮件：1064073906@qq.com</w:t>
      </w:r>
    </w:p>
    <w:p>
      <w:pPr>
        <w:spacing w:line="360" w:lineRule="auto"/>
        <w:ind w:firstLine="570"/>
        <w:rPr>
          <w:rFonts w:ascii="宋体" w:hAnsi="宋体" w:cs="宋体"/>
          <w:sz w:val="28"/>
          <w:szCs w:val="28"/>
        </w:rPr>
      </w:pPr>
      <w:r>
        <w:rPr>
          <w:rFonts w:hint="eastAsia" w:ascii="宋体" w:hAnsi="宋体" w:cs="宋体"/>
          <w:sz w:val="28"/>
          <w:szCs w:val="28"/>
        </w:rPr>
        <w:t xml:space="preserve">  </w:t>
      </w:r>
      <w:r>
        <w:rPr>
          <w:rFonts w:hint="eastAsia" w:ascii="宋体" w:hAnsi="宋体" w:cs="宋体"/>
          <w:color w:val="FF0000"/>
          <w:sz w:val="28"/>
          <w:szCs w:val="28"/>
        </w:rPr>
        <w:t>开标地点：</w:t>
      </w:r>
      <w:bookmarkEnd w:id="23"/>
      <w:bookmarkStart w:id="24" w:name="_Toc215857447"/>
      <w:r>
        <w:rPr>
          <w:rFonts w:hint="eastAsia" w:ascii="宋体" w:hAnsi="宋体" w:cs="宋体"/>
          <w:color w:val="FF0000"/>
          <w:sz w:val="28"/>
          <w:szCs w:val="28"/>
        </w:rPr>
        <w:t>扬州市文汇东路249号</w:t>
      </w:r>
      <w:bookmarkEnd w:id="24"/>
      <w:bookmarkStart w:id="25" w:name="_Toc215857448"/>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（三）招标人拒绝接收任何迟到的投标文件。</w:t>
      </w:r>
    </w:p>
    <w:p>
      <w:pPr>
        <w:pStyle w:val="8"/>
        <w:adjustRightInd w:val="0"/>
        <w:snapToGrid w:val="0"/>
        <w:spacing w:line="360" w:lineRule="auto"/>
        <w:ind w:firstLine="562" w:firstLineChars="0"/>
        <w:rPr>
          <w:rFonts w:ascii="宋体" w:eastAsia="宋体" w:cs="宋体"/>
          <w:b/>
          <w:szCs w:val="28"/>
        </w:rPr>
      </w:pPr>
      <w:r>
        <w:rPr>
          <w:rFonts w:hint="eastAsia" w:ascii="宋体" w:eastAsia="宋体" w:cs="宋体"/>
          <w:b/>
          <w:szCs w:val="28"/>
        </w:rPr>
        <w:t>十、投标价格</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为便于</w:t>
      </w:r>
      <w:bookmarkEnd w:id="25"/>
      <w:bookmarkStart w:id="26" w:name="_Toc215857449"/>
      <w:r>
        <w:rPr>
          <w:rFonts w:hint="eastAsia" w:ascii="宋体" w:eastAsia="宋体" w:cs="宋体"/>
          <w:szCs w:val="28"/>
        </w:rPr>
        <w:t>开标，投标人应严格按照招标文件“投标报价表”的格式规定填写投标报价表。</w:t>
      </w:r>
    </w:p>
    <w:bookmarkEnd w:id="26"/>
    <w:p>
      <w:pPr>
        <w:pStyle w:val="8"/>
        <w:adjustRightInd w:val="0"/>
        <w:snapToGrid w:val="0"/>
        <w:spacing w:line="360" w:lineRule="auto"/>
        <w:ind w:firstLine="562" w:firstLineChars="0"/>
        <w:rPr>
          <w:rFonts w:ascii="宋体" w:eastAsia="宋体" w:cs="宋体"/>
          <w:b/>
          <w:szCs w:val="28"/>
        </w:rPr>
      </w:pPr>
      <w:r>
        <w:rPr>
          <w:rFonts w:hint="eastAsia" w:ascii="宋体" w:eastAsia="宋体" w:cs="宋体"/>
          <w:b/>
          <w:szCs w:val="28"/>
        </w:rPr>
        <w:t>十一、评标</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（一）评标委员会</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评标由招标人依法组建的评标委员会负责。评标委员会由招标人专家库随机抽取三名技术标（方案评审）评委及财务、纪检监督各一名共五名评委组成。</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（二）评审程序</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评标按照下列程序进行：1）评标准备；2）初步评审；3）详细评审；4）推荐中标候选人，撰写评标报告。</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（三）评标准备</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1、评标委员会成员签到</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评标委员会成员到达评标现场时应在签到表上签到以证明出席。</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2、 评标委员会的分工</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3、 熟悉文件资料</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（四）初步评审</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1、响应性评审</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2、算术错误修正</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3、澄清、说明或补正</w:t>
      </w:r>
    </w:p>
    <w:p>
      <w:pPr>
        <w:autoSpaceDE w:val="0"/>
        <w:autoSpaceDN w:val="0"/>
        <w:adjustRightInd w:val="0"/>
        <w:snapToGrid w:val="0"/>
        <w:spacing w:line="360" w:lineRule="auto"/>
        <w:ind w:firstLine="561"/>
        <w:rPr>
          <w:rFonts w:ascii="宋体" w:hAnsi="宋体"/>
          <w:szCs w:val="21"/>
        </w:rPr>
      </w:pPr>
      <w:r>
        <w:rPr>
          <w:rFonts w:hint="eastAsia" w:ascii="宋体" w:hAnsi="宋体"/>
          <w:sz w:val="28"/>
          <w:szCs w:val="28"/>
        </w:rPr>
        <w:t>在初步评审过程中，评标委员会应当就投标文件中不明确的内容要求投标人进行澄清．</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（五）投标文件中的有关差错按以下规定进行调整：</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1．大写金额和小写金额不一致的，以大写金额为准；</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 xml:space="preserve">2．总价金额与单价乘以数量得出的金额不一致的，以单价乘以数量得出的金额为准； </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3．用文字表示的</w:t>
      </w:r>
      <w:bookmarkStart w:id="27" w:name="_Toc215857456"/>
      <w:r>
        <w:rPr>
          <w:rFonts w:hint="eastAsia" w:ascii="宋体" w:eastAsia="宋体" w:cs="宋体"/>
          <w:szCs w:val="28"/>
        </w:rPr>
        <w:t>数值与用数字表示的数值不一致，以文字表示的数值为准；</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4．文字表述与图形不一致，以文字表述为准。</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（六）投标文件的澄清：为有助于投标</w:t>
      </w:r>
      <w:bookmarkEnd w:id="27"/>
      <w:bookmarkStart w:id="28" w:name="_Toc215857457"/>
      <w:r>
        <w:rPr>
          <w:rFonts w:hint="eastAsia" w:ascii="宋体" w:eastAsia="宋体" w:cs="宋体"/>
          <w:szCs w:val="28"/>
        </w:rPr>
        <w:t>文</w:t>
      </w:r>
      <w:bookmarkEnd w:id="28"/>
      <w:bookmarkStart w:id="29" w:name="_Toc215857460"/>
      <w:r>
        <w:rPr>
          <w:rFonts w:hint="eastAsia" w:ascii="宋体" w:eastAsia="宋体" w:cs="宋体"/>
          <w:szCs w:val="28"/>
        </w:rPr>
        <w:t>件的审查、评价、比较，评标委员会可以要求投标人对</w:t>
      </w:r>
      <w:bookmarkEnd w:id="29"/>
      <w:bookmarkStart w:id="30" w:name="_Toc215857461"/>
      <w:r>
        <w:rPr>
          <w:rFonts w:hint="eastAsia" w:ascii="宋体" w:eastAsia="宋体" w:cs="宋体"/>
          <w:szCs w:val="28"/>
        </w:rPr>
        <w:t>投标文件中含义不明确的内容作必要的澄清或者说明。</w:t>
      </w:r>
    </w:p>
    <w:bookmarkEnd w:id="30"/>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（七）对未中标的投标人的所有投标文件，招标人一律不予退回，不承担任何责任，也无责任做任何解释。</w:t>
      </w:r>
    </w:p>
    <w:p>
      <w:pPr>
        <w:pStyle w:val="8"/>
        <w:adjustRightInd w:val="0"/>
        <w:snapToGrid w:val="0"/>
        <w:spacing w:line="360" w:lineRule="auto"/>
        <w:ind w:firstLine="562" w:firstLineChars="0"/>
        <w:rPr>
          <w:rFonts w:ascii="宋体" w:eastAsia="宋体" w:cs="宋体"/>
          <w:b/>
          <w:szCs w:val="28"/>
        </w:rPr>
      </w:pPr>
      <w:r>
        <w:rPr>
          <w:rFonts w:hint="eastAsia" w:ascii="宋体" w:eastAsia="宋体" w:cs="宋体"/>
          <w:b/>
          <w:szCs w:val="28"/>
        </w:rPr>
        <w:t>十二、定标</w:t>
      </w:r>
    </w:p>
    <w:p>
      <w:pPr>
        <w:pStyle w:val="8"/>
        <w:adjustRightInd w:val="0"/>
        <w:snapToGrid w:val="0"/>
        <w:spacing w:line="360" w:lineRule="auto"/>
        <w:ind w:firstLine="562" w:firstLineChars="0"/>
        <w:rPr>
          <w:rFonts w:ascii="宋体" w:eastAsia="宋体" w:cs="宋体"/>
          <w:szCs w:val="28"/>
        </w:rPr>
      </w:pPr>
      <w:r>
        <w:rPr>
          <w:rFonts w:hint="eastAsia" w:ascii="宋体" w:eastAsia="宋体" w:cs="宋体"/>
          <w:b/>
          <w:szCs w:val="28"/>
        </w:rPr>
        <w:t>（一）</w:t>
      </w:r>
      <w:r>
        <w:rPr>
          <w:rFonts w:hint="eastAsia" w:ascii="宋体" w:eastAsia="宋体" w:cs="宋体"/>
          <w:szCs w:val="28"/>
        </w:rPr>
        <w:t>评标结束后，确定评标排名，由招标人确定中标单位。</w:t>
      </w:r>
    </w:p>
    <w:p>
      <w:pPr>
        <w:pStyle w:val="5"/>
        <w:adjustRightInd w:val="0"/>
        <w:snapToGrid w:val="0"/>
        <w:spacing w:line="360" w:lineRule="auto"/>
        <w:ind w:firstLine="560"/>
        <w:rPr>
          <w:rFonts w:ascii="宋体" w:hAnsi="宋体" w:cs="宋体"/>
          <w:sz w:val="28"/>
          <w:szCs w:val="28"/>
        </w:rPr>
      </w:pPr>
      <w:r>
        <w:rPr>
          <w:rFonts w:hint="eastAsia" w:ascii="宋体" w:hAnsi="宋体" w:cs="宋体"/>
          <w:sz w:val="28"/>
          <w:szCs w:val="28"/>
        </w:rPr>
        <w:t>（二）中标单位确定后，招标人将以书面形式向中标候选人发出《中标通知书》，《中标通知书》一经发出即发生法律效力。</w:t>
      </w:r>
    </w:p>
    <w:p>
      <w:pPr>
        <w:pStyle w:val="5"/>
        <w:adjustRightInd w:val="0"/>
        <w:snapToGrid w:val="0"/>
        <w:spacing w:line="360" w:lineRule="auto"/>
        <w:ind w:firstLine="560"/>
        <w:rPr>
          <w:rFonts w:ascii="宋体" w:hAnsi="宋体" w:cs="宋体"/>
          <w:sz w:val="28"/>
          <w:szCs w:val="28"/>
        </w:rPr>
      </w:pPr>
      <w:r>
        <w:rPr>
          <w:rFonts w:hint="eastAsia" w:ascii="宋体" w:hAnsi="宋体" w:cs="宋体"/>
          <w:sz w:val="28"/>
          <w:szCs w:val="28"/>
        </w:rPr>
        <w:t>（三）《中标通知书》将作为签订合同的依据。</w:t>
      </w:r>
    </w:p>
    <w:p>
      <w:pPr>
        <w:pStyle w:val="5"/>
        <w:adjustRightInd w:val="0"/>
        <w:snapToGrid w:val="0"/>
        <w:spacing w:line="360" w:lineRule="auto"/>
        <w:ind w:firstLine="560"/>
        <w:rPr>
          <w:rFonts w:ascii="宋体" w:hAnsi="宋体" w:cs="宋体"/>
          <w:sz w:val="28"/>
          <w:szCs w:val="28"/>
        </w:rPr>
      </w:pPr>
      <w:r>
        <w:rPr>
          <w:rFonts w:hint="eastAsia" w:ascii="宋体" w:hAnsi="宋体" w:cs="宋体"/>
          <w:sz w:val="28"/>
          <w:szCs w:val="28"/>
        </w:rPr>
        <w:t>（四）本次招标期限：三年（保险期间2023年4月3日——2026年4月2日）。</w:t>
      </w:r>
    </w:p>
    <w:p>
      <w:pPr>
        <w:pStyle w:val="5"/>
        <w:adjustRightInd w:val="0"/>
        <w:snapToGrid w:val="0"/>
        <w:spacing w:line="360" w:lineRule="auto"/>
        <w:ind w:firstLine="560"/>
        <w:rPr>
          <w:rFonts w:ascii="宋体" w:hAnsi="宋体" w:cs="宋体"/>
          <w:color w:val="FF0000"/>
          <w:sz w:val="28"/>
          <w:szCs w:val="28"/>
        </w:rPr>
      </w:pPr>
      <w:r>
        <w:rPr>
          <w:rFonts w:hint="eastAsia" w:ascii="宋体" w:hAnsi="宋体" w:cs="宋体"/>
          <w:sz w:val="28"/>
          <w:szCs w:val="28"/>
        </w:rPr>
        <w:t>（五）招标人对未中标的投标人无解释的义务。</w:t>
      </w:r>
    </w:p>
    <w:p>
      <w:pPr>
        <w:pStyle w:val="5"/>
        <w:adjustRightInd w:val="0"/>
        <w:snapToGrid w:val="0"/>
        <w:spacing w:line="360" w:lineRule="auto"/>
        <w:ind w:firstLine="562"/>
        <w:rPr>
          <w:rFonts w:ascii="宋体" w:hAnsi="宋体" w:cs="宋体"/>
          <w:b/>
          <w:sz w:val="28"/>
          <w:szCs w:val="28"/>
        </w:rPr>
      </w:pPr>
      <w:bookmarkStart w:id="31" w:name="_Toc216342221"/>
      <w:bookmarkStart w:id="32" w:name="_Toc216420222"/>
      <w:r>
        <w:rPr>
          <w:rFonts w:hint="eastAsia" w:ascii="宋体" w:hAnsi="宋体" w:cs="宋体"/>
          <w:b/>
          <w:sz w:val="28"/>
          <w:szCs w:val="28"/>
        </w:rPr>
        <w:t>十三、投标费用</w:t>
      </w:r>
    </w:p>
    <w:p>
      <w:pPr>
        <w:pStyle w:val="5"/>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一切与投标有关的费用均由投标人自理。</w:t>
      </w:r>
    </w:p>
    <w:p>
      <w:pPr>
        <w:pStyle w:val="5"/>
        <w:numPr>
          <w:ilvl w:val="0"/>
          <w:numId w:val="3"/>
        </w:numPr>
        <w:adjustRightInd w:val="0"/>
        <w:snapToGrid w:val="0"/>
        <w:spacing w:line="360" w:lineRule="auto"/>
        <w:ind w:firstLine="562" w:firstLineChars="200"/>
        <w:rPr>
          <w:rFonts w:ascii="宋体" w:hAnsi="宋体" w:cs="宋体"/>
          <w:b/>
          <w:bCs/>
          <w:sz w:val="28"/>
          <w:szCs w:val="28"/>
        </w:rPr>
      </w:pPr>
      <w:r>
        <w:rPr>
          <w:rFonts w:hint="eastAsia" w:ascii="宋体" w:hAnsi="宋体" w:cs="宋体"/>
          <w:b/>
          <w:bCs/>
          <w:sz w:val="28"/>
          <w:szCs w:val="28"/>
        </w:rPr>
        <w:t>合同付款方式</w:t>
      </w:r>
    </w:p>
    <w:p>
      <w:pPr>
        <w:pStyle w:val="5"/>
        <w:spacing w:line="360" w:lineRule="auto"/>
        <w:rPr>
          <w:sz w:val="28"/>
          <w:szCs w:val="28"/>
        </w:rPr>
      </w:pPr>
      <w:r>
        <w:rPr>
          <w:rFonts w:hint="eastAsia" w:ascii="宋体" w:hAnsi="宋体" w:cs="宋体"/>
          <w:b/>
          <w:bCs/>
          <w:sz w:val="28"/>
          <w:szCs w:val="28"/>
        </w:rPr>
        <w:t xml:space="preserve">    </w:t>
      </w:r>
      <w:r>
        <w:rPr>
          <w:rFonts w:hint="eastAsia"/>
          <w:sz w:val="28"/>
          <w:szCs w:val="28"/>
        </w:rPr>
        <w:t>当年合同签订后即付当年保险费，</w:t>
      </w:r>
      <w:r>
        <w:rPr>
          <w:rFonts w:hint="eastAsia" w:ascii="宋体" w:hAnsi="宋体"/>
          <w:sz w:val="28"/>
          <w:szCs w:val="28"/>
        </w:rPr>
        <w:t>乙方在每次结算时需提供甲方认可的增值税发票</w:t>
      </w:r>
      <w:r>
        <w:rPr>
          <w:rFonts w:hint="eastAsia"/>
          <w:sz w:val="28"/>
          <w:szCs w:val="28"/>
        </w:rPr>
        <w:t>。</w:t>
      </w:r>
    </w:p>
    <w:p>
      <w:pPr>
        <w:pStyle w:val="5"/>
        <w:adjustRightInd w:val="0"/>
        <w:snapToGrid w:val="0"/>
        <w:spacing w:line="360" w:lineRule="auto"/>
        <w:rPr>
          <w:rFonts w:ascii="宋体" w:hAnsi="宋体" w:cs="宋体"/>
          <w:sz w:val="28"/>
          <w:szCs w:val="28"/>
        </w:rPr>
      </w:pPr>
      <w:r>
        <w:rPr>
          <w:rFonts w:hint="eastAsia" w:ascii="宋体" w:hAnsi="宋体" w:cs="宋体"/>
          <w:sz w:val="28"/>
          <w:szCs w:val="28"/>
        </w:rPr>
        <w:t xml:space="preserve">    </w:t>
      </w:r>
    </w:p>
    <w:bookmarkEnd w:id="31"/>
    <w:bookmarkEnd w:id="32"/>
    <w:p>
      <w:pPr>
        <w:pStyle w:val="5"/>
        <w:adjustRightInd w:val="0"/>
        <w:snapToGrid w:val="0"/>
        <w:spacing w:line="360" w:lineRule="auto"/>
        <w:ind w:firstLine="560" w:firstLineChars="200"/>
        <w:jc w:val="center"/>
        <w:rPr>
          <w:rStyle w:val="16"/>
          <w:rFonts w:ascii="宋体" w:hAnsi="宋体" w:cs="宋体"/>
          <w:b w:val="0"/>
          <w:sz w:val="28"/>
          <w:szCs w:val="28"/>
        </w:rPr>
      </w:pPr>
      <w:r>
        <w:rPr>
          <w:rStyle w:val="16"/>
          <w:rFonts w:hint="eastAsia" w:ascii="宋体" w:hAnsi="宋体" w:cs="宋体"/>
          <w:b w:val="0"/>
          <w:sz w:val="28"/>
          <w:szCs w:val="28"/>
        </w:rPr>
        <w:br w:type="page"/>
      </w:r>
    </w:p>
    <w:p>
      <w:pPr>
        <w:pStyle w:val="5"/>
        <w:numPr>
          <w:ilvl w:val="0"/>
          <w:numId w:val="4"/>
        </w:numPr>
        <w:adjustRightInd w:val="0"/>
        <w:snapToGrid w:val="0"/>
        <w:spacing w:line="360" w:lineRule="auto"/>
        <w:ind w:firstLine="643" w:firstLineChars="200"/>
        <w:jc w:val="center"/>
        <w:rPr>
          <w:rStyle w:val="16"/>
          <w:rFonts w:ascii="宋体" w:hAnsi="宋体" w:cs="宋体"/>
          <w:bCs/>
          <w:sz w:val="32"/>
          <w:szCs w:val="32"/>
        </w:rPr>
      </w:pPr>
      <w:r>
        <w:rPr>
          <w:rStyle w:val="16"/>
          <w:rFonts w:hint="eastAsia" w:ascii="宋体" w:hAnsi="宋体" w:cs="宋体"/>
          <w:bCs/>
          <w:sz w:val="32"/>
          <w:szCs w:val="32"/>
        </w:rPr>
        <w:t xml:space="preserve"> 保险方案</w:t>
      </w:r>
    </w:p>
    <w:p>
      <w:pPr>
        <w:pStyle w:val="5"/>
        <w:adjustRightInd w:val="0"/>
        <w:snapToGrid w:val="0"/>
        <w:spacing w:line="360" w:lineRule="auto"/>
        <w:jc w:val="center"/>
        <w:rPr>
          <w:rStyle w:val="16"/>
          <w:rFonts w:ascii="宋体" w:hAnsi="宋体" w:cs="宋体"/>
          <w:bCs/>
          <w:sz w:val="24"/>
          <w:szCs w:val="24"/>
        </w:rPr>
      </w:pPr>
    </w:p>
    <w:tbl>
      <w:tblPr>
        <w:tblStyle w:val="14"/>
        <w:tblpPr w:leftFromText="180" w:rightFromText="180" w:vertAnchor="text" w:horzAnchor="page" w:tblpX="1890" w:tblpY="109"/>
        <w:tblOverlap w:val="never"/>
        <w:tblW w:w="93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1258"/>
        <w:gridCol w:w="284"/>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58" w:hRule="atLeast"/>
        </w:trPr>
        <w:tc>
          <w:tcPr>
            <w:tcW w:w="1258" w:type="dxa"/>
          </w:tcPr>
          <w:p>
            <w:pPr>
              <w:adjustRightInd w:val="0"/>
              <w:snapToGrid w:val="0"/>
              <w:rPr>
                <w:rFonts w:ascii="宋体" w:hAnsi="宋体" w:cs="宋体"/>
                <w:b/>
                <w:sz w:val="24"/>
                <w:szCs w:val="24"/>
              </w:rPr>
            </w:pPr>
            <w:r>
              <w:rPr>
                <w:rFonts w:hint="eastAsia" w:ascii="宋体" w:hAnsi="宋体" w:cs="宋体"/>
                <w:b/>
                <w:sz w:val="24"/>
                <w:szCs w:val="24"/>
              </w:rPr>
              <w:t>险种1</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rPr>
                <w:rFonts w:ascii="宋体" w:hAnsi="宋体" w:cs="宋体"/>
                <w:b/>
                <w:color w:val="000000"/>
                <w:kern w:val="0"/>
                <w:sz w:val="24"/>
                <w:szCs w:val="24"/>
              </w:rPr>
            </w:pPr>
            <w:r>
              <w:rPr>
                <w:rFonts w:hint="eastAsia" w:ascii="宋体" w:hAnsi="宋体" w:cs="宋体"/>
                <w:b/>
                <w:color w:val="000000"/>
                <w:kern w:val="0"/>
                <w:sz w:val="24"/>
                <w:szCs w:val="24"/>
              </w:rPr>
              <w:t>财产综合险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254"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保险金额</w:t>
            </w:r>
          </w:p>
        </w:tc>
        <w:tc>
          <w:tcPr>
            <w:tcW w:w="284" w:type="dxa"/>
          </w:tcPr>
          <w:p>
            <w:pPr>
              <w:adjustRightInd w:val="0"/>
              <w:snapToGrid w:val="0"/>
              <w:rPr>
                <w:rFonts w:ascii="宋体" w:hAnsi="宋体" w:cs="宋体"/>
                <w:spacing w:val="20"/>
                <w:sz w:val="24"/>
                <w:szCs w:val="24"/>
              </w:rPr>
            </w:pPr>
            <w:r>
              <w:rPr>
                <w:rFonts w:hint="eastAsia" w:ascii="宋体" w:hAnsi="宋体" w:cs="宋体"/>
                <w:caps/>
                <w:spacing w:val="20"/>
                <w:sz w:val="24"/>
                <w:szCs w:val="24"/>
              </w:rPr>
              <w:t>：</w:t>
            </w:r>
          </w:p>
        </w:tc>
        <w:tc>
          <w:tcPr>
            <w:tcW w:w="7796" w:type="dxa"/>
            <w:vAlign w:val="center"/>
          </w:tcPr>
          <w:p>
            <w:pPr>
              <w:adjustRightInd w:val="0"/>
              <w:snapToGrid w:val="0"/>
              <w:ind w:firstLine="140" w:firstLineChars="50"/>
              <w:rPr>
                <w:rFonts w:ascii="宋体" w:hAnsi="宋体" w:cs="宋体"/>
                <w:spacing w:val="20"/>
                <w:sz w:val="24"/>
                <w:szCs w:val="24"/>
              </w:rPr>
            </w:pPr>
            <w:r>
              <w:rPr>
                <w:rFonts w:hint="eastAsia" w:ascii="宋体" w:hAnsi="宋体" w:cs="宋体"/>
                <w:spacing w:val="20"/>
                <w:sz w:val="24"/>
                <w:szCs w:val="24"/>
              </w:rPr>
              <w:t>RMB</w:t>
            </w:r>
            <w:r>
              <w:rPr>
                <w:rFonts w:hint="eastAsia" w:ascii="宋体" w:hAnsi="宋体" w:cs="宋体"/>
                <w:color w:val="FF0000"/>
                <w:spacing w:val="20"/>
                <w:sz w:val="24"/>
                <w:szCs w:val="24"/>
              </w:rPr>
              <w:t>580715502.37</w:t>
            </w:r>
            <w:r>
              <w:rPr>
                <w:rFonts w:hint="eastAsia" w:ascii="宋体" w:hAnsi="宋体" w:cs="宋体"/>
                <w:spacing w:val="20"/>
                <w:sz w:val="24"/>
                <w:szCs w:val="24"/>
              </w:rPr>
              <w:t>，具体以投保时金额为准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35"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保险费率</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adjustRightInd w:val="0"/>
              <w:snapToGrid w:val="0"/>
              <w:rPr>
                <w:rFonts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215"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保险费</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spacing w:line="276" w:lineRule="auto"/>
              <w:rPr>
                <w:rFonts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19"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免赔额</w:t>
            </w:r>
          </w:p>
        </w:tc>
        <w:tc>
          <w:tcPr>
            <w:tcW w:w="284" w:type="dxa"/>
          </w:tcPr>
          <w:p>
            <w:pPr>
              <w:adjustRightInd w:val="0"/>
              <w:snapToGrid w:val="0"/>
              <w:rPr>
                <w:rFonts w:ascii="宋体" w:hAnsi="宋体" w:cs="宋体"/>
                <w:spacing w:val="20"/>
                <w:sz w:val="24"/>
                <w:szCs w:val="24"/>
              </w:rPr>
            </w:pPr>
            <w:r>
              <w:rPr>
                <w:rFonts w:hint="eastAsia" w:ascii="宋体" w:hAnsi="宋体" w:cs="宋体"/>
                <w:spacing w:val="20"/>
                <w:sz w:val="24"/>
                <w:szCs w:val="24"/>
              </w:rPr>
              <w:t>：</w:t>
            </w:r>
          </w:p>
        </w:tc>
        <w:tc>
          <w:tcPr>
            <w:tcW w:w="7796" w:type="dxa"/>
          </w:tcPr>
          <w:p>
            <w:pPr>
              <w:spacing w:line="276" w:lineRule="auto"/>
              <w:rPr>
                <w:rFonts w:ascii="宋体" w:hAnsi="宋体" w:cs="宋体"/>
                <w:color w:val="000000"/>
                <w:sz w:val="24"/>
                <w:szCs w:val="24"/>
              </w:rPr>
            </w:pPr>
            <w:r>
              <w:rPr>
                <w:rFonts w:hint="eastAsia" w:ascii="宋体" w:hAnsi="宋体" w:cs="宋体"/>
                <w:color w:val="000000"/>
                <w:sz w:val="24"/>
                <w:szCs w:val="24"/>
              </w:rPr>
              <w:t>每次事故绝对免赔额为RMB1000元或损失金额的5%，两者以高者为准</w:t>
            </w:r>
          </w:p>
        </w:tc>
      </w:tr>
    </w:tbl>
    <w:p>
      <w:pPr>
        <w:pStyle w:val="5"/>
        <w:adjustRightInd w:val="0"/>
        <w:snapToGrid w:val="0"/>
        <w:spacing w:line="360" w:lineRule="auto"/>
        <w:jc w:val="both"/>
        <w:rPr>
          <w:rStyle w:val="16"/>
          <w:rFonts w:ascii="宋体" w:hAnsi="宋体" w:cs="宋体"/>
          <w:bCs/>
          <w:sz w:val="24"/>
          <w:szCs w:val="24"/>
        </w:rPr>
      </w:pPr>
    </w:p>
    <w:tbl>
      <w:tblPr>
        <w:tblStyle w:val="14"/>
        <w:tblpPr w:leftFromText="180" w:rightFromText="180" w:vertAnchor="text" w:horzAnchor="page" w:tblpX="1875" w:tblpY="166"/>
        <w:tblOverlap w:val="never"/>
        <w:tblW w:w="93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1258"/>
        <w:gridCol w:w="284"/>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58" w:hRule="atLeast"/>
        </w:trPr>
        <w:tc>
          <w:tcPr>
            <w:tcW w:w="1258" w:type="dxa"/>
          </w:tcPr>
          <w:p>
            <w:pPr>
              <w:adjustRightInd w:val="0"/>
              <w:snapToGrid w:val="0"/>
              <w:rPr>
                <w:rFonts w:ascii="宋体" w:hAnsi="宋体" w:cs="宋体"/>
                <w:b/>
                <w:sz w:val="24"/>
                <w:szCs w:val="24"/>
              </w:rPr>
            </w:pPr>
            <w:r>
              <w:rPr>
                <w:rFonts w:hint="eastAsia" w:ascii="宋体" w:hAnsi="宋体" w:cs="宋体"/>
                <w:b/>
                <w:sz w:val="24"/>
                <w:szCs w:val="24"/>
              </w:rPr>
              <w:t>险种2</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rPr>
                <w:rFonts w:ascii="宋体" w:hAnsi="宋体" w:cs="宋体"/>
                <w:b/>
                <w:color w:val="000000"/>
                <w:kern w:val="0"/>
                <w:sz w:val="24"/>
                <w:szCs w:val="24"/>
              </w:rPr>
            </w:pPr>
            <w:r>
              <w:rPr>
                <w:rFonts w:hint="eastAsia" w:ascii="宋体" w:hAnsi="宋体" w:cs="宋体"/>
                <w:b/>
                <w:color w:val="000000"/>
                <w:kern w:val="0"/>
                <w:sz w:val="24"/>
                <w:szCs w:val="24"/>
              </w:rPr>
              <w:t>机器损坏险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254"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保险金额</w:t>
            </w:r>
          </w:p>
        </w:tc>
        <w:tc>
          <w:tcPr>
            <w:tcW w:w="284" w:type="dxa"/>
          </w:tcPr>
          <w:p>
            <w:pPr>
              <w:adjustRightInd w:val="0"/>
              <w:snapToGrid w:val="0"/>
              <w:rPr>
                <w:rFonts w:ascii="宋体" w:hAnsi="宋体" w:cs="宋体"/>
                <w:spacing w:val="20"/>
                <w:sz w:val="24"/>
                <w:szCs w:val="24"/>
              </w:rPr>
            </w:pPr>
            <w:r>
              <w:rPr>
                <w:rFonts w:hint="eastAsia" w:ascii="宋体" w:hAnsi="宋体" w:cs="宋体"/>
                <w:caps/>
                <w:spacing w:val="20"/>
                <w:sz w:val="24"/>
                <w:szCs w:val="24"/>
              </w:rPr>
              <w:t>：</w:t>
            </w:r>
          </w:p>
        </w:tc>
        <w:tc>
          <w:tcPr>
            <w:tcW w:w="7796" w:type="dxa"/>
            <w:vAlign w:val="center"/>
          </w:tcPr>
          <w:p>
            <w:pPr>
              <w:adjustRightInd w:val="0"/>
              <w:snapToGrid w:val="0"/>
              <w:rPr>
                <w:rFonts w:ascii="宋体" w:hAnsi="宋体" w:cs="宋体"/>
                <w:spacing w:val="20"/>
                <w:sz w:val="24"/>
                <w:szCs w:val="24"/>
              </w:rPr>
            </w:pPr>
            <w:r>
              <w:rPr>
                <w:rFonts w:hint="eastAsia" w:ascii="宋体" w:hAnsi="宋体" w:cs="宋体"/>
                <w:spacing w:val="20"/>
                <w:sz w:val="24"/>
                <w:szCs w:val="24"/>
              </w:rPr>
              <w:t>RMB</w:t>
            </w:r>
            <w:r>
              <w:rPr>
                <w:rFonts w:hint="eastAsia" w:ascii="宋体" w:hAnsi="宋体" w:cs="宋体"/>
                <w:color w:val="FF0000"/>
                <w:spacing w:val="20"/>
                <w:sz w:val="24"/>
                <w:szCs w:val="24"/>
              </w:rPr>
              <w:t>26128923.33</w:t>
            </w:r>
            <w:r>
              <w:rPr>
                <w:rFonts w:hint="eastAsia" w:ascii="宋体" w:hAnsi="宋体" w:cs="宋体"/>
                <w:spacing w:val="20"/>
                <w:sz w:val="24"/>
                <w:szCs w:val="24"/>
              </w:rPr>
              <w:t>，具体以投保时金额为准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35"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保险费率</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adjustRightInd w:val="0"/>
              <w:snapToGrid w:val="0"/>
              <w:rPr>
                <w:rFonts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215"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保险费</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spacing w:line="276" w:lineRule="auto"/>
              <w:rPr>
                <w:rFonts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19"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免赔额</w:t>
            </w:r>
          </w:p>
        </w:tc>
        <w:tc>
          <w:tcPr>
            <w:tcW w:w="284" w:type="dxa"/>
          </w:tcPr>
          <w:p>
            <w:pPr>
              <w:adjustRightInd w:val="0"/>
              <w:snapToGrid w:val="0"/>
              <w:rPr>
                <w:rFonts w:ascii="宋体" w:hAnsi="宋体" w:cs="宋体"/>
                <w:spacing w:val="20"/>
                <w:sz w:val="24"/>
                <w:szCs w:val="24"/>
              </w:rPr>
            </w:pPr>
            <w:r>
              <w:rPr>
                <w:rFonts w:hint="eastAsia" w:ascii="宋体" w:hAnsi="宋体" w:cs="宋体"/>
                <w:spacing w:val="20"/>
                <w:sz w:val="24"/>
                <w:szCs w:val="24"/>
              </w:rPr>
              <w:t>：</w:t>
            </w:r>
          </w:p>
        </w:tc>
        <w:tc>
          <w:tcPr>
            <w:tcW w:w="7796" w:type="dxa"/>
          </w:tcPr>
          <w:p>
            <w:pPr>
              <w:spacing w:line="276" w:lineRule="auto"/>
              <w:rPr>
                <w:rFonts w:ascii="宋体" w:hAnsi="宋体" w:cs="宋体"/>
                <w:color w:val="000000"/>
                <w:sz w:val="24"/>
                <w:szCs w:val="24"/>
              </w:rPr>
            </w:pPr>
            <w:r>
              <w:rPr>
                <w:rFonts w:hint="eastAsia" w:ascii="宋体" w:hAnsi="宋体" w:cs="宋体"/>
                <w:color w:val="000000"/>
                <w:sz w:val="24"/>
                <w:szCs w:val="24"/>
              </w:rPr>
              <w:t>每次事故绝对免赔额为RMB1000元或损失金额的5%，两者以高者为准</w:t>
            </w:r>
          </w:p>
        </w:tc>
      </w:tr>
    </w:tbl>
    <w:p>
      <w:pPr>
        <w:widowControl/>
        <w:spacing w:before="100" w:beforeAutospacing="1" w:after="75"/>
        <w:outlineLvl w:val="3"/>
        <w:rPr>
          <w:rFonts w:ascii="宋体" w:hAnsi="宋体" w:cs="宋体"/>
          <w:b/>
          <w:bCs/>
          <w:kern w:val="0"/>
          <w:sz w:val="24"/>
          <w:szCs w:val="24"/>
        </w:rPr>
      </w:pPr>
    </w:p>
    <w:p>
      <w:pPr>
        <w:widowControl/>
        <w:spacing w:line="360" w:lineRule="auto"/>
        <w:outlineLvl w:val="3"/>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3"/>
        <w:spacing w:line="360" w:lineRule="auto"/>
        <w:rPr>
          <w:rStyle w:val="16"/>
          <w:rFonts w:ascii="仿宋" w:hAnsi="仿宋" w:eastAsia="仿宋" w:cs="仿宋"/>
          <w:b/>
          <w:sz w:val="32"/>
          <w:szCs w:val="32"/>
        </w:rPr>
      </w:pPr>
    </w:p>
    <w:p>
      <w:pPr>
        <w:pStyle w:val="4"/>
      </w:pPr>
    </w:p>
    <w:p>
      <w:pPr>
        <w:pStyle w:val="3"/>
        <w:spacing w:line="360" w:lineRule="auto"/>
        <w:jc w:val="center"/>
        <w:rPr>
          <w:rStyle w:val="16"/>
          <w:rFonts w:ascii="仿宋" w:hAnsi="仿宋" w:eastAsia="仿宋" w:cs="仿宋"/>
          <w:b/>
          <w:sz w:val="32"/>
          <w:szCs w:val="32"/>
        </w:rPr>
      </w:pPr>
      <w:r>
        <w:rPr>
          <w:rStyle w:val="16"/>
          <w:rFonts w:hint="eastAsia" w:ascii="仿宋" w:hAnsi="仿宋" w:eastAsia="仿宋" w:cs="仿宋"/>
          <w:b/>
          <w:sz w:val="32"/>
          <w:szCs w:val="32"/>
        </w:rPr>
        <w:t>第四章  投标人基本</w:t>
      </w:r>
      <w:bookmarkStart w:id="33" w:name="_Toc197847005"/>
      <w:r>
        <w:rPr>
          <w:rStyle w:val="16"/>
          <w:rFonts w:hint="eastAsia" w:ascii="仿宋" w:hAnsi="仿宋" w:eastAsia="仿宋" w:cs="仿宋"/>
          <w:b/>
          <w:sz w:val="32"/>
          <w:szCs w:val="32"/>
        </w:rPr>
        <w:t>服务要求</w:t>
      </w:r>
    </w:p>
    <w:p>
      <w:pPr>
        <w:spacing w:line="360" w:lineRule="auto"/>
        <w:rPr>
          <w:rFonts w:ascii="仿宋" w:hAnsi="仿宋" w:eastAsia="仿宋" w:cs="仿宋"/>
          <w:sz w:val="28"/>
          <w:szCs w:val="28"/>
        </w:rPr>
      </w:pPr>
      <w:r>
        <w:rPr>
          <w:rStyle w:val="16"/>
          <w:rFonts w:hint="eastAsia" w:ascii="仿宋" w:hAnsi="仿宋" w:eastAsia="仿宋" w:cs="仿宋"/>
          <w:b w:val="0"/>
          <w:sz w:val="28"/>
          <w:szCs w:val="28"/>
        </w:rPr>
        <w:t xml:space="preserve">  </w:t>
      </w:r>
      <w:r>
        <w:rPr>
          <w:rFonts w:hint="eastAsia" w:ascii="仿宋" w:hAnsi="仿宋" w:eastAsia="仿宋" w:cs="仿宋"/>
          <w:b/>
          <w:sz w:val="28"/>
          <w:szCs w:val="28"/>
        </w:rPr>
        <w:t xml:space="preserve">    投标</w:t>
      </w:r>
      <w:bookmarkEnd w:id="33"/>
      <w:r>
        <w:rPr>
          <w:rFonts w:hint="eastAsia" w:ascii="仿宋" w:hAnsi="仿宋" w:eastAsia="仿宋" w:cs="仿宋"/>
          <w:b/>
          <w:sz w:val="28"/>
          <w:szCs w:val="28"/>
        </w:rPr>
        <w:t>人一旦中标成为本保险项目承保人（以下简称保险人），应履行以下基本服务承诺：</w:t>
      </w:r>
    </w:p>
    <w:p>
      <w:pPr>
        <w:spacing w:line="360" w:lineRule="auto"/>
        <w:ind w:firstLine="549" w:firstLineChars="196"/>
        <w:outlineLvl w:val="1"/>
        <w:rPr>
          <w:rFonts w:ascii="仿宋" w:hAnsi="仿宋" w:eastAsia="仿宋" w:cs="仿宋"/>
          <w:b/>
          <w:sz w:val="28"/>
          <w:szCs w:val="28"/>
        </w:rPr>
      </w:pPr>
      <w:r>
        <w:rPr>
          <w:rFonts w:hint="eastAsia" w:ascii="仿宋" w:hAnsi="仿宋" w:eastAsia="仿宋" w:cs="仿宋"/>
          <w:b/>
          <w:sz w:val="28"/>
          <w:szCs w:val="28"/>
        </w:rPr>
        <w:t>一、保险人服务组织机构</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1、成立保险服务领导小组</w:t>
      </w:r>
    </w:p>
    <w:p>
      <w:pPr>
        <w:pStyle w:val="7"/>
        <w:rPr>
          <w:rFonts w:ascii="仿宋" w:hAnsi="仿宋" w:eastAsia="仿宋" w:cs="仿宋"/>
          <w:color w:val="auto"/>
          <w:szCs w:val="28"/>
        </w:rPr>
      </w:pPr>
      <w:r>
        <w:rPr>
          <w:rFonts w:hint="eastAsia" w:ascii="仿宋" w:hAnsi="仿宋" w:eastAsia="仿宋" w:cs="仿宋"/>
          <w:color w:val="auto"/>
          <w:szCs w:val="28"/>
        </w:rPr>
        <w:t>保险人应成立保险服务领导小组，负责协调包括承保、理赔、服务等相关事宜。</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2、客户经理的职责</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客户经理获得上级机构充分授权，全权负责按照保险合同的有关内容提供全市范围内的承保、理赔及其他相关保险服务，包括必要的组织与总体协调工作。</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3、服务成员的变动</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保险服务领导小组明示主要服务成员，该成员如调动离岗，须7日内告知被保险人及其指定代理人有关接替人员联系方式。</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4、内部培训和服务手册</w:t>
      </w:r>
    </w:p>
    <w:p>
      <w:pPr>
        <w:spacing w:line="360" w:lineRule="auto"/>
        <w:ind w:firstLine="560" w:firstLineChars="200"/>
        <w:rPr>
          <w:rFonts w:ascii="仿宋" w:hAnsi="仿宋" w:eastAsia="仿宋" w:cs="仿宋"/>
          <w:b/>
          <w:sz w:val="28"/>
          <w:szCs w:val="28"/>
        </w:rPr>
      </w:pPr>
      <w:r>
        <w:rPr>
          <w:rFonts w:hint="eastAsia" w:ascii="仿宋" w:hAnsi="仿宋" w:eastAsia="仿宋" w:cs="仿宋"/>
          <w:sz w:val="28"/>
          <w:szCs w:val="28"/>
        </w:rPr>
        <w:t>在签订保险合同之日起30日内，保险人将有关保险合同的内容，包括保险合同保障范围、保险服务承诺等，进行有针对性的内部培训。</w:t>
      </w:r>
      <w:bookmarkStart w:id="34" w:name="_Toc197847006"/>
    </w:p>
    <w:p>
      <w:pPr>
        <w:spacing w:line="360" w:lineRule="auto"/>
        <w:ind w:firstLine="549" w:firstLineChars="196"/>
        <w:rPr>
          <w:rFonts w:ascii="仿宋" w:hAnsi="仿宋" w:eastAsia="仿宋" w:cs="仿宋"/>
          <w:b/>
          <w:sz w:val="28"/>
          <w:szCs w:val="28"/>
        </w:rPr>
      </w:pPr>
      <w:r>
        <w:rPr>
          <w:rFonts w:hint="eastAsia" w:ascii="仿宋" w:hAnsi="仿宋" w:eastAsia="仿宋" w:cs="仿宋"/>
          <w:b/>
          <w:sz w:val="28"/>
          <w:szCs w:val="28"/>
        </w:rPr>
        <w:t>二、理赔统计和保险服务报告、总结</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保险公司每半年向被保险人提供各险种理赔统计报表以及保险服务报告和自评，内容应包括但不限于损失案件发生的时间、地点、损失原因、报损金额、定损金额、赔款、结案时间、未结案原因说明、结案率以及保险服务承诺履行情况等有关的信息。</w:t>
      </w:r>
    </w:p>
    <w:bookmarkEnd w:id="34"/>
    <w:p>
      <w:pPr>
        <w:spacing w:line="360" w:lineRule="auto"/>
        <w:rPr>
          <w:rFonts w:ascii="仿宋" w:hAnsi="仿宋" w:eastAsia="仿宋" w:cs="仿宋"/>
          <w:sz w:val="28"/>
          <w:szCs w:val="28"/>
        </w:rPr>
      </w:pPr>
      <w:bookmarkStart w:id="35" w:name="_Toc216420224"/>
      <w:r>
        <w:rPr>
          <w:rFonts w:hint="eastAsia" w:ascii="仿宋" w:hAnsi="仿宋" w:eastAsia="仿宋" w:cs="仿宋"/>
          <w:sz w:val="28"/>
          <w:szCs w:val="28"/>
        </w:rPr>
        <w:t>（以上服务内容请投标人自拟）</w:t>
      </w:r>
    </w:p>
    <w:p>
      <w:pPr>
        <w:rPr>
          <w:rFonts w:ascii="仿宋" w:hAnsi="仿宋" w:eastAsia="仿宋" w:cs="仿宋"/>
          <w:b/>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附件1:投标报价单</w:t>
      </w:r>
    </w:p>
    <w:bookmarkEnd w:id="35"/>
    <w:p>
      <w:pPr>
        <w:rPr>
          <w:rFonts w:ascii="仿宋" w:hAnsi="仿宋" w:eastAsia="仿宋" w:cs="仿宋"/>
          <w:b/>
          <w:sz w:val="32"/>
          <w:szCs w:val="32"/>
        </w:rPr>
      </w:pPr>
      <w:bookmarkStart w:id="36" w:name="_Toc192477839"/>
    </w:p>
    <w:p>
      <w:pPr>
        <w:jc w:val="center"/>
        <w:rPr>
          <w:rFonts w:ascii="仿宋" w:hAnsi="仿宋" w:eastAsia="仿宋" w:cs="仿宋"/>
          <w:b/>
          <w:sz w:val="32"/>
          <w:szCs w:val="32"/>
        </w:rPr>
      </w:pPr>
      <w:r>
        <w:rPr>
          <w:rFonts w:hint="eastAsia" w:ascii="仿宋" w:hAnsi="仿宋" w:eastAsia="仿宋" w:cs="仿宋"/>
          <w:b/>
          <w:sz w:val="32"/>
          <w:szCs w:val="32"/>
        </w:rPr>
        <w:t>投标报价单</w:t>
      </w:r>
    </w:p>
    <w:p>
      <w:pPr>
        <w:rPr>
          <w:rFonts w:ascii="仿宋" w:hAnsi="仿宋" w:eastAsia="仿宋" w:cs="仿宋"/>
          <w:sz w:val="28"/>
          <w:szCs w:val="28"/>
        </w:rPr>
      </w:pPr>
      <w:r>
        <w:rPr>
          <w:rFonts w:hint="eastAsia" w:ascii="仿宋" w:hAnsi="仿宋" w:eastAsia="仿宋" w:cs="仿宋"/>
          <w:sz w:val="28"/>
          <w:szCs w:val="28"/>
        </w:rPr>
        <w:t xml:space="preserve">                            </w:t>
      </w:r>
    </w:p>
    <w:tbl>
      <w:tblPr>
        <w:tblStyle w:val="15"/>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1764"/>
        <w:gridCol w:w="1976"/>
        <w:gridCol w:w="2387"/>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tcPr>
          <w:p>
            <w:pPr>
              <w:jc w:val="center"/>
              <w:rPr>
                <w:rFonts w:ascii="仿宋" w:hAnsi="仿宋" w:eastAsia="仿宋" w:cs="仿宋"/>
                <w:sz w:val="28"/>
                <w:szCs w:val="28"/>
              </w:rPr>
            </w:pPr>
            <w:r>
              <w:rPr>
                <w:rFonts w:hint="eastAsia" w:ascii="仿宋" w:hAnsi="仿宋" w:eastAsia="仿宋" w:cs="仿宋"/>
                <w:sz w:val="28"/>
                <w:szCs w:val="28"/>
              </w:rPr>
              <w:t>险种</w:t>
            </w:r>
          </w:p>
        </w:tc>
        <w:tc>
          <w:tcPr>
            <w:tcW w:w="1764" w:type="dxa"/>
          </w:tcPr>
          <w:p>
            <w:pPr>
              <w:jc w:val="center"/>
              <w:rPr>
                <w:rFonts w:ascii="仿宋" w:hAnsi="仿宋" w:eastAsia="仿宋" w:cs="仿宋"/>
                <w:sz w:val="28"/>
                <w:szCs w:val="28"/>
              </w:rPr>
            </w:pPr>
            <w:r>
              <w:rPr>
                <w:rFonts w:hint="eastAsia" w:ascii="仿宋" w:hAnsi="仿宋" w:eastAsia="仿宋" w:cs="仿宋"/>
                <w:sz w:val="28"/>
                <w:szCs w:val="28"/>
              </w:rPr>
              <w:t>保额</w:t>
            </w:r>
          </w:p>
        </w:tc>
        <w:tc>
          <w:tcPr>
            <w:tcW w:w="1976" w:type="dxa"/>
          </w:tcPr>
          <w:p>
            <w:pPr>
              <w:jc w:val="center"/>
              <w:rPr>
                <w:rFonts w:ascii="仿宋" w:hAnsi="仿宋" w:eastAsia="仿宋" w:cs="仿宋"/>
                <w:sz w:val="28"/>
                <w:szCs w:val="28"/>
              </w:rPr>
            </w:pPr>
            <w:r>
              <w:rPr>
                <w:rFonts w:hint="eastAsia" w:ascii="仿宋" w:hAnsi="仿宋" w:eastAsia="仿宋" w:cs="仿宋"/>
                <w:sz w:val="28"/>
                <w:szCs w:val="28"/>
              </w:rPr>
              <w:t>报价费率（</w:t>
            </w:r>
            <w:r>
              <w:rPr>
                <w:rFonts w:ascii="Arial" w:hAnsi="Arial" w:eastAsia="仿宋" w:cs="Arial"/>
                <w:sz w:val="28"/>
                <w:szCs w:val="28"/>
              </w:rPr>
              <w:t>‰</w:t>
            </w:r>
            <w:r>
              <w:rPr>
                <w:rFonts w:hint="eastAsia" w:ascii="仿宋" w:hAnsi="仿宋" w:eastAsia="仿宋" w:cs="仿宋"/>
                <w:sz w:val="28"/>
                <w:szCs w:val="28"/>
              </w:rPr>
              <w:t>）</w:t>
            </w:r>
          </w:p>
        </w:tc>
        <w:tc>
          <w:tcPr>
            <w:tcW w:w="2387" w:type="dxa"/>
          </w:tcPr>
          <w:p>
            <w:pPr>
              <w:jc w:val="center"/>
              <w:rPr>
                <w:rFonts w:ascii="仿宋" w:hAnsi="仿宋" w:eastAsia="仿宋" w:cs="仿宋"/>
                <w:sz w:val="28"/>
                <w:szCs w:val="28"/>
              </w:rPr>
            </w:pPr>
            <w:r>
              <w:rPr>
                <w:rFonts w:hint="eastAsia" w:ascii="仿宋" w:hAnsi="仿宋" w:eastAsia="仿宋" w:cs="仿宋"/>
                <w:sz w:val="28"/>
                <w:szCs w:val="28"/>
              </w:rPr>
              <w:t>保险费（万元）</w:t>
            </w:r>
          </w:p>
        </w:tc>
        <w:tc>
          <w:tcPr>
            <w:tcW w:w="1328" w:type="dxa"/>
          </w:tcPr>
          <w:p>
            <w:pPr>
              <w:jc w:val="center"/>
              <w:rPr>
                <w:rFonts w:ascii="仿宋" w:hAnsi="仿宋" w:eastAsia="仿宋" w:cs="仿宋"/>
                <w:sz w:val="28"/>
                <w:szCs w:val="28"/>
              </w:rPr>
            </w:pPr>
            <w:r>
              <w:rPr>
                <w:rFonts w:hint="eastAsia" w:ascii="仿宋" w:hAnsi="仿宋" w:eastAsia="仿宋" w:cs="仿宋"/>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1831" w:type="dxa"/>
            <w:vAlign w:val="center"/>
          </w:tcPr>
          <w:p>
            <w:pPr>
              <w:jc w:val="center"/>
              <w:rPr>
                <w:rFonts w:ascii="仿宋" w:hAnsi="仿宋" w:eastAsia="仿宋" w:cs="仿宋"/>
                <w:sz w:val="28"/>
                <w:szCs w:val="28"/>
              </w:rPr>
            </w:pPr>
            <w:r>
              <w:rPr>
                <w:rFonts w:hint="eastAsia" w:ascii="仿宋" w:hAnsi="仿宋" w:eastAsia="仿宋" w:cs="仿宋"/>
                <w:sz w:val="28"/>
                <w:szCs w:val="28"/>
              </w:rPr>
              <w:t>财产综合险</w:t>
            </w:r>
          </w:p>
        </w:tc>
        <w:tc>
          <w:tcPr>
            <w:tcW w:w="1764" w:type="dxa"/>
            <w:vAlign w:val="center"/>
          </w:tcPr>
          <w:p>
            <w:pPr>
              <w:jc w:val="center"/>
              <w:rPr>
                <w:rFonts w:ascii="仿宋" w:hAnsi="仿宋" w:eastAsia="仿宋" w:cs="仿宋"/>
                <w:sz w:val="28"/>
                <w:szCs w:val="28"/>
              </w:rPr>
            </w:pPr>
          </w:p>
        </w:tc>
        <w:tc>
          <w:tcPr>
            <w:tcW w:w="1976" w:type="dxa"/>
            <w:vAlign w:val="center"/>
          </w:tcPr>
          <w:p>
            <w:pPr>
              <w:jc w:val="center"/>
              <w:rPr>
                <w:rFonts w:ascii="仿宋" w:hAnsi="仿宋" w:eastAsia="仿宋" w:cs="仿宋"/>
                <w:sz w:val="28"/>
                <w:szCs w:val="28"/>
              </w:rPr>
            </w:pPr>
          </w:p>
        </w:tc>
        <w:tc>
          <w:tcPr>
            <w:tcW w:w="2387" w:type="dxa"/>
            <w:vAlign w:val="center"/>
          </w:tcPr>
          <w:p>
            <w:pPr>
              <w:jc w:val="center"/>
              <w:rPr>
                <w:rFonts w:ascii="仿宋" w:hAnsi="仿宋" w:eastAsia="仿宋" w:cs="仿宋"/>
                <w:sz w:val="28"/>
                <w:szCs w:val="28"/>
              </w:rPr>
            </w:pPr>
          </w:p>
        </w:tc>
        <w:tc>
          <w:tcPr>
            <w:tcW w:w="1328"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1831" w:type="dxa"/>
            <w:vAlign w:val="center"/>
          </w:tcPr>
          <w:p>
            <w:pPr>
              <w:jc w:val="center"/>
              <w:rPr>
                <w:rFonts w:ascii="仿宋" w:hAnsi="仿宋" w:eastAsia="仿宋" w:cs="仿宋"/>
                <w:sz w:val="28"/>
                <w:szCs w:val="28"/>
              </w:rPr>
            </w:pPr>
            <w:r>
              <w:rPr>
                <w:rFonts w:hint="eastAsia" w:ascii="仿宋" w:hAnsi="仿宋" w:eastAsia="仿宋" w:cs="仿宋"/>
                <w:sz w:val="28"/>
                <w:szCs w:val="28"/>
              </w:rPr>
              <w:t>机器损坏险</w:t>
            </w:r>
          </w:p>
        </w:tc>
        <w:tc>
          <w:tcPr>
            <w:tcW w:w="1764" w:type="dxa"/>
            <w:vAlign w:val="center"/>
          </w:tcPr>
          <w:p>
            <w:pPr>
              <w:jc w:val="center"/>
              <w:rPr>
                <w:rFonts w:ascii="仿宋" w:hAnsi="仿宋" w:eastAsia="仿宋" w:cs="仿宋"/>
                <w:sz w:val="28"/>
                <w:szCs w:val="28"/>
              </w:rPr>
            </w:pPr>
          </w:p>
        </w:tc>
        <w:tc>
          <w:tcPr>
            <w:tcW w:w="1976" w:type="dxa"/>
            <w:vAlign w:val="center"/>
          </w:tcPr>
          <w:p>
            <w:pPr>
              <w:jc w:val="center"/>
              <w:rPr>
                <w:rFonts w:ascii="仿宋" w:hAnsi="仿宋" w:eastAsia="仿宋" w:cs="仿宋"/>
                <w:sz w:val="28"/>
                <w:szCs w:val="28"/>
              </w:rPr>
            </w:pPr>
          </w:p>
        </w:tc>
        <w:tc>
          <w:tcPr>
            <w:tcW w:w="2387" w:type="dxa"/>
            <w:vAlign w:val="center"/>
          </w:tcPr>
          <w:p>
            <w:pPr>
              <w:jc w:val="center"/>
              <w:rPr>
                <w:rFonts w:ascii="仿宋" w:hAnsi="仿宋" w:eastAsia="仿宋" w:cs="仿宋"/>
                <w:sz w:val="28"/>
                <w:szCs w:val="28"/>
              </w:rPr>
            </w:pPr>
          </w:p>
        </w:tc>
        <w:tc>
          <w:tcPr>
            <w:tcW w:w="1328"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1831" w:type="dxa"/>
            <w:vAlign w:val="center"/>
          </w:tcPr>
          <w:p>
            <w:pPr>
              <w:jc w:val="center"/>
              <w:rPr>
                <w:rFonts w:ascii="仿宋" w:hAnsi="仿宋" w:eastAsia="仿宋" w:cs="仿宋"/>
                <w:sz w:val="28"/>
                <w:szCs w:val="28"/>
              </w:rPr>
            </w:pPr>
            <w:r>
              <w:rPr>
                <w:rFonts w:hint="eastAsia" w:ascii="仿宋" w:hAnsi="仿宋" w:eastAsia="仿宋" w:cs="仿宋"/>
                <w:sz w:val="28"/>
                <w:szCs w:val="28"/>
              </w:rPr>
              <w:t>合计</w:t>
            </w:r>
          </w:p>
        </w:tc>
        <w:tc>
          <w:tcPr>
            <w:tcW w:w="1764" w:type="dxa"/>
            <w:vAlign w:val="center"/>
          </w:tcPr>
          <w:p>
            <w:pPr>
              <w:jc w:val="center"/>
              <w:rPr>
                <w:rFonts w:ascii="仿宋" w:hAnsi="仿宋" w:eastAsia="仿宋" w:cs="仿宋"/>
                <w:sz w:val="28"/>
                <w:szCs w:val="28"/>
              </w:rPr>
            </w:pPr>
          </w:p>
        </w:tc>
        <w:tc>
          <w:tcPr>
            <w:tcW w:w="1976" w:type="dxa"/>
            <w:vAlign w:val="center"/>
          </w:tcPr>
          <w:p>
            <w:pPr>
              <w:jc w:val="center"/>
              <w:rPr>
                <w:rFonts w:ascii="仿宋" w:hAnsi="仿宋" w:eastAsia="仿宋" w:cs="仿宋"/>
                <w:sz w:val="28"/>
                <w:szCs w:val="28"/>
              </w:rPr>
            </w:pPr>
          </w:p>
        </w:tc>
        <w:tc>
          <w:tcPr>
            <w:tcW w:w="2387" w:type="dxa"/>
            <w:vAlign w:val="center"/>
          </w:tcPr>
          <w:p>
            <w:pPr>
              <w:jc w:val="center"/>
              <w:rPr>
                <w:rFonts w:ascii="仿宋" w:hAnsi="仿宋" w:eastAsia="仿宋" w:cs="仿宋"/>
                <w:sz w:val="28"/>
                <w:szCs w:val="28"/>
              </w:rPr>
            </w:pPr>
          </w:p>
        </w:tc>
        <w:tc>
          <w:tcPr>
            <w:tcW w:w="1328" w:type="dxa"/>
            <w:vAlign w:val="center"/>
          </w:tcPr>
          <w:p>
            <w:pPr>
              <w:jc w:val="center"/>
              <w:rPr>
                <w:rFonts w:ascii="仿宋" w:hAnsi="仿宋" w:eastAsia="仿宋" w:cs="仿宋"/>
                <w:sz w:val="28"/>
                <w:szCs w:val="28"/>
              </w:rPr>
            </w:pPr>
          </w:p>
        </w:tc>
      </w:tr>
    </w:tbl>
    <w:p>
      <w:pPr>
        <w:rPr>
          <w:rFonts w:ascii="仿宋" w:hAnsi="仿宋" w:eastAsia="仿宋" w:cs="仿宋"/>
          <w:sz w:val="28"/>
          <w:szCs w:val="28"/>
        </w:rPr>
      </w:pPr>
      <w:r>
        <w:rPr>
          <w:rFonts w:hint="eastAsia" w:ascii="仿宋" w:hAnsi="仿宋" w:eastAsia="仿宋" w:cs="仿宋"/>
          <w:sz w:val="28"/>
          <w:szCs w:val="28"/>
        </w:rPr>
        <w:t xml:space="preserve">            </w:t>
      </w:r>
    </w:p>
    <w:p>
      <w:pPr>
        <w:ind w:firstLine="570"/>
        <w:jc w:val="left"/>
        <w:rPr>
          <w:rFonts w:ascii="仿宋" w:hAnsi="仿宋" w:eastAsia="仿宋" w:cs="仿宋"/>
          <w:sz w:val="28"/>
          <w:szCs w:val="28"/>
        </w:rPr>
      </w:pPr>
      <w:r>
        <w:rPr>
          <w:rFonts w:hint="eastAsia" w:ascii="仿宋" w:hAnsi="仿宋" w:eastAsia="仿宋" w:cs="仿宋"/>
          <w:sz w:val="28"/>
          <w:szCs w:val="28"/>
        </w:rPr>
        <w:t>说明：报价保留小数点后2位，四舍五入。</w:t>
      </w:r>
    </w:p>
    <w:p>
      <w:pPr>
        <w:ind w:firstLine="570"/>
        <w:jc w:val="left"/>
        <w:rPr>
          <w:rFonts w:ascii="仿宋" w:hAnsi="仿宋" w:eastAsia="仿宋" w:cs="仿宋"/>
          <w:sz w:val="28"/>
          <w:szCs w:val="28"/>
        </w:rPr>
      </w:pPr>
    </w:p>
    <w:p>
      <w:pPr>
        <w:ind w:firstLine="570"/>
        <w:jc w:val="left"/>
        <w:rPr>
          <w:rFonts w:ascii="仿宋" w:hAnsi="仿宋" w:eastAsia="仿宋" w:cs="仿宋"/>
          <w:sz w:val="28"/>
          <w:szCs w:val="28"/>
        </w:rPr>
      </w:pPr>
    </w:p>
    <w:p>
      <w:pPr>
        <w:ind w:firstLine="3080"/>
        <w:rPr>
          <w:rFonts w:ascii="仿宋" w:hAnsi="仿宋" w:eastAsia="仿宋" w:cs="仿宋"/>
          <w:sz w:val="28"/>
          <w:szCs w:val="28"/>
        </w:rPr>
      </w:pPr>
      <w:r>
        <w:rPr>
          <w:rFonts w:hint="eastAsia" w:ascii="仿宋" w:hAnsi="仿宋" w:eastAsia="仿宋" w:cs="仿宋"/>
          <w:sz w:val="28"/>
          <w:szCs w:val="28"/>
        </w:rPr>
        <w:t>投标人（公章）：</w:t>
      </w:r>
    </w:p>
    <w:p>
      <w:pPr>
        <w:ind w:firstLine="3080"/>
        <w:rPr>
          <w:rFonts w:ascii="仿宋" w:hAnsi="仿宋" w:eastAsia="仿宋" w:cs="仿宋"/>
          <w:sz w:val="28"/>
          <w:szCs w:val="28"/>
        </w:rPr>
      </w:pPr>
      <w:r>
        <w:rPr>
          <w:rFonts w:hint="eastAsia" w:ascii="仿宋" w:hAnsi="仿宋" w:eastAsia="仿宋" w:cs="仿宋"/>
          <w:sz w:val="28"/>
          <w:szCs w:val="28"/>
        </w:rPr>
        <w:t>投标人负责人或授权代表（签字或盖章）：</w:t>
      </w:r>
    </w:p>
    <w:p>
      <w:pPr>
        <w:ind w:firstLine="5600" w:firstLineChars="2000"/>
        <w:rPr>
          <w:rFonts w:ascii="仿宋" w:hAnsi="仿宋" w:eastAsia="仿宋" w:cs="仿宋"/>
          <w:sz w:val="28"/>
          <w:szCs w:val="28"/>
        </w:rPr>
      </w:pPr>
      <w:r>
        <w:rPr>
          <w:rFonts w:hint="eastAsia" w:ascii="仿宋" w:hAnsi="仿宋" w:eastAsia="仿宋" w:cs="仿宋"/>
          <w:sz w:val="28"/>
          <w:szCs w:val="28"/>
        </w:rPr>
        <w:t>年   月   日</w:t>
      </w:r>
      <w:bookmarkEnd w:id="36"/>
    </w:p>
    <w:p>
      <w:pPr>
        <w:pStyle w:val="2"/>
        <w:numPr>
          <w:ilvl w:val="0"/>
          <w:numId w:val="0"/>
        </w:numPr>
        <w:rPr>
          <w:rFonts w:ascii="仿宋" w:hAnsi="仿宋" w:eastAsia="仿宋" w:cs="仿宋"/>
          <w:sz w:val="28"/>
          <w:szCs w:val="28"/>
        </w:rPr>
      </w:pPr>
    </w:p>
    <w:p>
      <w:pPr>
        <w:pStyle w:val="2"/>
        <w:numPr>
          <w:ilvl w:val="0"/>
          <w:numId w:val="0"/>
        </w:numPr>
        <w:rPr>
          <w:rFonts w:ascii="仿宋" w:hAnsi="仿宋" w:eastAsia="仿宋" w:cs="仿宋"/>
          <w:sz w:val="28"/>
          <w:szCs w:val="28"/>
        </w:rPr>
      </w:pPr>
    </w:p>
    <w:p>
      <w:pPr>
        <w:pStyle w:val="17"/>
        <w:spacing w:after="100" w:afterAutospacing="1"/>
        <w:jc w:val="both"/>
        <w:rPr>
          <w:rFonts w:ascii="宋体" w:hAnsi="宋体" w:cs="宋体"/>
          <w:sz w:val="28"/>
          <w:szCs w:val="28"/>
        </w:rPr>
      </w:pPr>
      <w:r>
        <w:rPr>
          <w:rFonts w:hint="eastAsia" w:ascii="宋体" w:hAnsi="宋体" w:cs="宋体"/>
          <w:sz w:val="28"/>
          <w:szCs w:val="28"/>
        </w:rPr>
        <w:t>附件2：评标办法及主要因素</w:t>
      </w:r>
    </w:p>
    <w:p>
      <w:pPr>
        <w:pStyle w:val="17"/>
        <w:spacing w:after="100" w:afterAutospacing="1"/>
        <w:jc w:val="both"/>
        <w:rPr>
          <w:rFonts w:ascii="宋体" w:hAnsi="宋体" w:cs="宋体"/>
          <w:sz w:val="28"/>
          <w:szCs w:val="28"/>
        </w:rPr>
      </w:pPr>
      <w:r>
        <w:rPr>
          <w:rFonts w:hint="eastAsia" w:ascii="宋体" w:hAnsi="宋体" w:cs="宋体"/>
          <w:sz w:val="28"/>
          <w:szCs w:val="28"/>
        </w:rPr>
        <w:t>一、报价部分（20分）</w:t>
      </w:r>
    </w:p>
    <w:p>
      <w:pPr>
        <w:tabs>
          <w:tab w:val="left" w:pos="525"/>
          <w:tab w:val="left" w:pos="1050"/>
        </w:tabs>
        <w:spacing w:line="360" w:lineRule="auto"/>
        <w:ind w:firstLine="560" w:firstLineChars="200"/>
        <w:rPr>
          <w:rFonts w:ascii="宋体" w:hAnsi="宋体" w:cs="宋体"/>
          <w:kern w:val="0"/>
          <w:sz w:val="28"/>
          <w:szCs w:val="28"/>
        </w:rPr>
      </w:pPr>
      <w:r>
        <w:rPr>
          <w:rFonts w:hint="eastAsia" w:ascii="宋体" w:hAnsi="宋体" w:cs="宋体"/>
          <w:kern w:val="0"/>
          <w:sz w:val="28"/>
          <w:szCs w:val="28"/>
        </w:rPr>
        <w:t>报价部分采用综合评分法，即在最大限度地满足招标文件实质性要求前提下，招标人按照报价合理性等综合打分。以所有满足招标文件有效报价的平均价为基准价。报价跟基准价相比，每高1%扣0.2分，每低1%扣0.1分。不足1%，按插值法计算。</w:t>
      </w:r>
    </w:p>
    <w:p>
      <w:pPr>
        <w:pStyle w:val="18"/>
        <w:rPr>
          <w:rFonts w:ascii="宋体" w:hAnsi="宋体" w:cs="宋体"/>
          <w:sz w:val="28"/>
          <w:szCs w:val="28"/>
        </w:rPr>
      </w:pPr>
    </w:p>
    <w:p>
      <w:pPr>
        <w:pStyle w:val="18"/>
        <w:rPr>
          <w:rFonts w:ascii="宋体" w:hAnsi="宋体" w:cs="宋体"/>
          <w:b/>
          <w:bCs/>
          <w:sz w:val="28"/>
          <w:szCs w:val="28"/>
        </w:rPr>
      </w:pPr>
      <w:r>
        <w:rPr>
          <w:rFonts w:hint="eastAsia" w:ascii="宋体" w:hAnsi="宋体" w:cs="宋体"/>
          <w:b/>
          <w:bCs/>
          <w:sz w:val="28"/>
          <w:szCs w:val="28"/>
        </w:rPr>
        <w:t>二、商务部分（80分）</w:t>
      </w:r>
    </w:p>
    <w:p>
      <w:pPr>
        <w:pStyle w:val="18"/>
        <w:rPr>
          <w:rFonts w:ascii="宋体" w:hAnsi="宋体" w:cs="宋体"/>
        </w:rPr>
      </w:pPr>
    </w:p>
    <w:tbl>
      <w:tblPr>
        <w:tblStyle w:val="14"/>
        <w:tblW w:w="9102" w:type="dxa"/>
        <w:tblInd w:w="-7" w:type="dxa"/>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
      <w:tblGrid>
        <w:gridCol w:w="686"/>
        <w:gridCol w:w="1982"/>
        <w:gridCol w:w="975"/>
        <w:gridCol w:w="5459"/>
      </w:tblGrid>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rPr>
                <w:b/>
                <w:bCs/>
              </w:rPr>
              <w:t>序号</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pPr>
            <w:r>
              <w:rPr>
                <w:b/>
                <w:bCs/>
              </w:rPr>
              <w:t>评审因素</w:t>
            </w: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b/>
                <w:bCs/>
              </w:rPr>
              <w:t>标准分</w:t>
            </w:r>
          </w:p>
        </w:tc>
        <w:tc>
          <w:tcPr>
            <w:tcW w:w="5459" w:type="dxa"/>
            <w:tcBorders>
              <w:top w:val="outset" w:color="auto" w:sz="6" w:space="0"/>
              <w:left w:val="outset" w:color="auto" w:sz="6" w:space="0"/>
              <w:bottom w:val="outset" w:color="auto" w:sz="6" w:space="0"/>
              <w:right w:val="outset" w:color="auto" w:sz="6" w:space="0"/>
            </w:tcBorders>
            <w:vAlign w:val="center"/>
          </w:tcPr>
          <w:p>
            <w:pPr>
              <w:pStyle w:val="18"/>
              <w:jc w:val="center"/>
            </w:pPr>
            <w:r>
              <w:rPr>
                <w:b/>
                <w:bCs/>
              </w:rPr>
              <w:t>评审标准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t>1</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rPr>
                <w:rFonts w:ascii="新宋体" w:hAnsi="新宋体" w:eastAsia="新宋体" w:cs="微软雅黑"/>
                <w:szCs w:val="21"/>
              </w:rPr>
            </w:pPr>
            <w:r>
              <w:rPr>
                <w:rFonts w:hint="eastAsia" w:ascii="新宋体" w:hAnsi="新宋体" w:eastAsia="新宋体" w:cs="微软雅黑"/>
                <w:szCs w:val="21"/>
              </w:rPr>
              <w:t>核心偿付能力充足率</w:t>
            </w:r>
          </w:p>
          <w:p>
            <w:pPr>
              <w:pStyle w:val="18"/>
              <w:jc w:val="center"/>
            </w:pP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20</w:t>
            </w:r>
          </w:p>
        </w:tc>
        <w:tc>
          <w:tcPr>
            <w:tcW w:w="5459" w:type="dxa"/>
            <w:tcBorders>
              <w:top w:val="outset" w:color="auto" w:sz="6" w:space="0"/>
              <w:left w:val="outset" w:color="auto" w:sz="6" w:space="0"/>
              <w:bottom w:val="outset" w:color="auto" w:sz="6" w:space="0"/>
              <w:right w:val="outset" w:color="auto" w:sz="6" w:space="0"/>
            </w:tcBorders>
            <w:vAlign w:val="center"/>
          </w:tcPr>
          <w:p>
            <w:pPr>
              <w:pStyle w:val="18"/>
              <w:jc w:val="both"/>
              <w:rPr>
                <w:rFonts w:ascii="宋体" w:hAnsi="宋体" w:cs="宋体"/>
              </w:rPr>
            </w:pPr>
            <w:r>
              <w:rPr>
                <w:rFonts w:hint="eastAsia" w:ascii="宋体" w:hAnsi="宋体" w:cs="宋体"/>
              </w:rPr>
              <w:t>按投标人总公司2022年第三季度核心偿付能力充足率由高至低排名，得分如下：</w:t>
            </w:r>
          </w:p>
          <w:p>
            <w:pPr>
              <w:pStyle w:val="18"/>
              <w:numPr>
                <w:ilvl w:val="0"/>
                <w:numId w:val="5"/>
              </w:numPr>
              <w:jc w:val="both"/>
              <w:rPr>
                <w:rFonts w:ascii="宋体" w:hAnsi="宋体" w:cs="宋体"/>
              </w:rPr>
            </w:pPr>
            <w:r>
              <w:rPr>
                <w:rFonts w:hint="eastAsia" w:ascii="宋体" w:hAnsi="宋体" w:cs="宋体"/>
              </w:rPr>
              <w:t>偿付能力充足率高于230% ，得20分；</w:t>
            </w:r>
          </w:p>
          <w:p>
            <w:pPr>
              <w:pStyle w:val="18"/>
              <w:numPr>
                <w:ilvl w:val="0"/>
                <w:numId w:val="5"/>
              </w:numPr>
              <w:jc w:val="both"/>
              <w:rPr>
                <w:rFonts w:ascii="宋体" w:hAnsi="宋体" w:cs="宋体"/>
              </w:rPr>
            </w:pPr>
            <w:r>
              <w:rPr>
                <w:rFonts w:hint="eastAsia" w:ascii="宋体" w:hAnsi="宋体" w:cs="宋体"/>
              </w:rPr>
              <w:t>偿付能力充足率在150%到230%之间 ，得10分；</w:t>
            </w:r>
          </w:p>
          <w:p>
            <w:pPr>
              <w:pStyle w:val="18"/>
              <w:numPr>
                <w:ilvl w:val="0"/>
                <w:numId w:val="5"/>
              </w:numPr>
              <w:jc w:val="both"/>
              <w:rPr>
                <w:rFonts w:ascii="宋体" w:hAnsi="宋体" w:cs="宋体"/>
              </w:rPr>
            </w:pPr>
            <w:r>
              <w:rPr>
                <w:rFonts w:hint="eastAsia" w:ascii="宋体" w:hAnsi="宋体" w:cs="宋体"/>
              </w:rPr>
              <w:t>偿付能力充足率在100%到150%之间 ，得5分；</w:t>
            </w:r>
          </w:p>
          <w:p>
            <w:pPr>
              <w:pStyle w:val="18"/>
              <w:numPr>
                <w:ilvl w:val="0"/>
                <w:numId w:val="5"/>
              </w:numPr>
              <w:jc w:val="both"/>
              <w:rPr>
                <w:rFonts w:ascii="宋体" w:hAnsi="宋体" w:cs="宋体"/>
              </w:rPr>
            </w:pPr>
            <w:r>
              <w:rPr>
                <w:rFonts w:hint="eastAsia" w:ascii="宋体" w:hAnsi="宋体" w:cs="宋体"/>
              </w:rPr>
              <w:t>偿付能力充足率低于100%之下 ，不得分；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2</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服务网点</w:t>
            </w: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15</w:t>
            </w:r>
          </w:p>
        </w:tc>
        <w:tc>
          <w:tcPr>
            <w:tcW w:w="5459" w:type="dxa"/>
            <w:tcBorders>
              <w:top w:val="outset" w:color="auto" w:sz="6" w:space="0"/>
              <w:left w:val="outset" w:color="auto" w:sz="6" w:space="0"/>
              <w:bottom w:val="outset" w:color="auto" w:sz="6" w:space="0"/>
              <w:right w:val="outset" w:color="auto" w:sz="6" w:space="0"/>
            </w:tcBorders>
            <w:vAlign w:val="center"/>
          </w:tcPr>
          <w:p>
            <w:pPr>
              <w:spacing w:line="360" w:lineRule="auto"/>
              <w:rPr>
                <w:rFonts w:ascii="宋体" w:hAnsi="宋体" w:cs="宋体"/>
                <w:color w:val="000000"/>
                <w:sz w:val="24"/>
                <w:szCs w:val="24"/>
              </w:rPr>
            </w:pPr>
            <w:r>
              <w:rPr>
                <w:rFonts w:hint="eastAsia" w:ascii="宋体" w:hAnsi="宋体" w:cs="宋体"/>
                <w:color w:val="000000"/>
                <w:kern w:val="0"/>
                <w:sz w:val="24"/>
                <w:szCs w:val="24"/>
              </w:rPr>
              <w:t>根据投标人在扬州主城区（除江都区及下辖县市外）设立的服务网点数量进行评分：</w:t>
            </w:r>
          </w:p>
          <w:p>
            <w:pPr>
              <w:spacing w:line="360" w:lineRule="auto"/>
              <w:rPr>
                <w:rFonts w:ascii="宋体" w:hAnsi="宋体" w:cs="宋体"/>
                <w:color w:val="000000"/>
                <w:sz w:val="24"/>
                <w:szCs w:val="24"/>
              </w:rPr>
            </w:pPr>
            <w:r>
              <w:rPr>
                <w:rFonts w:hint="eastAsia" w:ascii="宋体" w:hAnsi="宋体" w:cs="宋体"/>
                <w:color w:val="000000"/>
                <w:kern w:val="0"/>
                <w:sz w:val="24"/>
                <w:szCs w:val="24"/>
              </w:rPr>
              <w:t>投标人在扬州主城区设立的服务网点每有一个</w:t>
            </w:r>
            <w:r>
              <w:rPr>
                <w:rFonts w:hint="eastAsia" w:ascii="宋体" w:hAnsi="宋体" w:cs="宋体"/>
                <w:color w:val="000000"/>
                <w:sz w:val="24"/>
                <w:szCs w:val="24"/>
              </w:rPr>
              <w:t>得1.5分，最高15分。</w:t>
            </w:r>
          </w:p>
          <w:p>
            <w:pPr>
              <w:pStyle w:val="18"/>
              <w:jc w:val="both"/>
              <w:rPr>
                <w:rFonts w:ascii="宋体" w:hAnsi="宋体" w:cs="宋体"/>
              </w:rPr>
            </w:pPr>
            <w:r>
              <w:rPr>
                <w:rFonts w:hint="eastAsia" w:ascii="宋体" w:hAnsi="宋体" w:cs="宋体"/>
                <w:color w:val="000000"/>
              </w:rPr>
              <w:t>备注：提供服务网点的营业执照，复印件加盖投标人公章。</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rPr>
          <w:trHeight w:val="2469" w:hRule="atLeast"/>
        </w:trPr>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3</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pPr>
            <w:r>
              <w:t>承保服务</w:t>
            </w:r>
            <w:r>
              <w:rPr>
                <w:rFonts w:hint="eastAsia"/>
              </w:rPr>
              <w:t>方案</w:t>
            </w: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20</w:t>
            </w:r>
          </w:p>
        </w:tc>
        <w:tc>
          <w:tcPr>
            <w:tcW w:w="5459" w:type="dxa"/>
            <w:tcBorders>
              <w:top w:val="outset" w:color="auto" w:sz="6" w:space="0"/>
              <w:left w:val="outset" w:color="auto" w:sz="6" w:space="0"/>
              <w:bottom w:val="outset" w:color="auto" w:sz="6" w:space="0"/>
              <w:right w:val="outset" w:color="auto" w:sz="6" w:space="0"/>
            </w:tcBorders>
            <w:vAlign w:val="center"/>
          </w:tcPr>
          <w:p>
            <w:pPr>
              <w:pStyle w:val="18"/>
              <w:numPr>
                <w:ilvl w:val="0"/>
                <w:numId w:val="6"/>
              </w:numPr>
              <w:jc w:val="both"/>
              <w:rPr>
                <w:rFonts w:ascii="宋体" w:hAnsi="宋体" w:cs="宋体"/>
                <w:bCs/>
              </w:rPr>
            </w:pPr>
            <w:r>
              <w:rPr>
                <w:rFonts w:hint="eastAsia" w:ascii="宋体" w:hAnsi="宋体" w:cs="宋体"/>
                <w:bCs/>
              </w:rPr>
              <w:t>投标方案中服务小组方案（满分5分）</w:t>
            </w:r>
          </w:p>
          <w:p>
            <w:pPr>
              <w:pStyle w:val="18"/>
              <w:numPr>
                <w:ilvl w:val="0"/>
                <w:numId w:val="6"/>
              </w:numPr>
              <w:jc w:val="both"/>
              <w:rPr>
                <w:rFonts w:ascii="宋体" w:hAnsi="宋体" w:cs="宋体"/>
                <w:bCs/>
              </w:rPr>
            </w:pPr>
            <w:r>
              <w:rPr>
                <w:rFonts w:hint="eastAsia" w:ascii="宋体" w:hAnsi="宋体" w:cs="宋体"/>
                <w:bCs/>
              </w:rPr>
              <w:t>客户经理授权及时效性（满分3分）</w:t>
            </w:r>
          </w:p>
          <w:p>
            <w:pPr>
              <w:pStyle w:val="18"/>
              <w:numPr>
                <w:ilvl w:val="0"/>
                <w:numId w:val="6"/>
              </w:numPr>
              <w:jc w:val="both"/>
              <w:rPr>
                <w:rFonts w:ascii="宋体" w:hAnsi="宋体" w:cs="宋体"/>
                <w:bCs/>
              </w:rPr>
            </w:pPr>
            <w:r>
              <w:rPr>
                <w:rFonts w:hint="eastAsia" w:ascii="宋体" w:hAnsi="宋体" w:cs="宋体"/>
                <w:bCs/>
              </w:rPr>
              <w:t>承保的时效性（满分3分）</w:t>
            </w:r>
          </w:p>
          <w:p>
            <w:pPr>
              <w:pStyle w:val="18"/>
              <w:numPr>
                <w:ilvl w:val="0"/>
                <w:numId w:val="6"/>
              </w:numPr>
              <w:jc w:val="both"/>
              <w:rPr>
                <w:rFonts w:ascii="宋体" w:hAnsi="宋体" w:cs="宋体"/>
                <w:bCs/>
              </w:rPr>
            </w:pPr>
            <w:r>
              <w:rPr>
                <w:rFonts w:hint="eastAsia" w:ascii="宋体" w:hAnsi="宋体" w:cs="宋体"/>
                <w:bCs/>
              </w:rPr>
              <w:t>培训服务（满分3分）</w:t>
            </w:r>
          </w:p>
          <w:p>
            <w:pPr>
              <w:pStyle w:val="18"/>
              <w:numPr>
                <w:ilvl w:val="0"/>
                <w:numId w:val="6"/>
              </w:numPr>
              <w:jc w:val="both"/>
              <w:rPr>
                <w:rFonts w:ascii="宋体" w:hAnsi="宋体" w:cs="宋体"/>
                <w:bCs/>
              </w:rPr>
            </w:pPr>
            <w:r>
              <w:rPr>
                <w:rFonts w:hint="eastAsia" w:ascii="宋体" w:hAnsi="宋体" w:cs="宋体"/>
                <w:bCs/>
              </w:rPr>
              <w:t>防灾防损（满分3分）</w:t>
            </w:r>
          </w:p>
          <w:p>
            <w:pPr>
              <w:pStyle w:val="18"/>
              <w:numPr>
                <w:ilvl w:val="0"/>
                <w:numId w:val="6"/>
              </w:numPr>
              <w:jc w:val="both"/>
              <w:rPr>
                <w:rFonts w:ascii="宋体" w:hAnsi="宋体" w:cs="宋体"/>
                <w:bCs/>
              </w:rPr>
            </w:pPr>
            <w:r>
              <w:rPr>
                <w:rFonts w:hint="eastAsia" w:ascii="宋体" w:hAnsi="宋体" w:cs="宋体"/>
                <w:bCs/>
              </w:rPr>
              <w:t>风险管理服务（满分3分）</w:t>
            </w:r>
          </w:p>
          <w:p>
            <w:pPr>
              <w:pStyle w:val="18"/>
              <w:jc w:val="both"/>
              <w:rPr>
                <w:rFonts w:ascii="宋体" w:hAnsi="宋体" w:cs="宋体"/>
                <w:b/>
              </w:rPr>
            </w:pPr>
            <w:r>
              <w:rPr>
                <w:rFonts w:hint="eastAsia" w:ascii="宋体" w:hAnsi="宋体" w:cs="宋体"/>
                <w:bCs/>
              </w:rPr>
              <w:t>评委根据方案的优化程度及实际可操作性评判打分。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4</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pPr>
            <w:r>
              <w:t>理赔服务方案</w:t>
            </w: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25</w:t>
            </w:r>
          </w:p>
        </w:tc>
        <w:tc>
          <w:tcPr>
            <w:tcW w:w="5459" w:type="dxa"/>
            <w:tcBorders>
              <w:top w:val="outset" w:color="auto" w:sz="6" w:space="0"/>
              <w:left w:val="outset" w:color="auto" w:sz="6" w:space="0"/>
              <w:bottom w:val="outset" w:color="auto" w:sz="6" w:space="0"/>
              <w:right w:val="outset" w:color="auto" w:sz="6" w:space="0"/>
            </w:tcBorders>
            <w:vAlign w:val="center"/>
          </w:tcPr>
          <w:p>
            <w:pPr>
              <w:pStyle w:val="18"/>
              <w:numPr>
                <w:ilvl w:val="0"/>
                <w:numId w:val="7"/>
              </w:numPr>
              <w:jc w:val="both"/>
              <w:rPr>
                <w:rFonts w:ascii="宋体" w:hAnsi="宋体" w:cs="宋体"/>
                <w:bCs/>
              </w:rPr>
            </w:pPr>
            <w:r>
              <w:rPr>
                <w:rFonts w:hint="eastAsia" w:ascii="宋体" w:hAnsi="宋体" w:cs="宋体"/>
                <w:bCs/>
              </w:rPr>
              <w:t>出险后赶赴现场查勘时间（满分3分）</w:t>
            </w:r>
          </w:p>
          <w:p>
            <w:pPr>
              <w:pStyle w:val="18"/>
              <w:numPr>
                <w:ilvl w:val="0"/>
                <w:numId w:val="7"/>
              </w:numPr>
              <w:jc w:val="both"/>
              <w:rPr>
                <w:rFonts w:ascii="宋体" w:hAnsi="宋体" w:cs="宋体"/>
                <w:bCs/>
              </w:rPr>
            </w:pPr>
            <w:r>
              <w:rPr>
                <w:rFonts w:hint="eastAsia" w:ascii="宋体" w:hAnsi="宋体" w:cs="宋体"/>
                <w:bCs/>
              </w:rPr>
              <w:t>理赔权限（满分2分）</w:t>
            </w:r>
          </w:p>
          <w:p>
            <w:pPr>
              <w:pStyle w:val="18"/>
              <w:numPr>
                <w:ilvl w:val="0"/>
                <w:numId w:val="7"/>
              </w:numPr>
              <w:jc w:val="both"/>
              <w:rPr>
                <w:rFonts w:ascii="宋体" w:hAnsi="宋体" w:cs="宋体"/>
                <w:bCs/>
              </w:rPr>
            </w:pPr>
            <w:r>
              <w:rPr>
                <w:rFonts w:hint="eastAsia" w:ascii="宋体" w:hAnsi="宋体" w:cs="宋体"/>
                <w:bCs/>
              </w:rPr>
              <w:t>理赔定损时效（满分5分）</w:t>
            </w:r>
          </w:p>
          <w:p>
            <w:pPr>
              <w:pStyle w:val="18"/>
              <w:numPr>
                <w:ilvl w:val="0"/>
                <w:numId w:val="7"/>
              </w:numPr>
              <w:jc w:val="both"/>
              <w:rPr>
                <w:rFonts w:ascii="宋体" w:hAnsi="宋体" w:cs="宋体"/>
                <w:bCs/>
              </w:rPr>
            </w:pPr>
            <w:r>
              <w:rPr>
                <w:rFonts w:hint="eastAsia" w:ascii="宋体" w:hAnsi="宋体" w:cs="宋体"/>
                <w:bCs/>
              </w:rPr>
              <w:t>赔款支付时效承诺（满分3分）</w:t>
            </w:r>
          </w:p>
          <w:p>
            <w:pPr>
              <w:pStyle w:val="18"/>
              <w:numPr>
                <w:ilvl w:val="0"/>
                <w:numId w:val="7"/>
              </w:numPr>
              <w:jc w:val="both"/>
              <w:rPr>
                <w:rFonts w:ascii="宋体" w:hAnsi="宋体" w:cs="宋体"/>
                <w:bCs/>
              </w:rPr>
            </w:pPr>
            <w:r>
              <w:rPr>
                <w:rFonts w:hint="eastAsia" w:ascii="宋体" w:hAnsi="宋体" w:cs="宋体"/>
                <w:bCs/>
              </w:rPr>
              <w:t>专人全程协助办理索赔（满分3分）</w:t>
            </w:r>
          </w:p>
          <w:p>
            <w:pPr>
              <w:pStyle w:val="18"/>
              <w:numPr>
                <w:ilvl w:val="0"/>
                <w:numId w:val="7"/>
              </w:numPr>
              <w:jc w:val="both"/>
              <w:rPr>
                <w:rFonts w:ascii="宋体" w:hAnsi="宋体" w:cs="宋体"/>
                <w:bCs/>
              </w:rPr>
            </w:pPr>
            <w:r>
              <w:rPr>
                <w:rFonts w:hint="eastAsia" w:ascii="宋体" w:hAnsi="宋体" w:cs="宋体"/>
                <w:bCs/>
              </w:rPr>
              <w:t>预赔款（满分6分）</w:t>
            </w:r>
          </w:p>
          <w:p>
            <w:pPr>
              <w:pStyle w:val="18"/>
              <w:numPr>
                <w:ilvl w:val="0"/>
                <w:numId w:val="7"/>
              </w:numPr>
              <w:jc w:val="both"/>
              <w:rPr>
                <w:rFonts w:ascii="宋体" w:hAnsi="宋体" w:cs="宋体"/>
                <w:bCs/>
              </w:rPr>
            </w:pPr>
            <w:r>
              <w:rPr>
                <w:rFonts w:hint="eastAsia" w:ascii="宋体" w:hAnsi="宋体" w:cs="宋体"/>
                <w:bCs/>
              </w:rPr>
              <w:t>投诉及违约处理承诺（满分3分）</w:t>
            </w:r>
          </w:p>
          <w:p>
            <w:pPr>
              <w:pStyle w:val="18"/>
              <w:jc w:val="both"/>
              <w:rPr>
                <w:rFonts w:ascii="宋体" w:hAnsi="宋体" w:cs="宋体"/>
                <w:b/>
              </w:rPr>
            </w:pPr>
            <w:r>
              <w:rPr>
                <w:rFonts w:hint="eastAsia" w:ascii="宋体" w:hAnsi="宋体" w:cs="宋体"/>
                <w:bCs/>
              </w:rPr>
              <w:t>评委根据方案的优化程度和可操作性评判打分。</w:t>
            </w:r>
          </w:p>
        </w:tc>
      </w:tr>
    </w:tbl>
    <w:p/>
    <w:sectPr>
      <w:footerReference r:id="rId4" w:type="default"/>
      <w:pgSz w:w="11906" w:h="16838"/>
      <w:pgMar w:top="1440" w:right="866"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altName w:val="Arial Unicode MS"/>
    <w:panose1 w:val="02010609060101010101"/>
    <w:charset w:val="86"/>
    <w:family w:val="modern"/>
    <w:pitch w:val="default"/>
    <w:sig w:usb0="00000000" w:usb1="00000000" w:usb2="00000016" w:usb3="00000000" w:csb0="00040001" w:csb1="00000000"/>
  </w:font>
  <w:font w:name="新宋体">
    <w:panose1 w:val="02010609030101010101"/>
    <w:charset w:val="86"/>
    <w:family w:val="modern"/>
    <w:pitch w:val="default"/>
    <w:sig w:usb0="00000003" w:usb1="080E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UNJlrwBAABlAwAADgAAAGRycy9lMm9Eb2MueG1srVNNrtMwEN4jcQfL&#10;e5q00kMlavoEenoICQHSgwO4jt1Ysj2Wx23SC8ANWLFhz7l6DsZu0sfPDrGZzJ+/mW9msrkdnWVH&#10;FdGAb/lyUXOmvITO+H3LP328f7bmDJPwnbDgVctPCvnt9umTzRAatYIebKciIxCPzRBa3qcUmqpC&#10;2SsncAFBeQpqiE4kMuO+6qIYCN3ZalXXz6sBYhciSIVI3rtLkG8LvtZKpvdao0rMtpx6S0XGIndZ&#10;VtuNaPZRhN7IqQ3xD104YTwVvULdiSTYIZq/oJyRERB0WkhwFWhtpCociM2y/oPNQy+CKlxoOBiu&#10;Y8L/ByvfHT9EZjraHWdeOFrR+euX87cf5++f2bJe3eQJDQEbSnwIlJrGVzDm7MmP5MzERx1d/hIl&#10;RnGa9ek6XzUmJvOj9Wq9rikkKTYbhFM9Pg8R02sFjmWl5ZEWWOYqjm8xXVLnlFzNw72xlvyisZ4N&#10;LX9xQy3/FiFw67NHlXOYYDKlS+tZS+NunPjsoDsRzYFOouWebpYz+8bTxPP1zEqcld2sHEI0+76c&#10;V66F4eUhUW+l5VzhAktUs0G7LKSnu8vH8qtdsh7/ju1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ElDSZa8AQAAZQMAAA4AAAAAAAAAAQAgAAAAHgEAAGRycy9lMm9Eb2MueG1sUEsFBgAAAAAG&#10;AAYAWQEAAEwFA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rPr>
      <w:t>江苏长江水务股份有限公司财产保险招标文件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F81E4"/>
    <w:multiLevelType w:val="singleLevel"/>
    <w:tmpl w:val="A26F81E4"/>
    <w:lvl w:ilvl="0" w:tentative="0">
      <w:start w:val="1"/>
      <w:numFmt w:val="bullet"/>
      <w:pStyle w:val="2"/>
      <w:lvlText w:val=""/>
      <w:lvlJc w:val="left"/>
      <w:pPr>
        <w:tabs>
          <w:tab w:val="left" w:pos="780"/>
        </w:tabs>
        <w:ind w:left="780" w:hanging="360"/>
      </w:pPr>
      <w:rPr>
        <w:rFonts w:hint="default" w:ascii="Wingdings" w:hAnsi="Wingdings"/>
      </w:rPr>
    </w:lvl>
  </w:abstractNum>
  <w:abstractNum w:abstractNumId="1">
    <w:nsid w:val="C84FE857"/>
    <w:multiLevelType w:val="singleLevel"/>
    <w:tmpl w:val="C84FE857"/>
    <w:lvl w:ilvl="0" w:tentative="0">
      <w:start w:val="3"/>
      <w:numFmt w:val="chineseCounting"/>
      <w:suff w:val="space"/>
      <w:lvlText w:val="第%1章"/>
      <w:lvlJc w:val="left"/>
      <w:rPr>
        <w:rFonts w:hint="eastAsia"/>
      </w:rPr>
    </w:lvl>
  </w:abstractNum>
  <w:abstractNum w:abstractNumId="2">
    <w:nsid w:val="3768C672"/>
    <w:multiLevelType w:val="singleLevel"/>
    <w:tmpl w:val="3768C672"/>
    <w:lvl w:ilvl="0" w:tentative="0">
      <w:start w:val="1"/>
      <w:numFmt w:val="decimal"/>
      <w:suff w:val="nothing"/>
      <w:lvlText w:val="%1）"/>
      <w:lvlJc w:val="left"/>
    </w:lvl>
  </w:abstractNum>
  <w:abstractNum w:abstractNumId="3">
    <w:nsid w:val="3E964D6E"/>
    <w:multiLevelType w:val="singleLevel"/>
    <w:tmpl w:val="3E964D6E"/>
    <w:lvl w:ilvl="0" w:tentative="0">
      <w:start w:val="14"/>
      <w:numFmt w:val="chineseCounting"/>
      <w:suff w:val="nothing"/>
      <w:lvlText w:val="%1、"/>
      <w:lvlJc w:val="left"/>
      <w:rPr>
        <w:rFonts w:hint="eastAsia"/>
      </w:rPr>
    </w:lvl>
  </w:abstractNum>
  <w:abstractNum w:abstractNumId="4">
    <w:nsid w:val="5DC5A607"/>
    <w:multiLevelType w:val="singleLevel"/>
    <w:tmpl w:val="5DC5A607"/>
    <w:lvl w:ilvl="0" w:tentative="0">
      <w:start w:val="1"/>
      <w:numFmt w:val="decimal"/>
      <w:suff w:val="nothing"/>
      <w:lvlText w:val="%1）"/>
      <w:lvlJc w:val="left"/>
    </w:lvl>
  </w:abstractNum>
  <w:abstractNum w:abstractNumId="5">
    <w:nsid w:val="5DE7201D"/>
    <w:multiLevelType w:val="singleLevel"/>
    <w:tmpl w:val="5DE7201D"/>
    <w:lvl w:ilvl="0" w:tentative="0">
      <w:start w:val="1"/>
      <w:numFmt w:val="chineseCounting"/>
      <w:suff w:val="nothing"/>
      <w:lvlText w:val="%1、"/>
      <w:lvlJc w:val="left"/>
    </w:lvl>
  </w:abstractNum>
  <w:abstractNum w:abstractNumId="6">
    <w:nsid w:val="67C2A759"/>
    <w:multiLevelType w:val="singleLevel"/>
    <w:tmpl w:val="67C2A759"/>
    <w:lvl w:ilvl="0" w:tentative="0">
      <w:start w:val="1"/>
      <w:numFmt w:val="decimal"/>
      <w:suff w:val="nothing"/>
      <w:lvlText w:val="%1）"/>
      <w:lvlJc w:val="left"/>
    </w:lvl>
  </w:abstractNum>
  <w:num w:numId="1">
    <w:abstractNumId w:val="0"/>
  </w:num>
  <w:num w:numId="2">
    <w:abstractNumId w:val="5"/>
  </w:num>
  <w:num w:numId="3">
    <w:abstractNumId w:val="3"/>
  </w:num>
  <w:num w:numId="4">
    <w:abstractNumId w:val="1"/>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NmYjQzYzU5N2FjNDA2MWZiZTI4YTk0ODI0MjIifQ=="/>
  </w:docVars>
  <w:rsids>
    <w:rsidRoot w:val="3A844E40"/>
    <w:rsid w:val="000F0681"/>
    <w:rsid w:val="00190028"/>
    <w:rsid w:val="001A6F9D"/>
    <w:rsid w:val="00505BDA"/>
    <w:rsid w:val="00511DD0"/>
    <w:rsid w:val="00584B90"/>
    <w:rsid w:val="04542C83"/>
    <w:rsid w:val="04612C64"/>
    <w:rsid w:val="07373DFF"/>
    <w:rsid w:val="07A913CC"/>
    <w:rsid w:val="08D81E41"/>
    <w:rsid w:val="0AD16319"/>
    <w:rsid w:val="0B9C70EF"/>
    <w:rsid w:val="0CC00B4A"/>
    <w:rsid w:val="0D8E07B5"/>
    <w:rsid w:val="119015C9"/>
    <w:rsid w:val="15C745A0"/>
    <w:rsid w:val="176A6233"/>
    <w:rsid w:val="178E7A6B"/>
    <w:rsid w:val="179D0D04"/>
    <w:rsid w:val="18DC4807"/>
    <w:rsid w:val="19C80F5E"/>
    <w:rsid w:val="1C3B5FCC"/>
    <w:rsid w:val="1DFB47BF"/>
    <w:rsid w:val="24704055"/>
    <w:rsid w:val="26D968A9"/>
    <w:rsid w:val="286D7229"/>
    <w:rsid w:val="28F96D0F"/>
    <w:rsid w:val="290B7CBF"/>
    <w:rsid w:val="29DF00DA"/>
    <w:rsid w:val="2A2878AC"/>
    <w:rsid w:val="2D0F6084"/>
    <w:rsid w:val="348119C9"/>
    <w:rsid w:val="35707839"/>
    <w:rsid w:val="3615362C"/>
    <w:rsid w:val="36987B67"/>
    <w:rsid w:val="36E27B0E"/>
    <w:rsid w:val="393618B9"/>
    <w:rsid w:val="3A844E40"/>
    <w:rsid w:val="3EF75647"/>
    <w:rsid w:val="3FE0432D"/>
    <w:rsid w:val="40CA159F"/>
    <w:rsid w:val="40F779AF"/>
    <w:rsid w:val="4B177B0A"/>
    <w:rsid w:val="4D723C66"/>
    <w:rsid w:val="4F3D70A6"/>
    <w:rsid w:val="53204D14"/>
    <w:rsid w:val="5B643ACE"/>
    <w:rsid w:val="5B8C6CC5"/>
    <w:rsid w:val="5D6E27FC"/>
    <w:rsid w:val="5E336A5C"/>
    <w:rsid w:val="603040BD"/>
    <w:rsid w:val="608A1106"/>
    <w:rsid w:val="61AA7929"/>
    <w:rsid w:val="627E3805"/>
    <w:rsid w:val="66CC5A85"/>
    <w:rsid w:val="66D67B3D"/>
    <w:rsid w:val="684626D0"/>
    <w:rsid w:val="6B6D3E9E"/>
    <w:rsid w:val="6D82718D"/>
    <w:rsid w:val="7132712F"/>
    <w:rsid w:val="71D7083C"/>
    <w:rsid w:val="71FF579E"/>
    <w:rsid w:val="740243DA"/>
    <w:rsid w:val="779A47E6"/>
    <w:rsid w:val="789F4F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2"/>
    <w:basedOn w:val="1"/>
    <w:next w:val="4"/>
    <w:qFormat/>
    <w:uiPriority w:val="0"/>
    <w:pPr>
      <w:keepNext/>
      <w:keepLines/>
      <w:spacing w:line="413" w:lineRule="auto"/>
      <w:outlineLvl w:val="1"/>
    </w:pPr>
    <w:rPr>
      <w:rFonts w:ascii="Arial" w:hAnsi="Arial" w:eastAsia="黑体"/>
      <w:b/>
      <w:sz w:val="32"/>
    </w:rPr>
  </w:style>
  <w:style w:type="character" w:default="1" w:styleId="12">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List Bullet 2"/>
    <w:basedOn w:val="1"/>
    <w:qFormat/>
    <w:uiPriority w:val="0"/>
    <w:pPr>
      <w:numPr>
        <w:ilvl w:val="0"/>
        <w:numId w:val="1"/>
      </w:numPr>
    </w:pPr>
  </w:style>
  <w:style w:type="paragraph" w:styleId="4">
    <w:name w:val="Normal Indent"/>
    <w:basedOn w:val="1"/>
    <w:qFormat/>
    <w:uiPriority w:val="0"/>
    <w:pPr>
      <w:adjustRightInd w:val="0"/>
      <w:spacing w:line="312" w:lineRule="atLeast"/>
      <w:ind w:firstLine="420"/>
      <w:textAlignment w:val="baseline"/>
    </w:pPr>
    <w:rPr>
      <w:kern w:val="0"/>
    </w:rPr>
  </w:style>
  <w:style w:type="paragraph" w:styleId="5">
    <w:name w:val="annotation text"/>
    <w:basedOn w:val="1"/>
    <w:semiHidden/>
    <w:qFormat/>
    <w:uiPriority w:val="0"/>
    <w:pPr>
      <w:jc w:val="left"/>
    </w:pPr>
  </w:style>
  <w:style w:type="paragraph" w:styleId="6">
    <w:name w:val="Body Text"/>
    <w:basedOn w:val="1"/>
    <w:qFormat/>
    <w:uiPriority w:val="0"/>
  </w:style>
  <w:style w:type="paragraph" w:styleId="7">
    <w:name w:val="Body Text Indent"/>
    <w:basedOn w:val="1"/>
    <w:qFormat/>
    <w:uiPriority w:val="0"/>
    <w:pPr>
      <w:spacing w:line="360" w:lineRule="auto"/>
      <w:ind w:firstLine="560" w:firstLineChars="200"/>
    </w:pPr>
    <w:rPr>
      <w:rFonts w:ascii="仿宋_GB2312" w:hAnsi="华文中宋" w:eastAsia="仿宋_GB2312"/>
      <w:color w:val="000000"/>
      <w:sz w:val="28"/>
    </w:rPr>
  </w:style>
  <w:style w:type="paragraph" w:styleId="8">
    <w:name w:val="Body Text Indent 2"/>
    <w:basedOn w:val="1"/>
    <w:qFormat/>
    <w:uiPriority w:val="0"/>
    <w:pPr>
      <w:tabs>
        <w:tab w:val="left" w:pos="-2520"/>
      </w:tabs>
      <w:spacing w:line="460" w:lineRule="exact"/>
      <w:ind w:firstLine="560" w:firstLineChars="200"/>
    </w:pPr>
    <w:rPr>
      <w:rFonts w:ascii="仿宋_GB2312" w:hAnsi="宋体" w:eastAsia="仿宋_GB2312"/>
      <w:sz w:val="28"/>
    </w:rPr>
  </w:style>
  <w:style w:type="paragraph" w:styleId="9">
    <w:name w:val="footer"/>
    <w:basedOn w:val="1"/>
    <w:link w:val="20"/>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toc 2"/>
    <w:basedOn w:val="1"/>
    <w:next w:val="1"/>
    <w:semiHidden/>
    <w:qFormat/>
    <w:uiPriority w:val="0"/>
    <w:pPr>
      <w:ind w:left="420" w:leftChars="200"/>
    </w:pPr>
  </w:style>
  <w:style w:type="character" w:styleId="13">
    <w:name w:val="Hyperlink"/>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标题 1 Char"/>
    <w:qFormat/>
    <w:uiPriority w:val="0"/>
    <w:rPr>
      <w:rFonts w:ascii="Times New Roman" w:hAnsi="Times New Roman" w:eastAsia="宋体"/>
      <w:b/>
      <w:kern w:val="44"/>
      <w:sz w:val="44"/>
    </w:rPr>
  </w:style>
  <w:style w:type="paragraph" w:customStyle="1" w:styleId="17">
    <w:name w:val="Heading 3_0"/>
    <w:basedOn w:val="18"/>
    <w:next w:val="18"/>
    <w:qFormat/>
    <w:uiPriority w:val="0"/>
    <w:pPr>
      <w:keepNext/>
      <w:spacing w:before="240" w:after="60"/>
      <w:outlineLvl w:val="2"/>
    </w:pPr>
    <w:rPr>
      <w:rFonts w:ascii="Arial" w:hAnsi="Arial" w:cs="Arial"/>
      <w:b/>
      <w:bCs/>
      <w:sz w:val="26"/>
      <w:szCs w:val="26"/>
    </w:rPr>
  </w:style>
  <w:style w:type="paragraph" w:customStyle="1" w:styleId="18">
    <w:name w:val="Normal_5"/>
    <w:qFormat/>
    <w:uiPriority w:val="0"/>
    <w:rPr>
      <w:rFonts w:ascii="Calibri" w:hAnsi="Calibri" w:eastAsia="宋体" w:cs="Times New Roman"/>
      <w:sz w:val="24"/>
      <w:szCs w:val="24"/>
      <w:lang w:val="en-US" w:eastAsia="zh-CN" w:bidi="ar-SA"/>
    </w:rPr>
  </w:style>
  <w:style w:type="character" w:customStyle="1" w:styleId="19">
    <w:name w:val="页眉 Char"/>
    <w:basedOn w:val="12"/>
    <w:link w:val="10"/>
    <w:qFormat/>
    <w:uiPriority w:val="0"/>
    <w:rPr>
      <w:kern w:val="2"/>
      <w:sz w:val="18"/>
      <w:szCs w:val="18"/>
    </w:rPr>
  </w:style>
  <w:style w:type="character" w:customStyle="1" w:styleId="20">
    <w:name w:val="页脚 Char"/>
    <w:basedOn w:val="12"/>
    <w:link w:val="9"/>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777</Words>
  <Characters>4429</Characters>
  <Lines>36</Lines>
  <Paragraphs>10</Paragraphs>
  <TotalTime>25</TotalTime>
  <ScaleCrop>false</ScaleCrop>
  <LinksUpToDate>false</LinksUpToDate>
  <CharactersWithSpaces>5196</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2020-03-17T06:42:00Z</dcterms:created>
  <dc:creator>Administrator</dc:creator>
  <cp:lastModifiedBy>Administrator</cp:lastModifiedBy>
  <dcterms:modified xsi:type="dcterms:W3CDTF">2023-02-20T02:30:52Z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C8665AA072214487A277FEF5DAC74028</vt:lpwstr>
  </property>
</Properties>
</file>