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60914">
      <w:pPr>
        <w:pStyle w:val="16"/>
        <w:ind w:firstLine="6021" w:firstLineChars="1596"/>
        <w:jc w:val="both"/>
        <w:rPr>
          <w:rFonts w:hint="eastAsia" w:ascii="仿宋_GB2312" w:eastAsia="仿宋_GB2312"/>
          <w:b/>
          <w:spacing w:val="28"/>
          <w:sz w:val="32"/>
          <w:szCs w:val="32"/>
          <w:highlight w:val="none"/>
        </w:rPr>
      </w:pPr>
      <w:bookmarkStart w:id="99" w:name="_GoBack"/>
      <w:r>
        <w:rPr>
          <w:rFonts w:hint="eastAsia" w:ascii="仿宋_GB2312" w:eastAsia="仿宋_GB2312"/>
          <w:b/>
          <w:spacing w:val="28"/>
          <w:sz w:val="32"/>
          <w:szCs w:val="32"/>
          <w:highlight w:val="none"/>
        </w:rPr>
        <w:t>【2024】-WG-1664</w:t>
      </w:r>
    </w:p>
    <w:p w14:paraId="2DC100A2">
      <w:pPr>
        <w:jc w:val="center"/>
        <w:rPr>
          <w:rFonts w:ascii="仿宋_GB2312" w:hAnsi="宋体" w:eastAsia="仿宋_GB2312"/>
          <w:b/>
          <w:color w:val="000000"/>
          <w:spacing w:val="28"/>
          <w:sz w:val="48"/>
          <w:szCs w:val="48"/>
          <w:highlight w:val="none"/>
        </w:rPr>
      </w:pPr>
      <w:r>
        <w:rPr>
          <w:rFonts w:hint="eastAsia" w:ascii="仿宋_GB2312" w:hAnsi="宋体" w:eastAsia="仿宋_GB2312"/>
          <w:b/>
          <w:color w:val="000000"/>
          <w:spacing w:val="28"/>
          <w:sz w:val="48"/>
          <w:szCs w:val="48"/>
          <w:highlight w:val="none"/>
        </w:rPr>
        <w:t>江苏长江水务</w:t>
      </w:r>
      <w:r>
        <w:rPr>
          <w:rFonts w:hint="eastAsia" w:ascii="仿宋_GB2312" w:hAnsi="宋体" w:eastAsia="仿宋_GB2312"/>
          <w:b/>
          <w:color w:val="000000"/>
          <w:spacing w:val="28"/>
          <w:sz w:val="48"/>
          <w:szCs w:val="48"/>
          <w:highlight w:val="none"/>
          <w:lang w:val="en-US" w:eastAsia="zh-CN"/>
        </w:rPr>
        <w:t>股份有限公司</w:t>
      </w:r>
      <w:r>
        <w:rPr>
          <w:rFonts w:hint="eastAsia" w:ascii="仿宋_GB2312" w:hAnsi="宋体" w:eastAsia="仿宋_GB2312"/>
          <w:b/>
          <w:color w:val="000000"/>
          <w:spacing w:val="28"/>
          <w:sz w:val="48"/>
          <w:szCs w:val="48"/>
          <w:highlight w:val="none"/>
        </w:rPr>
        <w:t>资产设备信息系统招标项目</w:t>
      </w:r>
    </w:p>
    <w:p w14:paraId="47E26290">
      <w:pPr>
        <w:adjustRightInd w:val="0"/>
        <w:snapToGrid w:val="0"/>
        <w:spacing w:line="360" w:lineRule="auto"/>
        <w:jc w:val="center"/>
        <w:rPr>
          <w:rFonts w:ascii="仿宋_GB2312" w:hAnsi="宋体" w:eastAsia="仿宋_GB2312"/>
          <w:b/>
          <w:color w:val="000000"/>
          <w:spacing w:val="28"/>
          <w:sz w:val="48"/>
          <w:szCs w:val="48"/>
          <w:highlight w:val="none"/>
        </w:rPr>
      </w:pPr>
    </w:p>
    <w:p w14:paraId="5E0BFEA0">
      <w:pPr>
        <w:adjustRightInd w:val="0"/>
        <w:snapToGrid w:val="0"/>
        <w:spacing w:line="360" w:lineRule="auto"/>
        <w:jc w:val="center"/>
        <w:rPr>
          <w:rFonts w:ascii="仿宋_GB2312" w:hAnsi="宋体" w:eastAsia="仿宋_GB2312"/>
          <w:b/>
          <w:snapToGrid w:val="0"/>
          <w:color w:val="000000"/>
          <w:sz w:val="48"/>
          <w:szCs w:val="48"/>
          <w:highlight w:val="none"/>
        </w:rPr>
      </w:pPr>
      <w:r>
        <w:rPr>
          <w:rFonts w:hint="eastAsia" w:ascii="仿宋_GB2312" w:hAnsi="宋体" w:eastAsia="仿宋_GB2312"/>
          <w:b/>
          <w:color w:val="000000"/>
          <w:spacing w:val="28"/>
          <w:sz w:val="48"/>
          <w:szCs w:val="48"/>
          <w:highlight w:val="none"/>
        </w:rPr>
        <w:t>招标文件</w:t>
      </w:r>
    </w:p>
    <w:p w14:paraId="2A2B3734">
      <w:pPr>
        <w:adjustRightInd w:val="0"/>
        <w:snapToGrid w:val="0"/>
        <w:spacing w:line="360" w:lineRule="auto"/>
        <w:ind w:firstLine="3384" w:firstLineChars="1204"/>
        <w:jc w:val="center"/>
        <w:rPr>
          <w:rFonts w:ascii="黑体" w:hAnsi="宋体" w:eastAsia="黑体"/>
          <w:b/>
          <w:bCs/>
          <w:snapToGrid w:val="0"/>
          <w:sz w:val="28"/>
          <w:szCs w:val="28"/>
          <w:highlight w:val="none"/>
        </w:rPr>
      </w:pPr>
    </w:p>
    <w:p w14:paraId="1A98A963">
      <w:pPr>
        <w:pStyle w:val="9"/>
        <w:numPr>
          <w:ilvl w:val="0"/>
          <w:numId w:val="0"/>
        </w:numPr>
        <w:rPr>
          <w:highlight w:val="none"/>
        </w:rPr>
      </w:pPr>
    </w:p>
    <w:p w14:paraId="6236E0DF">
      <w:pPr>
        <w:adjustRightInd w:val="0"/>
        <w:snapToGrid w:val="0"/>
        <w:spacing w:line="360" w:lineRule="auto"/>
        <w:ind w:firstLine="602" w:firstLineChars="200"/>
        <w:jc w:val="center"/>
        <w:rPr>
          <w:rFonts w:ascii="仿宋_GB2312" w:hAnsi="宋体" w:eastAsia="仿宋_GB2312"/>
          <w:b/>
          <w:bCs/>
          <w:snapToGrid w:val="0"/>
          <w:sz w:val="30"/>
          <w:highlight w:val="none"/>
        </w:rPr>
      </w:pPr>
    </w:p>
    <w:p w14:paraId="657258F0">
      <w:pPr>
        <w:adjustRightInd w:val="0"/>
        <w:snapToGrid w:val="0"/>
        <w:spacing w:line="360" w:lineRule="auto"/>
        <w:ind w:firstLine="1446" w:firstLineChars="200"/>
        <w:jc w:val="center"/>
        <w:rPr>
          <w:rFonts w:ascii="仿宋_GB2312" w:hAnsi="宋体" w:eastAsia="仿宋_GB2312"/>
          <w:b/>
          <w:snapToGrid w:val="0"/>
          <w:sz w:val="72"/>
          <w:highlight w:val="none"/>
        </w:rPr>
      </w:pPr>
    </w:p>
    <w:p w14:paraId="3C7540A7">
      <w:pPr>
        <w:pStyle w:val="9"/>
        <w:numPr>
          <w:ilvl w:val="0"/>
          <w:numId w:val="0"/>
        </w:numPr>
        <w:rPr>
          <w:rFonts w:ascii="仿宋_GB2312" w:hAnsi="宋体" w:eastAsia="仿宋_GB2312"/>
          <w:b/>
          <w:snapToGrid w:val="0"/>
          <w:sz w:val="72"/>
          <w:highlight w:val="none"/>
        </w:rPr>
      </w:pPr>
    </w:p>
    <w:p w14:paraId="316FBF1D">
      <w:pPr>
        <w:pStyle w:val="9"/>
        <w:numPr>
          <w:ilvl w:val="0"/>
          <w:numId w:val="0"/>
        </w:numPr>
        <w:rPr>
          <w:rFonts w:ascii="仿宋_GB2312" w:hAnsi="宋体" w:eastAsia="仿宋_GB2312"/>
          <w:b/>
          <w:snapToGrid w:val="0"/>
          <w:sz w:val="72"/>
          <w:highlight w:val="none"/>
        </w:rPr>
      </w:pPr>
    </w:p>
    <w:p w14:paraId="641E212E">
      <w:pPr>
        <w:pStyle w:val="9"/>
        <w:numPr>
          <w:ilvl w:val="0"/>
          <w:numId w:val="0"/>
        </w:numPr>
        <w:rPr>
          <w:rFonts w:ascii="仿宋_GB2312" w:hAnsi="宋体" w:eastAsia="仿宋_GB2312"/>
          <w:b/>
          <w:snapToGrid w:val="0"/>
          <w:sz w:val="72"/>
          <w:highlight w:val="none"/>
        </w:rPr>
      </w:pPr>
    </w:p>
    <w:p w14:paraId="71BE1CB8">
      <w:pPr>
        <w:pStyle w:val="9"/>
        <w:numPr>
          <w:ilvl w:val="0"/>
          <w:numId w:val="0"/>
        </w:numPr>
        <w:rPr>
          <w:rFonts w:ascii="仿宋_GB2312" w:hAnsi="宋体" w:eastAsia="仿宋_GB2312"/>
          <w:b/>
          <w:snapToGrid w:val="0"/>
          <w:sz w:val="72"/>
          <w:highlight w:val="none"/>
        </w:rPr>
      </w:pPr>
    </w:p>
    <w:p w14:paraId="123A8091">
      <w:pPr>
        <w:adjustRightInd w:val="0"/>
        <w:snapToGrid w:val="0"/>
        <w:spacing w:line="360" w:lineRule="auto"/>
        <w:rPr>
          <w:rFonts w:ascii="仿宋_GB2312" w:hAnsi="宋体" w:eastAsia="仿宋_GB2312"/>
          <w:b/>
          <w:snapToGrid w:val="0"/>
          <w:sz w:val="72"/>
          <w:highlight w:val="none"/>
        </w:rPr>
      </w:pPr>
    </w:p>
    <w:p w14:paraId="5D9F5C89">
      <w:pPr>
        <w:adjustRightInd w:val="0"/>
        <w:snapToGrid w:val="0"/>
        <w:spacing w:line="480" w:lineRule="auto"/>
        <w:jc w:val="center"/>
        <w:rPr>
          <w:rFonts w:ascii="仿宋_GB2312" w:hAnsi="宋体" w:eastAsia="仿宋_GB2312"/>
          <w:b/>
          <w:bCs/>
          <w:snapToGrid w:val="0"/>
          <w:sz w:val="28"/>
          <w:highlight w:val="none"/>
          <w:u w:val="single"/>
        </w:rPr>
      </w:pPr>
      <w:r>
        <w:rPr>
          <w:rFonts w:hint="eastAsia" w:ascii="仿宋_GB2312" w:hAnsi="宋体" w:eastAsia="仿宋_GB2312"/>
          <w:b/>
          <w:bCs/>
          <w:snapToGrid w:val="0"/>
          <w:sz w:val="30"/>
          <w:highlight w:val="none"/>
        </w:rPr>
        <w:t>招       标      人：</w:t>
      </w:r>
      <w:r>
        <w:rPr>
          <w:rFonts w:hint="eastAsia" w:ascii="仿宋_GB2312" w:hAnsi="宋体" w:eastAsia="仿宋_GB2312"/>
          <w:b/>
          <w:bCs/>
          <w:snapToGrid w:val="0"/>
          <w:sz w:val="30"/>
          <w:highlight w:val="none"/>
          <w:u w:val="single"/>
        </w:rPr>
        <w:t>江苏长江水务股份有限公司</w:t>
      </w:r>
    </w:p>
    <w:p w14:paraId="792A6C2C">
      <w:pPr>
        <w:spacing w:line="460" w:lineRule="exact"/>
        <w:jc w:val="center"/>
        <w:rPr>
          <w:rFonts w:eastAsia="黑体"/>
          <w:sz w:val="36"/>
          <w:highlight w:val="none"/>
        </w:rPr>
      </w:pPr>
      <w:r>
        <w:rPr>
          <w:rFonts w:hint="eastAsia" w:ascii="仿宋_GB2312" w:hAnsi="宋体" w:eastAsia="仿宋_GB2312"/>
          <w:b/>
          <w:bCs/>
          <w:snapToGrid w:val="0"/>
          <w:sz w:val="30"/>
          <w:highlight w:val="none"/>
        </w:rPr>
        <w:t xml:space="preserve">发    放    日   期：  </w:t>
      </w:r>
      <w:r>
        <w:rPr>
          <w:rFonts w:hint="eastAsia" w:ascii="仿宋_GB2312" w:hAnsi="宋体" w:eastAsia="仿宋_GB2312"/>
          <w:b/>
          <w:bCs/>
          <w:snapToGrid w:val="0"/>
          <w:sz w:val="30"/>
          <w:highlight w:val="none"/>
          <w:u w:val="single"/>
        </w:rPr>
        <w:t xml:space="preserve"> 2024</w:t>
      </w:r>
      <w:r>
        <w:rPr>
          <w:rFonts w:hint="eastAsia" w:ascii="仿宋_GB2312" w:hAnsi="宋体" w:eastAsia="仿宋_GB2312"/>
          <w:b/>
          <w:bCs/>
          <w:snapToGrid w:val="0"/>
          <w:sz w:val="30"/>
          <w:highlight w:val="none"/>
        </w:rPr>
        <w:t>年</w:t>
      </w:r>
      <w:r>
        <w:rPr>
          <w:rFonts w:hint="eastAsia" w:ascii="仿宋_GB2312" w:hAnsi="宋体" w:eastAsia="仿宋_GB2312"/>
          <w:b/>
          <w:bCs/>
          <w:snapToGrid w:val="0"/>
          <w:sz w:val="30"/>
          <w:highlight w:val="none"/>
          <w:u w:val="single"/>
        </w:rPr>
        <w:t>12</w:t>
      </w:r>
      <w:r>
        <w:rPr>
          <w:rFonts w:hint="eastAsia" w:ascii="仿宋_GB2312" w:hAnsi="宋体" w:eastAsia="仿宋_GB2312"/>
          <w:b/>
          <w:bCs/>
          <w:snapToGrid w:val="0"/>
          <w:sz w:val="30"/>
          <w:highlight w:val="none"/>
        </w:rPr>
        <w:t>月</w:t>
      </w:r>
      <w:r>
        <w:rPr>
          <w:rFonts w:hint="eastAsia" w:ascii="仿宋_GB2312" w:hAnsi="宋体" w:eastAsia="仿宋_GB2312"/>
          <w:b/>
          <w:bCs/>
          <w:snapToGrid w:val="0"/>
          <w:sz w:val="30"/>
          <w:highlight w:val="none"/>
          <w:lang w:val="en-US" w:eastAsia="zh-CN"/>
        </w:rPr>
        <w:t>30</w:t>
      </w:r>
      <w:r>
        <w:rPr>
          <w:rFonts w:hint="eastAsia" w:ascii="仿宋_GB2312" w:hAnsi="宋体" w:eastAsia="仿宋_GB2312"/>
          <w:b/>
          <w:bCs/>
          <w:snapToGrid w:val="0"/>
          <w:sz w:val="30"/>
          <w:highlight w:val="none"/>
        </w:rPr>
        <w:t>日</w:t>
      </w:r>
    </w:p>
    <w:p w14:paraId="6668F4D4">
      <w:pPr>
        <w:spacing w:line="460" w:lineRule="exact"/>
        <w:rPr>
          <w:rFonts w:eastAsia="仿宋_GB2312"/>
          <w:sz w:val="30"/>
          <w:highlight w:val="none"/>
          <w:u w:val="single"/>
        </w:rPr>
      </w:pPr>
    </w:p>
    <w:p w14:paraId="56BAC1EE">
      <w:pPr>
        <w:pStyle w:val="9"/>
        <w:numPr>
          <w:ilvl w:val="0"/>
          <w:numId w:val="0"/>
        </w:numPr>
        <w:rPr>
          <w:highlight w:val="none"/>
        </w:rPr>
      </w:pPr>
    </w:p>
    <w:p w14:paraId="20FFE3C9">
      <w:pPr>
        <w:pStyle w:val="9"/>
        <w:numPr>
          <w:ilvl w:val="0"/>
          <w:numId w:val="0"/>
        </w:numPr>
        <w:ind w:left="780" w:hanging="360"/>
        <w:rPr>
          <w:highlight w:val="none"/>
        </w:rPr>
      </w:pPr>
    </w:p>
    <w:p w14:paraId="0DB4C1EF">
      <w:pPr>
        <w:pStyle w:val="9"/>
        <w:numPr>
          <w:ilvl w:val="0"/>
          <w:numId w:val="0"/>
        </w:numPr>
        <w:rPr>
          <w:highlight w:val="none"/>
        </w:rPr>
      </w:pPr>
    </w:p>
    <w:p w14:paraId="69C9F1C6">
      <w:pPr>
        <w:spacing w:line="360" w:lineRule="auto"/>
        <w:jc w:val="center"/>
        <w:outlineLvl w:val="0"/>
        <w:rPr>
          <w:rFonts w:ascii="宋体" w:hAnsi="宋体"/>
          <w:b/>
          <w:sz w:val="36"/>
          <w:szCs w:val="36"/>
          <w:highlight w:val="none"/>
        </w:rPr>
      </w:pPr>
      <w:r>
        <w:rPr>
          <w:rFonts w:hint="eastAsia" w:ascii="宋体" w:hAnsi="宋体"/>
          <w:b/>
          <w:sz w:val="36"/>
          <w:szCs w:val="36"/>
          <w:highlight w:val="none"/>
        </w:rPr>
        <w:t>前  附  表</w:t>
      </w:r>
    </w:p>
    <w:tbl>
      <w:tblPr>
        <w:tblStyle w:val="14"/>
        <w:tblW w:w="929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2161"/>
        <w:gridCol w:w="1596"/>
        <w:gridCol w:w="4733"/>
      </w:tblGrid>
      <w:tr w14:paraId="1A2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0DFF9559">
            <w:pPr>
              <w:spacing w:line="360" w:lineRule="auto"/>
              <w:jc w:val="center"/>
              <w:rPr>
                <w:rFonts w:ascii="宋体" w:hAnsi="宋体"/>
                <w:szCs w:val="21"/>
                <w:highlight w:val="none"/>
              </w:rPr>
            </w:pPr>
            <w:r>
              <w:rPr>
                <w:rFonts w:hint="eastAsia" w:ascii="宋体" w:hAnsi="宋体"/>
                <w:szCs w:val="21"/>
                <w:highlight w:val="none"/>
              </w:rPr>
              <w:t>序号</w:t>
            </w:r>
          </w:p>
        </w:tc>
        <w:tc>
          <w:tcPr>
            <w:tcW w:w="2161" w:type="dxa"/>
            <w:tcBorders>
              <w:top w:val="single" w:color="auto" w:sz="4" w:space="0"/>
              <w:left w:val="single" w:color="auto" w:sz="4" w:space="0"/>
              <w:bottom w:val="single" w:color="auto" w:sz="4" w:space="0"/>
              <w:right w:val="single" w:color="auto" w:sz="4" w:space="0"/>
            </w:tcBorders>
            <w:vAlign w:val="center"/>
          </w:tcPr>
          <w:p w14:paraId="2F7390C8">
            <w:pPr>
              <w:spacing w:line="360" w:lineRule="auto"/>
              <w:jc w:val="center"/>
              <w:rPr>
                <w:rFonts w:ascii="宋体" w:hAnsi="宋体"/>
                <w:szCs w:val="21"/>
                <w:highlight w:val="none"/>
              </w:rPr>
            </w:pPr>
            <w:r>
              <w:rPr>
                <w:rFonts w:hint="eastAsia" w:ascii="宋体" w:hAnsi="宋体"/>
                <w:szCs w:val="21"/>
                <w:highlight w:val="none"/>
              </w:rPr>
              <w:t>项    目</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C526FC8">
            <w:pPr>
              <w:spacing w:line="360" w:lineRule="auto"/>
              <w:ind w:firstLine="2415" w:firstLineChars="1150"/>
              <w:rPr>
                <w:rFonts w:ascii="宋体" w:hAnsi="宋体"/>
                <w:szCs w:val="21"/>
                <w:highlight w:val="none"/>
              </w:rPr>
            </w:pPr>
            <w:r>
              <w:rPr>
                <w:rFonts w:hint="eastAsia" w:ascii="宋体" w:hAnsi="宋体"/>
                <w:szCs w:val="21"/>
                <w:highlight w:val="none"/>
              </w:rPr>
              <w:t>内    容</w:t>
            </w:r>
          </w:p>
        </w:tc>
      </w:tr>
      <w:tr w14:paraId="410DA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1890D98A">
            <w:pPr>
              <w:spacing w:line="360" w:lineRule="auto"/>
              <w:jc w:val="center"/>
              <w:rPr>
                <w:rFonts w:ascii="宋体" w:hAnsi="宋体"/>
                <w:szCs w:val="21"/>
                <w:highlight w:val="none"/>
              </w:rPr>
            </w:pPr>
            <w:r>
              <w:rPr>
                <w:rFonts w:hint="eastAsia" w:ascii="宋体" w:hAnsi="宋体"/>
                <w:szCs w:val="21"/>
                <w:highlight w:val="none"/>
              </w:rPr>
              <w:t>1</w:t>
            </w:r>
          </w:p>
        </w:tc>
        <w:tc>
          <w:tcPr>
            <w:tcW w:w="2161" w:type="dxa"/>
            <w:tcBorders>
              <w:top w:val="single" w:color="auto" w:sz="4" w:space="0"/>
              <w:left w:val="single" w:color="auto" w:sz="4" w:space="0"/>
              <w:bottom w:val="single" w:color="auto" w:sz="4" w:space="0"/>
              <w:right w:val="single" w:color="auto" w:sz="4" w:space="0"/>
            </w:tcBorders>
            <w:vAlign w:val="center"/>
          </w:tcPr>
          <w:p w14:paraId="630B66E6">
            <w:pPr>
              <w:spacing w:line="360" w:lineRule="auto"/>
              <w:ind w:firstLine="630" w:firstLineChars="300"/>
              <w:rPr>
                <w:rFonts w:ascii="宋体" w:hAnsi="宋体"/>
                <w:szCs w:val="21"/>
                <w:highlight w:val="none"/>
              </w:rPr>
            </w:pPr>
            <w:r>
              <w:rPr>
                <w:rFonts w:hint="eastAsia" w:ascii="宋体" w:hAnsi="宋体"/>
                <w:szCs w:val="21"/>
                <w:highlight w:val="none"/>
              </w:rPr>
              <w:t>项目名称</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03923FF1">
            <w:pPr>
              <w:spacing w:line="360" w:lineRule="auto"/>
              <w:rPr>
                <w:rFonts w:ascii="宋体" w:hAnsi="宋体"/>
                <w:szCs w:val="21"/>
                <w:highlight w:val="none"/>
              </w:rPr>
            </w:pPr>
            <w:r>
              <w:rPr>
                <w:rFonts w:hint="eastAsia" w:ascii="宋体" w:hAnsi="宋体"/>
                <w:szCs w:val="21"/>
                <w:highlight w:val="none"/>
              </w:rPr>
              <w:t>资产设备信息系统招标项目</w:t>
            </w:r>
          </w:p>
          <w:p w14:paraId="08DC264A">
            <w:pPr>
              <w:spacing w:line="360" w:lineRule="auto"/>
              <w:rPr>
                <w:rFonts w:ascii="宋体" w:hAnsi="宋体"/>
                <w:color w:val="000000"/>
                <w:szCs w:val="21"/>
                <w:highlight w:val="none"/>
              </w:rPr>
            </w:pPr>
          </w:p>
        </w:tc>
      </w:tr>
      <w:tr w14:paraId="3B397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14D642D9">
            <w:pPr>
              <w:spacing w:line="360" w:lineRule="auto"/>
              <w:jc w:val="center"/>
              <w:rPr>
                <w:rFonts w:ascii="宋体" w:hAnsi="宋体"/>
                <w:szCs w:val="21"/>
                <w:highlight w:val="none"/>
              </w:rPr>
            </w:pPr>
            <w:r>
              <w:rPr>
                <w:rFonts w:hint="eastAsia" w:ascii="宋体" w:hAnsi="宋体"/>
                <w:szCs w:val="21"/>
                <w:highlight w:val="none"/>
              </w:rPr>
              <w:t>2</w:t>
            </w:r>
          </w:p>
        </w:tc>
        <w:tc>
          <w:tcPr>
            <w:tcW w:w="2161" w:type="dxa"/>
            <w:tcBorders>
              <w:top w:val="single" w:color="auto" w:sz="4" w:space="0"/>
              <w:left w:val="single" w:color="auto" w:sz="4" w:space="0"/>
              <w:bottom w:val="single" w:color="auto" w:sz="4" w:space="0"/>
              <w:right w:val="single" w:color="auto" w:sz="4" w:space="0"/>
            </w:tcBorders>
            <w:vAlign w:val="center"/>
          </w:tcPr>
          <w:p w14:paraId="0271D4A3">
            <w:pPr>
              <w:spacing w:line="360" w:lineRule="auto"/>
              <w:jc w:val="center"/>
              <w:rPr>
                <w:rFonts w:ascii="宋体" w:hAnsi="宋体"/>
                <w:szCs w:val="21"/>
                <w:highlight w:val="none"/>
              </w:rPr>
            </w:pPr>
            <w:r>
              <w:rPr>
                <w:rFonts w:hint="eastAsia" w:ascii="宋体" w:hAnsi="宋体"/>
                <w:szCs w:val="21"/>
                <w:highlight w:val="none"/>
              </w:rPr>
              <w:t>招标方式</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2E9268C3">
            <w:pPr>
              <w:spacing w:line="360" w:lineRule="auto"/>
              <w:rPr>
                <w:rFonts w:ascii="宋体" w:hAnsi="宋体"/>
                <w:szCs w:val="21"/>
                <w:highlight w:val="none"/>
              </w:rPr>
            </w:pPr>
            <w:r>
              <w:rPr>
                <w:rFonts w:hint="eastAsia" w:ascii="宋体" w:hAnsi="宋体"/>
                <w:szCs w:val="21"/>
                <w:highlight w:val="none"/>
              </w:rPr>
              <w:t>公开招标</w:t>
            </w:r>
          </w:p>
        </w:tc>
      </w:tr>
      <w:tr w14:paraId="70169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08" w:type="dxa"/>
            <w:tcBorders>
              <w:top w:val="single" w:color="auto" w:sz="4" w:space="0"/>
              <w:left w:val="single" w:color="auto" w:sz="4" w:space="0"/>
              <w:bottom w:val="single" w:color="auto" w:sz="4" w:space="0"/>
              <w:right w:val="single" w:color="auto" w:sz="4" w:space="0"/>
            </w:tcBorders>
            <w:vAlign w:val="center"/>
          </w:tcPr>
          <w:p w14:paraId="4BB2BBD2">
            <w:pPr>
              <w:spacing w:line="360" w:lineRule="auto"/>
              <w:jc w:val="center"/>
              <w:rPr>
                <w:rFonts w:ascii="宋体" w:hAnsi="宋体"/>
                <w:szCs w:val="21"/>
                <w:highlight w:val="none"/>
              </w:rPr>
            </w:pPr>
            <w:r>
              <w:rPr>
                <w:rFonts w:hint="eastAsia" w:ascii="宋体" w:hAnsi="宋体"/>
                <w:szCs w:val="21"/>
                <w:highlight w:val="none"/>
              </w:rPr>
              <w:t>3</w:t>
            </w:r>
          </w:p>
        </w:tc>
        <w:tc>
          <w:tcPr>
            <w:tcW w:w="2161" w:type="dxa"/>
            <w:tcBorders>
              <w:top w:val="single" w:color="auto" w:sz="4" w:space="0"/>
              <w:left w:val="single" w:color="auto" w:sz="4" w:space="0"/>
              <w:bottom w:val="single" w:color="auto" w:sz="4" w:space="0"/>
              <w:right w:val="single" w:color="auto" w:sz="4" w:space="0"/>
            </w:tcBorders>
            <w:vAlign w:val="center"/>
          </w:tcPr>
          <w:p w14:paraId="4A375096">
            <w:pPr>
              <w:spacing w:line="360" w:lineRule="auto"/>
              <w:jc w:val="center"/>
              <w:rPr>
                <w:rFonts w:ascii="宋体" w:hAnsi="宋体"/>
                <w:szCs w:val="21"/>
                <w:highlight w:val="none"/>
              </w:rPr>
            </w:pPr>
            <w:r>
              <w:rPr>
                <w:rFonts w:hint="eastAsia" w:ascii="宋体" w:hAnsi="宋体"/>
                <w:szCs w:val="21"/>
                <w:highlight w:val="none"/>
              </w:rPr>
              <w:t>招标内容</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7846775A">
            <w:pPr>
              <w:spacing w:line="360" w:lineRule="auto"/>
              <w:rPr>
                <w:rFonts w:ascii="宋体" w:hAnsi="宋体"/>
                <w:szCs w:val="21"/>
                <w:highlight w:val="none"/>
              </w:rPr>
            </w:pPr>
            <w:r>
              <w:rPr>
                <w:rFonts w:hint="eastAsia" w:ascii="宋体" w:hAnsi="宋体"/>
                <w:szCs w:val="21"/>
                <w:highlight w:val="none"/>
              </w:rPr>
              <w:t>资产设备信息系统招标项目</w:t>
            </w:r>
          </w:p>
          <w:p w14:paraId="6683C341">
            <w:pPr>
              <w:spacing w:line="360" w:lineRule="auto"/>
              <w:rPr>
                <w:rFonts w:ascii="宋体" w:hAnsi="宋体"/>
                <w:szCs w:val="21"/>
                <w:highlight w:val="none"/>
              </w:rPr>
            </w:pPr>
          </w:p>
        </w:tc>
      </w:tr>
      <w:tr w14:paraId="6FC6D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2FB1B95">
            <w:pPr>
              <w:spacing w:line="360" w:lineRule="auto"/>
              <w:jc w:val="center"/>
              <w:rPr>
                <w:rFonts w:ascii="宋体" w:hAnsi="宋体"/>
                <w:szCs w:val="21"/>
                <w:highlight w:val="none"/>
              </w:rPr>
            </w:pPr>
            <w:r>
              <w:rPr>
                <w:rFonts w:hint="eastAsia" w:ascii="宋体" w:hAnsi="宋体"/>
                <w:szCs w:val="21"/>
                <w:highlight w:val="none"/>
              </w:rPr>
              <w:t>4</w:t>
            </w:r>
          </w:p>
        </w:tc>
        <w:tc>
          <w:tcPr>
            <w:tcW w:w="2161" w:type="dxa"/>
            <w:tcBorders>
              <w:top w:val="single" w:color="auto" w:sz="4" w:space="0"/>
              <w:left w:val="single" w:color="auto" w:sz="4" w:space="0"/>
              <w:bottom w:val="single" w:color="auto" w:sz="4" w:space="0"/>
              <w:right w:val="single" w:color="auto" w:sz="4" w:space="0"/>
            </w:tcBorders>
            <w:vAlign w:val="center"/>
          </w:tcPr>
          <w:p w14:paraId="41399F05">
            <w:pPr>
              <w:spacing w:line="360" w:lineRule="auto"/>
              <w:jc w:val="center"/>
              <w:rPr>
                <w:rFonts w:ascii="宋体" w:hAnsi="宋体"/>
                <w:szCs w:val="21"/>
                <w:highlight w:val="none"/>
              </w:rPr>
            </w:pPr>
            <w:r>
              <w:rPr>
                <w:rFonts w:hint="eastAsia" w:ascii="宋体" w:hAnsi="宋体"/>
                <w:szCs w:val="21"/>
                <w:highlight w:val="none"/>
              </w:rPr>
              <w:t>项目峻工期限</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561A3F2C">
            <w:pPr>
              <w:spacing w:line="360" w:lineRule="auto"/>
              <w:rPr>
                <w:rFonts w:ascii="宋体" w:hAnsi="宋体"/>
                <w:szCs w:val="21"/>
                <w:highlight w:val="none"/>
              </w:rPr>
            </w:pPr>
            <w:r>
              <w:rPr>
                <w:rFonts w:hint="eastAsia" w:ascii="宋体" w:hAnsi="宋体"/>
                <w:szCs w:val="21"/>
                <w:highlight w:val="none"/>
              </w:rPr>
              <w:t>90个工作日内</w:t>
            </w:r>
          </w:p>
        </w:tc>
      </w:tr>
      <w:tr w14:paraId="0F6C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3AC932DD">
            <w:pPr>
              <w:spacing w:line="360" w:lineRule="auto"/>
              <w:jc w:val="center"/>
              <w:rPr>
                <w:rFonts w:ascii="宋体" w:hAnsi="宋体"/>
                <w:szCs w:val="21"/>
                <w:highlight w:val="none"/>
              </w:rPr>
            </w:pPr>
            <w:r>
              <w:rPr>
                <w:rFonts w:hint="eastAsia" w:ascii="宋体" w:hAnsi="宋体"/>
                <w:szCs w:val="21"/>
                <w:highlight w:val="none"/>
              </w:rPr>
              <w:t>5</w:t>
            </w:r>
          </w:p>
        </w:tc>
        <w:tc>
          <w:tcPr>
            <w:tcW w:w="2161" w:type="dxa"/>
            <w:tcBorders>
              <w:top w:val="single" w:color="auto" w:sz="4" w:space="0"/>
              <w:left w:val="single" w:color="auto" w:sz="4" w:space="0"/>
              <w:bottom w:val="single" w:color="auto" w:sz="4" w:space="0"/>
              <w:right w:val="single" w:color="auto" w:sz="4" w:space="0"/>
            </w:tcBorders>
            <w:vAlign w:val="center"/>
          </w:tcPr>
          <w:p w14:paraId="174C3F0F">
            <w:pPr>
              <w:spacing w:line="360" w:lineRule="auto"/>
              <w:jc w:val="center"/>
              <w:rPr>
                <w:rFonts w:ascii="宋体" w:hAnsi="宋体"/>
                <w:szCs w:val="21"/>
                <w:highlight w:val="none"/>
              </w:rPr>
            </w:pPr>
            <w:r>
              <w:rPr>
                <w:rFonts w:hint="eastAsia" w:ascii="宋体" w:hAnsi="宋体"/>
                <w:szCs w:val="21"/>
                <w:highlight w:val="none"/>
              </w:rPr>
              <w:t>工程开始期</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72B401E4">
            <w:pPr>
              <w:spacing w:line="360" w:lineRule="auto"/>
              <w:rPr>
                <w:rFonts w:ascii="宋体" w:hAnsi="宋体"/>
                <w:szCs w:val="21"/>
                <w:highlight w:val="none"/>
              </w:rPr>
            </w:pPr>
            <w:r>
              <w:rPr>
                <w:rFonts w:hint="eastAsia" w:ascii="宋体" w:hAnsi="宋体"/>
                <w:szCs w:val="21"/>
                <w:highlight w:val="none"/>
              </w:rPr>
              <w:t>中标签订的合同生效后的10天之内</w:t>
            </w:r>
          </w:p>
        </w:tc>
      </w:tr>
      <w:tr w14:paraId="5E794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FD642A5">
            <w:pPr>
              <w:spacing w:line="360" w:lineRule="auto"/>
              <w:jc w:val="center"/>
              <w:rPr>
                <w:rFonts w:ascii="宋体" w:hAnsi="宋体"/>
                <w:szCs w:val="21"/>
                <w:highlight w:val="none"/>
              </w:rPr>
            </w:pPr>
            <w:r>
              <w:rPr>
                <w:rFonts w:hint="eastAsia" w:ascii="宋体" w:hAnsi="宋体"/>
                <w:szCs w:val="21"/>
                <w:highlight w:val="none"/>
              </w:rPr>
              <w:t>6</w:t>
            </w:r>
          </w:p>
        </w:tc>
        <w:tc>
          <w:tcPr>
            <w:tcW w:w="2161" w:type="dxa"/>
            <w:tcBorders>
              <w:top w:val="single" w:color="auto" w:sz="4" w:space="0"/>
              <w:left w:val="single" w:color="auto" w:sz="4" w:space="0"/>
              <w:bottom w:val="single" w:color="auto" w:sz="4" w:space="0"/>
              <w:right w:val="single" w:color="auto" w:sz="4" w:space="0"/>
            </w:tcBorders>
            <w:vAlign w:val="center"/>
          </w:tcPr>
          <w:p w14:paraId="0CAEAC9E">
            <w:pPr>
              <w:spacing w:line="360" w:lineRule="auto"/>
              <w:jc w:val="center"/>
              <w:rPr>
                <w:rFonts w:ascii="宋体" w:hAnsi="宋体"/>
                <w:szCs w:val="21"/>
                <w:highlight w:val="none"/>
              </w:rPr>
            </w:pPr>
            <w:r>
              <w:rPr>
                <w:rFonts w:hint="eastAsia" w:ascii="宋体" w:hAnsi="宋体"/>
                <w:szCs w:val="21"/>
                <w:highlight w:val="none"/>
              </w:rPr>
              <w:t>最高限价</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C58570D">
            <w:pPr>
              <w:spacing w:line="360" w:lineRule="auto"/>
              <w:rPr>
                <w:rFonts w:ascii="宋体" w:hAnsi="宋体"/>
                <w:szCs w:val="21"/>
                <w:highlight w:val="none"/>
              </w:rPr>
            </w:pPr>
            <w:r>
              <w:rPr>
                <w:rFonts w:hint="eastAsia" w:ascii="宋体" w:hAnsi="宋体"/>
                <w:szCs w:val="21"/>
                <w:highlight w:val="none"/>
                <w:u w:val="single"/>
              </w:rPr>
              <w:t xml:space="preserve">30  </w:t>
            </w:r>
            <w:r>
              <w:rPr>
                <w:rFonts w:hint="eastAsia" w:ascii="宋体" w:hAnsi="宋体"/>
                <w:szCs w:val="21"/>
                <w:highlight w:val="none"/>
              </w:rPr>
              <w:t xml:space="preserve">万元人民币 </w:t>
            </w:r>
          </w:p>
        </w:tc>
      </w:tr>
      <w:tr w14:paraId="639A7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4D2B90B0">
            <w:pPr>
              <w:spacing w:line="360" w:lineRule="auto"/>
              <w:jc w:val="center"/>
              <w:rPr>
                <w:rFonts w:ascii="宋体" w:hAnsi="宋体"/>
                <w:szCs w:val="21"/>
                <w:highlight w:val="none"/>
              </w:rPr>
            </w:pPr>
            <w:r>
              <w:rPr>
                <w:rFonts w:hint="eastAsia" w:ascii="宋体" w:hAnsi="宋体"/>
                <w:szCs w:val="21"/>
                <w:highlight w:val="none"/>
              </w:rPr>
              <w:t>7</w:t>
            </w:r>
          </w:p>
        </w:tc>
        <w:tc>
          <w:tcPr>
            <w:tcW w:w="2161" w:type="dxa"/>
            <w:tcBorders>
              <w:top w:val="single" w:color="auto" w:sz="4" w:space="0"/>
              <w:left w:val="single" w:color="auto" w:sz="4" w:space="0"/>
              <w:bottom w:val="single" w:color="auto" w:sz="4" w:space="0"/>
              <w:right w:val="single" w:color="auto" w:sz="4" w:space="0"/>
            </w:tcBorders>
            <w:vAlign w:val="center"/>
          </w:tcPr>
          <w:p w14:paraId="30114417">
            <w:pPr>
              <w:spacing w:line="360" w:lineRule="auto"/>
              <w:jc w:val="center"/>
              <w:rPr>
                <w:rFonts w:ascii="宋体" w:hAnsi="宋体"/>
                <w:szCs w:val="21"/>
                <w:highlight w:val="none"/>
              </w:rPr>
            </w:pPr>
            <w:r>
              <w:rPr>
                <w:rFonts w:hint="eastAsia" w:ascii="宋体" w:hAnsi="宋体"/>
                <w:szCs w:val="21"/>
                <w:highlight w:val="none"/>
              </w:rPr>
              <w:t>服务内容/服务承诺</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509ED55D">
            <w:pPr>
              <w:spacing w:line="360" w:lineRule="auto"/>
              <w:rPr>
                <w:rFonts w:ascii="宋体" w:hAnsi="宋体"/>
                <w:b/>
                <w:szCs w:val="21"/>
                <w:highlight w:val="none"/>
              </w:rPr>
            </w:pPr>
            <w:r>
              <w:rPr>
                <w:rFonts w:hint="eastAsia" w:ascii="Arial" w:hAnsi="宋体"/>
                <w:bCs/>
                <w:iCs/>
                <w:szCs w:val="28"/>
                <w:highlight w:val="none"/>
              </w:rPr>
              <w:t>在投标文件中注明</w:t>
            </w:r>
          </w:p>
        </w:tc>
      </w:tr>
      <w:tr w14:paraId="35CDF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678C9489">
            <w:pPr>
              <w:spacing w:line="360" w:lineRule="auto"/>
              <w:jc w:val="center"/>
              <w:rPr>
                <w:rFonts w:ascii="宋体" w:hAnsi="宋体"/>
                <w:szCs w:val="21"/>
                <w:highlight w:val="none"/>
              </w:rPr>
            </w:pPr>
            <w:r>
              <w:rPr>
                <w:rFonts w:hint="eastAsia" w:ascii="宋体" w:hAnsi="宋体"/>
                <w:szCs w:val="21"/>
                <w:highlight w:val="none"/>
              </w:rPr>
              <w:t>8</w:t>
            </w:r>
          </w:p>
        </w:tc>
        <w:tc>
          <w:tcPr>
            <w:tcW w:w="2161" w:type="dxa"/>
            <w:tcBorders>
              <w:top w:val="single" w:color="auto" w:sz="4" w:space="0"/>
              <w:left w:val="single" w:color="auto" w:sz="4" w:space="0"/>
              <w:bottom w:val="single" w:color="auto" w:sz="4" w:space="0"/>
              <w:right w:val="single" w:color="auto" w:sz="4" w:space="0"/>
            </w:tcBorders>
            <w:vAlign w:val="center"/>
          </w:tcPr>
          <w:p w14:paraId="71D6BE99">
            <w:pPr>
              <w:spacing w:line="360" w:lineRule="auto"/>
              <w:jc w:val="center"/>
              <w:rPr>
                <w:rFonts w:ascii="宋体" w:hAnsi="宋体"/>
                <w:szCs w:val="21"/>
                <w:highlight w:val="none"/>
              </w:rPr>
            </w:pPr>
            <w:r>
              <w:rPr>
                <w:rFonts w:hint="eastAsia" w:ascii="宋体" w:hAnsi="宋体"/>
                <w:szCs w:val="21"/>
                <w:highlight w:val="none"/>
              </w:rPr>
              <w:t>服务地点</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25E88C4F">
            <w:pPr>
              <w:spacing w:line="360" w:lineRule="auto"/>
              <w:rPr>
                <w:rFonts w:ascii="宋体" w:hAnsi="宋体"/>
                <w:szCs w:val="21"/>
                <w:highlight w:val="none"/>
              </w:rPr>
            </w:pPr>
            <w:r>
              <w:rPr>
                <w:rFonts w:hint="eastAsia" w:ascii="宋体" w:hAnsi="宋体"/>
                <w:szCs w:val="21"/>
                <w:highlight w:val="none"/>
              </w:rPr>
              <w:t>甲方指定地点</w:t>
            </w:r>
          </w:p>
        </w:tc>
      </w:tr>
      <w:tr w14:paraId="4D1A6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DF98667">
            <w:pPr>
              <w:spacing w:line="360" w:lineRule="auto"/>
              <w:jc w:val="center"/>
              <w:rPr>
                <w:rFonts w:ascii="宋体" w:hAnsi="宋体"/>
                <w:szCs w:val="21"/>
                <w:highlight w:val="none"/>
              </w:rPr>
            </w:pPr>
            <w:r>
              <w:rPr>
                <w:rFonts w:hint="eastAsia" w:ascii="宋体" w:hAnsi="宋体"/>
                <w:szCs w:val="21"/>
                <w:highlight w:val="none"/>
              </w:rPr>
              <w:t>9</w:t>
            </w:r>
          </w:p>
        </w:tc>
        <w:tc>
          <w:tcPr>
            <w:tcW w:w="2161" w:type="dxa"/>
            <w:tcBorders>
              <w:top w:val="single" w:color="auto" w:sz="4" w:space="0"/>
              <w:left w:val="single" w:color="auto" w:sz="4" w:space="0"/>
              <w:bottom w:val="single" w:color="auto" w:sz="4" w:space="0"/>
              <w:right w:val="single" w:color="auto" w:sz="4" w:space="0"/>
            </w:tcBorders>
            <w:vAlign w:val="center"/>
          </w:tcPr>
          <w:p w14:paraId="09B380BA">
            <w:pPr>
              <w:spacing w:line="360" w:lineRule="auto"/>
              <w:jc w:val="center"/>
              <w:rPr>
                <w:rFonts w:ascii="宋体" w:hAnsi="宋体"/>
                <w:szCs w:val="21"/>
                <w:highlight w:val="none"/>
              </w:rPr>
            </w:pPr>
            <w:r>
              <w:rPr>
                <w:rFonts w:hint="eastAsia" w:ascii="宋体" w:hAnsi="宋体"/>
                <w:szCs w:val="21"/>
                <w:highlight w:val="none"/>
              </w:rPr>
              <w:t>招标单位</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58C8B4D">
            <w:pPr>
              <w:spacing w:line="360" w:lineRule="auto"/>
              <w:rPr>
                <w:rFonts w:ascii="宋体" w:hAnsi="宋体"/>
                <w:szCs w:val="21"/>
                <w:highlight w:val="none"/>
              </w:rPr>
            </w:pPr>
            <w:r>
              <w:rPr>
                <w:rFonts w:hint="eastAsia" w:ascii="宋体" w:hAnsi="宋体"/>
                <w:szCs w:val="21"/>
                <w:highlight w:val="none"/>
              </w:rPr>
              <w:t>江苏长江水务股份有限公司</w:t>
            </w:r>
          </w:p>
        </w:tc>
      </w:tr>
      <w:tr w14:paraId="7AA62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7AB0E6EE">
            <w:pPr>
              <w:spacing w:line="360" w:lineRule="auto"/>
              <w:jc w:val="center"/>
              <w:rPr>
                <w:rFonts w:ascii="宋体" w:hAnsi="宋体"/>
                <w:szCs w:val="21"/>
                <w:highlight w:val="none"/>
              </w:rPr>
            </w:pPr>
            <w:r>
              <w:rPr>
                <w:rFonts w:hint="eastAsia" w:ascii="宋体" w:hAnsi="宋体"/>
                <w:szCs w:val="21"/>
                <w:highlight w:val="none"/>
              </w:rPr>
              <w:t>10</w:t>
            </w:r>
          </w:p>
        </w:tc>
        <w:tc>
          <w:tcPr>
            <w:tcW w:w="2161" w:type="dxa"/>
            <w:tcBorders>
              <w:top w:val="single" w:color="auto" w:sz="4" w:space="0"/>
              <w:left w:val="single" w:color="auto" w:sz="4" w:space="0"/>
              <w:bottom w:val="single" w:color="auto" w:sz="4" w:space="0"/>
              <w:right w:val="single" w:color="auto" w:sz="4" w:space="0"/>
            </w:tcBorders>
            <w:vAlign w:val="center"/>
          </w:tcPr>
          <w:p w14:paraId="3B877367">
            <w:pPr>
              <w:spacing w:line="360" w:lineRule="auto"/>
              <w:jc w:val="center"/>
              <w:rPr>
                <w:rFonts w:ascii="宋体" w:hAnsi="宋体"/>
                <w:szCs w:val="21"/>
                <w:highlight w:val="none"/>
              </w:rPr>
            </w:pPr>
            <w:r>
              <w:rPr>
                <w:rFonts w:hint="eastAsia" w:ascii="宋体" w:hAnsi="宋体"/>
                <w:szCs w:val="21"/>
                <w:highlight w:val="none"/>
              </w:rPr>
              <w:t>投标文件份数</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341188F7">
            <w:pPr>
              <w:spacing w:line="360" w:lineRule="auto"/>
              <w:rPr>
                <w:rFonts w:ascii="宋体" w:hAnsi="宋体"/>
                <w:szCs w:val="21"/>
                <w:highlight w:val="none"/>
              </w:rPr>
            </w:pPr>
            <w:r>
              <w:rPr>
                <w:rFonts w:hint="eastAsia" w:ascii="宋体" w:hAnsi="宋体"/>
                <w:szCs w:val="21"/>
                <w:highlight w:val="none"/>
              </w:rPr>
              <w:t>正本一份，副本一份</w:t>
            </w:r>
          </w:p>
        </w:tc>
      </w:tr>
      <w:tr w14:paraId="39BCD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56F7D9F">
            <w:pPr>
              <w:spacing w:line="360" w:lineRule="auto"/>
              <w:jc w:val="center"/>
              <w:rPr>
                <w:rFonts w:ascii="宋体" w:hAnsi="宋体"/>
                <w:szCs w:val="21"/>
                <w:highlight w:val="none"/>
              </w:rPr>
            </w:pPr>
            <w:r>
              <w:rPr>
                <w:rFonts w:hint="eastAsia" w:ascii="宋体" w:hAnsi="宋体"/>
                <w:szCs w:val="21"/>
                <w:highlight w:val="none"/>
              </w:rPr>
              <w:t>11</w:t>
            </w:r>
          </w:p>
        </w:tc>
        <w:tc>
          <w:tcPr>
            <w:tcW w:w="2161" w:type="dxa"/>
            <w:tcBorders>
              <w:top w:val="single" w:color="auto" w:sz="4" w:space="0"/>
              <w:left w:val="single" w:color="auto" w:sz="4" w:space="0"/>
              <w:bottom w:val="single" w:color="auto" w:sz="4" w:space="0"/>
              <w:right w:val="single" w:color="auto" w:sz="4" w:space="0"/>
            </w:tcBorders>
            <w:vAlign w:val="center"/>
          </w:tcPr>
          <w:p w14:paraId="1FCCDD2B">
            <w:pPr>
              <w:spacing w:line="360" w:lineRule="auto"/>
              <w:jc w:val="center"/>
              <w:rPr>
                <w:rFonts w:ascii="宋体" w:hAnsi="宋体"/>
                <w:szCs w:val="21"/>
                <w:highlight w:val="none"/>
              </w:rPr>
            </w:pPr>
            <w:r>
              <w:rPr>
                <w:rFonts w:hint="eastAsia" w:ascii="宋体" w:hAnsi="宋体"/>
                <w:szCs w:val="21"/>
                <w:highlight w:val="none"/>
              </w:rPr>
              <w:t>投标有效期</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976E36E">
            <w:pPr>
              <w:spacing w:line="360" w:lineRule="auto"/>
              <w:jc w:val="left"/>
              <w:rPr>
                <w:rFonts w:ascii="宋体" w:hAnsi="宋体"/>
                <w:szCs w:val="21"/>
                <w:highlight w:val="none"/>
              </w:rPr>
            </w:pPr>
            <w:r>
              <w:rPr>
                <w:rFonts w:hint="eastAsia" w:ascii="宋体" w:hAnsi="宋体"/>
                <w:szCs w:val="21"/>
                <w:highlight w:val="none"/>
              </w:rPr>
              <w:t>从投标截止日起90天内有效，如中标，有效期将延至合同终止日。</w:t>
            </w:r>
          </w:p>
        </w:tc>
      </w:tr>
      <w:tr w14:paraId="251B7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68C67E90">
            <w:pPr>
              <w:spacing w:line="360" w:lineRule="auto"/>
              <w:jc w:val="center"/>
              <w:rPr>
                <w:rFonts w:ascii="宋体" w:hAnsi="宋体"/>
                <w:szCs w:val="21"/>
                <w:highlight w:val="none"/>
              </w:rPr>
            </w:pPr>
            <w:r>
              <w:rPr>
                <w:rFonts w:hint="eastAsia" w:ascii="宋体" w:hAnsi="宋体"/>
                <w:szCs w:val="21"/>
                <w:highlight w:val="none"/>
              </w:rPr>
              <w:t>12</w:t>
            </w:r>
          </w:p>
        </w:tc>
        <w:tc>
          <w:tcPr>
            <w:tcW w:w="2161" w:type="dxa"/>
            <w:tcBorders>
              <w:top w:val="single" w:color="auto" w:sz="4" w:space="0"/>
              <w:left w:val="single" w:color="auto" w:sz="4" w:space="0"/>
              <w:bottom w:val="single" w:color="auto" w:sz="4" w:space="0"/>
              <w:right w:val="single" w:color="auto" w:sz="4" w:space="0"/>
            </w:tcBorders>
            <w:vAlign w:val="center"/>
          </w:tcPr>
          <w:p w14:paraId="3014D58B">
            <w:pPr>
              <w:spacing w:line="360" w:lineRule="auto"/>
              <w:jc w:val="center"/>
              <w:rPr>
                <w:rFonts w:ascii="宋体" w:hAnsi="宋体"/>
                <w:szCs w:val="21"/>
                <w:highlight w:val="none"/>
              </w:rPr>
            </w:pPr>
            <w:r>
              <w:rPr>
                <w:rFonts w:hint="eastAsia" w:ascii="宋体" w:hAnsi="宋体"/>
                <w:szCs w:val="21"/>
                <w:highlight w:val="none"/>
              </w:rPr>
              <w:t>投标截止时间</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51DA4374">
            <w:pPr>
              <w:spacing w:line="360" w:lineRule="auto"/>
              <w:rPr>
                <w:rFonts w:ascii="宋体" w:hAnsi="宋体"/>
                <w:szCs w:val="21"/>
                <w:highlight w:val="none"/>
              </w:rPr>
            </w:pPr>
            <w:r>
              <w:rPr>
                <w:rFonts w:hint="eastAsia" w:ascii="宋体" w:hAnsi="宋体"/>
                <w:szCs w:val="21"/>
                <w:highlight w:val="none"/>
              </w:rPr>
              <w:t>202</w:t>
            </w:r>
            <w:r>
              <w:rPr>
                <w:rFonts w:hint="eastAsia" w:ascii="宋体" w:hAnsi="宋体"/>
                <w:szCs w:val="21"/>
                <w:highlight w:val="none"/>
                <w:lang w:val="en-US" w:eastAsia="zh-CN"/>
              </w:rPr>
              <w:t>5</w:t>
            </w:r>
            <w:r>
              <w:rPr>
                <w:rFonts w:hint="eastAsia" w:ascii="宋体" w:hAnsi="宋体"/>
                <w:szCs w:val="21"/>
                <w:highlight w:val="none"/>
              </w:rPr>
              <w:t>年</w:t>
            </w:r>
            <w:r>
              <w:rPr>
                <w:rFonts w:hint="eastAsia" w:ascii="宋体" w:hAnsi="宋体"/>
                <w:szCs w:val="21"/>
                <w:highlight w:val="none"/>
                <w:lang w:val="en-US" w:eastAsia="zh-CN"/>
              </w:rPr>
              <w:t>1</w:t>
            </w:r>
            <w:r>
              <w:rPr>
                <w:rFonts w:hint="eastAsia" w:ascii="宋体" w:hAnsi="宋体"/>
                <w:szCs w:val="21"/>
                <w:highlight w:val="none"/>
              </w:rPr>
              <w:t>月</w:t>
            </w:r>
            <w:r>
              <w:rPr>
                <w:rFonts w:hint="eastAsia" w:ascii="宋体" w:hAnsi="宋体"/>
                <w:szCs w:val="21"/>
                <w:highlight w:val="none"/>
                <w:lang w:val="en-US" w:eastAsia="zh-CN"/>
              </w:rPr>
              <w:t>7</w:t>
            </w:r>
            <w:r>
              <w:rPr>
                <w:rFonts w:hint="eastAsia" w:ascii="宋体" w:hAnsi="宋体"/>
                <w:szCs w:val="21"/>
                <w:highlight w:val="none"/>
              </w:rPr>
              <w:t xml:space="preserve">日上午9:00  </w:t>
            </w:r>
            <w:r>
              <w:rPr>
                <w:rFonts w:hint="eastAsia" w:ascii="宋体" w:hAnsi="宋体" w:cs="宋体"/>
                <w:kern w:val="0"/>
                <w:szCs w:val="21"/>
                <w:highlight w:val="none"/>
              </w:rPr>
              <w:t>（北京时间）</w:t>
            </w:r>
          </w:p>
        </w:tc>
      </w:tr>
      <w:tr w14:paraId="4A891B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08" w:type="dxa"/>
            <w:tcBorders>
              <w:top w:val="single" w:color="auto" w:sz="4" w:space="0"/>
              <w:left w:val="single" w:color="auto" w:sz="4" w:space="0"/>
              <w:bottom w:val="nil"/>
              <w:right w:val="single" w:color="auto" w:sz="4" w:space="0"/>
            </w:tcBorders>
            <w:vAlign w:val="center"/>
          </w:tcPr>
          <w:p w14:paraId="7A18E367">
            <w:pPr>
              <w:spacing w:line="360" w:lineRule="auto"/>
              <w:jc w:val="center"/>
              <w:rPr>
                <w:rFonts w:ascii="宋体" w:hAnsi="宋体"/>
                <w:szCs w:val="21"/>
                <w:highlight w:val="none"/>
              </w:rPr>
            </w:pPr>
            <w:r>
              <w:rPr>
                <w:rFonts w:hint="eastAsia" w:ascii="宋体" w:hAnsi="宋体"/>
                <w:szCs w:val="21"/>
                <w:highlight w:val="none"/>
              </w:rPr>
              <w:t>3</w:t>
            </w:r>
          </w:p>
        </w:tc>
        <w:tc>
          <w:tcPr>
            <w:tcW w:w="2161" w:type="dxa"/>
            <w:tcBorders>
              <w:top w:val="single" w:color="auto" w:sz="4" w:space="0"/>
              <w:left w:val="single" w:color="auto" w:sz="8" w:space="0"/>
              <w:bottom w:val="single" w:color="auto" w:sz="4" w:space="0"/>
              <w:right w:val="single" w:color="auto" w:sz="4" w:space="0"/>
            </w:tcBorders>
            <w:vAlign w:val="center"/>
          </w:tcPr>
          <w:p w14:paraId="5829F723">
            <w:pPr>
              <w:spacing w:line="360" w:lineRule="auto"/>
              <w:jc w:val="center"/>
              <w:rPr>
                <w:rFonts w:ascii="宋体" w:hAnsi="宋体"/>
                <w:szCs w:val="21"/>
                <w:highlight w:val="none"/>
              </w:rPr>
            </w:pPr>
            <w:r>
              <w:rPr>
                <w:rFonts w:hint="eastAsia" w:ascii="宋体" w:hAnsi="宋体"/>
                <w:szCs w:val="21"/>
                <w:highlight w:val="none"/>
              </w:rPr>
              <w:t>投标文件递交</w:t>
            </w:r>
          </w:p>
          <w:p w14:paraId="7010D5BA">
            <w:pPr>
              <w:spacing w:line="360" w:lineRule="auto"/>
              <w:jc w:val="center"/>
              <w:rPr>
                <w:rFonts w:ascii="宋体" w:hAnsi="宋体"/>
                <w:szCs w:val="21"/>
                <w:highlight w:val="none"/>
              </w:rPr>
            </w:pPr>
            <w:r>
              <w:rPr>
                <w:rFonts w:hint="eastAsia" w:ascii="宋体" w:hAnsi="宋体"/>
                <w:szCs w:val="21"/>
                <w:highlight w:val="none"/>
              </w:rPr>
              <w:t>地址</w:t>
            </w:r>
          </w:p>
        </w:tc>
        <w:tc>
          <w:tcPr>
            <w:tcW w:w="6329" w:type="dxa"/>
            <w:gridSpan w:val="2"/>
            <w:tcBorders>
              <w:top w:val="single" w:color="auto" w:sz="4" w:space="0"/>
              <w:left w:val="single" w:color="auto" w:sz="4" w:space="0"/>
              <w:bottom w:val="single" w:color="auto" w:sz="4" w:space="0"/>
              <w:right w:val="single" w:color="auto" w:sz="8" w:space="0"/>
            </w:tcBorders>
            <w:vAlign w:val="center"/>
          </w:tcPr>
          <w:p w14:paraId="4FD3057D">
            <w:pPr>
              <w:spacing w:line="360" w:lineRule="auto"/>
              <w:rPr>
                <w:rFonts w:ascii="宋体" w:hAnsi="宋体"/>
                <w:szCs w:val="21"/>
                <w:highlight w:val="none"/>
              </w:rPr>
            </w:pPr>
            <w:r>
              <w:rPr>
                <w:rFonts w:hint="eastAsia" w:ascii="宋体" w:hAnsi="宋体"/>
                <w:szCs w:val="21"/>
                <w:highlight w:val="none"/>
              </w:rPr>
              <w:t>扬州市文汇东路249号江苏长江水务股份有限公司物资供应处（招标中心307号）</w:t>
            </w:r>
          </w:p>
        </w:tc>
      </w:tr>
      <w:tr w14:paraId="1CD5AD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6A818647">
            <w:pPr>
              <w:spacing w:line="360" w:lineRule="auto"/>
              <w:jc w:val="center"/>
              <w:rPr>
                <w:rFonts w:ascii="宋体" w:hAnsi="宋体"/>
                <w:szCs w:val="21"/>
                <w:highlight w:val="none"/>
              </w:rPr>
            </w:pPr>
            <w:r>
              <w:rPr>
                <w:rFonts w:hint="eastAsia" w:ascii="宋体" w:hAnsi="宋体"/>
                <w:szCs w:val="21"/>
                <w:highlight w:val="none"/>
              </w:rPr>
              <w:t>14</w:t>
            </w:r>
          </w:p>
        </w:tc>
        <w:tc>
          <w:tcPr>
            <w:tcW w:w="2161" w:type="dxa"/>
            <w:tcBorders>
              <w:top w:val="single" w:color="auto" w:sz="4" w:space="0"/>
              <w:left w:val="single" w:color="auto" w:sz="8" w:space="0"/>
              <w:bottom w:val="single" w:color="auto" w:sz="4" w:space="0"/>
              <w:right w:val="single" w:color="auto" w:sz="4" w:space="0"/>
            </w:tcBorders>
            <w:vAlign w:val="center"/>
          </w:tcPr>
          <w:p w14:paraId="3E628FC2">
            <w:pPr>
              <w:spacing w:line="360" w:lineRule="auto"/>
              <w:jc w:val="center"/>
              <w:rPr>
                <w:rFonts w:ascii="宋体" w:hAnsi="宋体"/>
                <w:szCs w:val="21"/>
                <w:highlight w:val="none"/>
              </w:rPr>
            </w:pPr>
            <w:r>
              <w:rPr>
                <w:rFonts w:hint="eastAsia" w:ascii="宋体" w:hAnsi="宋体"/>
                <w:szCs w:val="21"/>
                <w:highlight w:val="none"/>
              </w:rPr>
              <w:t>开标会时间</w:t>
            </w:r>
          </w:p>
        </w:tc>
        <w:tc>
          <w:tcPr>
            <w:tcW w:w="1596" w:type="dxa"/>
            <w:tcBorders>
              <w:top w:val="single" w:color="auto" w:sz="4" w:space="0"/>
              <w:left w:val="single" w:color="auto" w:sz="4" w:space="0"/>
              <w:bottom w:val="single" w:color="auto" w:sz="4" w:space="0"/>
              <w:right w:val="single" w:color="auto" w:sz="4" w:space="0"/>
            </w:tcBorders>
            <w:vAlign w:val="center"/>
          </w:tcPr>
          <w:p w14:paraId="397C1C1E">
            <w:pPr>
              <w:rPr>
                <w:color w:val="000000" w:themeColor="text1"/>
                <w:highlight w:val="none"/>
              </w:rPr>
            </w:pPr>
            <w:r>
              <w:rPr>
                <w:rFonts w:ascii="宋体" w:hAnsi="宋体"/>
                <w:color w:val="000000" w:themeColor="text1"/>
                <w:szCs w:val="21"/>
                <w:highlight w:val="none"/>
              </w:rPr>
              <w:t>20</w:t>
            </w:r>
            <w:r>
              <w:rPr>
                <w:rFonts w:hint="eastAsia" w:ascii="宋体" w:hAnsi="宋体"/>
                <w:color w:val="000000" w:themeColor="text1"/>
                <w:szCs w:val="21"/>
                <w:highlight w:val="none"/>
              </w:rPr>
              <w:t>2</w:t>
            </w:r>
            <w:r>
              <w:rPr>
                <w:rFonts w:hint="eastAsia" w:ascii="宋体" w:hAnsi="宋体"/>
                <w:color w:val="000000" w:themeColor="text1"/>
                <w:szCs w:val="21"/>
                <w:highlight w:val="none"/>
                <w:lang w:val="en-US" w:eastAsia="zh-CN"/>
              </w:rPr>
              <w:t>5</w:t>
            </w:r>
            <w:r>
              <w:rPr>
                <w:rFonts w:hint="eastAsia" w:ascii="宋体" w:hAnsi="宋体"/>
                <w:color w:val="000000" w:themeColor="text1"/>
                <w:szCs w:val="21"/>
                <w:highlight w:val="none"/>
              </w:rPr>
              <w:t>年</w:t>
            </w:r>
            <w:r>
              <w:rPr>
                <w:rFonts w:hint="eastAsia" w:ascii="宋体" w:hAnsi="宋体"/>
                <w:color w:val="000000" w:themeColor="text1"/>
                <w:szCs w:val="21"/>
                <w:highlight w:val="none"/>
                <w:lang w:val="en-US" w:eastAsia="zh-CN"/>
              </w:rPr>
              <w:t>1</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7</w:t>
            </w:r>
            <w:r>
              <w:rPr>
                <w:rFonts w:hint="eastAsia" w:ascii="宋体" w:hAnsi="宋体"/>
                <w:color w:val="000000" w:themeColor="text1"/>
                <w:szCs w:val="21"/>
                <w:highlight w:val="none"/>
              </w:rPr>
              <w:t>日上午9</w:t>
            </w:r>
            <w:r>
              <w:rPr>
                <w:rFonts w:ascii="宋体" w:hAnsi="宋体"/>
                <w:color w:val="000000" w:themeColor="text1"/>
                <w:szCs w:val="21"/>
                <w:highlight w:val="none"/>
              </w:rPr>
              <w:t>:</w:t>
            </w:r>
            <w:r>
              <w:rPr>
                <w:rFonts w:hint="eastAsia" w:ascii="宋体" w:hAnsi="宋体"/>
                <w:color w:val="000000" w:themeColor="text1"/>
                <w:szCs w:val="21"/>
                <w:highlight w:val="none"/>
              </w:rPr>
              <w:t>0</w:t>
            </w:r>
            <w:r>
              <w:rPr>
                <w:rFonts w:ascii="宋体" w:hAnsi="宋体"/>
                <w:color w:val="000000" w:themeColor="text1"/>
                <w:szCs w:val="21"/>
                <w:highlight w:val="none"/>
              </w:rPr>
              <w:t>0</w:t>
            </w:r>
            <w:r>
              <w:rPr>
                <w:rFonts w:hint="eastAsia" w:ascii="宋体" w:hAnsi="宋体" w:cs="宋体"/>
                <w:color w:val="000000" w:themeColor="text1"/>
                <w:kern w:val="0"/>
                <w:szCs w:val="21"/>
                <w:highlight w:val="none"/>
              </w:rPr>
              <w:t>（北京时间）</w:t>
            </w:r>
          </w:p>
        </w:tc>
        <w:tc>
          <w:tcPr>
            <w:tcW w:w="4733" w:type="dxa"/>
            <w:tcBorders>
              <w:top w:val="single" w:color="auto" w:sz="4" w:space="0"/>
              <w:left w:val="single" w:color="auto" w:sz="4" w:space="0"/>
              <w:bottom w:val="single" w:color="auto" w:sz="4" w:space="0"/>
              <w:right w:val="single" w:color="auto" w:sz="8" w:space="0"/>
            </w:tcBorders>
            <w:vAlign w:val="center"/>
          </w:tcPr>
          <w:p w14:paraId="56367F01">
            <w:pPr>
              <w:spacing w:line="360" w:lineRule="auto"/>
              <w:rPr>
                <w:rFonts w:ascii="宋体" w:hAnsi="宋体"/>
                <w:szCs w:val="21"/>
                <w:highlight w:val="none"/>
              </w:rPr>
            </w:pPr>
            <w:r>
              <w:rPr>
                <w:rFonts w:hint="eastAsia" w:ascii="宋体" w:hAnsi="宋体"/>
                <w:color w:val="000000"/>
                <w:szCs w:val="21"/>
                <w:highlight w:val="none"/>
              </w:rPr>
              <w:t>江苏长江水务股份有限公司三楼会议室</w:t>
            </w:r>
          </w:p>
        </w:tc>
      </w:tr>
      <w:tr w14:paraId="670B9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808" w:type="dxa"/>
            <w:tcBorders>
              <w:top w:val="single" w:color="auto" w:sz="4" w:space="0"/>
              <w:left w:val="single" w:color="auto" w:sz="4" w:space="0"/>
              <w:bottom w:val="single" w:color="auto" w:sz="4" w:space="0"/>
              <w:right w:val="single" w:color="auto" w:sz="4" w:space="0"/>
            </w:tcBorders>
            <w:vAlign w:val="center"/>
          </w:tcPr>
          <w:p w14:paraId="38D1595E">
            <w:pPr>
              <w:spacing w:line="360" w:lineRule="auto"/>
              <w:jc w:val="center"/>
              <w:rPr>
                <w:rFonts w:ascii="宋体" w:hAnsi="宋体"/>
                <w:szCs w:val="21"/>
                <w:highlight w:val="none"/>
              </w:rPr>
            </w:pPr>
            <w:r>
              <w:rPr>
                <w:rFonts w:hint="eastAsia" w:ascii="宋体" w:hAnsi="宋体"/>
                <w:szCs w:val="21"/>
                <w:highlight w:val="none"/>
              </w:rPr>
              <w:t>15</w:t>
            </w:r>
          </w:p>
        </w:tc>
        <w:tc>
          <w:tcPr>
            <w:tcW w:w="2161" w:type="dxa"/>
            <w:tcBorders>
              <w:top w:val="single" w:color="auto" w:sz="4" w:space="0"/>
              <w:left w:val="single" w:color="auto" w:sz="4" w:space="0"/>
              <w:bottom w:val="single" w:color="auto" w:sz="4" w:space="0"/>
              <w:right w:val="single" w:color="auto" w:sz="4" w:space="0"/>
            </w:tcBorders>
            <w:vAlign w:val="center"/>
          </w:tcPr>
          <w:p w14:paraId="0EB97D11">
            <w:pPr>
              <w:spacing w:line="360" w:lineRule="auto"/>
              <w:jc w:val="center"/>
              <w:rPr>
                <w:rFonts w:ascii="宋体" w:hAnsi="宋体"/>
                <w:szCs w:val="21"/>
                <w:highlight w:val="none"/>
              </w:rPr>
            </w:pPr>
            <w:r>
              <w:rPr>
                <w:rFonts w:hint="eastAsia" w:ascii="宋体" w:hAnsi="宋体"/>
                <w:szCs w:val="21"/>
                <w:highlight w:val="none"/>
              </w:rPr>
              <w:t>标书装订</w:t>
            </w:r>
          </w:p>
          <w:p w14:paraId="4CE031BE">
            <w:pPr>
              <w:spacing w:line="360" w:lineRule="auto"/>
              <w:jc w:val="center"/>
              <w:rPr>
                <w:rFonts w:ascii="宋体" w:hAnsi="宋体"/>
                <w:szCs w:val="21"/>
                <w:highlight w:val="none"/>
              </w:rPr>
            </w:pPr>
            <w:r>
              <w:rPr>
                <w:rFonts w:hint="eastAsia" w:ascii="宋体" w:hAnsi="宋体"/>
                <w:szCs w:val="21"/>
                <w:highlight w:val="none"/>
              </w:rPr>
              <w:t>及密封要求</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1D9154C7">
            <w:pPr>
              <w:spacing w:line="360" w:lineRule="auto"/>
              <w:rPr>
                <w:rFonts w:ascii="宋体" w:hAnsi="宋体"/>
                <w:szCs w:val="21"/>
                <w:highlight w:val="none"/>
              </w:rPr>
            </w:pPr>
            <w:r>
              <w:rPr>
                <w:rFonts w:hint="eastAsia" w:ascii="宋体" w:hAnsi="宋体"/>
                <w:szCs w:val="21"/>
                <w:highlight w:val="none"/>
              </w:rPr>
              <w:t>所有封袋上应写明招标人名称、投标项目名称及投标人的名称。</w:t>
            </w:r>
          </w:p>
          <w:p w14:paraId="6F935E52">
            <w:pPr>
              <w:spacing w:line="360" w:lineRule="auto"/>
              <w:rPr>
                <w:rFonts w:ascii="宋体" w:hAnsi="宋体"/>
                <w:szCs w:val="21"/>
                <w:highlight w:val="none"/>
              </w:rPr>
            </w:pPr>
            <w:r>
              <w:rPr>
                <w:rFonts w:hint="eastAsia" w:ascii="宋体" w:hAnsi="宋体"/>
                <w:szCs w:val="21"/>
                <w:highlight w:val="none"/>
              </w:rPr>
              <w:t>所有投标文件都必须在封袋加盖投标单位公章及其法定代表人或授权委托人印鉴。</w:t>
            </w:r>
          </w:p>
        </w:tc>
      </w:tr>
      <w:tr w14:paraId="71DF6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08" w:type="dxa"/>
            <w:tcBorders>
              <w:top w:val="single" w:color="auto" w:sz="4" w:space="0"/>
              <w:left w:val="single" w:color="auto" w:sz="4" w:space="0"/>
              <w:bottom w:val="single" w:color="auto" w:sz="4" w:space="0"/>
              <w:right w:val="single" w:color="auto" w:sz="4" w:space="0"/>
            </w:tcBorders>
            <w:vAlign w:val="center"/>
          </w:tcPr>
          <w:p w14:paraId="31BE9446">
            <w:pPr>
              <w:spacing w:line="360" w:lineRule="auto"/>
              <w:jc w:val="center"/>
              <w:rPr>
                <w:rFonts w:ascii="宋体" w:hAnsi="宋体"/>
                <w:szCs w:val="21"/>
                <w:highlight w:val="none"/>
              </w:rPr>
            </w:pPr>
            <w:r>
              <w:rPr>
                <w:rFonts w:hint="eastAsia" w:ascii="宋体" w:hAnsi="宋体"/>
                <w:szCs w:val="21"/>
                <w:highlight w:val="none"/>
              </w:rPr>
              <w:t>16</w:t>
            </w:r>
          </w:p>
        </w:tc>
        <w:tc>
          <w:tcPr>
            <w:tcW w:w="2161" w:type="dxa"/>
            <w:tcBorders>
              <w:top w:val="single" w:color="auto" w:sz="4" w:space="0"/>
              <w:left w:val="single" w:color="auto" w:sz="4" w:space="0"/>
              <w:bottom w:val="single" w:color="auto" w:sz="4" w:space="0"/>
              <w:right w:val="single" w:color="auto" w:sz="4" w:space="0"/>
            </w:tcBorders>
            <w:vAlign w:val="center"/>
          </w:tcPr>
          <w:p w14:paraId="1903B423">
            <w:pPr>
              <w:spacing w:line="360" w:lineRule="auto"/>
              <w:jc w:val="center"/>
              <w:rPr>
                <w:rFonts w:ascii="宋体" w:hAnsi="宋体"/>
                <w:szCs w:val="21"/>
                <w:highlight w:val="none"/>
              </w:rPr>
            </w:pPr>
            <w:r>
              <w:rPr>
                <w:rFonts w:hint="eastAsia" w:ascii="宋体" w:hAnsi="宋体"/>
                <w:szCs w:val="21"/>
                <w:highlight w:val="none"/>
              </w:rPr>
              <w:t>其他</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6F83FD54">
            <w:pPr>
              <w:numPr>
                <w:ilvl w:val="0"/>
                <w:numId w:val="2"/>
              </w:numPr>
              <w:spacing w:line="360" w:lineRule="auto"/>
              <w:rPr>
                <w:rFonts w:ascii="宋体" w:hAnsi="宋体"/>
                <w:szCs w:val="21"/>
                <w:highlight w:val="none"/>
              </w:rPr>
            </w:pPr>
            <w:r>
              <w:rPr>
                <w:rFonts w:hint="eastAsia" w:ascii="宋体" w:hAnsi="宋体"/>
                <w:szCs w:val="21"/>
                <w:highlight w:val="none"/>
              </w:rPr>
              <w:t>下文中与“前附表”内容不一致的，以“前附表”为准；</w:t>
            </w:r>
          </w:p>
          <w:p w14:paraId="28279E5C">
            <w:pPr>
              <w:numPr>
                <w:ilvl w:val="0"/>
                <w:numId w:val="2"/>
              </w:numPr>
              <w:spacing w:line="360" w:lineRule="auto"/>
              <w:rPr>
                <w:rFonts w:ascii="宋体" w:hAnsi="宋体"/>
                <w:szCs w:val="21"/>
                <w:highlight w:val="none"/>
              </w:rPr>
            </w:pPr>
            <w:r>
              <w:rPr>
                <w:rFonts w:hint="eastAsia" w:ascii="宋体" w:hAnsi="宋体"/>
                <w:szCs w:val="21"/>
                <w:highlight w:val="none"/>
              </w:rPr>
              <w:t>本招标文件的解释权属于江苏长江水务股份有限公司</w:t>
            </w:r>
          </w:p>
        </w:tc>
      </w:tr>
      <w:tr w14:paraId="705F0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trPr>
        <w:tc>
          <w:tcPr>
            <w:tcW w:w="808" w:type="dxa"/>
            <w:tcBorders>
              <w:top w:val="single" w:color="auto" w:sz="4" w:space="0"/>
              <w:left w:val="single" w:color="auto" w:sz="4" w:space="0"/>
              <w:bottom w:val="single" w:color="auto" w:sz="4" w:space="0"/>
              <w:right w:val="single" w:color="auto" w:sz="4" w:space="0"/>
            </w:tcBorders>
            <w:vAlign w:val="center"/>
          </w:tcPr>
          <w:p w14:paraId="6E88ADE4">
            <w:pPr>
              <w:spacing w:line="360" w:lineRule="auto"/>
              <w:jc w:val="center"/>
              <w:rPr>
                <w:rFonts w:ascii="宋体" w:hAnsi="宋体"/>
                <w:szCs w:val="21"/>
                <w:highlight w:val="none"/>
              </w:rPr>
            </w:pPr>
            <w:r>
              <w:rPr>
                <w:rFonts w:hint="eastAsia" w:ascii="宋体" w:hAnsi="宋体"/>
                <w:szCs w:val="21"/>
                <w:highlight w:val="none"/>
              </w:rPr>
              <w:t>17</w:t>
            </w:r>
          </w:p>
        </w:tc>
        <w:tc>
          <w:tcPr>
            <w:tcW w:w="2161" w:type="dxa"/>
            <w:tcBorders>
              <w:top w:val="single" w:color="auto" w:sz="4" w:space="0"/>
              <w:left w:val="single" w:color="auto" w:sz="4" w:space="0"/>
              <w:bottom w:val="single" w:color="auto" w:sz="4" w:space="0"/>
              <w:right w:val="single" w:color="auto" w:sz="4" w:space="0"/>
            </w:tcBorders>
            <w:vAlign w:val="center"/>
          </w:tcPr>
          <w:p w14:paraId="01C6FF61">
            <w:pPr>
              <w:spacing w:line="360" w:lineRule="auto"/>
              <w:jc w:val="center"/>
              <w:rPr>
                <w:rFonts w:ascii="宋体" w:hAnsi="宋体"/>
                <w:szCs w:val="21"/>
                <w:highlight w:val="none"/>
              </w:rPr>
            </w:pPr>
            <w:r>
              <w:rPr>
                <w:rFonts w:hint="eastAsia" w:ascii="宋体" w:hAnsi="宋体"/>
                <w:szCs w:val="21"/>
                <w:highlight w:val="none"/>
              </w:rPr>
              <w:t>联系方式</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361797C1">
            <w:pPr>
              <w:adjustRightInd w:val="0"/>
              <w:spacing w:line="360" w:lineRule="auto"/>
              <w:rPr>
                <w:rFonts w:ascii="宋体" w:hAnsi="宋体"/>
                <w:szCs w:val="21"/>
                <w:highlight w:val="none"/>
              </w:rPr>
            </w:pPr>
            <w:r>
              <w:rPr>
                <w:rFonts w:hint="eastAsia" w:ascii="宋体" w:hAnsi="宋体"/>
                <w:szCs w:val="21"/>
                <w:highlight w:val="none"/>
              </w:rPr>
              <w:t>招标人：江苏长江水务股份有限公司</w:t>
            </w:r>
          </w:p>
          <w:p w14:paraId="10B1275F">
            <w:pPr>
              <w:adjustRightInd w:val="0"/>
              <w:spacing w:line="360" w:lineRule="auto"/>
              <w:rPr>
                <w:rFonts w:ascii="宋体" w:hAnsi="宋体"/>
                <w:szCs w:val="21"/>
                <w:highlight w:val="none"/>
              </w:rPr>
            </w:pPr>
            <w:r>
              <w:rPr>
                <w:rFonts w:hint="eastAsia" w:ascii="宋体" w:hAnsi="宋体"/>
                <w:szCs w:val="21"/>
                <w:highlight w:val="none"/>
              </w:rPr>
              <w:t>地  址：扬州文汇东路249号</w:t>
            </w:r>
          </w:p>
          <w:p w14:paraId="4AF040CA">
            <w:pPr>
              <w:adjustRightInd w:val="0"/>
              <w:spacing w:line="360" w:lineRule="auto"/>
              <w:rPr>
                <w:rFonts w:ascii="宋体" w:hAnsi="宋体"/>
                <w:szCs w:val="21"/>
                <w:highlight w:val="none"/>
              </w:rPr>
            </w:pPr>
            <w:r>
              <w:rPr>
                <w:rFonts w:hint="eastAsia" w:ascii="宋体" w:hAnsi="宋体"/>
                <w:szCs w:val="21"/>
                <w:highlight w:val="none"/>
              </w:rPr>
              <w:t>电  话：0514-82980012</w:t>
            </w:r>
          </w:p>
          <w:p w14:paraId="5CC345F6">
            <w:pPr>
              <w:adjustRightInd w:val="0"/>
              <w:spacing w:line="360" w:lineRule="auto"/>
              <w:rPr>
                <w:rFonts w:ascii="宋体" w:hAnsi="宋体"/>
                <w:szCs w:val="21"/>
                <w:highlight w:val="none"/>
              </w:rPr>
            </w:pPr>
            <w:r>
              <w:rPr>
                <w:rFonts w:hint="eastAsia" w:ascii="宋体" w:hAnsi="宋体"/>
                <w:szCs w:val="21"/>
                <w:highlight w:val="none"/>
              </w:rPr>
              <w:t xml:space="preserve">联系人：朱华卿 </w:t>
            </w:r>
          </w:p>
        </w:tc>
      </w:tr>
    </w:tbl>
    <w:p w14:paraId="23FC5057">
      <w:pPr>
        <w:autoSpaceDE w:val="0"/>
        <w:autoSpaceDN w:val="0"/>
        <w:adjustRightInd w:val="0"/>
        <w:snapToGrid w:val="0"/>
        <w:spacing w:line="480" w:lineRule="exact"/>
        <w:ind w:firstLine="561"/>
        <w:rPr>
          <w:rFonts w:ascii="宋体" w:hAnsi="宋体"/>
          <w:szCs w:val="21"/>
          <w:highlight w:val="none"/>
        </w:rPr>
      </w:pPr>
    </w:p>
    <w:p w14:paraId="0C5805A7">
      <w:pPr>
        <w:autoSpaceDE w:val="0"/>
        <w:autoSpaceDN w:val="0"/>
        <w:adjustRightInd w:val="0"/>
        <w:snapToGrid w:val="0"/>
        <w:spacing w:line="480" w:lineRule="exact"/>
        <w:ind w:firstLine="561"/>
        <w:rPr>
          <w:rFonts w:ascii="宋体" w:hAnsi="宋体"/>
          <w:szCs w:val="21"/>
          <w:highlight w:val="none"/>
        </w:rPr>
      </w:pPr>
    </w:p>
    <w:p w14:paraId="2FAC5835">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一、总    则</w:t>
      </w:r>
    </w:p>
    <w:p w14:paraId="68110D63">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1、招标项目概况</w:t>
      </w:r>
    </w:p>
    <w:p w14:paraId="001DCD6A">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长江水务下设12</w:t>
      </w:r>
      <w:r>
        <w:rPr>
          <w:rFonts w:ascii="宋体" w:hAnsi="宋体"/>
          <w:szCs w:val="21"/>
          <w:highlight w:val="none"/>
        </w:rPr>
        <w:t>个行政管理处室、4个生产部门（第一水厂、第四水厂、头桥水厂、湖西水厂）、4个对外服务部门（营业所、抢维修中心、水质中心、用户服务处）和10家子公司，其中4家为一级全资子公司（扬州市江源供水有限责任公司、扬州市湖西供水有限责任公司、扬州市润元给排水工程有限公司、江苏长江塑管有限公司）,6家为控股子公司（扬州市江源陈集、刘集、新集、甘泉、大仪、秦栏供水有限公司）,形成了"城市供水、市政工程建设、管材销售"三大业务板块</w:t>
      </w:r>
      <w:r>
        <w:rPr>
          <w:rFonts w:hint="eastAsia" w:ascii="宋体" w:hAnsi="宋体"/>
          <w:szCs w:val="21"/>
          <w:highlight w:val="none"/>
        </w:rPr>
        <w:t>，涉及的资产主要为办公类和设备类，现固定资产管理缺乏系统性、设备维修保养多为手工不能及时反应设备的维修历史情况及损害情况，资产盘点多为手工盘点效率低下等。</w:t>
      </w:r>
    </w:p>
    <w:p w14:paraId="7CBAF427">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随着国资委对国资委相关部分对资产管理越来越重视，国有企业资产管理需要将责任明确、重视调剂、优化配置、标准管理、规范处置等管理思维真正落实。1.2 本工程招标控制价为人民币：叁拾万元整（￥：300000元）。最后报价超过招标控制价的为无效报价，按照无效响应处理。</w:t>
      </w:r>
    </w:p>
    <w:p w14:paraId="6B4B6AF9">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2、投标费用</w:t>
      </w:r>
    </w:p>
    <w:p w14:paraId="33952106">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2.1投标人应承担其编制投标文件与递交投标文件所涉及的一切费用。不管投标结果如何，招标人对上述费用不负任何责任。</w:t>
      </w:r>
    </w:p>
    <w:p w14:paraId="3A4F670F">
      <w:pPr>
        <w:pStyle w:val="9"/>
        <w:numPr>
          <w:ilvl w:val="0"/>
          <w:numId w:val="0"/>
        </w:numPr>
        <w:rPr>
          <w:rFonts w:ascii="宋体" w:hAnsi="宋体"/>
          <w:szCs w:val="21"/>
          <w:highlight w:val="none"/>
        </w:rPr>
      </w:pPr>
      <w:r>
        <w:rPr>
          <w:rFonts w:hint="eastAsia" w:ascii="宋体" w:hAnsi="宋体"/>
          <w:szCs w:val="21"/>
          <w:highlight w:val="none"/>
        </w:rPr>
        <w:t>项目要求</w:t>
      </w:r>
    </w:p>
    <w:p w14:paraId="105E8458">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3、项目要求</w:t>
      </w:r>
    </w:p>
    <w:p w14:paraId="37DA1A01">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项目实施完成后实现</w:t>
      </w:r>
      <w:r>
        <w:rPr>
          <w:rFonts w:hint="eastAsia" w:ascii="宋体" w:hAnsi="宋体" w:cs="宋体"/>
          <w:szCs w:val="21"/>
          <w:highlight w:val="none"/>
          <w:shd w:val="clear" w:color="auto" w:fill="FFFFFF"/>
        </w:rPr>
        <w:t>公司的移动办公、系统集成、数据分析等需求</w:t>
      </w:r>
    </w:p>
    <w:p w14:paraId="16D6A489">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4、保密</w:t>
      </w:r>
    </w:p>
    <w:p w14:paraId="7F9A6730">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参与招标投标活动的各方应对招标文件和投标文件中的商业和技术等秘密保密，违者应对由此造成的后果承担法律责任。</w:t>
      </w:r>
    </w:p>
    <w:p w14:paraId="16BD4C74">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5、合格的投标人</w:t>
      </w:r>
    </w:p>
    <w:p w14:paraId="49BD414F">
      <w:pPr>
        <w:widowControl/>
        <w:shd w:val="clear" w:color="auto" w:fill="FFFFFF"/>
        <w:spacing w:line="360" w:lineRule="auto"/>
        <w:ind w:right="312" w:firstLine="525" w:firstLineChars="250"/>
        <w:rPr>
          <w:rFonts w:ascii="宋体" w:hAnsi="宋体"/>
          <w:szCs w:val="21"/>
          <w:highlight w:val="none"/>
        </w:rPr>
      </w:pPr>
      <w:r>
        <w:rPr>
          <w:rFonts w:hint="eastAsia" w:ascii="宋体" w:hAnsi="宋体"/>
          <w:szCs w:val="21"/>
          <w:highlight w:val="none"/>
        </w:rPr>
        <w:t>5.1 被授权人参加投标的须提供法定代表人授权委托书原件和被授权人身份证复印件；若法定代表人参加投标的只需提供本人身份证复印件；</w:t>
      </w:r>
    </w:p>
    <w:p w14:paraId="4A532A40">
      <w:pPr>
        <w:widowControl/>
        <w:shd w:val="clear" w:color="auto" w:fill="FFFFFF"/>
        <w:spacing w:line="360" w:lineRule="auto"/>
        <w:ind w:right="312" w:firstLine="525" w:firstLineChars="250"/>
        <w:rPr>
          <w:rFonts w:ascii="宋体" w:hAnsi="宋体"/>
          <w:b/>
          <w:bCs/>
          <w:szCs w:val="21"/>
          <w:highlight w:val="none"/>
        </w:rPr>
      </w:pPr>
      <w:r>
        <w:rPr>
          <w:rFonts w:hint="eastAsia" w:ascii="宋体" w:hAnsi="宋体"/>
          <w:szCs w:val="21"/>
          <w:highlight w:val="none"/>
        </w:rPr>
        <w:t>5.2 营业执照副本</w:t>
      </w:r>
      <w:r>
        <w:rPr>
          <w:rFonts w:hint="eastAsia" w:ascii="宋体" w:hAnsi="宋体"/>
          <w:b/>
          <w:bCs/>
          <w:szCs w:val="21"/>
          <w:highlight w:val="none"/>
        </w:rPr>
        <w:t>(复印件加盖投标人公章)；</w:t>
      </w:r>
    </w:p>
    <w:p w14:paraId="7DA6A73F">
      <w:pPr>
        <w:widowControl/>
        <w:shd w:val="clear" w:color="auto" w:fill="FFFFFF"/>
        <w:spacing w:line="360" w:lineRule="auto"/>
        <w:ind w:right="312" w:firstLine="420" w:firstLineChars="200"/>
        <w:rPr>
          <w:rFonts w:ascii="宋体" w:hAnsi="宋体"/>
          <w:b/>
          <w:bCs/>
          <w:szCs w:val="21"/>
          <w:highlight w:val="none"/>
        </w:rPr>
      </w:pPr>
      <w:r>
        <w:rPr>
          <w:rFonts w:hint="eastAsia" w:ascii="宋体" w:hAnsi="宋体"/>
          <w:szCs w:val="21"/>
          <w:highlight w:val="none"/>
        </w:rPr>
        <w:t>5.3投标人近一年月内任意一份依法纳税的缴款凭证</w:t>
      </w:r>
      <w:r>
        <w:rPr>
          <w:rFonts w:hint="eastAsia" w:ascii="宋体" w:hAnsi="宋体"/>
          <w:b/>
          <w:bCs/>
          <w:szCs w:val="21"/>
          <w:highlight w:val="none"/>
        </w:rPr>
        <w:t>(复印件加盖投标人公章)</w:t>
      </w:r>
    </w:p>
    <w:p w14:paraId="63ECFE82">
      <w:pPr>
        <w:widowControl/>
        <w:shd w:val="clear" w:color="auto" w:fill="FFFFFF"/>
        <w:spacing w:line="360" w:lineRule="auto"/>
        <w:ind w:right="312" w:firstLine="420" w:firstLineChars="200"/>
        <w:rPr>
          <w:rFonts w:ascii="宋体" w:hAnsi="宋体"/>
          <w:szCs w:val="21"/>
          <w:highlight w:val="none"/>
        </w:rPr>
      </w:pPr>
      <w:r>
        <w:rPr>
          <w:rFonts w:hint="eastAsia" w:ascii="宋体" w:hAnsi="宋体"/>
          <w:szCs w:val="21"/>
          <w:highlight w:val="none"/>
        </w:rPr>
        <w:t>5.3  投标人认为需要提供的其他商务资料</w:t>
      </w:r>
      <w:r>
        <w:rPr>
          <w:rFonts w:hint="eastAsia"/>
          <w:szCs w:val="21"/>
          <w:highlight w:val="none"/>
        </w:rPr>
        <w:t xml:space="preserve"> 。                      </w:t>
      </w:r>
    </w:p>
    <w:p w14:paraId="2BB9D0D2">
      <w:pPr>
        <w:autoSpaceDE w:val="0"/>
        <w:autoSpaceDN w:val="0"/>
        <w:adjustRightInd w:val="0"/>
        <w:snapToGrid w:val="0"/>
        <w:spacing w:line="480" w:lineRule="exact"/>
        <w:ind w:left="561"/>
        <w:rPr>
          <w:rFonts w:ascii="宋体" w:hAnsi="宋体"/>
          <w:b/>
          <w:bCs/>
          <w:szCs w:val="21"/>
          <w:highlight w:val="none"/>
        </w:rPr>
      </w:pPr>
      <w:r>
        <w:rPr>
          <w:rFonts w:hint="eastAsia" w:ascii="宋体" w:hAnsi="宋体"/>
          <w:b/>
          <w:bCs/>
          <w:szCs w:val="21"/>
          <w:highlight w:val="none"/>
        </w:rPr>
        <w:t>二、投标须知：</w:t>
      </w:r>
    </w:p>
    <w:p w14:paraId="57CC6387">
      <w:pPr>
        <w:pStyle w:val="17"/>
        <w:tabs>
          <w:tab w:val="left" w:pos="900"/>
        </w:tabs>
        <w:spacing w:line="360" w:lineRule="auto"/>
        <w:ind w:left="420"/>
        <w:rPr>
          <w:rFonts w:ascii="宋体" w:hAnsi="宋体" w:cs="宋体"/>
          <w:b/>
          <w:bCs/>
          <w:szCs w:val="21"/>
          <w:highlight w:val="none"/>
        </w:rPr>
      </w:pPr>
      <w:r>
        <w:rPr>
          <w:rFonts w:hint="eastAsia" w:ascii="宋体" w:hAnsi="宋体" w:cs="宋体"/>
          <w:b/>
          <w:bCs/>
          <w:szCs w:val="21"/>
          <w:highlight w:val="none"/>
          <w:shd w:val="clear" w:color="auto" w:fill="FFFFFF"/>
        </w:rPr>
        <w:t>1、投标人应具备下列资格条件，并提供证明材料（凡复印件均需加盖公章）（包括但不限于）：</w:t>
      </w:r>
    </w:p>
    <w:p w14:paraId="4110C879">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1.1  投标函(原件)</w:t>
      </w:r>
    </w:p>
    <w:p w14:paraId="401DD253">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1.2  资格声明(原件)</w:t>
      </w:r>
    </w:p>
    <w:p w14:paraId="04673B5D">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1.3  若法定代表人参加投标的，须提供本人身份证复印件并加盖公章(原件备查)；若授权代表参加的，须提供《法人授权书》原件和授权代表身份证复印件并加盖公章（原件备查）</w:t>
      </w:r>
    </w:p>
    <w:p w14:paraId="5D7F0DC1">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78CA214F">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30B1FEC7">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1.6  投标人近三个月内任意一份依法纳税的缴款凭证(复印件并加盖公章)</w:t>
      </w:r>
    </w:p>
    <w:p w14:paraId="6DA9E3E5">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1.7  与第（6）条相对应的纳税申报表或经会计师事务所审计的2023年度财务报告 (复印件并加盖公章)</w:t>
      </w:r>
    </w:p>
    <w:p w14:paraId="64DBB562">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1.8  投标人参加本次采购活动前3年内在经营活动中没有重大违法记录的书面声明（原件）</w:t>
      </w:r>
    </w:p>
    <w:p w14:paraId="4BDCC16D">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37148E3A">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2.0  投标人须提供软件企业证书（复印件加盖公章）</w:t>
      </w:r>
    </w:p>
    <w:p w14:paraId="74389655">
      <w:pPr>
        <w:pStyle w:val="17"/>
        <w:spacing w:line="360" w:lineRule="auto"/>
        <w:ind w:firstLine="475"/>
        <w:rPr>
          <w:rFonts w:ascii="宋体" w:hAnsi="宋体" w:cs="宋体"/>
          <w:szCs w:val="21"/>
          <w:highlight w:val="none"/>
          <w:shd w:val="clear" w:color="auto" w:fill="FFFFFF"/>
        </w:rPr>
      </w:pPr>
      <w:r>
        <w:rPr>
          <w:rFonts w:hint="eastAsia" w:ascii="宋体" w:hAnsi="宋体" w:cs="宋体"/>
          <w:szCs w:val="21"/>
          <w:highlight w:val="none"/>
          <w:shd w:val="clear" w:color="auto" w:fill="FFFFFF"/>
        </w:rPr>
        <w:t>2.1  投标人提供</w:t>
      </w:r>
      <w:r>
        <w:rPr>
          <w:rFonts w:hint="eastAsia" w:ascii="宋体" w:hAnsi="宋体" w:cs="宋体"/>
          <w:szCs w:val="21"/>
          <w:highlight w:val="none"/>
          <w:shd w:val="clear" w:color="auto" w:fill="FFFFFF"/>
          <w:lang w:val="zh-CN"/>
        </w:rPr>
        <w:t>服务响应承诺：</w:t>
      </w:r>
      <w:r>
        <w:rPr>
          <w:rFonts w:hint="eastAsia" w:ascii="宋体" w:hAnsi="宋体" w:cs="宋体"/>
          <w:szCs w:val="21"/>
          <w:highlight w:val="none"/>
          <w:shd w:val="clear" w:color="auto" w:fill="FFFFFF"/>
        </w:rPr>
        <w:t>1、24小时待命服务，2小时内处理故障且有保障。</w:t>
      </w:r>
      <w:r>
        <w:rPr>
          <w:rFonts w:hint="eastAsia" w:ascii="宋体" w:hAnsi="宋体" w:cs="宋体"/>
          <w:szCs w:val="21"/>
          <w:highlight w:val="none"/>
          <w:shd w:val="clear" w:color="auto" w:fill="FFFFFF"/>
          <w:lang w:val="zh-CN"/>
        </w:rPr>
        <w:t>（提供售后服务承诺书加盖投标人公章）</w:t>
      </w:r>
    </w:p>
    <w:p w14:paraId="5458F20A">
      <w:pPr>
        <w:autoSpaceDE w:val="0"/>
        <w:autoSpaceDN w:val="0"/>
        <w:adjustRightInd w:val="0"/>
        <w:snapToGrid w:val="0"/>
        <w:spacing w:line="440" w:lineRule="exact"/>
        <w:ind w:firstLine="561"/>
        <w:rPr>
          <w:rFonts w:ascii="宋体" w:hAnsi="宋体"/>
          <w:b/>
          <w:szCs w:val="21"/>
          <w:highlight w:val="none"/>
        </w:rPr>
      </w:pPr>
      <w:r>
        <w:rPr>
          <w:rFonts w:hint="eastAsia" w:ascii="宋体" w:hAnsi="宋体"/>
          <w:b/>
          <w:szCs w:val="21"/>
          <w:highlight w:val="none"/>
        </w:rPr>
        <w:t>2、</w:t>
      </w:r>
      <w:r>
        <w:rPr>
          <w:rFonts w:hint="eastAsia" w:ascii="宋体" w:hAnsi="宋体" w:cs="宋体"/>
          <w:b/>
          <w:szCs w:val="21"/>
          <w:highlight w:val="none"/>
        </w:rPr>
        <w:t>本项目</w:t>
      </w:r>
      <w:r>
        <w:rPr>
          <w:rFonts w:hint="eastAsia" w:ascii="宋体" w:hAnsi="宋体"/>
          <w:b/>
          <w:szCs w:val="21"/>
          <w:highlight w:val="none"/>
        </w:rPr>
        <w:t>不接受联合体投标、不接受分包，如有发现合同解约并追究法律责任。</w:t>
      </w:r>
    </w:p>
    <w:p w14:paraId="164A8AB9">
      <w:pPr>
        <w:autoSpaceDE w:val="0"/>
        <w:autoSpaceDN w:val="0"/>
        <w:adjustRightInd w:val="0"/>
        <w:snapToGrid w:val="0"/>
        <w:spacing w:line="440" w:lineRule="exact"/>
        <w:ind w:firstLine="561"/>
        <w:rPr>
          <w:rFonts w:ascii="宋体" w:hAnsi="宋体"/>
          <w:b/>
          <w:szCs w:val="21"/>
          <w:highlight w:val="none"/>
        </w:rPr>
      </w:pPr>
      <w:r>
        <w:rPr>
          <w:rFonts w:hint="eastAsia" w:ascii="宋体" w:hAnsi="宋体"/>
          <w:b/>
          <w:szCs w:val="21"/>
          <w:highlight w:val="none"/>
        </w:rPr>
        <w:t>3、报价需按单价和总价分开报价且不得超过最高限价，否则视为无效投标。</w:t>
      </w:r>
    </w:p>
    <w:p w14:paraId="544FE94A">
      <w:pPr>
        <w:autoSpaceDE w:val="0"/>
        <w:autoSpaceDN w:val="0"/>
        <w:adjustRightInd w:val="0"/>
        <w:snapToGrid w:val="0"/>
        <w:spacing w:line="440" w:lineRule="exact"/>
        <w:ind w:firstLine="561"/>
        <w:rPr>
          <w:rFonts w:ascii="宋体" w:hAnsi="宋体" w:cs="宋体"/>
          <w:b/>
          <w:szCs w:val="21"/>
          <w:highlight w:val="none"/>
        </w:rPr>
      </w:pPr>
      <w:r>
        <w:rPr>
          <w:rFonts w:hint="eastAsia" w:ascii="宋体" w:hAnsi="宋体" w:cs="宋体"/>
          <w:b/>
          <w:szCs w:val="21"/>
          <w:highlight w:val="none"/>
        </w:rPr>
        <w:t>4、为保证设备的完整性及正常运行，所投标货物技术参数须不低于本招标文件中技术参数要求。★部分（如有）技术要求必须满足，如不满足为废标。</w:t>
      </w:r>
    </w:p>
    <w:p w14:paraId="6BDB00B2">
      <w:pPr>
        <w:autoSpaceDE w:val="0"/>
        <w:autoSpaceDN w:val="0"/>
        <w:adjustRightInd w:val="0"/>
        <w:snapToGrid w:val="0"/>
        <w:spacing w:line="440" w:lineRule="exact"/>
        <w:ind w:firstLine="561"/>
        <w:rPr>
          <w:rFonts w:ascii="宋体" w:hAnsi="宋体"/>
          <w:b/>
          <w:szCs w:val="21"/>
          <w:highlight w:val="none"/>
        </w:rPr>
      </w:pPr>
      <w:r>
        <w:rPr>
          <w:rFonts w:hint="eastAsia" w:ascii="宋体" w:hAnsi="宋体"/>
          <w:b/>
          <w:szCs w:val="21"/>
          <w:highlight w:val="none"/>
        </w:rPr>
        <w:t>5、包装要求：</w:t>
      </w:r>
    </w:p>
    <w:p w14:paraId="4426F01F">
      <w:pPr>
        <w:autoSpaceDE w:val="0"/>
        <w:autoSpaceDN w:val="0"/>
        <w:adjustRightInd w:val="0"/>
        <w:snapToGrid w:val="0"/>
        <w:spacing w:line="400" w:lineRule="exact"/>
        <w:ind w:firstLine="561"/>
        <w:rPr>
          <w:rFonts w:ascii="宋体" w:hAnsi="宋体"/>
          <w:bCs/>
          <w:szCs w:val="21"/>
          <w:highlight w:val="none"/>
        </w:rPr>
      </w:pPr>
      <w:r>
        <w:rPr>
          <w:rFonts w:hint="eastAsia" w:ascii="宋体" w:hAnsi="宋体"/>
          <w:bCs/>
          <w:szCs w:val="21"/>
          <w:highlight w:val="none"/>
        </w:rPr>
        <w:t>所有包装必须经得起陆上,水上的运输，供货方应对包装的所供货物负责，使其到达目的地后完整无缺，供货方负责提供所有的包装（注明免费）。</w:t>
      </w:r>
    </w:p>
    <w:p w14:paraId="05CF8ACF">
      <w:pPr>
        <w:widowControl/>
        <w:shd w:val="clear" w:color="auto" w:fill="FFFFFF"/>
        <w:spacing w:line="360" w:lineRule="auto"/>
        <w:ind w:firstLine="420"/>
        <w:rPr>
          <w:b/>
          <w:szCs w:val="21"/>
          <w:highlight w:val="none"/>
        </w:rPr>
      </w:pPr>
      <w:r>
        <w:rPr>
          <w:rFonts w:hint="eastAsia"/>
          <w:b/>
          <w:szCs w:val="21"/>
          <w:highlight w:val="none"/>
        </w:rPr>
        <w:t>三、技术要求</w:t>
      </w:r>
    </w:p>
    <w:p w14:paraId="30BF1BEC">
      <w:pPr>
        <w:pStyle w:val="5"/>
        <w:rPr>
          <w:highlight w:val="none"/>
        </w:rPr>
      </w:pPr>
      <w:bookmarkStart w:id="0" w:name="_Toc3462"/>
      <w:bookmarkStart w:id="1" w:name="_Toc8200"/>
      <w:bookmarkStart w:id="2" w:name="_Toc20224"/>
      <w:r>
        <w:rPr>
          <w:rFonts w:hint="eastAsia"/>
          <w:highlight w:val="none"/>
        </w:rPr>
        <w:t>一、项目背景</w:t>
      </w:r>
      <w:bookmarkEnd w:id="0"/>
      <w:bookmarkEnd w:id="1"/>
      <w:bookmarkEnd w:id="2"/>
    </w:p>
    <w:p w14:paraId="585B29C6">
      <w:pPr>
        <w:spacing w:line="360" w:lineRule="auto"/>
        <w:ind w:firstLine="480" w:firstLineChars="200"/>
        <w:rPr>
          <w:rFonts w:ascii="宋体" w:hAnsi="宋体" w:cs="宋体"/>
          <w:bCs/>
          <w:sz w:val="24"/>
          <w:szCs w:val="18"/>
          <w:highlight w:val="none"/>
        </w:rPr>
      </w:pPr>
      <w:r>
        <w:rPr>
          <w:rFonts w:hint="eastAsia" w:ascii="宋体" w:hAnsi="宋体" w:cs="宋体"/>
          <w:bCs/>
          <w:sz w:val="24"/>
          <w:szCs w:val="18"/>
          <w:highlight w:val="none"/>
        </w:rPr>
        <w:t>长江水务下设12</w:t>
      </w:r>
      <w:r>
        <w:rPr>
          <w:rFonts w:ascii="宋体" w:hAnsi="宋体" w:cs="宋体"/>
          <w:bCs/>
          <w:sz w:val="24"/>
          <w:szCs w:val="18"/>
          <w:highlight w:val="none"/>
        </w:rPr>
        <w:t>个行政管理处室、4个生产部门（第一水厂、第四水厂、头桥水厂、湖西水厂）、4个对外服务部门（营业所、抢维修中心、水质中心、用户服务处）和10家子公司，其中4家为一级全资子公司（扬州市江源供水有限责任公司、扬州市湖西供水有限责任公司、扬州市润元给排水工程有限公司、江苏长江塑管有限公司）,6家为控股子公司（扬州市江源陈集、刘集、新集、甘泉、大仪、秦栏供水有限公司）,形成了"城市供水、市政工程建设、管材销售"三大业务板块</w:t>
      </w:r>
      <w:r>
        <w:rPr>
          <w:rFonts w:hint="eastAsia" w:ascii="宋体" w:hAnsi="宋体" w:cs="宋体"/>
          <w:bCs/>
          <w:sz w:val="24"/>
          <w:szCs w:val="18"/>
          <w:highlight w:val="none"/>
        </w:rPr>
        <w:t>，涉及的资产主要为办公类和设备类，现固定资产管理缺乏系统性、设备维修保养多为手工不能及时反应设备的维修历史情况及损害情况，资产盘点多为手工盘点效率低下等。</w:t>
      </w:r>
    </w:p>
    <w:p w14:paraId="30CE4EA7">
      <w:pPr>
        <w:spacing w:line="360" w:lineRule="auto"/>
        <w:ind w:firstLine="480" w:firstLineChars="200"/>
        <w:rPr>
          <w:rFonts w:ascii="宋体" w:hAnsi="宋体" w:cs="宋体"/>
          <w:bCs/>
          <w:sz w:val="24"/>
          <w:szCs w:val="18"/>
          <w:highlight w:val="none"/>
        </w:rPr>
      </w:pPr>
      <w:r>
        <w:rPr>
          <w:rFonts w:hint="eastAsia" w:ascii="宋体" w:hAnsi="宋体" w:cs="宋体"/>
          <w:bCs/>
          <w:sz w:val="24"/>
          <w:szCs w:val="18"/>
          <w:highlight w:val="none"/>
        </w:rPr>
        <w:t>随着国资委对国资委相关部分对资产管理越来越重视，国有企业资产管理需要将责任明确、重视调剂、优化配置、标准管理、规范处置、等管理思维真正落实。</w:t>
      </w:r>
    </w:p>
    <w:p w14:paraId="7713B2A9">
      <w:pPr>
        <w:spacing w:line="360" w:lineRule="auto"/>
        <w:rPr>
          <w:rFonts w:ascii="宋体" w:hAnsi="宋体" w:cs="宋体"/>
          <w:highlight w:val="none"/>
        </w:rPr>
      </w:pPr>
      <w:r>
        <w:rPr>
          <w:rFonts w:hint="eastAsia" w:ascii="宋体" w:hAnsi="宋体" w:cs="宋体"/>
          <w:highlight w:val="none"/>
        </w:rPr>
        <w:drawing>
          <wp:inline distT="0" distB="0" distL="114300" distR="114300">
            <wp:extent cx="5269230" cy="1873250"/>
            <wp:effectExtent l="0" t="0" r="7620" b="1270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cstate="print"/>
                    <a:stretch>
                      <a:fillRect/>
                    </a:stretch>
                  </pic:blipFill>
                  <pic:spPr>
                    <a:xfrm>
                      <a:off x="0" y="0"/>
                      <a:ext cx="5269230" cy="1873250"/>
                    </a:xfrm>
                    <a:prstGeom prst="rect">
                      <a:avLst/>
                    </a:prstGeom>
                    <a:noFill/>
                    <a:ln>
                      <a:noFill/>
                    </a:ln>
                  </pic:spPr>
                </pic:pic>
              </a:graphicData>
            </a:graphic>
          </wp:inline>
        </w:drawing>
      </w:r>
    </w:p>
    <w:p w14:paraId="6C35D231">
      <w:pPr>
        <w:spacing w:line="360" w:lineRule="auto"/>
        <w:rPr>
          <w:rFonts w:ascii="宋体" w:hAnsi="宋体" w:cs="宋体"/>
          <w:highlight w:val="none"/>
        </w:rPr>
      </w:pPr>
    </w:p>
    <w:p w14:paraId="5BE109B6">
      <w:pPr>
        <w:pStyle w:val="5"/>
        <w:rPr>
          <w:highlight w:val="none"/>
        </w:rPr>
      </w:pPr>
      <w:bookmarkStart w:id="3" w:name="_Toc30052"/>
      <w:bookmarkStart w:id="4" w:name="_Toc17386"/>
      <w:bookmarkStart w:id="5" w:name="_Toc21347"/>
      <w:r>
        <w:rPr>
          <w:rFonts w:hint="eastAsia"/>
          <w:highlight w:val="none"/>
        </w:rPr>
        <w:t>二、现状分析</w:t>
      </w:r>
      <w:bookmarkEnd w:id="3"/>
      <w:bookmarkEnd w:id="4"/>
      <w:bookmarkEnd w:id="5"/>
    </w:p>
    <w:p w14:paraId="4126D18E">
      <w:pPr>
        <w:spacing w:line="360" w:lineRule="auto"/>
        <w:ind w:firstLine="480" w:firstLineChars="200"/>
        <w:jc w:val="left"/>
        <w:rPr>
          <w:rFonts w:ascii="宋体" w:hAnsi="宋体" w:cs="宋体"/>
          <w:bCs/>
          <w:sz w:val="24"/>
          <w:szCs w:val="18"/>
          <w:highlight w:val="none"/>
        </w:rPr>
      </w:pPr>
      <w:r>
        <w:rPr>
          <w:rFonts w:hint="eastAsia" w:ascii="宋体" w:hAnsi="宋体" w:cs="宋体"/>
          <w:bCs/>
          <w:sz w:val="24"/>
          <w:szCs w:val="18"/>
          <w:highlight w:val="none"/>
        </w:rPr>
        <w:t>目前公司现通过Excel表格，但这种方式只是保留了资产数据的完整性，但是非常容易导致效率低下、错误率高、信息不对称等问题，也就保证不了资产数据的准确性和安全性，也没有对资产的业务流程进行规范，更没有对资产的历史操作进行记录，未能从根本上解决企事业目前在资产管理方面遇到的难题。</w:t>
      </w:r>
    </w:p>
    <w:p w14:paraId="1B256120">
      <w:pPr>
        <w:spacing w:line="360" w:lineRule="auto"/>
        <w:ind w:firstLine="482" w:firstLineChars="200"/>
        <w:rPr>
          <w:rFonts w:ascii="宋体" w:hAnsi="宋体" w:cs="宋体"/>
          <w:b/>
          <w:sz w:val="24"/>
          <w:szCs w:val="18"/>
          <w:highlight w:val="none"/>
        </w:rPr>
      </w:pPr>
      <w:bookmarkStart w:id="6" w:name="_Toc24264"/>
      <w:bookmarkStart w:id="7" w:name="_Toc19435"/>
      <w:r>
        <w:rPr>
          <w:rFonts w:hint="eastAsia" w:ascii="宋体" w:hAnsi="宋体" w:cs="宋体"/>
          <w:b/>
          <w:sz w:val="24"/>
          <w:szCs w:val="18"/>
          <w:highlight w:val="none"/>
        </w:rPr>
        <w:t>现状一：</w:t>
      </w:r>
      <w:bookmarkEnd w:id="6"/>
      <w:bookmarkEnd w:id="7"/>
      <w:r>
        <w:rPr>
          <w:rFonts w:hint="eastAsia" w:ascii="宋体" w:hAnsi="宋体" w:cs="宋体"/>
          <w:b/>
          <w:sz w:val="24"/>
          <w:szCs w:val="18"/>
          <w:highlight w:val="none"/>
        </w:rPr>
        <w:t>固定资产基础信息不清楚</w:t>
      </w:r>
    </w:p>
    <w:p w14:paraId="202E2020">
      <w:pPr>
        <w:spacing w:line="360" w:lineRule="auto"/>
        <w:ind w:firstLine="480" w:firstLineChars="200"/>
        <w:rPr>
          <w:rFonts w:ascii="宋体" w:hAnsi="宋体" w:cs="宋体"/>
          <w:bCs/>
          <w:sz w:val="24"/>
          <w:szCs w:val="18"/>
          <w:highlight w:val="none"/>
        </w:rPr>
      </w:pPr>
      <w:r>
        <w:rPr>
          <w:rFonts w:hint="eastAsia" w:ascii="宋体" w:hAnsi="宋体" w:cs="宋体"/>
          <w:bCs/>
          <w:sz w:val="24"/>
          <w:szCs w:val="18"/>
          <w:highlight w:val="none"/>
        </w:rPr>
        <w:t>固定资产基础信息、存储信息、维修保养信息、盘点信息，处置信息等相关信息分散，各种与资产相关的审批信息分散，资产来龙去脉无法串联。</w:t>
      </w:r>
    </w:p>
    <w:p w14:paraId="3651621A">
      <w:pPr>
        <w:spacing w:line="360" w:lineRule="auto"/>
        <w:ind w:firstLine="482" w:firstLineChars="200"/>
        <w:rPr>
          <w:rFonts w:ascii="宋体" w:hAnsi="宋体" w:cs="宋体"/>
          <w:b/>
          <w:sz w:val="24"/>
          <w:szCs w:val="18"/>
          <w:highlight w:val="none"/>
        </w:rPr>
      </w:pPr>
      <w:bookmarkStart w:id="8" w:name="_Toc20285"/>
      <w:bookmarkStart w:id="9" w:name="_Toc21164"/>
      <w:r>
        <w:rPr>
          <w:rFonts w:hint="eastAsia" w:ascii="宋体" w:hAnsi="宋体" w:cs="宋体"/>
          <w:b/>
          <w:sz w:val="24"/>
          <w:szCs w:val="18"/>
          <w:highlight w:val="none"/>
        </w:rPr>
        <w:t>现状二：设备维修保养</w:t>
      </w:r>
      <w:bookmarkEnd w:id="8"/>
      <w:bookmarkEnd w:id="9"/>
      <w:r>
        <w:rPr>
          <w:rFonts w:hint="eastAsia" w:ascii="宋体" w:hAnsi="宋体" w:cs="宋体"/>
          <w:b/>
          <w:sz w:val="24"/>
          <w:szCs w:val="18"/>
          <w:highlight w:val="none"/>
        </w:rPr>
        <w:t>信息难追溯</w:t>
      </w:r>
    </w:p>
    <w:p w14:paraId="325BF096">
      <w:pPr>
        <w:spacing w:line="360" w:lineRule="auto"/>
        <w:ind w:firstLine="480" w:firstLineChars="200"/>
        <w:rPr>
          <w:rFonts w:ascii="宋体" w:hAnsi="宋体" w:cs="宋体"/>
          <w:bCs/>
          <w:sz w:val="24"/>
          <w:szCs w:val="18"/>
          <w:highlight w:val="none"/>
        </w:rPr>
      </w:pPr>
      <w:r>
        <w:rPr>
          <w:rFonts w:hint="eastAsia" w:ascii="宋体" w:hAnsi="宋体" w:cs="宋体"/>
          <w:bCs/>
          <w:sz w:val="24"/>
          <w:szCs w:val="18"/>
          <w:highlight w:val="none"/>
        </w:rPr>
        <w:t>资产维保、报废信息不能得到及时更新，无相关预警机制，无法反应资产历史维修情况及相关成本分析。</w:t>
      </w:r>
    </w:p>
    <w:p w14:paraId="7904457D">
      <w:pPr>
        <w:spacing w:line="360" w:lineRule="auto"/>
        <w:ind w:firstLine="482" w:firstLineChars="200"/>
        <w:rPr>
          <w:rFonts w:ascii="宋体" w:hAnsi="宋体" w:cs="宋体"/>
          <w:b/>
          <w:sz w:val="24"/>
          <w:szCs w:val="18"/>
          <w:highlight w:val="none"/>
        </w:rPr>
      </w:pPr>
      <w:bookmarkStart w:id="10" w:name="_Toc2295"/>
      <w:bookmarkStart w:id="11" w:name="_Toc20121"/>
      <w:r>
        <w:rPr>
          <w:rFonts w:hint="eastAsia" w:ascii="宋体" w:hAnsi="宋体" w:cs="宋体"/>
          <w:b/>
          <w:sz w:val="24"/>
          <w:szCs w:val="18"/>
          <w:highlight w:val="none"/>
        </w:rPr>
        <w:t>现状三：资产损坏原因不明</w:t>
      </w:r>
      <w:bookmarkEnd w:id="10"/>
      <w:bookmarkEnd w:id="11"/>
    </w:p>
    <w:p w14:paraId="218789E0">
      <w:pPr>
        <w:spacing w:line="360" w:lineRule="auto"/>
        <w:ind w:firstLine="480" w:firstLineChars="200"/>
        <w:rPr>
          <w:rFonts w:ascii="宋体" w:hAnsi="宋体" w:cs="宋体"/>
          <w:bCs/>
          <w:sz w:val="24"/>
          <w:szCs w:val="18"/>
          <w:highlight w:val="none"/>
        </w:rPr>
      </w:pPr>
      <w:r>
        <w:rPr>
          <w:rFonts w:hint="eastAsia" w:ascii="宋体" w:hAnsi="宋体" w:cs="宋体"/>
          <w:bCs/>
          <w:sz w:val="24"/>
          <w:szCs w:val="18"/>
          <w:highlight w:val="none"/>
        </w:rPr>
        <w:t>资产丢失、发生异常、使用责任、保管责任不清，无法查明原因，无法追根溯源，落实责任，解决问题。</w:t>
      </w:r>
    </w:p>
    <w:p w14:paraId="6F41AFEB">
      <w:pPr>
        <w:spacing w:line="360" w:lineRule="auto"/>
        <w:ind w:firstLine="482" w:firstLineChars="200"/>
        <w:rPr>
          <w:rFonts w:ascii="宋体" w:hAnsi="宋体" w:cs="宋体"/>
          <w:b/>
          <w:sz w:val="24"/>
          <w:szCs w:val="18"/>
          <w:highlight w:val="none"/>
        </w:rPr>
      </w:pPr>
      <w:bookmarkStart w:id="12" w:name="_Toc17854"/>
      <w:bookmarkStart w:id="13" w:name="_Toc24164"/>
      <w:r>
        <w:rPr>
          <w:rFonts w:hint="eastAsia" w:ascii="宋体" w:hAnsi="宋体" w:cs="宋体"/>
          <w:b/>
          <w:sz w:val="24"/>
          <w:szCs w:val="18"/>
          <w:highlight w:val="none"/>
        </w:rPr>
        <w:t>现状四：资产盘点效率太低</w:t>
      </w:r>
      <w:bookmarkEnd w:id="12"/>
      <w:bookmarkEnd w:id="13"/>
    </w:p>
    <w:p w14:paraId="53374AB4">
      <w:pPr>
        <w:spacing w:line="360" w:lineRule="auto"/>
        <w:ind w:firstLine="420" w:firstLineChars="200"/>
        <w:rPr>
          <w:rFonts w:ascii="宋体" w:hAnsi="宋体" w:cs="宋体"/>
          <w:bCs/>
          <w:szCs w:val="18"/>
          <w:highlight w:val="none"/>
        </w:rPr>
      </w:pPr>
      <w:r>
        <w:rPr>
          <w:rFonts w:hint="eastAsia" w:ascii="宋体" w:hAnsi="宋体" w:cs="宋体"/>
          <w:bCs/>
          <w:szCs w:val="18"/>
          <w:highlight w:val="none"/>
        </w:rPr>
        <w:t>盘点计划执行难，无法保证不漏盘、不重盘和交叉盘点，盘点手段单一，盘点效率低下。</w:t>
      </w:r>
    </w:p>
    <w:p w14:paraId="475BA3F3">
      <w:pPr>
        <w:pStyle w:val="5"/>
        <w:rPr>
          <w:highlight w:val="none"/>
        </w:rPr>
      </w:pPr>
      <w:bookmarkStart w:id="14" w:name="_Toc12880"/>
      <w:bookmarkStart w:id="15" w:name="_Toc19827"/>
      <w:bookmarkStart w:id="16" w:name="_Toc9304"/>
      <w:r>
        <w:rPr>
          <w:rFonts w:hint="eastAsia"/>
          <w:highlight w:val="none"/>
        </w:rPr>
        <w:t>三、总体目标</w:t>
      </w:r>
      <w:bookmarkEnd w:id="14"/>
      <w:bookmarkEnd w:id="15"/>
      <w:bookmarkEnd w:id="16"/>
    </w:p>
    <w:p w14:paraId="6A3C69D5">
      <w:pPr>
        <w:spacing w:line="360" w:lineRule="auto"/>
        <w:ind w:firstLine="480" w:firstLineChars="200"/>
        <w:rPr>
          <w:rFonts w:ascii="宋体" w:hAnsi="宋体" w:cs="宋体"/>
          <w:bCs/>
          <w:sz w:val="24"/>
          <w:szCs w:val="18"/>
          <w:highlight w:val="none"/>
        </w:rPr>
      </w:pPr>
      <w:r>
        <w:rPr>
          <w:rFonts w:hint="eastAsia" w:ascii="宋体" w:hAnsi="宋体" w:cs="宋体"/>
          <w:bCs/>
          <w:sz w:val="24"/>
          <w:szCs w:val="18"/>
          <w:highlight w:val="none"/>
        </w:rPr>
        <w:t>实现资产全生命周期管理的关键在于构建完整的一体化的资产管理视图，按照全生命周期的管控需求掌握资产管理在各个环节的关键信息，这些关键信息将会帮助构建科学的资产管理的决策体系。</w:t>
      </w:r>
    </w:p>
    <w:p w14:paraId="09CD7227">
      <w:pPr>
        <w:spacing w:line="360" w:lineRule="auto"/>
        <w:ind w:firstLine="480" w:firstLineChars="200"/>
        <w:contextualSpacing/>
        <w:rPr>
          <w:rFonts w:ascii="宋体" w:hAnsi="宋体"/>
          <w:color w:val="000000"/>
          <w:kern w:val="0"/>
          <w:szCs w:val="21"/>
          <w:highlight w:val="none"/>
        </w:rPr>
      </w:pPr>
      <w:r>
        <w:rPr>
          <w:rFonts w:hint="eastAsia" w:ascii="宋体" w:hAnsi="宋体" w:cs="宋体"/>
          <w:bCs/>
          <w:sz w:val="24"/>
          <w:szCs w:val="18"/>
          <w:highlight w:val="none"/>
        </w:rPr>
        <w:t>资产管理系统作为公司综合办公系统的一部分实现与OA系统的无缝整合，以规范资产管理制度、优化资产管理过程、提升资产使用效益为出发点构建企业设备资产、固定资产全生命周期数智化管理平台，覆盖资产基础数据、资产取得、电子档案、日常管理、设备运维、备品备件管理、产权管理、盘点、退出全场景，资产信息可查、使用状态明确、流转过程可追溯，满足企业全量资产流程化和精细化管理需求，资产合理配置、设备健康运行，实现成本节约，</w:t>
      </w:r>
      <w:r>
        <w:rPr>
          <w:rFonts w:hint="eastAsia" w:ascii="宋体" w:hAnsi="宋体"/>
          <w:szCs w:val="21"/>
          <w:highlight w:val="none"/>
        </w:rPr>
        <w:t>帮助管理人员及时了解资产的情况，及时采取相应的措施；实现对异常情况的预警和监测。例如，当某个资产的使用率超过预设阈值、资产出现故障或者资产丢失时，大屏可以及时发出警报，提醒管理人员采取相应的措施。</w:t>
      </w:r>
    </w:p>
    <w:p w14:paraId="62A3C229">
      <w:pPr>
        <w:pStyle w:val="5"/>
        <w:rPr>
          <w:highlight w:val="none"/>
        </w:rPr>
      </w:pPr>
      <w:bookmarkStart w:id="17" w:name="_Toc10957"/>
      <w:bookmarkStart w:id="18" w:name="_Toc10474"/>
      <w:bookmarkStart w:id="19" w:name="_Toc24704"/>
      <w:bookmarkStart w:id="20" w:name="_Toc19906"/>
      <w:r>
        <w:rPr>
          <w:rFonts w:hint="eastAsia"/>
          <w:highlight w:val="none"/>
        </w:rPr>
        <w:t>四、系统性能要求</w:t>
      </w:r>
      <w:bookmarkEnd w:id="17"/>
      <w:bookmarkEnd w:id="18"/>
      <w:bookmarkEnd w:id="19"/>
    </w:p>
    <w:p w14:paraId="63482D0B">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根据信息系统的业务特性，在非功能性需求上有以下要求：</w:t>
      </w:r>
    </w:p>
    <w:p w14:paraId="63C998A8">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可维护性。系统运行稳定、易于维护、系统的应用文件和数据文件分离，便于系统管理人员进行维护，以及以后的维护升级。</w:t>
      </w:r>
    </w:p>
    <w:p w14:paraId="4499F6CF">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高可用性。公司局域网内系统响应时间小于2秒。具有动态负载均衡处理能力，支持多用户同时访问和处理业务；具有较强容错能力，不允许因正常处理业务时的不规范操作引起系统宕机、重启。</w:t>
      </w:r>
    </w:p>
    <w:p w14:paraId="3AB362AC">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系统界面设计。要求界面美观、简洁大方，能适应主流显示器的分辨率。</w:t>
      </w:r>
    </w:p>
    <w:p w14:paraId="2B245BD6">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知识产权。投标软件使用有效期为永久有效。如涉及第三方软件，则第三方软件的许可期限应与所投标产品相同。</w:t>
      </w:r>
    </w:p>
    <w:p w14:paraId="5C0D4E51">
      <w:pPr>
        <w:pStyle w:val="7"/>
        <w:rPr>
          <w:highlight w:val="none"/>
        </w:rPr>
      </w:pPr>
      <w:bookmarkStart w:id="21" w:name="_Toc588117929"/>
      <w:bookmarkStart w:id="22" w:name="_Toc23589"/>
      <w:bookmarkStart w:id="23" w:name="_Toc736"/>
      <w:bookmarkStart w:id="24" w:name="_Toc22616"/>
      <w:r>
        <w:rPr>
          <w:rFonts w:hint="eastAsia"/>
          <w:highlight w:val="none"/>
        </w:rPr>
        <w:t>4.1安全性要求</w:t>
      </w:r>
      <w:bookmarkEnd w:id="21"/>
      <w:bookmarkEnd w:id="22"/>
      <w:bookmarkEnd w:id="23"/>
      <w:bookmarkEnd w:id="24"/>
    </w:p>
    <w:p w14:paraId="2E021229">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系统的安全性是管理信息化系统正常运行的关键，为确保系统的安全性，需建立一整套系统安全保障体系，该体系主要分网络安全、数据安全、软件系统安全与系统安全管理等四大部分。网络安全主要用于保障主机设备与网络设备的正常运行；数据安全主要对平台数据源进行控制，保证部署在平台上的数据服务安全保密；软件系统安全用于解决系统软件安全、应用软件安全、访问服务安全等三个方面（</w:t>
      </w:r>
      <w:r>
        <w:rPr>
          <w:rFonts w:hint="eastAsia" w:ascii="宋体" w:hAnsi="宋体"/>
          <w:color w:val="000000"/>
          <w:kern w:val="0"/>
          <w:szCs w:val="21"/>
          <w:highlight w:val="none"/>
          <w:lang w:val="en-US" w:eastAsia="zh-CN"/>
        </w:rPr>
        <w:t>供应商需提供相对应的软件产品系统平台</w:t>
      </w:r>
      <w:r>
        <w:rPr>
          <w:rFonts w:hint="eastAsia" w:ascii="宋体" w:hAnsi="宋体"/>
          <w:color w:val="000000"/>
          <w:kern w:val="0"/>
          <w:szCs w:val="21"/>
          <w:highlight w:val="none"/>
        </w:rPr>
        <w:t>安全等级三级证明）。</w:t>
      </w:r>
    </w:p>
    <w:p w14:paraId="044D36AB">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以上三个方面是从系统安全设计方面来保障系统的正常运行，而系统安全管理则是从系统管理角度通过采取一些强制性措施来减少外界环境因素的干扰和破坏，从而达到消除安全隐患、提高系统安全性、可靠性的目的。要求做到以下几个方面：</w:t>
      </w:r>
    </w:p>
    <w:p w14:paraId="59C0E8F8">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系统应提供多账套管理功能，能同时建立和管理多个独立核算单位的财务账套，各账套的科目结构等互不冲突，业务数据完全隔离；各账套系统应基于统一的用户安全管理模式和数据集中模式，各用户的权限管理适应单点登录并保证未来业务应用的扩充，实现权限统一管理的需要。</w:t>
      </w:r>
    </w:p>
    <w:p w14:paraId="45565C9C">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客户认证：统一用户身份认证和权限管理，必须在设计上保护用户身份的安全，实现功能权限和数据权限控制。进入系统的用户必须通过身份认证，并且每个用户的密码在数据库内加密存放。</w:t>
      </w:r>
    </w:p>
    <w:p w14:paraId="0E9FB384">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数据加密：数据传输采用加密算法，在传输过程中保证数据的安全；</w:t>
      </w:r>
    </w:p>
    <w:p w14:paraId="306EC909">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权限管理：系统应提供完善严密的权限控制机制，来保证对不同操作员的业务处理范围的授权，保证机密数据的安全。</w:t>
      </w:r>
    </w:p>
    <w:p w14:paraId="2F6DB9E7">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加强对ROOT的认证和密码控制；支持密码的强制加密传输。</w:t>
      </w:r>
    </w:p>
    <w:p w14:paraId="6D4DFB65">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保证客户端与服务器以及服务器之间的数据传输安全、关键数据的存储安全，支持客户端安全IP清单和客户端代码加密等。</w:t>
      </w:r>
    </w:p>
    <w:p w14:paraId="5A6DC795">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提供数据完整性保证及行为的不可抵赖性保障，支持企业、客商、个人的银行账户信息编辑的双人复核以及业务日志，关键流程审批支持电子签名，银企直连的系统支持使用CA等。</w:t>
      </w:r>
    </w:p>
    <w:p w14:paraId="1F88436D">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系统关键应用应有日志记录功能，实现统一的、一致的日志功能，可以对操作过程进行追踪和回逆。</w:t>
      </w:r>
    </w:p>
    <w:p w14:paraId="45BF7500">
      <w:pPr>
        <w:pStyle w:val="7"/>
        <w:rPr>
          <w:highlight w:val="none"/>
        </w:rPr>
      </w:pPr>
      <w:bookmarkStart w:id="25" w:name="_Toc2468"/>
      <w:bookmarkStart w:id="26" w:name="_Toc18893"/>
      <w:bookmarkStart w:id="27" w:name="_Toc23646"/>
      <w:bookmarkStart w:id="28" w:name="_Toc1778289209"/>
      <w:r>
        <w:rPr>
          <w:rFonts w:hint="eastAsia"/>
          <w:highlight w:val="none"/>
        </w:rPr>
        <w:t>4.2实用性要求</w:t>
      </w:r>
      <w:bookmarkEnd w:id="25"/>
      <w:bookmarkEnd w:id="26"/>
      <w:bookmarkEnd w:id="27"/>
      <w:bookmarkEnd w:id="28"/>
    </w:p>
    <w:p w14:paraId="14791DD0">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以现行需求分析和实际调研为基础，充分考虑发展的需要来确定系统的部署及设计方案。同时，能够提供个性化的服务，针对不同的系统用户、不同业态流程场景设计不同的操作界面、操作内容及操作流程，更方便于用户的使用。</w:t>
      </w:r>
    </w:p>
    <w:p w14:paraId="19E31362">
      <w:pPr>
        <w:pStyle w:val="7"/>
        <w:rPr>
          <w:highlight w:val="none"/>
        </w:rPr>
      </w:pPr>
      <w:bookmarkStart w:id="29" w:name="_Toc17791"/>
      <w:bookmarkStart w:id="30" w:name="_Toc5216"/>
      <w:bookmarkStart w:id="31" w:name="_Toc21002"/>
      <w:bookmarkStart w:id="32" w:name="_Toc1176820364"/>
      <w:r>
        <w:rPr>
          <w:rFonts w:hint="eastAsia"/>
          <w:highlight w:val="none"/>
        </w:rPr>
        <w:t>4.3易用性要求</w:t>
      </w:r>
      <w:bookmarkEnd w:id="29"/>
      <w:bookmarkEnd w:id="30"/>
      <w:bookmarkEnd w:id="31"/>
      <w:bookmarkEnd w:id="32"/>
    </w:p>
    <w:p w14:paraId="3BE2E035">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整个系统的软硬件系统应易于管理、易于维护、操作简单、易学、易用。所有的业务功能界面风格和操作流程一致，便于进行系统配置；具有统一的后台管理平台及用户展示页面，按个人或组织进行信息组合，以提供快速准确的信息服务，操作错误的提示信息是用业务用语描述。。业务表单尽量做到所见即所得，录入能够完全通过键盘完成。</w:t>
      </w:r>
    </w:p>
    <w:p w14:paraId="66D0DEBD">
      <w:pPr>
        <w:pStyle w:val="7"/>
        <w:rPr>
          <w:highlight w:val="none"/>
        </w:rPr>
      </w:pPr>
      <w:bookmarkStart w:id="33" w:name="_Toc495468878"/>
      <w:bookmarkStart w:id="34" w:name="_Toc7426"/>
      <w:bookmarkStart w:id="35" w:name="_Toc13399"/>
      <w:bookmarkStart w:id="36" w:name="_Toc13503"/>
      <w:r>
        <w:rPr>
          <w:rFonts w:hint="eastAsia"/>
          <w:highlight w:val="none"/>
        </w:rPr>
        <w:t>4.4开放性</w:t>
      </w:r>
      <w:bookmarkEnd w:id="33"/>
      <w:r>
        <w:rPr>
          <w:rFonts w:hint="eastAsia"/>
          <w:highlight w:val="none"/>
        </w:rPr>
        <w:t>要求</w:t>
      </w:r>
      <w:bookmarkEnd w:id="34"/>
      <w:bookmarkEnd w:id="35"/>
      <w:bookmarkEnd w:id="36"/>
    </w:p>
    <w:p w14:paraId="33AB0B41">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在设计时，要求提供开放性好、标准化程度高的技术方案，设备的各种接口满足开放和标准化原则。系统能够提供与外部信息系统良好的接口，便于系统间数据的共享与交换，满足对股东方的数据及报表等报送要求。</w:t>
      </w:r>
    </w:p>
    <w:p w14:paraId="4A75B142">
      <w:pPr>
        <w:pStyle w:val="7"/>
        <w:rPr>
          <w:highlight w:val="none"/>
        </w:rPr>
      </w:pPr>
      <w:bookmarkStart w:id="37" w:name="_Toc1551333127"/>
      <w:bookmarkStart w:id="38" w:name="_Toc9897"/>
      <w:bookmarkStart w:id="39" w:name="_Toc14026"/>
      <w:bookmarkStart w:id="40" w:name="_Toc29237"/>
      <w:r>
        <w:rPr>
          <w:rFonts w:hint="eastAsia"/>
          <w:highlight w:val="none"/>
        </w:rPr>
        <w:t>4.5可扩展性</w:t>
      </w:r>
      <w:bookmarkEnd w:id="37"/>
      <w:r>
        <w:rPr>
          <w:rFonts w:hint="eastAsia"/>
          <w:highlight w:val="none"/>
        </w:rPr>
        <w:t>要求</w:t>
      </w:r>
      <w:bookmarkEnd w:id="38"/>
      <w:bookmarkEnd w:id="39"/>
      <w:bookmarkEnd w:id="40"/>
    </w:p>
    <w:p w14:paraId="3BA35C56">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应用系统在企业组织结构和业务流程发生变革时能够根据业务需求的变化，有良好的可扩充和二次开发功能实现新业务，能实现新旧业务间应用的无缝衔接。在设计上必须具有适应业务变化的能力，如系统用户数量及业务量的增长、规则或代码的变化、业务单据的变更、业务流程重组等。最大程度的保证建设完成后的系统在向新的技术升级时，能保护现有的投资。</w:t>
      </w:r>
    </w:p>
    <w:p w14:paraId="071C85AC">
      <w:pPr>
        <w:pStyle w:val="7"/>
        <w:rPr>
          <w:highlight w:val="none"/>
        </w:rPr>
      </w:pPr>
      <w:bookmarkStart w:id="41" w:name="_Toc656907262"/>
      <w:bookmarkStart w:id="42" w:name="_Toc984"/>
      <w:bookmarkStart w:id="43" w:name="_Toc4925"/>
      <w:bookmarkStart w:id="44" w:name="_Toc18652"/>
      <w:r>
        <w:rPr>
          <w:rFonts w:hint="eastAsia"/>
          <w:highlight w:val="none"/>
        </w:rPr>
        <w:t>4.6可靠性</w:t>
      </w:r>
      <w:bookmarkEnd w:id="41"/>
      <w:r>
        <w:rPr>
          <w:rFonts w:hint="eastAsia"/>
          <w:highlight w:val="none"/>
        </w:rPr>
        <w:t>要求</w:t>
      </w:r>
      <w:bookmarkEnd w:id="42"/>
      <w:bookmarkEnd w:id="43"/>
      <w:bookmarkEnd w:id="44"/>
    </w:p>
    <w:p w14:paraId="27FC4E11">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系统设计能有效的避免单点故障，在系统设计时，应考虑充分的冗余备份，一方面最大限度地减少故障的可能性，另一方面要保证应用能在最短时间内恢复运行。系统采用容错或容灾配置，对系统可能出现的故障有处理预案，并有必要的技术手段支持。系统自动失效转移，避免单点故障而影响整个系统的正常运行。高效的备份/恢复流程和技术，缩短由于数据库、硬件和应用升级等所带来的停止服务时间。</w:t>
      </w:r>
    </w:p>
    <w:p w14:paraId="370F402D">
      <w:pPr>
        <w:pStyle w:val="7"/>
        <w:rPr>
          <w:highlight w:val="none"/>
        </w:rPr>
      </w:pPr>
      <w:bookmarkStart w:id="45" w:name="_Toc426923207"/>
      <w:bookmarkStart w:id="46" w:name="_Toc5430"/>
      <w:bookmarkStart w:id="47" w:name="_Toc17877"/>
      <w:bookmarkStart w:id="48" w:name="_Toc27951"/>
      <w:r>
        <w:rPr>
          <w:rFonts w:hint="eastAsia"/>
          <w:highlight w:val="none"/>
        </w:rPr>
        <w:t>4.7可维护性</w:t>
      </w:r>
      <w:bookmarkEnd w:id="45"/>
      <w:r>
        <w:rPr>
          <w:rFonts w:hint="eastAsia"/>
          <w:highlight w:val="none"/>
        </w:rPr>
        <w:t>要求</w:t>
      </w:r>
      <w:bookmarkEnd w:id="46"/>
      <w:bookmarkEnd w:id="47"/>
      <w:bookmarkEnd w:id="48"/>
    </w:p>
    <w:p w14:paraId="7ABE86D0">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在一个技术平台上处理全部业务，采用可视化的流程自定义技术，能根据不同业务应用要求定制不同的业务处理工作流，以工作流、业务规则为引擎，适应不同业务、不同用户、不同时期管理的需要，实现所有业务间的协同管理。系统具有可配置能力，如录入的表单种类，和表单中的输入域。客户端必须减少修改和升级所带来的维护工作量和复杂度。</w:t>
      </w:r>
    </w:p>
    <w:p w14:paraId="20E30A79">
      <w:pPr>
        <w:spacing w:line="360" w:lineRule="auto"/>
        <w:ind w:firstLine="420" w:firstLineChars="200"/>
        <w:contextualSpacing/>
        <w:rPr>
          <w:rFonts w:ascii="宋体" w:hAnsi="宋体"/>
          <w:color w:val="000000"/>
          <w:kern w:val="0"/>
          <w:szCs w:val="21"/>
          <w:highlight w:val="none"/>
        </w:rPr>
      </w:pPr>
      <w:r>
        <w:rPr>
          <w:rFonts w:hint="eastAsia" w:ascii="宋体" w:hAnsi="宋体"/>
          <w:color w:val="000000"/>
          <w:kern w:val="0"/>
          <w:szCs w:val="21"/>
          <w:highlight w:val="none"/>
        </w:rPr>
        <w:t>充分提供与外围业务系统和关联业务的协同和交互，提供丰富的辅助功能，预警和监控机制，提供丰富灵活的综合查询，系统能够简洁、高效和安全的处理业务，并在简洁高效办理业务的同时保证资金的全面安全,在设备、安全性、数据流量、性能等方面得到很好的监视和控制，并可以进行远程管理和故障诊断，具有良好的可维护性。</w:t>
      </w:r>
    </w:p>
    <w:p w14:paraId="339EE91B">
      <w:pPr>
        <w:pStyle w:val="5"/>
        <w:rPr>
          <w:highlight w:val="none"/>
        </w:rPr>
      </w:pPr>
      <w:bookmarkStart w:id="49" w:name="_Toc19485"/>
      <w:bookmarkStart w:id="50" w:name="_Toc30480"/>
      <w:bookmarkStart w:id="51" w:name="_Toc8337"/>
      <w:r>
        <w:rPr>
          <w:rFonts w:hint="eastAsia"/>
          <w:highlight w:val="none"/>
        </w:rPr>
        <w:t>五、平台系统架构要求</w:t>
      </w:r>
      <w:bookmarkEnd w:id="49"/>
      <w:bookmarkEnd w:id="50"/>
      <w:bookmarkEnd w:id="51"/>
    </w:p>
    <w:p w14:paraId="14BEF56F">
      <w:pPr>
        <w:widowControl/>
        <w:spacing w:line="360" w:lineRule="auto"/>
        <w:ind w:firstLine="420" w:firstLineChars="200"/>
        <w:rPr>
          <w:rFonts w:ascii="宋体" w:hAnsi="宋体" w:cs="宋体"/>
          <w:highlight w:val="none"/>
        </w:rPr>
      </w:pPr>
      <w:r>
        <w:rPr>
          <w:rFonts w:hint="eastAsia" w:ascii="宋体" w:hAnsi="宋体" w:cs="宋体"/>
          <w:highlight w:val="none"/>
        </w:rPr>
        <w:t>对采用的技术架构进行描述，要求合理通顺，要求架构采用现主流架构（如 B/S的架构），完全基于浏览器的操作模式，移动端操作方便，系统扩充性好；保证产品的合理性、数据访问的安全性。</w:t>
      </w:r>
    </w:p>
    <w:p w14:paraId="403C31F6">
      <w:pPr>
        <w:widowControl/>
        <w:spacing w:line="360" w:lineRule="auto"/>
        <w:ind w:firstLine="420" w:firstLineChars="200"/>
        <w:rPr>
          <w:rFonts w:ascii="宋体" w:hAnsi="宋体" w:cs="宋体"/>
          <w:highlight w:val="none"/>
        </w:rPr>
      </w:pPr>
      <w:r>
        <w:rPr>
          <w:rFonts w:hint="eastAsia" w:ascii="宋体" w:hAnsi="宋体" w:cs="宋体"/>
          <w:highlight w:val="none"/>
        </w:rPr>
        <w:t>优先考虑高性能数据库；采用通用开发语言，应用服务；中间件、控件等优先考虑采用开源技术实现。</w:t>
      </w:r>
    </w:p>
    <w:p w14:paraId="2E68D047">
      <w:pPr>
        <w:pStyle w:val="5"/>
        <w:rPr>
          <w:highlight w:val="none"/>
        </w:rPr>
      </w:pPr>
      <w:bookmarkStart w:id="52" w:name="_Toc10780"/>
      <w:bookmarkStart w:id="53" w:name="_Toc29984"/>
      <w:bookmarkStart w:id="54" w:name="_Toc21867"/>
      <w:r>
        <w:rPr>
          <w:rFonts w:hint="eastAsia"/>
          <w:b w:val="0"/>
          <w:bCs w:val="0"/>
          <w:highlight w:val="none"/>
        </w:rPr>
        <w:t>六、</w:t>
      </w:r>
      <w:r>
        <w:rPr>
          <w:rFonts w:hint="eastAsia"/>
          <w:highlight w:val="none"/>
        </w:rPr>
        <w:t>系统安全要求</w:t>
      </w:r>
      <w:bookmarkEnd w:id="52"/>
      <w:bookmarkEnd w:id="53"/>
      <w:bookmarkEnd w:id="54"/>
    </w:p>
    <w:p w14:paraId="145F1714">
      <w:pPr>
        <w:spacing w:line="360" w:lineRule="auto"/>
        <w:ind w:firstLine="371" w:firstLineChars="177"/>
        <w:rPr>
          <w:rFonts w:ascii="宋体" w:hAnsi="宋体" w:cs="宋体"/>
          <w:szCs w:val="21"/>
          <w:highlight w:val="none"/>
        </w:rPr>
      </w:pPr>
      <w:r>
        <w:rPr>
          <w:rFonts w:hint="eastAsia" w:ascii="宋体" w:hAnsi="宋体" w:cs="宋体"/>
          <w:szCs w:val="21"/>
          <w:highlight w:val="none"/>
        </w:rPr>
        <w:t>安全要求是本次项目建设的关键。系统涉及到单位中重要信息，因此安全性需要放在首位进行考虑。系统要有完善、周密的安全体系和信息安全支撑平台紧密配合，从物理、传输、网络、应用等采用多层次的安全保障措施。</w:t>
      </w:r>
    </w:p>
    <w:p w14:paraId="3FA07A8A">
      <w:pPr>
        <w:spacing w:line="360" w:lineRule="auto"/>
        <w:ind w:firstLine="371" w:firstLineChars="177"/>
        <w:rPr>
          <w:rFonts w:ascii="宋体" w:hAnsi="宋体" w:cs="宋体"/>
          <w:szCs w:val="21"/>
          <w:highlight w:val="none"/>
        </w:rPr>
      </w:pPr>
      <w:r>
        <w:rPr>
          <w:rFonts w:hint="eastAsia" w:ascii="宋体" w:hAnsi="宋体" w:cs="宋体"/>
          <w:szCs w:val="21"/>
          <w:highlight w:val="none"/>
        </w:rPr>
        <w:t>本次项目从分析到设计，安全性的原则贯穿始终。系统的安全性总体要求如下：系统采用严密的安全体系，从用户访问接入、传输控制、存储控制、运行控制、访问控制五方面建立安全可靠的防御机制，全方位保障用户的信息安全、数据安全。</w:t>
      </w:r>
    </w:p>
    <w:p w14:paraId="54D9D5C6">
      <w:pPr>
        <w:spacing w:line="360" w:lineRule="auto"/>
        <w:ind w:firstLine="371" w:firstLineChars="177"/>
        <w:rPr>
          <w:rFonts w:ascii="宋体" w:hAnsi="宋体" w:cs="宋体"/>
          <w:szCs w:val="21"/>
          <w:highlight w:val="none"/>
        </w:rPr>
      </w:pPr>
      <w:r>
        <w:rPr>
          <w:rFonts w:hint="eastAsia" w:ascii="宋体" w:hAnsi="宋体" w:cs="宋体"/>
          <w:szCs w:val="21"/>
          <w:highlight w:val="none"/>
        </w:rPr>
        <w:t>要求确保数据存储的安全性。系统具有安全防护功能，提供数据的防控能力，限制用户访问权限，避免高危操作对数据库造成破坏；对用户访问的时间、地点进行限制。只能通过相关的功能模块对数据进行操作。</w:t>
      </w:r>
    </w:p>
    <w:p w14:paraId="5C90E027">
      <w:pPr>
        <w:spacing w:line="360" w:lineRule="auto"/>
        <w:ind w:firstLine="371" w:firstLineChars="177"/>
        <w:rPr>
          <w:rFonts w:ascii="宋体" w:hAnsi="宋体" w:cs="宋体"/>
          <w:szCs w:val="21"/>
          <w:highlight w:val="none"/>
        </w:rPr>
      </w:pPr>
      <w:r>
        <w:rPr>
          <w:rFonts w:hint="eastAsia" w:ascii="宋体" w:hAnsi="宋体" w:cs="宋体"/>
          <w:szCs w:val="21"/>
          <w:highlight w:val="none"/>
        </w:rPr>
        <w:t>要求平台提供有效的、严格的分级管理模式，把系统管理员和各级单位的应用管理员的权限分开，按照各自的职责范围划定管理权限，除了系统管理员以外，分别设置公文管理员、文档管理员以及其它功能模块的专门管理人员，在保证各施其责的基础上，保证数据的安全性。</w:t>
      </w:r>
    </w:p>
    <w:p w14:paraId="454F140B">
      <w:pPr>
        <w:pStyle w:val="5"/>
        <w:rPr>
          <w:highlight w:val="none"/>
        </w:rPr>
      </w:pPr>
      <w:bookmarkStart w:id="55" w:name="_Toc17509"/>
      <w:bookmarkStart w:id="56" w:name="_Toc16176"/>
      <w:bookmarkStart w:id="57" w:name="_Toc12878"/>
      <w:r>
        <w:rPr>
          <w:rFonts w:hint="eastAsia"/>
          <w:b w:val="0"/>
          <w:bCs w:val="0"/>
          <w:highlight w:val="none"/>
        </w:rPr>
        <w:t>七、</w:t>
      </w:r>
      <w:r>
        <w:rPr>
          <w:rFonts w:hint="eastAsia"/>
          <w:highlight w:val="none"/>
        </w:rPr>
        <w:t>集成开发要求</w:t>
      </w:r>
      <w:bookmarkEnd w:id="55"/>
      <w:bookmarkEnd w:id="56"/>
      <w:bookmarkEnd w:id="57"/>
    </w:p>
    <w:p w14:paraId="01C03484">
      <w:pPr>
        <w:spacing w:line="360" w:lineRule="auto"/>
        <w:ind w:firstLine="420" w:firstLineChars="200"/>
        <w:contextualSpacing/>
        <w:rPr>
          <w:rFonts w:ascii="宋体" w:hAnsi="宋体" w:cs="宋体"/>
          <w:szCs w:val="21"/>
          <w:highlight w:val="none"/>
        </w:rPr>
      </w:pPr>
      <w:r>
        <w:rPr>
          <w:rFonts w:hint="eastAsia" w:ascii="宋体" w:hAnsi="宋体" w:cs="宋体"/>
          <w:szCs w:val="21"/>
          <w:highlight w:val="none"/>
        </w:rPr>
        <w:t>支持分层服务模式，提供开放、快捷的集成服务，同时对平台的集成任务和数据交换实施全面跟踪和监控。应该以通用集成服务和整体业务组件为核心。在底层提供广泛的内外接口/事件支持，减少异构系统的技术和业务复杂度影响，降低集成门槛和实施成本，对外支持多个同类系统接入，对内提供统一接口。</w:t>
      </w:r>
    </w:p>
    <w:p w14:paraId="6C6C013A">
      <w:pPr>
        <w:pStyle w:val="2"/>
        <w:spacing w:line="360" w:lineRule="auto"/>
        <w:rPr>
          <w:highlight w:val="none"/>
        </w:rPr>
      </w:pPr>
      <w:r>
        <w:rPr>
          <w:rFonts w:hint="eastAsia"/>
          <w:highlight w:val="none"/>
        </w:rPr>
        <w:t>该系统要求能与现公司协同综合管理平台高度融合，能够实现流程级和数据级的无缝对接，相关业务审批在协同办公系统中完成。</w:t>
      </w:r>
    </w:p>
    <w:p w14:paraId="3FFAF469">
      <w:pPr>
        <w:pStyle w:val="5"/>
        <w:rPr>
          <w:highlight w:val="none"/>
        </w:rPr>
      </w:pPr>
      <w:bookmarkStart w:id="58" w:name="_Toc11776"/>
      <w:bookmarkStart w:id="59" w:name="_Toc12288"/>
      <w:bookmarkStart w:id="60" w:name="_Toc7517"/>
      <w:r>
        <w:rPr>
          <w:rFonts w:hint="eastAsia"/>
          <w:highlight w:val="none"/>
        </w:rPr>
        <w:t>八、移动APP需求</w:t>
      </w:r>
      <w:bookmarkEnd w:id="58"/>
      <w:bookmarkEnd w:id="59"/>
      <w:bookmarkEnd w:id="60"/>
    </w:p>
    <w:p w14:paraId="3AE9E7EE">
      <w:pPr>
        <w:autoSpaceDE w:val="0"/>
        <w:autoSpaceDN w:val="0"/>
        <w:adjustRightInd w:val="0"/>
        <w:snapToGrid w:val="0"/>
        <w:spacing w:line="480" w:lineRule="exact"/>
        <w:ind w:firstLine="420" w:firstLineChars="200"/>
        <w:rPr>
          <w:rFonts w:ascii="宋体" w:hAnsi="宋体" w:cs="宋体"/>
          <w:szCs w:val="21"/>
          <w:highlight w:val="none"/>
        </w:rPr>
      </w:pPr>
      <w:r>
        <w:rPr>
          <w:rFonts w:hint="eastAsia" w:ascii="宋体" w:hAnsi="宋体" w:cs="宋体"/>
          <w:szCs w:val="21"/>
          <w:highlight w:val="none"/>
        </w:rPr>
        <w:t>移动应用需支持不同版本iOS、Android、鸿蒙等操作系统以及主流智能手机与平板等使用，具备与PC端模块功能并保持数据信息实时同步，相关应用能够与公司协同办公综合管理平台手机端集成，能够实现手机端的统一。</w:t>
      </w:r>
    </w:p>
    <w:p w14:paraId="02BF6E44">
      <w:pPr>
        <w:pStyle w:val="5"/>
        <w:rPr>
          <w:highlight w:val="none"/>
        </w:rPr>
      </w:pPr>
      <w:bookmarkStart w:id="61" w:name="_Toc3342"/>
      <w:bookmarkStart w:id="62" w:name="_Toc9673"/>
      <w:bookmarkStart w:id="63" w:name="_Toc27994"/>
      <w:r>
        <w:rPr>
          <w:rFonts w:hint="eastAsia"/>
          <w:b w:val="0"/>
          <w:bCs w:val="0"/>
          <w:highlight w:val="none"/>
        </w:rPr>
        <w:t>九、</w:t>
      </w:r>
      <w:r>
        <w:rPr>
          <w:rFonts w:hint="eastAsia"/>
          <w:highlight w:val="none"/>
        </w:rPr>
        <w:t>功能需求与清单</w:t>
      </w:r>
      <w:bookmarkEnd w:id="61"/>
      <w:bookmarkEnd w:id="62"/>
      <w:bookmarkEnd w:id="63"/>
    </w:p>
    <w:p w14:paraId="43090E4E">
      <w:pPr>
        <w:spacing w:line="360" w:lineRule="auto"/>
        <w:ind w:firstLine="420" w:firstLineChars="200"/>
        <w:rPr>
          <w:rFonts w:ascii="宋体" w:hAnsi="宋体" w:cs="宋体"/>
          <w:szCs w:val="21"/>
          <w:highlight w:val="none"/>
        </w:rPr>
      </w:pPr>
      <w:r>
        <w:rPr>
          <w:rFonts w:hint="eastAsia" w:ascii="宋体" w:hAnsi="宋体" w:cs="宋体"/>
          <w:color w:val="000000"/>
          <w:kern w:val="0"/>
          <w:szCs w:val="21"/>
          <w:highlight w:val="none"/>
        </w:rPr>
        <w:t>本项目的功能需要要能够覆盖公司及下属公司的信息化综合管理需求，除功能需求外要保证外部接口的顺利对接等。</w:t>
      </w:r>
      <w:r>
        <w:rPr>
          <w:rFonts w:hint="eastAsia" w:ascii="宋体" w:hAnsi="宋体" w:cs="宋体"/>
          <w:szCs w:val="21"/>
          <w:highlight w:val="none"/>
        </w:rPr>
        <w:t>需求清单一览：</w:t>
      </w:r>
    </w:p>
    <w:tbl>
      <w:tblPr>
        <w:tblStyle w:val="14"/>
        <w:tblW w:w="5000" w:type="pct"/>
        <w:tblInd w:w="0" w:type="dxa"/>
        <w:tblLayout w:type="fixed"/>
        <w:tblCellMar>
          <w:top w:w="0" w:type="dxa"/>
          <w:left w:w="108" w:type="dxa"/>
          <w:bottom w:w="0" w:type="dxa"/>
          <w:right w:w="108" w:type="dxa"/>
        </w:tblCellMar>
      </w:tblPr>
      <w:tblGrid>
        <w:gridCol w:w="637"/>
        <w:gridCol w:w="1423"/>
        <w:gridCol w:w="3620"/>
        <w:gridCol w:w="4282"/>
      </w:tblGrid>
      <w:tr w14:paraId="46C2FDDF">
        <w:tblPrEx>
          <w:tblCellMar>
            <w:top w:w="0" w:type="dxa"/>
            <w:left w:w="108" w:type="dxa"/>
            <w:bottom w:w="0" w:type="dxa"/>
            <w:right w:w="108" w:type="dxa"/>
          </w:tblCellMar>
        </w:tblPrEx>
        <w:trPr>
          <w:trHeight w:val="613"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DDEBF7"/>
            <w:noWrap/>
            <w:vAlign w:val="center"/>
          </w:tcPr>
          <w:p w14:paraId="3895F79B">
            <w:pPr>
              <w:widowControl/>
              <w:jc w:val="center"/>
              <w:textAlignment w:val="center"/>
              <w:rPr>
                <w:rFonts w:ascii="宋体" w:hAnsi="宋体" w:cs="宋体"/>
                <w:b/>
                <w:bCs/>
                <w:color w:val="000000"/>
                <w:szCs w:val="21"/>
                <w:highlight w:val="none"/>
              </w:rPr>
            </w:pPr>
            <w:r>
              <w:rPr>
                <w:rFonts w:hint="eastAsia" w:ascii="宋体" w:hAnsi="宋体" w:cs="宋体"/>
                <w:b/>
                <w:bCs/>
                <w:color w:val="000000"/>
                <w:kern w:val="0"/>
                <w:szCs w:val="21"/>
                <w:highlight w:val="none"/>
              </w:rPr>
              <w:t>资产设备信息系统需求清单</w:t>
            </w:r>
          </w:p>
        </w:tc>
      </w:tr>
      <w:tr w14:paraId="56EB5268">
        <w:tblPrEx>
          <w:tblCellMar>
            <w:top w:w="0" w:type="dxa"/>
            <w:left w:w="108" w:type="dxa"/>
            <w:bottom w:w="0" w:type="dxa"/>
            <w:right w:w="108" w:type="dxa"/>
          </w:tblCellMar>
        </w:tblPrEx>
        <w:trPr>
          <w:trHeight w:val="484" w:hRule="atLeast"/>
        </w:trPr>
        <w:tc>
          <w:tcPr>
            <w:tcW w:w="1034" w:type="pct"/>
            <w:gridSpan w:val="2"/>
            <w:tcBorders>
              <w:top w:val="single" w:color="000000" w:sz="4" w:space="0"/>
              <w:left w:val="single" w:color="000000" w:sz="4" w:space="0"/>
              <w:bottom w:val="single" w:color="000000" w:sz="4" w:space="0"/>
              <w:right w:val="single" w:color="000000" w:sz="4" w:space="0"/>
            </w:tcBorders>
            <w:shd w:val="clear" w:color="auto" w:fill="DDEBF7"/>
            <w:noWrap/>
            <w:vAlign w:val="center"/>
          </w:tcPr>
          <w:p w14:paraId="07878CE5">
            <w:pPr>
              <w:widowControl/>
              <w:jc w:val="center"/>
              <w:textAlignment w:val="center"/>
              <w:rPr>
                <w:rFonts w:ascii="宋体" w:hAnsi="宋体" w:cs="宋体"/>
                <w:b/>
                <w:bCs/>
                <w:color w:val="000000"/>
                <w:szCs w:val="21"/>
                <w:highlight w:val="none"/>
              </w:rPr>
            </w:pPr>
            <w:r>
              <w:rPr>
                <w:rFonts w:hint="eastAsia" w:ascii="宋体" w:hAnsi="宋体" w:cs="宋体"/>
                <w:b/>
                <w:bCs/>
                <w:color w:val="000000"/>
                <w:kern w:val="0"/>
                <w:szCs w:val="21"/>
                <w:highlight w:val="none"/>
              </w:rPr>
              <w:t>功能项</w:t>
            </w:r>
          </w:p>
        </w:tc>
        <w:tc>
          <w:tcPr>
            <w:tcW w:w="1817" w:type="pct"/>
            <w:tcBorders>
              <w:top w:val="single" w:color="000000" w:sz="4" w:space="0"/>
              <w:left w:val="single" w:color="000000" w:sz="4" w:space="0"/>
              <w:bottom w:val="single" w:color="000000" w:sz="4" w:space="0"/>
              <w:right w:val="single" w:color="000000" w:sz="4" w:space="0"/>
            </w:tcBorders>
            <w:shd w:val="clear" w:color="auto" w:fill="DDEBF7"/>
            <w:noWrap/>
            <w:vAlign w:val="center"/>
          </w:tcPr>
          <w:p w14:paraId="02564B2E">
            <w:pPr>
              <w:widowControl/>
              <w:jc w:val="center"/>
              <w:textAlignment w:val="center"/>
              <w:rPr>
                <w:rFonts w:ascii="宋体" w:hAnsi="宋体" w:cs="宋体"/>
                <w:b/>
                <w:bCs/>
                <w:color w:val="000000"/>
                <w:szCs w:val="21"/>
                <w:highlight w:val="none"/>
              </w:rPr>
            </w:pPr>
            <w:r>
              <w:rPr>
                <w:rFonts w:hint="eastAsia" w:ascii="宋体" w:hAnsi="宋体" w:cs="宋体"/>
                <w:b/>
                <w:bCs/>
                <w:color w:val="000000"/>
                <w:kern w:val="0"/>
                <w:szCs w:val="21"/>
                <w:highlight w:val="none"/>
              </w:rPr>
              <w:t>需求说明</w:t>
            </w:r>
          </w:p>
        </w:tc>
        <w:tc>
          <w:tcPr>
            <w:tcW w:w="2147" w:type="pct"/>
            <w:tcBorders>
              <w:top w:val="single" w:color="000000" w:sz="4" w:space="0"/>
              <w:left w:val="single" w:color="000000" w:sz="4" w:space="0"/>
              <w:bottom w:val="single" w:color="000000" w:sz="4" w:space="0"/>
              <w:right w:val="single" w:color="000000" w:sz="4" w:space="0"/>
            </w:tcBorders>
            <w:shd w:val="clear" w:color="auto" w:fill="DDEBF7"/>
            <w:noWrap/>
            <w:vAlign w:val="center"/>
          </w:tcPr>
          <w:p w14:paraId="4AAD72C7">
            <w:pPr>
              <w:widowControl/>
              <w:jc w:val="center"/>
              <w:textAlignment w:val="center"/>
              <w:rPr>
                <w:rFonts w:ascii="宋体" w:hAnsi="宋体" w:cs="宋体"/>
                <w:b/>
                <w:bCs/>
                <w:color w:val="000000"/>
                <w:szCs w:val="21"/>
                <w:highlight w:val="none"/>
              </w:rPr>
            </w:pPr>
            <w:r>
              <w:rPr>
                <w:rFonts w:hint="eastAsia" w:ascii="宋体" w:hAnsi="宋体" w:cs="宋体"/>
                <w:b/>
                <w:bCs/>
                <w:color w:val="000000"/>
                <w:kern w:val="0"/>
                <w:szCs w:val="21"/>
                <w:highlight w:val="none"/>
              </w:rPr>
              <w:t>支持内容</w:t>
            </w:r>
          </w:p>
        </w:tc>
      </w:tr>
      <w:tr w14:paraId="6FE202FD">
        <w:tblPrEx>
          <w:tblCellMar>
            <w:top w:w="0" w:type="dxa"/>
            <w:left w:w="108" w:type="dxa"/>
            <w:bottom w:w="0" w:type="dxa"/>
            <w:right w:w="108" w:type="dxa"/>
          </w:tblCellMar>
        </w:tblPrEx>
        <w:trPr>
          <w:trHeight w:val="1720" w:hRule="atLeast"/>
        </w:trPr>
        <w:tc>
          <w:tcPr>
            <w:tcW w:w="320" w:type="pct"/>
            <w:vMerge w:val="restart"/>
            <w:tcBorders>
              <w:top w:val="single" w:color="000000" w:sz="4" w:space="0"/>
              <w:left w:val="single" w:color="000000" w:sz="4" w:space="0"/>
              <w:bottom w:val="single" w:color="000000" w:sz="4" w:space="0"/>
              <w:right w:val="single" w:color="000000" w:sz="4" w:space="0"/>
            </w:tcBorders>
            <w:noWrap/>
            <w:vAlign w:val="center"/>
          </w:tcPr>
          <w:p w14:paraId="3F476FFE">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基础信息</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72325557">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资产分类</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2BDED58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分类能够根据公司需求将资产分为固定资产分类（如：机器设备、交通运输工具、电子设备、家具用具等）、无形资产分类和低值易耗品分类，既可使用国标资产分类编码，也可由使用单位自定义编码，资产编码一级财务一致，根据需要设置二、三级资产编码，支持资产的多级分类</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58258DE2">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1.支持国标《固定资产分类与代码》（GB/T14885-2011）。</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2.支持国标《无形资产分类与代码》（GB/T35416-2017）。</w:t>
            </w:r>
          </w:p>
        </w:tc>
      </w:tr>
      <w:tr w14:paraId="530B68C6">
        <w:tblPrEx>
          <w:tblCellMar>
            <w:top w:w="0" w:type="dxa"/>
            <w:left w:w="108" w:type="dxa"/>
            <w:bottom w:w="0" w:type="dxa"/>
            <w:right w:w="108" w:type="dxa"/>
          </w:tblCellMar>
        </w:tblPrEx>
        <w:trPr>
          <w:trHeight w:val="709"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2BAE9E20">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1175BFB1">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存放位置</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5AE27981">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存放位置存储资产的在单位中的归属及存放位置信息，包括管理人、管理部门、存放仓库信息，</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2A56E730">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1.支持在地图中标注存放地址，可在用于移动端的定位查看；</w:t>
            </w:r>
          </w:p>
        </w:tc>
      </w:tr>
      <w:tr w14:paraId="6A552D04">
        <w:tblPrEx>
          <w:tblCellMar>
            <w:top w:w="0" w:type="dxa"/>
            <w:left w:w="108" w:type="dxa"/>
            <w:bottom w:w="0" w:type="dxa"/>
            <w:right w:w="108" w:type="dxa"/>
          </w:tblCellMar>
        </w:tblPrEx>
        <w:trPr>
          <w:trHeight w:val="138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639C001E">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19EB0E3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资产主数据</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21440BC7">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存储同类资产的基础信息和对应数量信息，便于管理员对同类资产的统一管理，同时可实时知晓公司资产存量，避免多余闲置资产。支持快捷批量启用和停用资产主数据，支持快速发起入库质检表单，批量入库资产。</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085C665B">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1.支持快捷批量启用和停用资产主数据；</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w:t>
            </w:r>
            <w:r>
              <w:rPr>
                <w:rStyle w:val="23"/>
                <w:rFonts w:hint="default"/>
                <w:highlight w:val="none"/>
              </w:rPr>
              <w:t>支持快速发起入库质检表单，批量入库资产。</w:t>
            </w:r>
          </w:p>
        </w:tc>
      </w:tr>
      <w:tr w14:paraId="6C69162E">
        <w:tblPrEx>
          <w:tblCellMar>
            <w:top w:w="0" w:type="dxa"/>
            <w:left w:w="108" w:type="dxa"/>
            <w:bottom w:w="0" w:type="dxa"/>
            <w:right w:w="108" w:type="dxa"/>
          </w:tblCellMar>
        </w:tblPrEx>
        <w:trPr>
          <w:trHeight w:val="1260" w:hRule="atLeast"/>
        </w:trPr>
        <w:tc>
          <w:tcPr>
            <w:tcW w:w="320" w:type="pct"/>
            <w:vMerge w:val="restart"/>
            <w:tcBorders>
              <w:top w:val="single" w:color="000000" w:sz="4" w:space="0"/>
              <w:left w:val="single" w:color="000000" w:sz="4" w:space="0"/>
              <w:bottom w:val="single" w:color="000000" w:sz="4" w:space="0"/>
              <w:right w:val="single" w:color="000000" w:sz="4" w:space="0"/>
            </w:tcBorders>
            <w:noWrap/>
            <w:vAlign w:val="center"/>
          </w:tcPr>
          <w:p w14:paraId="775928BD">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资产入库（资产登记）</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6E24CB6C">
            <w:pPr>
              <w:widowControl/>
              <w:jc w:val="left"/>
              <w:textAlignment w:val="center"/>
              <w:rPr>
                <w:rFonts w:ascii="宋体" w:hAnsi="宋体" w:cs="宋体"/>
                <w:color w:val="000000"/>
                <w:szCs w:val="21"/>
                <w:highlight w:val="none"/>
              </w:rPr>
            </w:pPr>
            <w:r>
              <w:rPr>
                <w:rFonts w:hint="eastAsia" w:ascii="宋体" w:hAnsi="宋体" w:cs="宋体"/>
                <w:color w:val="000000"/>
                <w:szCs w:val="21"/>
                <w:highlight w:val="none"/>
              </w:rPr>
              <w:t>采购验收入库</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48016896">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资产采购完入库时填写，记录资产入库及质检情况（质检可根据资产入库规定选择填写，默认为“否”）。</w:t>
            </w:r>
          </w:p>
        </w:tc>
        <w:tc>
          <w:tcPr>
            <w:tcW w:w="2147" w:type="pct"/>
            <w:vMerge w:val="restart"/>
            <w:tcBorders>
              <w:top w:val="single" w:color="000000" w:sz="4" w:space="0"/>
              <w:left w:val="single" w:color="000000" w:sz="4" w:space="0"/>
              <w:bottom w:val="single" w:color="000000" w:sz="4" w:space="0"/>
              <w:right w:val="single" w:color="000000" w:sz="4" w:space="0"/>
            </w:tcBorders>
            <w:noWrap/>
            <w:vAlign w:val="center"/>
          </w:tcPr>
          <w:p w14:paraId="0E9281CE">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1.支持根据申请人所在部门自动读取出资产的存放位置。</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2.支持从资产主数据中读取联资产信息，包含资产名称、规格型号、资产编码。</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3.需要质检时，由支持检人员填写质检情况（默认流程配置）。</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4.支持资产取得方式包括调剂、租用、购置、在建工程转固、研发费用资本化、接受捐赠。</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5.支持根据资产入库数量，自动生成对应数量的资产卡片。</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6.支持办理完成后，更新资产主数据的资产“入库量”，系统自动更新当前资产库存量。</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7.支持批量资产的登记，自动同类资产自动拆分</w:t>
            </w:r>
          </w:p>
        </w:tc>
      </w:tr>
      <w:tr w14:paraId="3A2F5F39">
        <w:tblPrEx>
          <w:tblCellMar>
            <w:top w:w="0" w:type="dxa"/>
            <w:left w:w="108" w:type="dxa"/>
            <w:bottom w:w="0" w:type="dxa"/>
            <w:right w:w="108" w:type="dxa"/>
          </w:tblCellMar>
        </w:tblPrEx>
        <w:trPr>
          <w:trHeight w:val="290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77383C34">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613DE039">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固定资产转固登记</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3F9DDD50">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固定资产转固登记，对在建工程进行转固，</w:t>
            </w:r>
            <w:r>
              <w:rPr>
                <w:rFonts w:hint="eastAsia" w:ascii="宋体" w:hAnsi="宋体" w:cs="宋体"/>
                <w:color w:val="000000"/>
                <w:kern w:val="0"/>
                <w:szCs w:val="21"/>
                <w:highlight w:val="none"/>
              </w:rPr>
              <w:t>OA系统</w:t>
            </w:r>
            <w:r>
              <w:rPr>
                <w:rFonts w:hint="eastAsia" w:ascii="宋体" w:hAnsi="宋体" w:cs="宋体"/>
                <w:color w:val="000000"/>
                <w:kern w:val="0"/>
                <w:szCs w:val="21"/>
                <w:highlight w:val="none"/>
              </w:rPr>
              <w:t>发起在建工程转固，申请审批结束后对固定资产进行转固登记。</w:t>
            </w:r>
          </w:p>
        </w:tc>
        <w:tc>
          <w:tcPr>
            <w:tcW w:w="2147" w:type="pct"/>
            <w:vMerge w:val="continue"/>
            <w:tcBorders>
              <w:top w:val="single" w:color="000000" w:sz="4" w:space="0"/>
              <w:left w:val="single" w:color="000000" w:sz="4" w:space="0"/>
              <w:bottom w:val="single" w:color="000000" w:sz="4" w:space="0"/>
              <w:right w:val="single" w:color="000000" w:sz="4" w:space="0"/>
            </w:tcBorders>
            <w:noWrap/>
            <w:vAlign w:val="center"/>
          </w:tcPr>
          <w:p w14:paraId="0FA1F9E5">
            <w:pPr>
              <w:jc w:val="left"/>
              <w:rPr>
                <w:rFonts w:ascii="宋体" w:hAnsi="宋体" w:cs="宋体"/>
                <w:color w:val="000000"/>
                <w:szCs w:val="21"/>
                <w:highlight w:val="none"/>
              </w:rPr>
            </w:pPr>
          </w:p>
        </w:tc>
      </w:tr>
      <w:tr w14:paraId="18174191">
        <w:tblPrEx>
          <w:tblCellMar>
            <w:top w:w="0" w:type="dxa"/>
            <w:left w:w="108" w:type="dxa"/>
            <w:bottom w:w="0" w:type="dxa"/>
            <w:right w:w="108" w:type="dxa"/>
          </w:tblCellMar>
        </w:tblPrEx>
        <w:trPr>
          <w:trHeight w:val="1919" w:hRule="atLeast"/>
        </w:trPr>
        <w:tc>
          <w:tcPr>
            <w:tcW w:w="320" w:type="pct"/>
            <w:tcBorders>
              <w:top w:val="single" w:color="000000" w:sz="4" w:space="0"/>
              <w:left w:val="single" w:color="000000" w:sz="4" w:space="0"/>
              <w:bottom w:val="single" w:color="000000" w:sz="4" w:space="0"/>
              <w:right w:val="single" w:color="000000" w:sz="4" w:space="0"/>
            </w:tcBorders>
            <w:noWrap/>
            <w:vAlign w:val="center"/>
          </w:tcPr>
          <w:p w14:paraId="34B9C3DE">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资产档案</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70D20764">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资产卡片</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0D67855A">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存储资产的基础信息（包含名称、编号、来源、规格型号、资产类型、资产类别、原始金额、数量、购入日期等）、使用信息（管理部门、使用部门、管理人、使用人、存放位置、出库日期等）、盘点信息、处置信息和维保信息以及资产的图片和信息二维码。</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79CFBBF5">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1.支持按固定资产、无形资产、</w:t>
            </w:r>
            <w:r>
              <w:rPr>
                <w:rFonts w:hint="eastAsia" w:ascii="宋体" w:hAnsi="宋体" w:cs="宋体"/>
                <w:color w:val="000000"/>
                <w:kern w:val="0"/>
                <w:szCs w:val="21"/>
                <w:highlight w:val="none"/>
              </w:rPr>
              <w:t>备品备件</w:t>
            </w:r>
            <w:r>
              <w:rPr>
                <w:rFonts w:hint="eastAsia" w:ascii="宋体" w:hAnsi="宋体" w:cs="宋体"/>
                <w:color w:val="000000"/>
                <w:kern w:val="0"/>
                <w:szCs w:val="21"/>
                <w:highlight w:val="none"/>
              </w:rPr>
              <w:t>分类型以及在用、闲置、封存分状态树形显示资产记录；</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2.支持批量补录固定资产信息，包括保修、保养等维修信息及车辆等特定资产的基础信息；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3.支持批量选择固定资产卡片，打印资产标签，二维码</w:t>
            </w:r>
            <w:r>
              <w:rPr>
                <w:rFonts w:hint="eastAsia" w:ascii="宋体" w:hAnsi="宋体" w:cs="宋体"/>
                <w:color w:val="000000"/>
                <w:kern w:val="0"/>
                <w:szCs w:val="21"/>
                <w:highlight w:val="none"/>
              </w:rPr>
              <w:t>，支持RFID芯片绑定。</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4.支出固定资产快速出库（只需填写使用人即可）；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5.支持批量移交固定资产（修改管理和使用权）；</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6.支持批量快捷修改资产的状态；</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7.支持批量勾选资产，推送盘点任务；</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8.支持单个或批量勾选需维修固定资产，发起资产维修流程；</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9.支持批量勾选资产，发起资产借用流程；</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10.支持批量勾选的资产，发起资产处置流程；</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11.支持批量勾选需要调拨的资产，将资产管理权或使用权转移给其他部门或项目，发起调拨转移流程；</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12.支持向资产管理人员自动推送资产使用到期提醒（默认使用期限到期前30天）、保养提醒（默认保养计划日期到期前30天）、保修期到期提醒（默认保修期限到期前30天）；</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13.支持定期生成资产盘点信息并推送盘点任务（</w:t>
            </w:r>
            <w:r>
              <w:rPr>
                <w:rStyle w:val="23"/>
                <w:rFonts w:hint="default"/>
                <w:highlight w:val="none"/>
              </w:rPr>
              <w:t>注：默认有按半年、年来生成，可按需自行配置</w:t>
            </w:r>
            <w:r>
              <w:rPr>
                <w:rStyle w:val="24"/>
                <w:rFonts w:hint="default"/>
                <w:highlight w:val="none"/>
              </w:rPr>
              <w:t>）。</w:t>
            </w:r>
          </w:p>
        </w:tc>
      </w:tr>
      <w:tr w14:paraId="1161674F">
        <w:tblPrEx>
          <w:tblCellMar>
            <w:top w:w="0" w:type="dxa"/>
            <w:left w:w="108" w:type="dxa"/>
            <w:bottom w:w="0" w:type="dxa"/>
            <w:right w:w="108" w:type="dxa"/>
          </w:tblCellMar>
        </w:tblPrEx>
        <w:trPr>
          <w:trHeight w:val="1219" w:hRule="atLeast"/>
        </w:trPr>
        <w:tc>
          <w:tcPr>
            <w:tcW w:w="320" w:type="pct"/>
            <w:vMerge w:val="restart"/>
            <w:tcBorders>
              <w:top w:val="single" w:color="000000" w:sz="4" w:space="0"/>
              <w:left w:val="single" w:color="000000" w:sz="4" w:space="0"/>
              <w:bottom w:val="single" w:color="000000" w:sz="4" w:space="0"/>
              <w:right w:val="single" w:color="000000" w:sz="4" w:space="0"/>
            </w:tcBorders>
            <w:noWrap/>
            <w:vAlign w:val="center"/>
          </w:tcPr>
          <w:p w14:paraId="2289DA07">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资产管理事务</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46D6D98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资产领用</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2959ABD7">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用于员工申领资产时使用。员工申请时，从资产主数据中选择资产，资产管理员收到此单据流程后，根据资产的库存情况，选择单个资产进行出库</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12308D01">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1.支持从资产主数据中读取资产的相关信息；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2.支持从资产存放地点列表中选择资产的存放地点（系统默认带出“领用人”所在部门的存放位置）；</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3.支持办理完成后，自动更新资产卡片中的使用责任相关信息。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4.支持办理完成后，自动更新资产主数据中的资产“出库量”，系统自动更新当前资产库存量。</w:t>
            </w:r>
          </w:p>
          <w:p w14:paraId="5B4E5DA6">
            <w:pPr>
              <w:widowControl/>
              <w:jc w:val="left"/>
              <w:textAlignment w:val="center"/>
              <w:rPr>
                <w:highlight w:val="none"/>
              </w:rPr>
            </w:pPr>
            <w:r>
              <w:rPr>
                <w:rFonts w:hint="eastAsia" w:ascii="宋体" w:hAnsi="宋体" w:cs="宋体"/>
                <w:color w:val="000000"/>
                <w:kern w:val="0"/>
                <w:szCs w:val="21"/>
                <w:highlight w:val="none"/>
              </w:rPr>
              <w:t>5.支持领用流程与OA系统审批流对接</w:t>
            </w:r>
          </w:p>
        </w:tc>
      </w:tr>
      <w:tr w14:paraId="64DBAE81">
        <w:tblPrEx>
          <w:tblCellMar>
            <w:top w:w="0" w:type="dxa"/>
            <w:left w:w="108" w:type="dxa"/>
            <w:bottom w:w="0" w:type="dxa"/>
            <w:right w:w="108" w:type="dxa"/>
          </w:tblCellMar>
        </w:tblPrEx>
        <w:trPr>
          <w:trHeight w:val="122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437E4283">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25E604C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资产移交</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29C1FA24">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资产的管理人或使用人在资产的管理、使用发生变化时办理资产的移交事务。</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15EBF463">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1.支持从资产卡片中读取资产的相关信息；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2.支持从资产存放地点类别中选择资产的存放地点；</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3.支持移交完成后，自动更新资产卡片中的使用责任相关信息。</w:t>
            </w:r>
          </w:p>
          <w:p w14:paraId="2E158C60">
            <w:pPr>
              <w:rPr>
                <w:highlight w:val="none"/>
              </w:rPr>
            </w:pPr>
            <w:r>
              <w:rPr>
                <w:rFonts w:hint="eastAsia"/>
                <w:highlight w:val="none"/>
              </w:rPr>
              <w:t>4.支持移交流程与OA系统审批流对接</w:t>
            </w:r>
          </w:p>
        </w:tc>
      </w:tr>
      <w:tr w14:paraId="072C8F53">
        <w:tblPrEx>
          <w:tblCellMar>
            <w:top w:w="0" w:type="dxa"/>
            <w:left w:w="108" w:type="dxa"/>
            <w:bottom w:w="0" w:type="dxa"/>
            <w:right w:w="108" w:type="dxa"/>
          </w:tblCellMar>
        </w:tblPrEx>
        <w:trPr>
          <w:trHeight w:val="732"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4FD24D3A">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26D0620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资产借用与归还</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1425C135">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员工借用公用资产。</w:t>
            </w:r>
          </w:p>
          <w:p w14:paraId="6773778E">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借用后归还自己管理使用的资产，资产归还后状态变更为闲置资产，交由对应管理部门的管理人。</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489840D6">
            <w:pPr>
              <w:widowControl/>
              <w:jc w:val="left"/>
              <w:textAlignment w:val="center"/>
              <w:rPr>
                <w:highlight w:val="none"/>
              </w:rPr>
            </w:pPr>
            <w:r>
              <w:rPr>
                <w:rFonts w:hint="eastAsia" w:ascii="宋体" w:hAnsi="宋体" w:cs="宋体"/>
                <w:color w:val="000000"/>
                <w:kern w:val="0"/>
                <w:szCs w:val="21"/>
                <w:highlight w:val="none"/>
              </w:rPr>
              <w:t>1.支持从资产卡片中读取“闲置”资产的相关信息；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2.支持借用后自动存储借用人、借用日期、使用方式等信息到资产卡片，同时自动更新对应资产主数据中的库存数量。</w:t>
            </w:r>
          </w:p>
          <w:p w14:paraId="29C1C8CF">
            <w:pPr>
              <w:rPr>
                <w:highlight w:val="none"/>
              </w:rPr>
            </w:pPr>
            <w:r>
              <w:rPr>
                <w:rFonts w:hint="eastAsia"/>
                <w:highlight w:val="none"/>
              </w:rPr>
              <w:t>3.支持借用流程与OA系统审批流对接；</w:t>
            </w:r>
          </w:p>
        </w:tc>
      </w:tr>
      <w:tr w14:paraId="71F1B35D">
        <w:tblPrEx>
          <w:tblCellMar>
            <w:top w:w="0" w:type="dxa"/>
            <w:left w:w="108" w:type="dxa"/>
            <w:bottom w:w="0" w:type="dxa"/>
            <w:right w:w="108" w:type="dxa"/>
          </w:tblCellMar>
        </w:tblPrEx>
        <w:trPr>
          <w:trHeight w:val="130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48FC0A89">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1A0C8929">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资产维修</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1A2886BB">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员工对于管理、使用的资产在受损后提请对资产加以维修，并记录维修的相关情况（包括维修日期、费用和维修结果）。</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261AA74E">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1.支持从资产卡片中读取资产的相关信息；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2.支持维修完成后存储维修费用到资产卡片中。</w:t>
            </w:r>
          </w:p>
        </w:tc>
      </w:tr>
      <w:tr w14:paraId="584C725D">
        <w:tblPrEx>
          <w:tblCellMar>
            <w:top w:w="0" w:type="dxa"/>
            <w:left w:w="108" w:type="dxa"/>
            <w:bottom w:w="0" w:type="dxa"/>
            <w:right w:w="108" w:type="dxa"/>
          </w:tblCellMar>
        </w:tblPrEx>
        <w:trPr>
          <w:trHeight w:val="188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60F50493">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3AF9681A">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资产调拨</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4F6CC1D1">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资产管理部门根据实际情况确定资产在不同的部门之间调配使用。</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64E1F6C9">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1.支持从资产卡片中读取资产的相关信息；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2.支持从资产存放地点类别中读取资产的存放地点；</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3.支持调拨完成后更新资产的管理人、使用人、管理部门、使用部门、存放地点等信息。</w:t>
            </w:r>
          </w:p>
        </w:tc>
      </w:tr>
      <w:tr w14:paraId="04A4269D">
        <w:tblPrEx>
          <w:tblCellMar>
            <w:top w:w="0" w:type="dxa"/>
            <w:left w:w="108" w:type="dxa"/>
            <w:bottom w:w="0" w:type="dxa"/>
            <w:right w:w="108" w:type="dxa"/>
          </w:tblCellMar>
        </w:tblPrEx>
        <w:trPr>
          <w:trHeight w:val="445"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08E4A2A9">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4A94AAF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资产处置</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39E0F037">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在资产报废、报损、置换等处置时使用（需根据单位内部资产处置相关规定，定义不同的审批流程）。</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2D8A3568">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1.支持从资产卡片中读取资产的相关信息；</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2.支持批量处置资产，记录资产处置费用、处置收入。</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3.支持办理结束后，自动更新资产卡片中资产状态，并更新资产主数据中“处置量”，系统自动更新当前资产库存量。</w:t>
            </w:r>
          </w:p>
        </w:tc>
      </w:tr>
      <w:tr w14:paraId="499CCC47">
        <w:tblPrEx>
          <w:tblCellMar>
            <w:top w:w="0" w:type="dxa"/>
            <w:left w:w="108" w:type="dxa"/>
            <w:bottom w:w="0" w:type="dxa"/>
            <w:right w:w="108" w:type="dxa"/>
          </w:tblCellMar>
        </w:tblPrEx>
        <w:trPr>
          <w:trHeight w:val="1640" w:hRule="atLeast"/>
        </w:trPr>
        <w:tc>
          <w:tcPr>
            <w:tcW w:w="320" w:type="pct"/>
            <w:vMerge w:val="restart"/>
            <w:tcBorders>
              <w:top w:val="single" w:color="000000" w:sz="4" w:space="0"/>
              <w:left w:val="single" w:color="000000" w:sz="4" w:space="0"/>
              <w:bottom w:val="single" w:color="000000" w:sz="4" w:space="0"/>
              <w:right w:val="single" w:color="000000" w:sz="4" w:space="0"/>
            </w:tcBorders>
            <w:noWrap/>
            <w:vAlign w:val="center"/>
          </w:tcPr>
          <w:p w14:paraId="4401948D">
            <w:pPr>
              <w:widowControl/>
              <w:jc w:val="left"/>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资产盘点</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026098C5">
            <w:pPr>
              <w:widowControl/>
              <w:jc w:val="left"/>
              <w:textAlignment w:val="center"/>
              <w:rPr>
                <w:rFonts w:ascii="宋体" w:hAnsi="宋体" w:cs="宋体"/>
                <w:color w:val="000000"/>
                <w:szCs w:val="21"/>
                <w:highlight w:val="none"/>
              </w:rPr>
            </w:pPr>
            <w:r>
              <w:rPr>
                <w:rFonts w:hint="eastAsia" w:ascii="宋体" w:hAnsi="宋体" w:cs="宋体"/>
                <w:color w:val="000000"/>
                <w:szCs w:val="21"/>
                <w:highlight w:val="none"/>
              </w:rPr>
              <w:t>盘点任务</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6F350680">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存储资产盘点任务的信息，除资产基础信息外包括盘点人、盘点日期，盘点时资产状态等。</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207522A7">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1.支持按管理部门、管理人、使用人展示当前的盘点任务情况；</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2.支持批量选择盘亏资产，发起资产处置流程；</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3.支持按盘点时间生成盘点报告，记录盘点总量、未盘点量、已盘点量，并同时支持查看盘点明细。</w:t>
            </w:r>
          </w:p>
        </w:tc>
      </w:tr>
      <w:tr w14:paraId="0370559B">
        <w:tblPrEx>
          <w:tblCellMar>
            <w:top w:w="0" w:type="dxa"/>
            <w:left w:w="108" w:type="dxa"/>
            <w:bottom w:w="0" w:type="dxa"/>
            <w:right w:w="108" w:type="dxa"/>
          </w:tblCellMar>
        </w:tblPrEx>
        <w:trPr>
          <w:trHeight w:val="224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4B20E794">
            <w:pP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4569A916">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盘点记录</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3AC11F76">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资产管理人员、使用人员按要求登记资产的盘点信息。</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2B0E6425">
            <w:pPr>
              <w:rPr>
                <w:rFonts w:ascii="宋体" w:hAnsi="宋体" w:cs="宋体"/>
                <w:color w:val="000000"/>
                <w:szCs w:val="21"/>
                <w:highlight w:val="none"/>
              </w:rPr>
            </w:pPr>
            <w:r>
              <w:rPr>
                <w:rFonts w:hint="eastAsia" w:ascii="宋体" w:hAnsi="宋体" w:cs="宋体"/>
                <w:color w:val="000000"/>
                <w:kern w:val="0"/>
                <w:szCs w:val="21"/>
                <w:highlight w:val="none"/>
              </w:rPr>
              <w:t>1.支持通过手机端填写盘点单时，可扫描资产二维码来自动填写资产的相关信息</w:t>
            </w:r>
            <w:r>
              <w:rPr>
                <w:rStyle w:val="24"/>
                <w:rFonts w:hint="default"/>
                <w:highlight w:val="none"/>
              </w:rPr>
              <w:t>；</w:t>
            </w:r>
            <w:r>
              <w:rPr>
                <w:rStyle w:val="24"/>
                <w:rFonts w:hint="default"/>
                <w:highlight w:val="none"/>
              </w:rPr>
              <w:br w:type="textWrapping"/>
            </w:r>
            <w:r>
              <w:rPr>
                <w:rStyle w:val="24"/>
                <w:rFonts w:hint="default"/>
                <w:highlight w:val="none"/>
              </w:rPr>
              <w:t xml:space="preserve">2.支持盘点完成后，自动记录本次盘点日期、盘点人、盘点中通等信息到资产卡片和盘点信息中。       </w:t>
            </w:r>
            <w:r>
              <w:rPr>
                <w:rStyle w:val="24"/>
                <w:rFonts w:hint="default"/>
                <w:highlight w:val="none"/>
              </w:rPr>
              <w:br w:type="textWrapping"/>
            </w:r>
            <w:r>
              <w:rPr>
                <w:rStyle w:val="24"/>
                <w:rFonts w:hint="default"/>
                <w:highlight w:val="none"/>
              </w:rPr>
              <w:t>3.支持RFID智能盘点</w:t>
            </w:r>
          </w:p>
        </w:tc>
      </w:tr>
      <w:tr w14:paraId="4DB4AC65">
        <w:tblPrEx>
          <w:tblCellMar>
            <w:top w:w="0" w:type="dxa"/>
            <w:left w:w="108" w:type="dxa"/>
            <w:bottom w:w="0" w:type="dxa"/>
            <w:right w:w="108" w:type="dxa"/>
          </w:tblCellMar>
        </w:tblPrEx>
        <w:trPr>
          <w:trHeight w:val="1480" w:hRule="atLeast"/>
        </w:trPr>
        <w:tc>
          <w:tcPr>
            <w:tcW w:w="320" w:type="pct"/>
            <w:vMerge w:val="restart"/>
            <w:tcBorders>
              <w:top w:val="single" w:color="000000" w:sz="4" w:space="0"/>
              <w:left w:val="single" w:color="000000" w:sz="4" w:space="0"/>
              <w:bottom w:val="single" w:color="000000" w:sz="4" w:space="0"/>
              <w:right w:val="single" w:color="000000" w:sz="4" w:space="0"/>
            </w:tcBorders>
            <w:noWrap/>
            <w:vAlign w:val="center"/>
          </w:tcPr>
          <w:p w14:paraId="273DFEF4">
            <w:pPr>
              <w:widowControl/>
              <w:jc w:val="center"/>
              <w:textAlignment w:val="center"/>
              <w:rPr>
                <w:rFonts w:ascii="宋体" w:hAnsi="宋体" w:cs="宋体"/>
                <w:b/>
                <w:bCs/>
                <w:color w:val="5B9BD5"/>
                <w:szCs w:val="21"/>
                <w:highlight w:val="none"/>
              </w:rPr>
            </w:pPr>
            <w:r>
              <w:rPr>
                <w:rFonts w:hint="eastAsia" w:ascii="宋体" w:hAnsi="宋体" w:cs="宋体"/>
                <w:b/>
                <w:bCs/>
                <w:color w:val="5B9BD5"/>
                <w:szCs w:val="21"/>
                <w:highlight w:val="none"/>
              </w:rPr>
              <w:t>备品备件</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1F7BD5BF">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信息管理</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5DC7412D">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存储资产的基础信息（包含名称、编号、来源、规格型号、资产类型、资产类别、原始金额、数量、购入日期等）、使用信息（管理部门、使用部门、管理人、使用人、存放位置、出库日期等）、盘点信息、处置信息和维保信息以及资产的图片和信息二维码。</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7832B7E1">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1、支持备品备件的分类管理，如设备零部件、药剂等备品备件类别的设置。</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2、支持记录备品备件基本信息、库存情况、出入库情况</w:t>
            </w:r>
          </w:p>
        </w:tc>
      </w:tr>
      <w:tr w14:paraId="478DE081">
        <w:tblPrEx>
          <w:tblCellMar>
            <w:top w:w="0" w:type="dxa"/>
            <w:left w:w="108" w:type="dxa"/>
            <w:bottom w:w="0" w:type="dxa"/>
            <w:right w:w="108" w:type="dxa"/>
          </w:tblCellMar>
        </w:tblPrEx>
        <w:trPr>
          <w:trHeight w:val="120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59E2156E">
            <w:pPr>
              <w:jc w:val="center"/>
              <w:rPr>
                <w:rFonts w:ascii="宋体" w:hAnsi="宋体" w:cs="宋体"/>
                <w:b/>
                <w:bCs/>
                <w:color w:val="5B9BD5"/>
                <w:szCs w:val="21"/>
                <w:highlight w:val="none"/>
              </w:rPr>
            </w:pPr>
          </w:p>
        </w:tc>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14:paraId="131D23D2">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仓库管理</w:t>
            </w:r>
          </w:p>
        </w:tc>
        <w:tc>
          <w:tcPr>
            <w:tcW w:w="1817" w:type="pct"/>
            <w:tcBorders>
              <w:top w:val="single" w:color="000000" w:sz="4" w:space="0"/>
              <w:left w:val="single" w:color="000000" w:sz="4" w:space="0"/>
              <w:bottom w:val="nil"/>
              <w:right w:val="single" w:color="000000" w:sz="4" w:space="0"/>
            </w:tcBorders>
            <w:noWrap/>
            <w:vAlign w:val="center"/>
          </w:tcPr>
          <w:p w14:paraId="3C7C806C">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出入库管理</w:t>
            </w:r>
          </w:p>
        </w:tc>
        <w:tc>
          <w:tcPr>
            <w:tcW w:w="2147" w:type="pct"/>
            <w:tcBorders>
              <w:top w:val="single" w:color="000000" w:sz="4" w:space="0"/>
              <w:left w:val="single" w:color="000000" w:sz="4" w:space="0"/>
              <w:bottom w:val="nil"/>
              <w:right w:val="single" w:color="000000" w:sz="4" w:space="0"/>
            </w:tcBorders>
            <w:noWrap/>
            <w:vAlign w:val="center"/>
          </w:tcPr>
          <w:p w14:paraId="06913F09">
            <w:pPr>
              <w:widowControl/>
              <w:numPr>
                <w:ilvl w:val="0"/>
                <w:numId w:val="3"/>
              </w:numPr>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支持备品备件的出库入库登记</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2、支持退库管理（申请人不但可以退还自己使用的资产也可以退还自己管理的资产，及时退还领用后闲置的资产）</w:t>
            </w:r>
          </w:p>
          <w:p w14:paraId="7B1F5187">
            <w:pPr>
              <w:rPr>
                <w:highlight w:val="none"/>
              </w:rPr>
            </w:pPr>
            <w:r>
              <w:rPr>
                <w:rFonts w:hint="eastAsia"/>
                <w:highlight w:val="none"/>
              </w:rPr>
              <w:t>3、支持备品备件的出入库流程与OA系统审批流对接</w:t>
            </w:r>
          </w:p>
        </w:tc>
      </w:tr>
      <w:tr w14:paraId="2B3BC39E">
        <w:tblPrEx>
          <w:tblCellMar>
            <w:top w:w="0" w:type="dxa"/>
            <w:left w:w="108" w:type="dxa"/>
            <w:bottom w:w="0" w:type="dxa"/>
            <w:right w:w="108" w:type="dxa"/>
          </w:tblCellMar>
        </w:tblPrEx>
        <w:trPr>
          <w:trHeight w:val="1500" w:hRule="atLeast"/>
        </w:trPr>
        <w:tc>
          <w:tcPr>
            <w:tcW w:w="320" w:type="pct"/>
            <w:vMerge w:val="continue"/>
            <w:tcBorders>
              <w:top w:val="single" w:color="000000" w:sz="4" w:space="0"/>
              <w:left w:val="single" w:color="000000" w:sz="4" w:space="0"/>
              <w:bottom w:val="single" w:color="000000" w:sz="4" w:space="0"/>
              <w:right w:val="single" w:color="000000" w:sz="4" w:space="0"/>
            </w:tcBorders>
            <w:noWrap/>
            <w:vAlign w:val="center"/>
          </w:tcPr>
          <w:p w14:paraId="0B2957E1">
            <w:pPr>
              <w:jc w:val="center"/>
              <w:rPr>
                <w:rFonts w:ascii="宋体" w:hAnsi="宋体" w:cs="宋体"/>
                <w:b/>
                <w:bCs/>
                <w:color w:val="5B9BD5"/>
                <w:szCs w:val="21"/>
                <w:highlight w:val="none"/>
              </w:rPr>
            </w:pPr>
          </w:p>
        </w:tc>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14:paraId="5324E5E1">
            <w:pPr>
              <w:jc w:val="center"/>
              <w:rPr>
                <w:rFonts w:ascii="宋体" w:hAnsi="宋体" w:cs="宋体"/>
                <w:color w:val="000000"/>
                <w:szCs w:val="21"/>
                <w:highlight w:val="none"/>
              </w:rPr>
            </w:pP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741AF415">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仓库管理</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4464EFDE">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1、支持仓库的基本信息管理</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2、支持仓库的分级管理可按要求将仓库分为一级仓库、二级仓库</w:t>
            </w:r>
          </w:p>
        </w:tc>
      </w:tr>
      <w:tr w14:paraId="57BFE6AF">
        <w:tblPrEx>
          <w:tblCellMar>
            <w:top w:w="0" w:type="dxa"/>
            <w:left w:w="108" w:type="dxa"/>
            <w:bottom w:w="0" w:type="dxa"/>
            <w:right w:w="108" w:type="dxa"/>
          </w:tblCellMar>
        </w:tblPrEx>
        <w:trPr>
          <w:trHeight w:val="1500" w:hRule="atLeast"/>
        </w:trPr>
        <w:tc>
          <w:tcPr>
            <w:tcW w:w="320" w:type="pct"/>
            <w:vMerge w:val="restart"/>
            <w:tcBorders>
              <w:top w:val="single" w:color="000000" w:sz="4" w:space="0"/>
              <w:left w:val="single" w:color="000000" w:sz="4" w:space="0"/>
              <w:right w:val="single" w:color="000000" w:sz="4" w:space="0"/>
            </w:tcBorders>
            <w:noWrap/>
            <w:vAlign w:val="center"/>
          </w:tcPr>
          <w:p w14:paraId="5CB95284">
            <w:pPr>
              <w:jc w:val="center"/>
              <w:rPr>
                <w:rFonts w:ascii="宋体" w:hAnsi="宋体" w:cs="宋体"/>
                <w:b/>
                <w:bCs/>
                <w:color w:val="5B9BD5"/>
                <w:szCs w:val="21"/>
                <w:highlight w:val="none"/>
              </w:rPr>
            </w:pPr>
            <w:r>
              <w:rPr>
                <w:rFonts w:hint="eastAsia" w:ascii="宋体" w:hAnsi="宋体" w:cs="宋体"/>
                <w:b/>
                <w:bCs/>
                <w:color w:val="5B9BD5"/>
                <w:szCs w:val="21"/>
                <w:highlight w:val="none"/>
              </w:rPr>
              <w:t>设备管理</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5DF26D8C">
            <w:pPr>
              <w:jc w:val="left"/>
              <w:rPr>
                <w:rFonts w:ascii="宋体" w:hAnsi="宋体" w:cs="宋体"/>
                <w:color w:val="000000"/>
                <w:szCs w:val="21"/>
                <w:highlight w:val="none"/>
              </w:rPr>
            </w:pPr>
            <w:r>
              <w:rPr>
                <w:rFonts w:hint="eastAsia" w:ascii="宋体" w:hAnsi="宋体" w:cs="宋体"/>
                <w:color w:val="000000"/>
                <w:szCs w:val="21"/>
                <w:highlight w:val="none"/>
              </w:rPr>
              <w:t>设备维修</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149998A7">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制定维修计划，专注于设备维修管理平台。</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12E81FD1">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1.维修指标分析：支持年度维修工单量、维修中工单量、维修计划执行率、设备维修累计费用、备件费占维修费用比、维修费用率等。</w:t>
            </w:r>
          </w:p>
          <w:p w14:paraId="0E55A2B2">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2.支持编制设备设备维修计划，预计维修是否停工、停工日期、停工工时、维修方式、备件更换情况等。</w:t>
            </w:r>
          </w:p>
          <w:p w14:paraId="04A10B3D">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3.支持维修方式统计</w:t>
            </w:r>
          </w:p>
          <w:p w14:paraId="16CAC082">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4.支持设备维修申请，支持与OA系审批流程对接；</w:t>
            </w:r>
          </w:p>
          <w:p w14:paraId="15898848">
            <w:pPr>
              <w:widowControl/>
              <w:jc w:val="left"/>
              <w:textAlignment w:val="center"/>
              <w:rPr>
                <w:rFonts w:ascii="宋体" w:hAnsi="宋体" w:cs="宋体"/>
                <w:color w:val="000000"/>
                <w:kern w:val="0"/>
                <w:szCs w:val="21"/>
                <w:highlight w:val="none"/>
              </w:rPr>
            </w:pPr>
          </w:p>
        </w:tc>
      </w:tr>
      <w:tr w14:paraId="3FF40F66">
        <w:tblPrEx>
          <w:tblCellMar>
            <w:top w:w="0" w:type="dxa"/>
            <w:left w:w="108" w:type="dxa"/>
            <w:bottom w:w="0" w:type="dxa"/>
            <w:right w:w="108" w:type="dxa"/>
          </w:tblCellMar>
        </w:tblPrEx>
        <w:trPr>
          <w:trHeight w:val="1500" w:hRule="atLeast"/>
        </w:trPr>
        <w:tc>
          <w:tcPr>
            <w:tcW w:w="320" w:type="pct"/>
            <w:vMerge w:val="continue"/>
            <w:tcBorders>
              <w:left w:val="single" w:color="000000" w:sz="4" w:space="0"/>
              <w:bottom w:val="single" w:color="000000" w:sz="4" w:space="0"/>
              <w:right w:val="single" w:color="000000" w:sz="4" w:space="0"/>
            </w:tcBorders>
            <w:noWrap/>
            <w:vAlign w:val="center"/>
          </w:tcPr>
          <w:p w14:paraId="3AE90352">
            <w:pPr>
              <w:jc w:val="center"/>
              <w:rPr>
                <w:rFonts w:ascii="宋体" w:hAnsi="宋体" w:cs="宋体"/>
                <w:b/>
                <w:bCs/>
                <w:color w:val="5B9BD5"/>
                <w:szCs w:val="21"/>
                <w:highlight w:val="none"/>
              </w:rPr>
            </w:pP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29C36624">
            <w:pPr>
              <w:jc w:val="left"/>
              <w:rPr>
                <w:rFonts w:ascii="宋体" w:hAnsi="宋体" w:cs="宋体"/>
                <w:color w:val="000000"/>
                <w:szCs w:val="21"/>
                <w:highlight w:val="none"/>
              </w:rPr>
            </w:pPr>
            <w:r>
              <w:rPr>
                <w:rFonts w:hint="eastAsia" w:ascii="宋体" w:hAnsi="宋体" w:cs="宋体"/>
                <w:color w:val="000000"/>
                <w:szCs w:val="21"/>
                <w:highlight w:val="none"/>
              </w:rPr>
              <w:t>设备保养</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4DA96FCE">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制定保养计划，专注于设备保养管理平台。</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73426A47">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1.支持保养指标分析：年度保养任务量、待保养任务、保养计划执行率、设备保养累计费用、委外保养费用等。</w:t>
            </w:r>
          </w:p>
          <w:p w14:paraId="5F5AF54D">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2.支持编制设备设备保养计划，预计保养部位、保养内容、保养器具、保养方法、保养所需备件等。</w:t>
            </w:r>
          </w:p>
          <w:p w14:paraId="0A647726">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3.支持统计保养等级分布、月度保养执行情况等。</w:t>
            </w:r>
          </w:p>
          <w:p w14:paraId="21E0A5DB">
            <w:pPr>
              <w:rPr>
                <w:highlight w:val="none"/>
              </w:rPr>
            </w:pPr>
            <w:r>
              <w:rPr>
                <w:rFonts w:hint="eastAsia"/>
                <w:highlight w:val="none"/>
              </w:rPr>
              <w:t>4.维修保养计划的编制支持与OA系统审批流程对接</w:t>
            </w:r>
          </w:p>
        </w:tc>
      </w:tr>
      <w:tr w14:paraId="1A0659B8">
        <w:tblPrEx>
          <w:tblCellMar>
            <w:top w:w="0" w:type="dxa"/>
            <w:left w:w="108" w:type="dxa"/>
            <w:bottom w:w="0" w:type="dxa"/>
            <w:right w:w="108" w:type="dxa"/>
          </w:tblCellMar>
        </w:tblPrEx>
        <w:trPr>
          <w:trHeight w:val="709" w:hRule="atLeast"/>
        </w:trPr>
        <w:tc>
          <w:tcPr>
            <w:tcW w:w="320" w:type="pct"/>
            <w:tcBorders>
              <w:top w:val="nil"/>
              <w:left w:val="single" w:color="000000" w:sz="4" w:space="0"/>
              <w:bottom w:val="single" w:color="000000" w:sz="4" w:space="0"/>
              <w:right w:val="single" w:color="000000" w:sz="4" w:space="0"/>
            </w:tcBorders>
            <w:noWrap/>
            <w:vAlign w:val="center"/>
          </w:tcPr>
          <w:p w14:paraId="071DDC92">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集成</w:t>
            </w:r>
          </w:p>
        </w:tc>
        <w:tc>
          <w:tcPr>
            <w:tcW w:w="714" w:type="pct"/>
            <w:tcBorders>
              <w:top w:val="nil"/>
              <w:left w:val="single" w:color="000000" w:sz="4" w:space="0"/>
              <w:bottom w:val="single" w:color="000000" w:sz="4" w:space="0"/>
              <w:right w:val="single" w:color="000000" w:sz="4" w:space="0"/>
            </w:tcBorders>
            <w:noWrap/>
            <w:vAlign w:val="center"/>
          </w:tcPr>
          <w:p w14:paraId="2471AC82">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与RFID设备对接</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5995B889">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需要能够与盘点设备进行对接，相关数据自动传入资产管理系统</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1F0847EC">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1、支持与RFID对接，自动读取盘点数据</w:t>
            </w:r>
          </w:p>
        </w:tc>
      </w:tr>
      <w:tr w14:paraId="57796DBF">
        <w:tblPrEx>
          <w:tblCellMar>
            <w:top w:w="0" w:type="dxa"/>
            <w:left w:w="108" w:type="dxa"/>
            <w:bottom w:w="0" w:type="dxa"/>
            <w:right w:w="108" w:type="dxa"/>
          </w:tblCellMar>
        </w:tblPrEx>
        <w:trPr>
          <w:trHeight w:val="1800" w:hRule="atLeast"/>
        </w:trPr>
        <w:tc>
          <w:tcPr>
            <w:tcW w:w="320" w:type="pct"/>
            <w:tcBorders>
              <w:top w:val="single" w:color="000000" w:sz="4" w:space="0"/>
              <w:left w:val="single" w:color="000000" w:sz="4" w:space="0"/>
              <w:bottom w:val="single" w:color="000000" w:sz="4" w:space="0"/>
              <w:right w:val="single" w:color="000000" w:sz="4" w:space="0"/>
            </w:tcBorders>
            <w:noWrap/>
            <w:vAlign w:val="center"/>
          </w:tcPr>
          <w:p w14:paraId="7DF36C7D">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资产报表</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56139B28">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管理报表</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7DA25E48">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资产管理报表，以图形化、数字化方式展现单位当前资产情况。</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2FA86973">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1.资产管理概况：按资产类型展示资产使用分布，资产分类情况，资产来源分布等。</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2.出入库情况：按月统计资产出入库情况，资产入库、出库明细。</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3.过程监控：记录资产调拨、转移、归还等资产全过程流转情况。</w:t>
            </w:r>
          </w:p>
          <w:p w14:paraId="47CAAC0C">
            <w:pPr>
              <w:rPr>
                <w:highlight w:val="none"/>
              </w:rPr>
            </w:pPr>
            <w:r>
              <w:rPr>
                <w:rFonts w:hint="eastAsia"/>
                <w:highlight w:val="none"/>
              </w:rPr>
              <w:t>4.设备维修记录：</w:t>
            </w:r>
            <w:r>
              <w:rPr>
                <w:rFonts w:hint="eastAsia" w:ascii="宋体" w:hAnsi="宋体" w:cs="宋体"/>
                <w:color w:val="000000"/>
                <w:kern w:val="0"/>
                <w:szCs w:val="21"/>
                <w:highlight w:val="none"/>
              </w:rPr>
              <w:t>用于记录目前设备的维修投入情况，维修次数，维修成本等。</w:t>
            </w:r>
          </w:p>
        </w:tc>
      </w:tr>
      <w:tr w14:paraId="02659BA7">
        <w:tblPrEx>
          <w:tblCellMar>
            <w:top w:w="0" w:type="dxa"/>
            <w:left w:w="108" w:type="dxa"/>
            <w:bottom w:w="0" w:type="dxa"/>
            <w:right w:w="108" w:type="dxa"/>
          </w:tblCellMar>
        </w:tblPrEx>
        <w:trPr>
          <w:trHeight w:val="980" w:hRule="atLeast"/>
        </w:trPr>
        <w:tc>
          <w:tcPr>
            <w:tcW w:w="320" w:type="pct"/>
            <w:tcBorders>
              <w:top w:val="single" w:color="000000" w:sz="4" w:space="0"/>
              <w:left w:val="single" w:color="000000" w:sz="4" w:space="0"/>
              <w:bottom w:val="single" w:color="000000" w:sz="4" w:space="0"/>
              <w:right w:val="single" w:color="000000" w:sz="4" w:space="0"/>
            </w:tcBorders>
            <w:noWrap/>
            <w:vAlign w:val="center"/>
          </w:tcPr>
          <w:p w14:paraId="24851113">
            <w:pPr>
              <w:widowControl/>
              <w:jc w:val="center"/>
              <w:textAlignment w:val="center"/>
              <w:rPr>
                <w:rFonts w:ascii="宋体" w:hAnsi="宋体" w:cs="宋体"/>
                <w:b/>
                <w:bCs/>
                <w:color w:val="5B9BD5"/>
                <w:szCs w:val="21"/>
                <w:highlight w:val="none"/>
              </w:rPr>
            </w:pPr>
            <w:r>
              <w:rPr>
                <w:rFonts w:hint="eastAsia" w:ascii="宋体" w:hAnsi="宋体" w:cs="宋体"/>
                <w:b/>
                <w:bCs/>
                <w:color w:val="5B9BD5"/>
                <w:kern w:val="0"/>
                <w:szCs w:val="21"/>
                <w:highlight w:val="none"/>
              </w:rPr>
              <w:t>业务空间</w:t>
            </w:r>
          </w:p>
        </w:tc>
        <w:tc>
          <w:tcPr>
            <w:tcW w:w="714" w:type="pct"/>
            <w:tcBorders>
              <w:top w:val="single" w:color="000000" w:sz="4" w:space="0"/>
              <w:left w:val="single" w:color="000000" w:sz="4" w:space="0"/>
              <w:bottom w:val="single" w:color="000000" w:sz="4" w:space="0"/>
              <w:right w:val="single" w:color="000000" w:sz="4" w:space="0"/>
            </w:tcBorders>
            <w:noWrap/>
            <w:vAlign w:val="center"/>
          </w:tcPr>
          <w:p w14:paraId="762FC382">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资产管理工作台</w:t>
            </w:r>
          </w:p>
        </w:tc>
        <w:tc>
          <w:tcPr>
            <w:tcW w:w="1817" w:type="pct"/>
            <w:tcBorders>
              <w:top w:val="single" w:color="000000" w:sz="4" w:space="0"/>
              <w:left w:val="single" w:color="000000" w:sz="4" w:space="0"/>
              <w:bottom w:val="single" w:color="000000" w:sz="4" w:space="0"/>
              <w:right w:val="single" w:color="000000" w:sz="4" w:space="0"/>
            </w:tcBorders>
            <w:noWrap/>
            <w:vAlign w:val="center"/>
          </w:tcPr>
          <w:p w14:paraId="661AB4E8">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bdr w:val="single" w:color="000000" w:sz="4" w:space="0"/>
              </w:rPr>
              <w:drawing>
                <wp:anchor distT="0" distB="0" distL="114300" distR="114300" simplePos="0" relativeHeight="251659264" behindDoc="0" locked="0" layoutInCell="1" allowOverlap="1">
                  <wp:simplePos x="0" y="0"/>
                  <wp:positionH relativeFrom="column">
                    <wp:posOffset>2438400</wp:posOffset>
                  </wp:positionH>
                  <wp:positionV relativeFrom="paragraph">
                    <wp:posOffset>0</wp:posOffset>
                  </wp:positionV>
                  <wp:extent cx="184150" cy="273050"/>
                  <wp:effectExtent l="0" t="0" r="0" b="0"/>
                  <wp:wrapNone/>
                  <wp:docPr id="3" name="文本框_1"/>
                  <wp:cNvGraphicFramePr/>
                  <a:graphic xmlns:a="http://schemas.openxmlformats.org/drawingml/2006/main">
                    <a:graphicData uri="http://schemas.openxmlformats.org/drawingml/2006/picture">
                      <pic:pic xmlns:pic="http://schemas.openxmlformats.org/drawingml/2006/picture">
                        <pic:nvPicPr>
                          <pic:cNvPr id="3" name="文本框_1"/>
                          <pic:cNvPicPr/>
                        </pic:nvPicPr>
                        <pic:blipFill>
                          <a:blip r:embed="rId7"/>
                          <a:stretch>
                            <a:fillRect/>
                          </a:stretch>
                        </pic:blipFill>
                        <pic:spPr>
                          <a:xfrm>
                            <a:off x="0" y="0"/>
                            <a:ext cx="184150" cy="273050"/>
                          </a:xfrm>
                          <a:prstGeom prst="rect">
                            <a:avLst/>
                          </a:prstGeom>
                          <a:noFill/>
                          <a:ln>
                            <a:noFill/>
                          </a:ln>
                        </pic:spPr>
                      </pic:pic>
                    </a:graphicData>
                  </a:graphic>
                </wp:anchor>
              </w:drawing>
            </w:r>
            <w:r>
              <w:rPr>
                <w:rFonts w:hint="eastAsia" w:ascii="宋体" w:hAnsi="宋体" w:cs="宋体"/>
                <w:color w:val="000000"/>
                <w:kern w:val="0"/>
                <w:szCs w:val="21"/>
                <w:highlight w:val="none"/>
              </w:rPr>
              <w:t>常用工作的相关入口，快速处理相关工作；展示资产的相关数据和记录，快速审批相关事项。</w:t>
            </w:r>
          </w:p>
        </w:tc>
        <w:tc>
          <w:tcPr>
            <w:tcW w:w="2147" w:type="pct"/>
            <w:tcBorders>
              <w:top w:val="single" w:color="000000" w:sz="4" w:space="0"/>
              <w:left w:val="single" w:color="000000" w:sz="4" w:space="0"/>
              <w:bottom w:val="single" w:color="000000" w:sz="4" w:space="0"/>
              <w:right w:val="single" w:color="000000" w:sz="4" w:space="0"/>
            </w:tcBorders>
            <w:noWrap/>
            <w:vAlign w:val="center"/>
          </w:tcPr>
          <w:p w14:paraId="4D748E09">
            <w:pPr>
              <w:widowControl/>
              <w:jc w:val="left"/>
              <w:textAlignment w:val="center"/>
              <w:rPr>
                <w:rFonts w:ascii="宋体" w:hAnsi="宋体" w:cs="宋体"/>
                <w:color w:val="000000"/>
                <w:szCs w:val="21"/>
                <w:highlight w:val="none"/>
              </w:rPr>
            </w:pPr>
            <w:r>
              <w:rPr>
                <w:rFonts w:hint="eastAsia" w:ascii="宋体" w:hAnsi="宋体" w:cs="宋体"/>
                <w:color w:val="000000"/>
                <w:kern w:val="0"/>
                <w:szCs w:val="21"/>
                <w:highlight w:val="none"/>
              </w:rPr>
              <w:t>注：非资产管理部门的员工无业务空间，只能通过“资产管理”菜单进入相应页面。</w:t>
            </w:r>
          </w:p>
        </w:tc>
      </w:tr>
    </w:tbl>
    <w:p w14:paraId="3E6AE5AC">
      <w:pPr>
        <w:pStyle w:val="2"/>
        <w:rPr>
          <w:highlight w:val="none"/>
        </w:rPr>
      </w:pPr>
    </w:p>
    <w:bookmarkEnd w:id="20"/>
    <w:p w14:paraId="2488A654">
      <w:pPr>
        <w:pStyle w:val="5"/>
        <w:rPr>
          <w:b w:val="0"/>
          <w:bCs w:val="0"/>
          <w:highlight w:val="none"/>
        </w:rPr>
      </w:pPr>
      <w:bookmarkStart w:id="64" w:name="_Toc2590"/>
      <w:bookmarkStart w:id="65" w:name="_Toc8540"/>
      <w:bookmarkStart w:id="66" w:name="_Toc13307"/>
      <w:r>
        <w:rPr>
          <w:rFonts w:hint="eastAsia"/>
          <w:b w:val="0"/>
          <w:bCs w:val="0"/>
          <w:highlight w:val="none"/>
        </w:rPr>
        <w:t>十、建设要求</w:t>
      </w:r>
      <w:bookmarkEnd w:id="64"/>
      <w:bookmarkEnd w:id="65"/>
      <w:bookmarkEnd w:id="66"/>
    </w:p>
    <w:p w14:paraId="281D11B7">
      <w:pPr>
        <w:pStyle w:val="7"/>
        <w:rPr>
          <w:highlight w:val="none"/>
        </w:rPr>
      </w:pPr>
      <w:bookmarkStart w:id="67" w:name="_Toc17970"/>
      <w:bookmarkStart w:id="68" w:name="_Toc197"/>
      <w:bookmarkStart w:id="69" w:name="_Toc26825"/>
      <w:bookmarkStart w:id="70" w:name="_Toc10106"/>
      <w:r>
        <w:rPr>
          <w:rFonts w:hint="eastAsia"/>
          <w:highlight w:val="none"/>
        </w:rPr>
        <w:t>10.1实施要求</w:t>
      </w:r>
      <w:bookmarkEnd w:id="67"/>
      <w:bookmarkEnd w:id="68"/>
      <w:bookmarkEnd w:id="69"/>
      <w:bookmarkEnd w:id="70"/>
    </w:p>
    <w:p w14:paraId="39C8BC61">
      <w:pPr>
        <w:spacing w:line="360" w:lineRule="auto"/>
        <w:ind w:firstLine="420" w:firstLineChars="200"/>
        <w:rPr>
          <w:rFonts w:ascii="宋体" w:hAnsi="宋体" w:cs="宋体"/>
          <w:highlight w:val="none"/>
        </w:rPr>
      </w:pPr>
      <w:r>
        <w:rPr>
          <w:rFonts w:hint="eastAsia" w:ascii="宋体" w:hAnsi="宋体" w:cs="宋体"/>
          <w:highlight w:val="none"/>
        </w:rPr>
        <w:t>服务期限在合同签订生效之日起3个月内完成项目验收。</w:t>
      </w:r>
    </w:p>
    <w:p w14:paraId="060C28FC">
      <w:pPr>
        <w:ind w:firstLine="420" w:firstLineChars="200"/>
        <w:rPr>
          <w:rFonts w:ascii="宋体" w:hAnsi="宋体" w:cs="宋体"/>
          <w:highlight w:val="none"/>
        </w:rPr>
      </w:pPr>
      <w:r>
        <w:rPr>
          <w:rFonts w:hint="eastAsia" w:ascii="宋体" w:hAnsi="宋体" w:cs="宋体"/>
          <w:highlight w:val="none"/>
        </w:rPr>
        <w:t>甲方前期梳理系统需提供技术支持</w:t>
      </w:r>
    </w:p>
    <w:p w14:paraId="0FBFB486">
      <w:pPr>
        <w:spacing w:line="360" w:lineRule="auto"/>
        <w:ind w:firstLine="420" w:firstLineChars="200"/>
        <w:rPr>
          <w:rFonts w:ascii="宋体" w:hAnsi="宋体" w:cs="宋体"/>
          <w:highlight w:val="none"/>
        </w:rPr>
      </w:pPr>
      <w:r>
        <w:rPr>
          <w:rFonts w:hint="eastAsia" w:ascii="宋体" w:hAnsi="宋体" w:cs="宋体"/>
          <w:highlight w:val="none"/>
        </w:rPr>
        <w:t>平台建设完成正式上线后，成交供应商与招标人一起按合同标准和合同规定的性能指标进行验收。招标人验收合格后，双方共同签署设备验收合格证明。</w:t>
      </w:r>
    </w:p>
    <w:p w14:paraId="13A7E7DE">
      <w:pPr>
        <w:spacing w:line="360" w:lineRule="auto"/>
        <w:ind w:firstLine="420" w:firstLineChars="200"/>
        <w:rPr>
          <w:rFonts w:ascii="宋体" w:hAnsi="宋体" w:cs="宋体"/>
          <w:highlight w:val="none"/>
        </w:rPr>
      </w:pPr>
      <w:r>
        <w:rPr>
          <w:rFonts w:hint="eastAsia" w:ascii="宋体" w:hAnsi="宋体" w:cs="宋体"/>
          <w:highlight w:val="none"/>
        </w:rPr>
        <w:t>成交供应商应保证所提供产品涉及到的知识产权和所提供的技术资料是合法取得，并享有完整的知识产权，不会因为招标人的使用而被责令停止使用、追偿或要求赔偿损失，如出现此情况，一切经济和法律责任均由供应商承担。</w:t>
      </w:r>
    </w:p>
    <w:p w14:paraId="2025B960">
      <w:pPr>
        <w:pStyle w:val="7"/>
        <w:spacing w:line="360" w:lineRule="auto"/>
        <w:ind w:firstLine="643" w:firstLineChars="200"/>
        <w:rPr>
          <w:highlight w:val="none"/>
        </w:rPr>
      </w:pPr>
      <w:bookmarkStart w:id="71" w:name="_Toc31296"/>
      <w:bookmarkStart w:id="72" w:name="_Toc30426"/>
      <w:bookmarkStart w:id="73" w:name="_Toc7570"/>
      <w:r>
        <w:rPr>
          <w:rFonts w:hint="eastAsia"/>
          <w:highlight w:val="none"/>
        </w:rPr>
        <w:t>10.2.培训要求</w:t>
      </w:r>
      <w:bookmarkEnd w:id="71"/>
      <w:bookmarkEnd w:id="72"/>
      <w:bookmarkEnd w:id="73"/>
    </w:p>
    <w:p w14:paraId="6ABC9ADF">
      <w:pPr>
        <w:spacing w:line="360" w:lineRule="auto"/>
        <w:ind w:firstLine="420" w:firstLineChars="200"/>
        <w:rPr>
          <w:rFonts w:ascii="宋体" w:hAnsi="宋体" w:cs="宋体"/>
          <w:highlight w:val="none"/>
        </w:rPr>
      </w:pPr>
      <w:r>
        <w:rPr>
          <w:rFonts w:hint="eastAsia" w:ascii="宋体" w:hAnsi="宋体" w:cs="宋体"/>
          <w:highlight w:val="none"/>
        </w:rPr>
        <w:t>为确保上线前全体人员熟练使用系统，成交供应商应承诺整体培训和专项培训的次数和质量。</w:t>
      </w:r>
    </w:p>
    <w:p w14:paraId="0DFBF46C">
      <w:pPr>
        <w:spacing w:line="360" w:lineRule="auto"/>
        <w:ind w:firstLine="420" w:firstLineChars="200"/>
        <w:rPr>
          <w:rFonts w:ascii="宋体" w:hAnsi="宋体" w:cs="宋体"/>
          <w:highlight w:val="none"/>
        </w:rPr>
      </w:pPr>
      <w:r>
        <w:rPr>
          <w:rFonts w:hint="eastAsia" w:ascii="宋体" w:hAnsi="宋体" w:cs="宋体"/>
          <w:highlight w:val="none"/>
        </w:rPr>
        <w:t>成交供应商要提供系统培训方案，包括但不限于以下内容：培训目的描述、培训对象、培训原则、培训方法、培训方式、培训内容、培训计划、培训质量评估等。</w:t>
      </w:r>
    </w:p>
    <w:p w14:paraId="6CA58A81">
      <w:pPr>
        <w:spacing w:line="360" w:lineRule="auto"/>
        <w:ind w:firstLine="420" w:firstLineChars="200"/>
        <w:rPr>
          <w:rFonts w:ascii="宋体" w:hAnsi="宋体" w:cs="宋体"/>
          <w:highlight w:val="none"/>
        </w:rPr>
      </w:pPr>
      <w:r>
        <w:rPr>
          <w:rFonts w:hint="eastAsia" w:ascii="宋体" w:hAnsi="宋体" w:cs="宋体"/>
          <w:highlight w:val="none"/>
        </w:rPr>
        <w:t>系统建成后，能否做到方便实用，达到预期的效果，用户应用技术培训是关键，本系统成交供应商应编写培训教材，包括但不限于以下内容：</w:t>
      </w:r>
    </w:p>
    <w:p w14:paraId="16FFC273">
      <w:pPr>
        <w:spacing w:line="360" w:lineRule="auto"/>
        <w:ind w:firstLine="420" w:firstLineChars="200"/>
        <w:rPr>
          <w:rFonts w:ascii="宋体" w:hAnsi="宋体" w:cs="宋体"/>
          <w:highlight w:val="none"/>
        </w:rPr>
      </w:pPr>
      <w:r>
        <w:rPr>
          <w:rFonts w:hint="eastAsia" w:ascii="宋体" w:hAnsi="宋体" w:cs="宋体"/>
          <w:highlight w:val="none"/>
        </w:rPr>
        <w:t>（1）管理员手册；</w:t>
      </w:r>
    </w:p>
    <w:p w14:paraId="70D221C0">
      <w:pPr>
        <w:spacing w:line="360" w:lineRule="auto"/>
        <w:ind w:firstLine="420" w:firstLineChars="200"/>
        <w:rPr>
          <w:rFonts w:ascii="宋体" w:hAnsi="宋体" w:cs="宋体"/>
          <w:highlight w:val="none"/>
        </w:rPr>
      </w:pPr>
      <w:r>
        <w:rPr>
          <w:rFonts w:hint="eastAsia" w:ascii="宋体" w:hAnsi="宋体" w:cs="宋体"/>
          <w:highlight w:val="none"/>
        </w:rPr>
        <w:t>（2）提供咨询热线；</w:t>
      </w:r>
    </w:p>
    <w:p w14:paraId="66856913">
      <w:pPr>
        <w:spacing w:line="360" w:lineRule="auto"/>
        <w:ind w:firstLine="420" w:firstLineChars="200"/>
        <w:rPr>
          <w:rFonts w:ascii="宋体" w:hAnsi="宋体" w:cs="宋体"/>
          <w:highlight w:val="none"/>
        </w:rPr>
      </w:pPr>
      <w:r>
        <w:rPr>
          <w:rFonts w:hint="eastAsia" w:ascii="宋体" w:hAnsi="宋体" w:cs="宋体"/>
          <w:highlight w:val="none"/>
        </w:rPr>
        <w:t>（3）分期分批组织教学实习；</w:t>
      </w:r>
    </w:p>
    <w:p w14:paraId="3F6530FC">
      <w:pPr>
        <w:spacing w:line="360" w:lineRule="auto"/>
        <w:ind w:firstLine="420" w:firstLineChars="200"/>
        <w:rPr>
          <w:rFonts w:ascii="宋体" w:hAnsi="宋体" w:cs="宋体"/>
          <w:highlight w:val="none"/>
        </w:rPr>
      </w:pPr>
      <w:r>
        <w:rPr>
          <w:rFonts w:hint="eastAsia" w:ascii="宋体" w:hAnsi="宋体" w:cs="宋体"/>
          <w:highlight w:val="none"/>
        </w:rPr>
        <w:t>（4）做好系统管理员、操作员及各级领导的应用培训工作。</w:t>
      </w:r>
    </w:p>
    <w:p w14:paraId="36AE316C">
      <w:pPr>
        <w:pStyle w:val="7"/>
        <w:rPr>
          <w:highlight w:val="none"/>
        </w:rPr>
      </w:pPr>
      <w:bookmarkStart w:id="74" w:name="_Toc5612"/>
      <w:bookmarkStart w:id="75" w:name="_Toc32208"/>
      <w:bookmarkStart w:id="76" w:name="_Toc16539"/>
      <w:r>
        <w:rPr>
          <w:rFonts w:hint="eastAsia"/>
          <w:highlight w:val="none"/>
        </w:rPr>
        <w:t>10.3.服务要求</w:t>
      </w:r>
      <w:bookmarkEnd w:id="74"/>
      <w:bookmarkEnd w:id="75"/>
      <w:bookmarkEnd w:id="76"/>
    </w:p>
    <w:p w14:paraId="0553D481">
      <w:pPr>
        <w:spacing w:line="360" w:lineRule="auto"/>
        <w:ind w:firstLine="420" w:firstLineChars="200"/>
        <w:rPr>
          <w:rFonts w:ascii="宋体" w:hAnsi="宋体" w:cs="宋体"/>
          <w:highlight w:val="none"/>
        </w:rPr>
      </w:pPr>
      <w:r>
        <w:rPr>
          <w:rFonts w:hint="eastAsia" w:ascii="宋体" w:hAnsi="宋体" w:cs="宋体"/>
          <w:highlight w:val="none"/>
        </w:rPr>
        <w:t>质保期限</w:t>
      </w:r>
    </w:p>
    <w:p w14:paraId="37590178">
      <w:pPr>
        <w:spacing w:line="360" w:lineRule="auto"/>
        <w:ind w:firstLine="420" w:firstLineChars="200"/>
        <w:rPr>
          <w:rFonts w:ascii="宋体" w:hAnsi="宋体" w:cs="宋体"/>
          <w:highlight w:val="none"/>
        </w:rPr>
      </w:pPr>
      <w:r>
        <w:rPr>
          <w:rFonts w:hint="eastAsia" w:ascii="宋体" w:hAnsi="宋体" w:cs="宋体"/>
          <w:highlight w:val="none"/>
        </w:rPr>
        <w:t>成交供应商提供本项目不少于2年的免费质保（自测试完毕并正常使用之日起）；服务期内提供补丁等修复升级服务。</w:t>
      </w:r>
    </w:p>
    <w:p w14:paraId="2AD71419">
      <w:pPr>
        <w:spacing w:line="360" w:lineRule="auto"/>
        <w:ind w:firstLine="420" w:firstLineChars="200"/>
        <w:rPr>
          <w:rFonts w:ascii="宋体" w:hAnsi="宋体" w:cs="宋体"/>
          <w:highlight w:val="none"/>
        </w:rPr>
      </w:pPr>
      <w:r>
        <w:rPr>
          <w:rFonts w:hint="eastAsia" w:ascii="宋体" w:hAnsi="宋体" w:cs="宋体"/>
          <w:highlight w:val="none"/>
        </w:rPr>
        <w:t>响应时间</w:t>
      </w:r>
    </w:p>
    <w:p w14:paraId="329EF0F8">
      <w:pPr>
        <w:spacing w:line="360" w:lineRule="auto"/>
        <w:ind w:firstLine="420" w:firstLineChars="200"/>
        <w:rPr>
          <w:rFonts w:ascii="宋体" w:hAnsi="宋体" w:cs="宋体"/>
          <w:highlight w:val="none"/>
        </w:rPr>
      </w:pPr>
      <w:r>
        <w:rPr>
          <w:rFonts w:hint="eastAsia" w:ascii="宋体" w:hAnsi="宋体" w:cs="宋体"/>
          <w:highlight w:val="none"/>
        </w:rPr>
        <w:t>提供7×24小时售后服务。</w:t>
      </w:r>
    </w:p>
    <w:p w14:paraId="7DEA6073">
      <w:pPr>
        <w:spacing w:line="360" w:lineRule="auto"/>
        <w:ind w:firstLine="420" w:firstLineChars="200"/>
        <w:rPr>
          <w:rFonts w:ascii="宋体" w:hAnsi="宋体" w:cs="宋体"/>
          <w:highlight w:val="none"/>
        </w:rPr>
      </w:pPr>
      <w:r>
        <w:rPr>
          <w:rFonts w:hint="eastAsia" w:ascii="宋体" w:hAnsi="宋体" w:cs="宋体"/>
          <w:highlight w:val="none"/>
        </w:rPr>
        <w:t>在1小时内对提出的维护要求做出实质性反应，提供应急策略。如电话支持无法解决，供应商应在接到通知后1小时内做出响应，并采取行动维护故障，24小时内修复。系统运行过程中发生的故障，应保证在24小时内解决问题，恢复系统正常运行。如果供应商在接到通知后的12小时内未做出响应，则供应商必须对由于故障所造成的损失后果负责。</w:t>
      </w:r>
    </w:p>
    <w:p w14:paraId="251DC91A">
      <w:pPr>
        <w:spacing w:line="360" w:lineRule="auto"/>
        <w:ind w:firstLine="420" w:firstLineChars="200"/>
        <w:rPr>
          <w:rFonts w:ascii="宋体" w:hAnsi="宋体" w:cs="宋体"/>
          <w:highlight w:val="none"/>
        </w:rPr>
      </w:pPr>
      <w:r>
        <w:rPr>
          <w:rFonts w:hint="eastAsia" w:ascii="宋体" w:hAnsi="宋体" w:cs="宋体"/>
          <w:highlight w:val="none"/>
        </w:rPr>
        <w:t>维护方式</w:t>
      </w:r>
    </w:p>
    <w:p w14:paraId="55312405">
      <w:pPr>
        <w:spacing w:line="360" w:lineRule="auto"/>
        <w:ind w:firstLine="420" w:firstLineChars="200"/>
        <w:rPr>
          <w:rFonts w:ascii="宋体" w:hAnsi="宋体" w:cs="宋体"/>
          <w:highlight w:val="none"/>
        </w:rPr>
      </w:pPr>
      <w:r>
        <w:rPr>
          <w:rFonts w:hint="eastAsia" w:ascii="宋体" w:hAnsi="宋体" w:cs="宋体"/>
          <w:highlight w:val="none"/>
        </w:rPr>
        <w:t>电话咨询：免费提供咨询电话技术支持服务，解答招标人在系统使用中遇到的问题，及时提出解决问题的建议和操作方法。</w:t>
      </w:r>
    </w:p>
    <w:p w14:paraId="40C13CDB">
      <w:pPr>
        <w:spacing w:line="360" w:lineRule="auto"/>
        <w:ind w:firstLine="420" w:firstLineChars="200"/>
        <w:rPr>
          <w:rFonts w:ascii="宋体" w:hAnsi="宋体" w:cs="宋体"/>
          <w:highlight w:val="none"/>
        </w:rPr>
      </w:pPr>
      <w:r>
        <w:rPr>
          <w:rFonts w:hint="eastAsia" w:ascii="宋体" w:hAnsi="宋体" w:cs="宋体"/>
          <w:highlight w:val="none"/>
        </w:rPr>
        <w:t>远程在线诊断和故障排除：对于电话咨询解决不了的问题，经招标人授权，供应商可通过远程登录到用户网络系统进行免费的故障诊断和故障排除。</w:t>
      </w:r>
    </w:p>
    <w:p w14:paraId="569A84E2">
      <w:pPr>
        <w:spacing w:line="360" w:lineRule="auto"/>
        <w:ind w:firstLine="420" w:firstLineChars="200"/>
        <w:rPr>
          <w:rFonts w:ascii="宋体" w:hAnsi="宋体" w:cs="宋体"/>
          <w:highlight w:val="none"/>
        </w:rPr>
      </w:pPr>
      <w:r>
        <w:rPr>
          <w:rFonts w:hint="eastAsia" w:ascii="宋体" w:hAnsi="宋体" w:cs="宋体"/>
          <w:highlight w:val="none"/>
        </w:rPr>
        <w:t>现场响应：自收到招标人的服务请求起1小时内，若以上两种服务形式不能解决问题，供应商应免费指派技术人员赶赴现场进行故障处理。遇到重大技术问题，供应商应及时组织有关技术专家进行会诊，并采取相应措施以确保系统的正常运行。</w:t>
      </w:r>
    </w:p>
    <w:p w14:paraId="244631A2">
      <w:pPr>
        <w:spacing w:line="360" w:lineRule="auto"/>
        <w:ind w:firstLine="420" w:firstLineChars="200"/>
        <w:rPr>
          <w:rFonts w:ascii="宋体" w:hAnsi="宋体" w:cs="宋体"/>
          <w:highlight w:val="none"/>
        </w:rPr>
      </w:pPr>
      <w:r>
        <w:rPr>
          <w:rFonts w:hint="eastAsia" w:ascii="宋体" w:hAnsi="宋体" w:cs="宋体"/>
          <w:highlight w:val="none"/>
        </w:rPr>
        <w:t>成交供应商为本项目提供的第三方产品，软件必须包含不低于一年的技术支持服务。</w:t>
      </w:r>
    </w:p>
    <w:p w14:paraId="77611B6D">
      <w:pPr>
        <w:pStyle w:val="7"/>
        <w:rPr>
          <w:highlight w:val="none"/>
        </w:rPr>
      </w:pPr>
      <w:bookmarkStart w:id="77" w:name="_Toc20087"/>
      <w:bookmarkStart w:id="78" w:name="_Toc10062"/>
      <w:bookmarkStart w:id="79" w:name="_Toc12491"/>
      <w:r>
        <w:rPr>
          <w:rFonts w:hint="eastAsia"/>
          <w:highlight w:val="none"/>
        </w:rPr>
        <w:t>10.4.成果提交</w:t>
      </w:r>
      <w:bookmarkEnd w:id="77"/>
      <w:bookmarkEnd w:id="78"/>
      <w:bookmarkEnd w:id="79"/>
    </w:p>
    <w:p w14:paraId="540FEBBE">
      <w:pPr>
        <w:spacing w:line="360" w:lineRule="auto"/>
        <w:ind w:firstLine="420" w:firstLineChars="200"/>
        <w:rPr>
          <w:rFonts w:ascii="宋体" w:hAnsi="宋体" w:cs="宋体"/>
          <w:highlight w:val="none"/>
        </w:rPr>
      </w:pPr>
      <w:r>
        <w:rPr>
          <w:rFonts w:hint="eastAsia" w:ascii="宋体" w:hAnsi="宋体" w:cs="宋体"/>
          <w:highlight w:val="none"/>
        </w:rPr>
        <w:t>成交供应商在项目完成后必须提交以下内容：</w:t>
      </w:r>
    </w:p>
    <w:p w14:paraId="0F22043D">
      <w:pPr>
        <w:spacing w:line="360" w:lineRule="auto"/>
        <w:ind w:firstLine="420" w:firstLineChars="200"/>
        <w:rPr>
          <w:rFonts w:ascii="宋体" w:hAnsi="宋体" w:cs="宋体"/>
          <w:highlight w:val="none"/>
        </w:rPr>
      </w:pPr>
      <w:r>
        <w:rPr>
          <w:rFonts w:hint="eastAsia" w:ascii="宋体" w:hAnsi="宋体" w:cs="宋体"/>
          <w:highlight w:val="none"/>
        </w:rPr>
        <w:t>1、系统建设规范文本；</w:t>
      </w:r>
    </w:p>
    <w:p w14:paraId="543F8D53">
      <w:pPr>
        <w:spacing w:line="360" w:lineRule="auto"/>
        <w:ind w:firstLine="420" w:firstLineChars="200"/>
        <w:rPr>
          <w:rFonts w:ascii="宋体" w:hAnsi="宋体" w:cs="宋体"/>
          <w:highlight w:val="none"/>
        </w:rPr>
      </w:pPr>
      <w:r>
        <w:rPr>
          <w:rFonts w:hint="eastAsia" w:ascii="宋体" w:hAnsi="宋体" w:cs="宋体"/>
          <w:highlight w:val="none"/>
        </w:rPr>
        <w:t>2、系统需求分析报告；</w:t>
      </w:r>
    </w:p>
    <w:p w14:paraId="59447648">
      <w:pPr>
        <w:spacing w:line="360" w:lineRule="auto"/>
        <w:ind w:firstLine="420" w:firstLineChars="200"/>
        <w:rPr>
          <w:rFonts w:ascii="宋体" w:hAnsi="宋体" w:cs="宋体"/>
          <w:highlight w:val="none"/>
        </w:rPr>
      </w:pPr>
      <w:r>
        <w:rPr>
          <w:rFonts w:hint="eastAsia" w:ascii="宋体" w:hAnsi="宋体" w:cs="宋体"/>
          <w:highlight w:val="none"/>
        </w:rPr>
        <w:t>3、程序安装维护手册；</w:t>
      </w:r>
    </w:p>
    <w:p w14:paraId="2F6CD6C9">
      <w:pPr>
        <w:spacing w:line="360" w:lineRule="auto"/>
        <w:ind w:firstLine="420" w:firstLineChars="200"/>
        <w:rPr>
          <w:rFonts w:ascii="宋体" w:hAnsi="宋体" w:cs="宋体"/>
          <w:highlight w:val="none"/>
        </w:rPr>
      </w:pPr>
      <w:r>
        <w:rPr>
          <w:rFonts w:hint="eastAsia" w:ascii="宋体" w:hAnsi="宋体" w:cs="宋体"/>
          <w:highlight w:val="none"/>
        </w:rPr>
        <w:t>4、用户使用操作手册；</w:t>
      </w:r>
    </w:p>
    <w:p w14:paraId="5A5E9E0B">
      <w:pPr>
        <w:spacing w:line="360" w:lineRule="auto"/>
        <w:ind w:firstLine="420" w:firstLineChars="200"/>
        <w:rPr>
          <w:rFonts w:ascii="宋体" w:hAnsi="宋体" w:cs="宋体"/>
          <w:highlight w:val="none"/>
        </w:rPr>
      </w:pPr>
      <w:r>
        <w:rPr>
          <w:rFonts w:hint="eastAsia" w:ascii="宋体" w:hAnsi="宋体" w:cs="宋体"/>
          <w:highlight w:val="none"/>
        </w:rPr>
        <w:t>5、系统维护手册（应包含完整的系统备份及恢复）</w:t>
      </w:r>
    </w:p>
    <w:p w14:paraId="7E8ABCC9">
      <w:pPr>
        <w:pStyle w:val="7"/>
        <w:rPr>
          <w:highlight w:val="none"/>
        </w:rPr>
      </w:pPr>
      <w:bookmarkStart w:id="80" w:name="_Toc5727"/>
      <w:bookmarkStart w:id="81" w:name="_Toc201"/>
      <w:bookmarkStart w:id="82" w:name="_Toc3932"/>
      <w:r>
        <w:rPr>
          <w:rFonts w:hint="eastAsia"/>
          <w:highlight w:val="none"/>
        </w:rPr>
        <w:t>10.5后续服务</w:t>
      </w:r>
      <w:bookmarkEnd w:id="80"/>
      <w:bookmarkEnd w:id="81"/>
      <w:bookmarkEnd w:id="82"/>
    </w:p>
    <w:p w14:paraId="0A6D2456">
      <w:pPr>
        <w:spacing w:line="360" w:lineRule="auto"/>
        <w:ind w:firstLine="420" w:firstLineChars="200"/>
        <w:rPr>
          <w:rFonts w:ascii="宋体" w:hAnsi="宋体" w:cs="宋体"/>
          <w:highlight w:val="none"/>
        </w:rPr>
      </w:pPr>
      <w:r>
        <w:rPr>
          <w:rFonts w:hint="eastAsia" w:ascii="宋体" w:hAnsi="宋体" w:cs="宋体"/>
          <w:highlight w:val="none"/>
        </w:rPr>
        <w:t>项目完成后，成交供应商应提供后续非实质性内容的修改、调整等服务。</w:t>
      </w:r>
    </w:p>
    <w:p w14:paraId="0A37C279">
      <w:pPr>
        <w:autoSpaceDE w:val="0"/>
        <w:autoSpaceDN w:val="0"/>
        <w:adjustRightInd w:val="0"/>
        <w:snapToGrid w:val="0"/>
        <w:spacing w:line="480" w:lineRule="exact"/>
        <w:ind w:firstLine="561"/>
        <w:rPr>
          <w:rFonts w:ascii="宋体" w:hAnsi="宋体"/>
          <w:b/>
          <w:bCs/>
          <w:szCs w:val="21"/>
          <w:highlight w:val="none"/>
        </w:rPr>
      </w:pPr>
      <w:r>
        <w:rPr>
          <w:rFonts w:hint="eastAsia" w:ascii="宋体" w:hAnsi="宋体"/>
          <w:b/>
          <w:bCs/>
          <w:szCs w:val="21"/>
          <w:highlight w:val="none"/>
        </w:rPr>
        <w:t>三、投标文件的密封与递交</w:t>
      </w:r>
    </w:p>
    <w:p w14:paraId="7FCD7FD9">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1、投标文件的份数和签署</w:t>
      </w:r>
    </w:p>
    <w:p w14:paraId="022EADE1">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投标文件应使用不能擦去的墨水书写或打印，由投标人加盖法人公章和法定代表人或法定代表人委托的代理人印鉴或签字。</w:t>
      </w:r>
    </w:p>
    <w:p w14:paraId="68ECBF22">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2、投标文件的密封与标志</w:t>
      </w:r>
    </w:p>
    <w:p w14:paraId="1EAFF394">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所有封袋上都应写明招标人名称、项目名称、投标人名称、卷别；</w:t>
      </w:r>
    </w:p>
    <w:p w14:paraId="40D21DD8">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所有投标文件都必须在封袋上加盖投标单位法人公章及其法定代表人或授权委托人的印鉴。</w:t>
      </w:r>
    </w:p>
    <w:p w14:paraId="3D5FB937">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3、投标截止期</w:t>
      </w:r>
    </w:p>
    <w:p w14:paraId="085662D1">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3.1投标人应在投标须知中规定的时间之前将投标文件递交到招标文件前附表指定地点。</w:t>
      </w:r>
    </w:p>
    <w:p w14:paraId="2D933176">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3.2招标人可以按本文件规定以修改通知的方式，延长递交投标文件的截止日期。在上述情况下，招标人与投标人以前的在投标截止期方面的全部权力、责任和义务，将适用于延长后新的投标截止期。</w:t>
      </w:r>
    </w:p>
    <w:p w14:paraId="36E8167C">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4、投标文件的修改与撤回</w:t>
      </w:r>
    </w:p>
    <w:p w14:paraId="04C4760F">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4.1投标人可以在递交投标文件以后，在规定的投标截止期之前，以书面形式向招标人递交修改或撤回其投标文件的通知。在投标截止期以后，不得更改、撤回投标文件。</w:t>
      </w:r>
    </w:p>
    <w:p w14:paraId="14BFF4A6">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4.2投标文件的修改应按本文件相关条款规定的要求编制、密封、标志和递交（密封袋上应标明“修改”字样）。</w:t>
      </w:r>
    </w:p>
    <w:p w14:paraId="7DADF14F">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4.3投标截止以后,在投标有效期内，未确定中标人前，投标人不得撤回投标文件。</w:t>
      </w:r>
      <w:bookmarkStart w:id="83" w:name="EB66450c37613b4d8bb5d2ef34d49a190f"/>
      <w:bookmarkEnd w:id="83"/>
      <w:bookmarkStart w:id="84" w:name="EB0f01764a82a04f44abcb858eaf46c6a5"/>
      <w:bookmarkEnd w:id="84"/>
    </w:p>
    <w:p w14:paraId="42AC8BB2">
      <w:pPr>
        <w:pStyle w:val="16"/>
        <w:rPr>
          <w:highlight w:val="none"/>
        </w:rPr>
      </w:pPr>
    </w:p>
    <w:p w14:paraId="5A2C0D97">
      <w:pPr>
        <w:autoSpaceDE w:val="0"/>
        <w:autoSpaceDN w:val="0"/>
        <w:adjustRightInd w:val="0"/>
        <w:snapToGrid w:val="0"/>
        <w:spacing w:line="480" w:lineRule="exact"/>
        <w:ind w:firstLine="561"/>
        <w:rPr>
          <w:rFonts w:ascii="宋体" w:hAnsi="宋体"/>
          <w:b/>
          <w:bCs/>
          <w:szCs w:val="21"/>
          <w:highlight w:val="none"/>
        </w:rPr>
      </w:pPr>
      <w:r>
        <w:rPr>
          <w:rFonts w:hint="eastAsia" w:ascii="宋体" w:hAnsi="宋体"/>
          <w:b/>
          <w:bCs/>
          <w:szCs w:val="21"/>
          <w:highlight w:val="none"/>
        </w:rPr>
        <w:t>四、评标</w:t>
      </w:r>
    </w:p>
    <w:p w14:paraId="0803C57D">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9F90B7A">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1.1评标委员会</w:t>
      </w:r>
    </w:p>
    <w:p w14:paraId="18297F88">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评标由招标人依法组建的评标委员会负责。评标委员会由有关技术、经济等方面的专家组成。</w:t>
      </w:r>
    </w:p>
    <w:p w14:paraId="6212B077">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1.2评审程序</w:t>
      </w:r>
    </w:p>
    <w:p w14:paraId="4AA93EA2">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评标按照下列程序进行：1）评标准备；2）初步评审；3）详细评审；4）推荐中标候选人，撰写评标报告。</w:t>
      </w:r>
    </w:p>
    <w:p w14:paraId="3EA003FC">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1.3评标准备</w:t>
      </w:r>
    </w:p>
    <w:p w14:paraId="5233BA20">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1.3.1评标委员会成员签到</w:t>
      </w:r>
    </w:p>
    <w:p w14:paraId="5EB8796F">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评标委员会成员到达评标现场时应在签到表上签到以证明出席。</w:t>
      </w:r>
    </w:p>
    <w:p w14:paraId="386F5706">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1.3.2 评标委员会的分工</w:t>
      </w:r>
    </w:p>
    <w:p w14:paraId="66670506">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14:paraId="3181AFAE">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1.3.3 熟悉文件资料</w:t>
      </w:r>
    </w:p>
    <w:p w14:paraId="3D4B6F40">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40E51DBA">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1.4初步评审</w:t>
      </w:r>
    </w:p>
    <w:p w14:paraId="2F9E399A">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1.4.1响应性评审</w:t>
      </w:r>
    </w:p>
    <w:p w14:paraId="599DECED">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1.4.2算术错误修正</w:t>
      </w:r>
    </w:p>
    <w:p w14:paraId="2262BA0B">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1.4.3澄清、说明或补正</w:t>
      </w:r>
    </w:p>
    <w:p w14:paraId="27D59C99">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在初步评审过程中，评标委员会应当就投标文件中不明确的内容要求投标人进行澄清．</w:t>
      </w:r>
    </w:p>
    <w:p w14:paraId="3C4FF462">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1.5投标过程中出现下列情况之一的将作为无效投标处理：</w:t>
      </w:r>
    </w:p>
    <w:p w14:paraId="3EFD3289">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1、投标书未加盖单位法人章，无法定代表人或其授权委托人的签字；</w:t>
      </w:r>
    </w:p>
    <w:p w14:paraId="596114F0">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2、投标文件载明的货物包装方式、检验标准和方法等不符合招标文件的要求；</w:t>
      </w:r>
    </w:p>
    <w:p w14:paraId="2477D967">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3、投标文件提出了不能满足招标文件要求或招标人不能接受的工程验收、计量、价款结算支付办法；</w:t>
      </w:r>
    </w:p>
    <w:p w14:paraId="6DB06541">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4、经评标委员会认定投标人的投标报价低于成本价的；</w:t>
      </w:r>
    </w:p>
    <w:p w14:paraId="24AE76B6">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5、投标人未按照招标文件的要求提供必须提交的相关资料的；</w:t>
      </w:r>
    </w:p>
    <w:p w14:paraId="20343190">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6、投标文件附有招标人不能接受的条件；</w:t>
      </w:r>
    </w:p>
    <w:p w14:paraId="06222C33">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五、评标细则（满分100分）</w:t>
      </w:r>
    </w:p>
    <w:p w14:paraId="254D5679">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本次评标采用综合评分法，评标委员会通过对商务、技术等因素的综合评审进行打分，综合得分最高的投标人排名第一，依此类推确定排名顺序，按排名顺序先后推荐为中标候选人。</w:t>
      </w:r>
    </w:p>
    <w:p w14:paraId="6F05FCF9">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本次评标按百分制评分，其中商务评审为60分，技术评审为40分。具体评分细则如下：</w:t>
      </w:r>
    </w:p>
    <w:p w14:paraId="710FA2BA">
      <w:pPr>
        <w:autoSpaceDE w:val="0"/>
        <w:autoSpaceDN w:val="0"/>
        <w:adjustRightInd w:val="0"/>
        <w:snapToGrid w:val="0"/>
        <w:spacing w:line="480" w:lineRule="exact"/>
        <w:ind w:firstLine="561"/>
        <w:rPr>
          <w:rFonts w:ascii="宋体" w:hAnsi="宋体"/>
          <w:szCs w:val="21"/>
          <w:highlight w:val="none"/>
        </w:rPr>
      </w:pPr>
    </w:p>
    <w:p w14:paraId="318ACF2A">
      <w:pPr>
        <w:autoSpaceDE w:val="0"/>
        <w:autoSpaceDN w:val="0"/>
        <w:adjustRightInd w:val="0"/>
        <w:snapToGrid w:val="0"/>
        <w:spacing w:line="480" w:lineRule="exact"/>
        <w:rPr>
          <w:rFonts w:ascii="宋体" w:hAnsi="宋体"/>
          <w:b/>
          <w:szCs w:val="21"/>
          <w:highlight w:val="none"/>
        </w:rPr>
      </w:pPr>
      <w:r>
        <w:rPr>
          <w:rFonts w:hint="eastAsia" w:ascii="宋体" w:hAnsi="宋体"/>
          <w:b/>
          <w:szCs w:val="21"/>
          <w:highlight w:val="none"/>
        </w:rPr>
        <w:t>总则</w:t>
      </w:r>
    </w:p>
    <w:p w14:paraId="1487FD72">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评委会成员应严格按下列具体评审内容及相应分值客观、公正地进行评分。计算每个投标人的得分时，对所有评委的评分计算算术平均值作为该投标人的最终得分。</w:t>
      </w:r>
    </w:p>
    <w:p w14:paraId="267FA026">
      <w:pPr>
        <w:autoSpaceDE w:val="0"/>
        <w:autoSpaceDN w:val="0"/>
        <w:adjustRightInd w:val="0"/>
        <w:snapToGrid w:val="0"/>
        <w:spacing w:line="480" w:lineRule="exact"/>
        <w:rPr>
          <w:rFonts w:ascii="宋体" w:hAnsi="宋体"/>
          <w:b/>
          <w:szCs w:val="21"/>
          <w:highlight w:val="none"/>
        </w:rPr>
      </w:pPr>
      <w:r>
        <w:rPr>
          <w:rFonts w:hint="eastAsia" w:ascii="宋体" w:hAnsi="宋体"/>
          <w:b/>
          <w:szCs w:val="21"/>
          <w:highlight w:val="none"/>
        </w:rPr>
        <w:t>&lt;一&gt;、商务评审得分（满分55分）</w:t>
      </w:r>
    </w:p>
    <w:p w14:paraId="14A8FC01">
      <w:pPr>
        <w:autoSpaceDE w:val="0"/>
        <w:autoSpaceDN w:val="0"/>
        <w:adjustRightInd w:val="0"/>
        <w:snapToGrid w:val="0"/>
        <w:spacing w:line="480" w:lineRule="exact"/>
        <w:rPr>
          <w:rFonts w:ascii="宋体" w:hAnsi="宋体"/>
          <w:b/>
          <w:bCs/>
          <w:szCs w:val="21"/>
          <w:highlight w:val="none"/>
        </w:rPr>
      </w:pPr>
      <w:r>
        <w:rPr>
          <w:rFonts w:hint="eastAsia" w:ascii="宋体" w:hAnsi="宋体"/>
          <w:b/>
          <w:bCs/>
          <w:szCs w:val="21"/>
          <w:highlight w:val="none"/>
        </w:rPr>
        <w:t>1、报价评审得分（满分40分）</w:t>
      </w:r>
    </w:p>
    <w:p w14:paraId="12CB1554">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报价得分（满分40分）：以所有有效投标人评标价的算术平均值（如投标人超过5家，则去掉一个最高价和一个最低价后计算算术平均值）下浮2%作为基准价得满分40分，其余投标人的评标价与基准价相比，投标人评标价每高基准价2%扣1分，每低基准价2%的扣0.5分，不足2%的，按插入法计算。（保留两位小数）。</w:t>
      </w:r>
    </w:p>
    <w:p w14:paraId="096E3C09">
      <w:pPr>
        <w:autoSpaceDE w:val="0"/>
        <w:autoSpaceDN w:val="0"/>
        <w:adjustRightInd w:val="0"/>
        <w:spacing w:line="480" w:lineRule="exact"/>
        <w:rPr>
          <w:rFonts w:ascii="宋体"/>
          <w:b/>
          <w:szCs w:val="21"/>
          <w:highlight w:val="none"/>
        </w:rPr>
      </w:pPr>
      <w:r>
        <w:rPr>
          <w:rFonts w:hint="eastAsia" w:ascii="宋体" w:hAnsi="宋体"/>
          <w:b/>
          <w:szCs w:val="21"/>
          <w:highlight w:val="none"/>
        </w:rPr>
        <w:t>2、商务条款评审得分（满分9分）</w:t>
      </w:r>
    </w:p>
    <w:p w14:paraId="153A66F0">
      <w:pPr>
        <w:autoSpaceDE w:val="0"/>
        <w:autoSpaceDN w:val="0"/>
        <w:adjustRightInd w:val="0"/>
        <w:spacing w:line="480" w:lineRule="exact"/>
        <w:ind w:firstLine="561"/>
        <w:rPr>
          <w:rFonts w:ascii="宋体" w:hAnsi="宋体" w:cs="宋体"/>
          <w:bCs/>
          <w:kern w:val="0"/>
          <w:szCs w:val="21"/>
          <w:highlight w:val="none"/>
        </w:rPr>
      </w:pPr>
      <w:r>
        <w:rPr>
          <w:rFonts w:hint="eastAsia" w:ascii="宋体" w:hAnsi="宋体"/>
          <w:szCs w:val="21"/>
          <w:highlight w:val="none"/>
        </w:rPr>
        <w:t>A、投标人或制造商</w:t>
      </w:r>
      <w:r>
        <w:rPr>
          <w:rFonts w:hint="eastAsia" w:ascii="宋体" w:hAnsi="宋体" w:cs="宋体"/>
          <w:kern w:val="0"/>
          <w:szCs w:val="21"/>
          <w:highlight w:val="none"/>
        </w:rPr>
        <w:t>须具有信息技术服务标准（ITSS)运行维护一级证书的得3分，具有信息技术服务标准（ITSS）运行维护二级及以下的得1分，没有不得分。（提供认证证书复印件加盖公章）</w:t>
      </w:r>
    </w:p>
    <w:p w14:paraId="7F3FC91E">
      <w:pPr>
        <w:autoSpaceDE w:val="0"/>
        <w:autoSpaceDN w:val="0"/>
        <w:adjustRightInd w:val="0"/>
        <w:spacing w:line="480" w:lineRule="exact"/>
        <w:ind w:firstLine="561"/>
        <w:rPr>
          <w:rFonts w:ascii="宋体" w:hAnsi="宋体"/>
          <w:szCs w:val="21"/>
          <w:highlight w:val="none"/>
        </w:rPr>
      </w:pPr>
      <w:r>
        <w:rPr>
          <w:rFonts w:hint="eastAsia" w:ascii="宋体" w:hAnsi="宋体" w:cs="宋体"/>
          <w:bCs/>
          <w:kern w:val="0"/>
          <w:szCs w:val="21"/>
          <w:highlight w:val="none"/>
        </w:rPr>
        <w:t>B、</w:t>
      </w:r>
      <w:r>
        <w:rPr>
          <w:rFonts w:hint="eastAsia" w:ascii="宋体" w:hAnsi="宋体"/>
          <w:szCs w:val="21"/>
          <w:highlight w:val="none"/>
        </w:rPr>
        <w:t xml:space="preserve">投标人或制造商具有国产化信息系统集成和服务能力等级证书四级的得3分，三级及以下的得1分，没有不得分。  </w:t>
      </w:r>
      <w:r>
        <w:rPr>
          <w:rFonts w:hint="eastAsia" w:ascii="宋体" w:hAnsi="宋体" w:cs="宋体"/>
          <w:kern w:val="0"/>
          <w:szCs w:val="21"/>
          <w:highlight w:val="none"/>
        </w:rPr>
        <w:t>（提供认证证书复印件加盖公章）</w:t>
      </w:r>
    </w:p>
    <w:p w14:paraId="52F294AF">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 xml:space="preserve">C、投标人或制造商获得具有大数据服务安全能力评价认证证书（十二星级）得3分，其它等级得1分，没有不得分。 </w:t>
      </w:r>
      <w:r>
        <w:rPr>
          <w:rFonts w:hint="eastAsia" w:ascii="宋体" w:hAnsi="宋体" w:cs="宋体"/>
          <w:kern w:val="0"/>
          <w:szCs w:val="21"/>
          <w:highlight w:val="none"/>
        </w:rPr>
        <w:t>（提供认证证书复印件加盖公章）</w:t>
      </w:r>
    </w:p>
    <w:p w14:paraId="61635DF4">
      <w:pPr>
        <w:autoSpaceDE w:val="0"/>
        <w:autoSpaceDN w:val="0"/>
        <w:adjustRightInd w:val="0"/>
        <w:snapToGrid w:val="0"/>
        <w:spacing w:line="480" w:lineRule="exact"/>
        <w:rPr>
          <w:rFonts w:ascii="宋体" w:hAnsi="宋体"/>
          <w:b/>
          <w:bCs/>
          <w:szCs w:val="21"/>
          <w:highlight w:val="none"/>
        </w:rPr>
      </w:pPr>
      <w:r>
        <w:rPr>
          <w:rFonts w:hint="eastAsia" w:ascii="宋体" w:hAnsi="宋体"/>
          <w:b/>
          <w:bCs/>
          <w:szCs w:val="21"/>
          <w:highlight w:val="none"/>
        </w:rPr>
        <w:t>2、业绩得分（满分6分）</w:t>
      </w:r>
    </w:p>
    <w:p w14:paraId="78AC65F7">
      <w:pPr>
        <w:autoSpaceDE w:val="0"/>
        <w:autoSpaceDN w:val="0"/>
        <w:adjustRightInd w:val="0"/>
        <w:snapToGrid w:val="0"/>
        <w:spacing w:line="480" w:lineRule="exact"/>
        <w:ind w:firstLine="561"/>
        <w:rPr>
          <w:rFonts w:ascii="宋体" w:hAnsi="宋体" w:cs="宋体"/>
          <w:kern w:val="0"/>
          <w:szCs w:val="21"/>
          <w:highlight w:val="none"/>
        </w:rPr>
      </w:pPr>
      <w:r>
        <w:rPr>
          <w:rFonts w:hint="eastAsia" w:ascii="宋体" w:hAnsi="宋体" w:cs="宋体"/>
          <w:kern w:val="0"/>
          <w:szCs w:val="21"/>
          <w:highlight w:val="none"/>
        </w:rPr>
        <w:t>提供2021年1月1日后类似</w:t>
      </w:r>
      <w:r>
        <w:rPr>
          <w:rFonts w:hint="eastAsia" w:ascii="宋体" w:hAnsi="宋体" w:cs="宋体"/>
          <w:kern w:val="0"/>
          <w:szCs w:val="21"/>
          <w:highlight w:val="none"/>
          <w:lang w:val="en-US" w:eastAsia="zh-CN"/>
        </w:rPr>
        <w:t>10万以上</w:t>
      </w:r>
      <w:r>
        <w:rPr>
          <w:rFonts w:hint="eastAsia" w:ascii="宋体" w:hAnsi="宋体" w:cs="宋体"/>
          <w:kern w:val="0"/>
          <w:szCs w:val="21"/>
          <w:highlight w:val="none"/>
        </w:rPr>
        <w:t>项目案例，1个得3分，</w:t>
      </w:r>
      <w:r>
        <w:rPr>
          <w:rFonts w:hint="eastAsia" w:ascii="宋体" w:hAnsi="宋体" w:cs="宋体"/>
          <w:szCs w:val="21"/>
          <w:highlight w:val="none"/>
        </w:rPr>
        <w:t>提供合同原件加盖公章。</w:t>
      </w:r>
      <w:r>
        <w:rPr>
          <w:rFonts w:hint="eastAsia" w:ascii="宋体" w:hAnsi="宋体" w:cs="宋体"/>
          <w:kern w:val="0"/>
          <w:szCs w:val="21"/>
          <w:highlight w:val="none"/>
        </w:rPr>
        <w:t>（满分6分）</w:t>
      </w:r>
    </w:p>
    <w:p w14:paraId="54339DC9">
      <w:pPr>
        <w:autoSpaceDE w:val="0"/>
        <w:autoSpaceDN w:val="0"/>
        <w:adjustRightInd w:val="0"/>
        <w:snapToGrid w:val="0"/>
        <w:spacing w:line="480" w:lineRule="exact"/>
        <w:rPr>
          <w:rFonts w:ascii="宋体" w:hAnsi="宋体"/>
          <w:b/>
          <w:szCs w:val="21"/>
          <w:highlight w:val="none"/>
        </w:rPr>
      </w:pPr>
      <w:r>
        <w:rPr>
          <w:rFonts w:hint="eastAsia" w:ascii="宋体" w:hAnsi="宋体"/>
          <w:b/>
          <w:szCs w:val="21"/>
          <w:highlight w:val="none"/>
        </w:rPr>
        <w:t>&lt;二&gt;、技术评审得分（满分45分）</w:t>
      </w:r>
    </w:p>
    <w:p w14:paraId="734F5B0A">
      <w:pPr>
        <w:autoSpaceDE w:val="0"/>
        <w:autoSpaceDN w:val="0"/>
        <w:adjustRightInd w:val="0"/>
        <w:spacing w:line="480" w:lineRule="exact"/>
        <w:ind w:firstLine="561"/>
        <w:rPr>
          <w:rFonts w:ascii="宋体"/>
          <w:b/>
          <w:bCs/>
          <w:szCs w:val="21"/>
          <w:highlight w:val="none"/>
        </w:rPr>
      </w:pPr>
      <w:r>
        <w:rPr>
          <w:rFonts w:ascii="宋体" w:hAnsi="宋体"/>
          <w:b/>
          <w:bCs/>
          <w:szCs w:val="21"/>
          <w:highlight w:val="none"/>
        </w:rPr>
        <w:t>1</w:t>
      </w:r>
      <w:r>
        <w:rPr>
          <w:rFonts w:hint="eastAsia" w:ascii="宋体" w:hAnsi="宋体"/>
          <w:b/>
          <w:bCs/>
          <w:szCs w:val="21"/>
          <w:highlight w:val="none"/>
        </w:rPr>
        <w:t>、技术文件编制齐全性和响应性（满分4分）</w:t>
      </w:r>
    </w:p>
    <w:p w14:paraId="10FDA0E0">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有技术参数响应表，由评标委员会根据投标货物、功能服务的性能满足招标文件的技术要求的情况打分。所有技术条款满足招标文件要求的，得4分。（4分）</w:t>
      </w:r>
    </w:p>
    <w:p w14:paraId="00B415ED">
      <w:pPr>
        <w:pStyle w:val="2"/>
        <w:ind w:left="0" w:firstLine="211" w:firstLineChars="100"/>
        <w:rPr>
          <w:rFonts w:ascii="宋体" w:hAnsi="宋体" w:eastAsia="宋体"/>
          <w:b/>
          <w:bCs/>
          <w:sz w:val="21"/>
          <w:szCs w:val="21"/>
          <w:highlight w:val="none"/>
        </w:rPr>
      </w:pPr>
      <w:r>
        <w:rPr>
          <w:rFonts w:hint="eastAsia" w:ascii="宋体" w:hAnsi="宋体" w:eastAsia="宋体"/>
          <w:b/>
          <w:bCs/>
          <w:sz w:val="21"/>
          <w:szCs w:val="21"/>
          <w:highlight w:val="none"/>
        </w:rPr>
        <w:t xml:space="preserve">   2、安全要求                                                 （满分4分）</w:t>
      </w:r>
    </w:p>
    <w:p w14:paraId="51BC1454">
      <w:pPr>
        <w:pStyle w:val="3"/>
        <w:spacing w:line="360" w:lineRule="auto"/>
        <w:ind w:firstLine="420" w:firstLineChars="200"/>
        <w:rPr>
          <w:rFonts w:ascii="宋体" w:hAnsi="宋体" w:eastAsia="宋体"/>
          <w:sz w:val="21"/>
          <w:szCs w:val="21"/>
          <w:highlight w:val="none"/>
        </w:rPr>
      </w:pPr>
      <w:r>
        <w:rPr>
          <w:rFonts w:hint="eastAsia" w:ascii="宋体" w:hAnsi="宋体" w:eastAsia="宋体"/>
          <w:sz w:val="21"/>
          <w:szCs w:val="21"/>
          <w:highlight w:val="none"/>
        </w:rPr>
        <w:t>根据系统安全方案设计的完善合理、先进性、安全性和稳定性等，对照招标要求的“安全性要求”章节，评委根据要求进行打分，全部满足要求的得4分，部分满足要求的得2分。</w:t>
      </w:r>
    </w:p>
    <w:p w14:paraId="3EB35062">
      <w:pPr>
        <w:autoSpaceDE w:val="0"/>
        <w:autoSpaceDN w:val="0"/>
        <w:adjustRightInd w:val="0"/>
        <w:spacing w:line="480" w:lineRule="exact"/>
        <w:ind w:firstLine="561"/>
        <w:jc w:val="left"/>
        <w:rPr>
          <w:rFonts w:ascii="宋体" w:hAnsi="宋体"/>
          <w:b/>
          <w:bCs/>
          <w:szCs w:val="21"/>
          <w:highlight w:val="none"/>
        </w:rPr>
      </w:pPr>
      <w:r>
        <w:rPr>
          <w:rFonts w:hint="eastAsia" w:ascii="宋体" w:hAnsi="宋体"/>
          <w:b/>
          <w:bCs/>
          <w:szCs w:val="21"/>
          <w:highlight w:val="none"/>
        </w:rPr>
        <w:t>3、现场演示（总演示时间不超过15分钟）                       （满分15分）</w:t>
      </w:r>
    </w:p>
    <w:p w14:paraId="1DF77079">
      <w:pPr>
        <w:autoSpaceDE w:val="0"/>
        <w:autoSpaceDN w:val="0"/>
        <w:adjustRightInd w:val="0"/>
        <w:spacing w:line="480" w:lineRule="exact"/>
        <w:ind w:firstLine="561"/>
        <w:rPr>
          <w:rFonts w:ascii="宋体" w:hAnsi="宋体" w:cs="宋体"/>
          <w:kern w:val="0"/>
          <w:szCs w:val="21"/>
          <w:highlight w:val="none"/>
        </w:rPr>
      </w:pPr>
      <w:r>
        <w:rPr>
          <w:rFonts w:hint="eastAsia" w:ascii="宋体" w:hAnsi="宋体" w:cs="宋体"/>
          <w:kern w:val="0"/>
          <w:szCs w:val="21"/>
          <w:highlight w:val="none"/>
        </w:rPr>
        <w:t>演示内容包含资产形成计划、资产登记（包含采购、并购、工程转固）、资产卡片信息、日常维护（包含但不限于领用、移交、调拨、维修、增减值功能）、处置（包含立项、评估、申请、备案功能）、财务集成能力演示（资产卡片信息同步包含银行账号、供应商信息、折旧信息、净残值、本期不包含，保证后期实现能力）报表。</w:t>
      </w:r>
    </w:p>
    <w:p w14:paraId="1B9609F7">
      <w:pPr>
        <w:pStyle w:val="2"/>
        <w:rPr>
          <w:highlight w:val="none"/>
        </w:rPr>
      </w:pPr>
      <w:r>
        <w:rPr>
          <w:rFonts w:hint="eastAsia" w:ascii="宋体" w:hAnsi="宋体" w:eastAsia="宋体" w:cs="宋体"/>
          <w:kern w:val="0"/>
          <w:sz w:val="21"/>
          <w:szCs w:val="21"/>
          <w:highlight w:val="none"/>
        </w:rPr>
        <w:t>方案全面可行性强得15-8分：方案较全面合理得7-1分；方案差不得分。</w:t>
      </w:r>
    </w:p>
    <w:p w14:paraId="3810D6B5">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3、项目实施与服务                                       （满分22分）</w:t>
      </w:r>
      <w:r>
        <w:rPr>
          <w:rFonts w:hint="eastAsia" w:ascii="宋体" w:hAnsi="宋体"/>
          <w:b/>
          <w:bCs/>
          <w:szCs w:val="21"/>
          <w:highlight w:val="none"/>
        </w:rPr>
        <w:tab/>
      </w:r>
    </w:p>
    <w:p w14:paraId="6E57F974">
      <w:pPr>
        <w:autoSpaceDE w:val="0"/>
        <w:autoSpaceDN w:val="0"/>
        <w:adjustRightInd w:val="0"/>
        <w:spacing w:line="360" w:lineRule="auto"/>
        <w:ind w:firstLine="561"/>
        <w:rPr>
          <w:rFonts w:ascii="宋体" w:hAnsi="宋体"/>
          <w:szCs w:val="21"/>
          <w:highlight w:val="none"/>
        </w:rPr>
      </w:pPr>
      <w:r>
        <w:rPr>
          <w:rFonts w:hint="eastAsia" w:ascii="宋体" w:hAnsi="宋体"/>
          <w:szCs w:val="21"/>
          <w:highlight w:val="none"/>
        </w:rPr>
        <w:t>（1）由评标委员会根据投标人的保修期进行打分。少于24个月的按否决投标处理，承诺质保期每延长1年加1分，最多加2分。（提供承诺书）（2分）</w:t>
      </w:r>
    </w:p>
    <w:p w14:paraId="28C64738">
      <w:pPr>
        <w:autoSpaceDE w:val="0"/>
        <w:autoSpaceDN w:val="0"/>
        <w:adjustRightInd w:val="0"/>
        <w:spacing w:line="360" w:lineRule="auto"/>
        <w:ind w:firstLine="561"/>
        <w:rPr>
          <w:rFonts w:ascii="宋体" w:hAnsi="宋体"/>
          <w:szCs w:val="21"/>
          <w:highlight w:val="none"/>
        </w:rPr>
      </w:pPr>
      <w:r>
        <w:rPr>
          <w:rFonts w:hint="eastAsia" w:ascii="宋体" w:hAnsi="宋体"/>
          <w:szCs w:val="21"/>
          <w:highlight w:val="none"/>
        </w:rPr>
        <w:t>（2）投标人制定了合理的项目实施计划，包括时间节点、里程碑等，以确保项目能够按时完成，优得（4，6]分，良得（2，3]分，一般得（0，1]，无内容不得分。（6分）</w:t>
      </w:r>
    </w:p>
    <w:p w14:paraId="5710FD85">
      <w:pPr>
        <w:autoSpaceDE w:val="0"/>
        <w:autoSpaceDN w:val="0"/>
        <w:adjustRightInd w:val="0"/>
        <w:spacing w:line="360" w:lineRule="auto"/>
        <w:ind w:firstLine="561"/>
        <w:rPr>
          <w:rFonts w:ascii="宋体" w:hAnsi="宋体"/>
          <w:szCs w:val="21"/>
          <w:highlight w:val="none"/>
        </w:rPr>
      </w:pPr>
      <w:r>
        <w:rPr>
          <w:rFonts w:hint="eastAsia" w:ascii="宋体" w:hAnsi="宋体"/>
          <w:szCs w:val="21"/>
          <w:highlight w:val="none"/>
        </w:rPr>
        <w:t>（3）投标人的售后服务支持方案是否完善，包括技术支持、培训、维护等方面的内容，以确保项目交付后能够得到持续的支持和服务，优得（4，6]分，良得（2，3]分，一般得（0，1]，无内容不得分。（6分）</w:t>
      </w:r>
    </w:p>
    <w:p w14:paraId="6A6F4AD0">
      <w:pPr>
        <w:autoSpaceDE w:val="0"/>
        <w:autoSpaceDN w:val="0"/>
        <w:adjustRightInd w:val="0"/>
        <w:spacing w:line="360" w:lineRule="auto"/>
        <w:ind w:firstLine="561"/>
        <w:rPr>
          <w:rFonts w:ascii="宋体" w:hAnsi="宋体"/>
          <w:szCs w:val="21"/>
          <w:highlight w:val="none"/>
        </w:rPr>
      </w:pPr>
      <w:r>
        <w:rPr>
          <w:rFonts w:hint="eastAsia" w:ascii="宋体" w:hAnsi="宋体"/>
          <w:szCs w:val="21"/>
          <w:highlight w:val="none"/>
        </w:rPr>
        <w:t>（4）对江苏长江水务资产管理系统整体需求分析与理解，优得（6，8]分，良得（3，5]分，一般得（0，2]，无内容不得分。（8分）</w:t>
      </w:r>
    </w:p>
    <w:p w14:paraId="6AEE45E7">
      <w:pPr>
        <w:autoSpaceDE w:val="0"/>
        <w:autoSpaceDN w:val="0"/>
        <w:adjustRightInd w:val="0"/>
        <w:snapToGrid w:val="0"/>
        <w:spacing w:line="480" w:lineRule="exact"/>
        <w:rPr>
          <w:rFonts w:ascii="宋体" w:hAnsi="宋体"/>
          <w:szCs w:val="21"/>
          <w:highlight w:val="none"/>
        </w:rPr>
      </w:pPr>
      <w:r>
        <w:rPr>
          <w:rFonts w:hint="eastAsia" w:ascii="宋体" w:hAnsi="宋体"/>
          <w:b/>
          <w:bCs/>
          <w:szCs w:val="21"/>
          <w:highlight w:val="none"/>
        </w:rPr>
        <w:t>六、定标</w:t>
      </w:r>
    </w:p>
    <w:p w14:paraId="58FA2580">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1、评标委员会完成评标后，应当向招标人提出书面评标报告，阐明评标委员会对各投标文件的评审和比较意见，并按照招标文件中规定的评标方法，推荐3名有排序的合格中标候选人。</w:t>
      </w:r>
    </w:p>
    <w:p w14:paraId="1E46E757">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14:paraId="3CEB445E">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E9FF0BE">
      <w:pPr>
        <w:autoSpaceDE w:val="0"/>
        <w:autoSpaceDN w:val="0"/>
        <w:adjustRightInd w:val="0"/>
        <w:snapToGrid w:val="0"/>
        <w:spacing w:line="480" w:lineRule="exact"/>
        <w:rPr>
          <w:rFonts w:ascii="宋体" w:hAnsi="宋体"/>
          <w:szCs w:val="21"/>
          <w:highlight w:val="none"/>
        </w:rPr>
      </w:pPr>
    </w:p>
    <w:p w14:paraId="0DEE7CFE">
      <w:pPr>
        <w:autoSpaceDE w:val="0"/>
        <w:autoSpaceDN w:val="0"/>
        <w:adjustRightInd w:val="0"/>
        <w:snapToGrid w:val="0"/>
        <w:spacing w:line="480" w:lineRule="exact"/>
        <w:rPr>
          <w:rFonts w:ascii="宋体" w:hAnsi="宋体"/>
          <w:b/>
          <w:bCs/>
          <w:szCs w:val="21"/>
          <w:highlight w:val="none"/>
        </w:rPr>
      </w:pPr>
      <w:r>
        <w:rPr>
          <w:rFonts w:hint="eastAsia" w:ascii="宋体" w:hAnsi="宋体"/>
          <w:b/>
          <w:bCs/>
          <w:szCs w:val="21"/>
          <w:highlight w:val="none"/>
        </w:rPr>
        <w:t>七、通用合同条款：</w:t>
      </w:r>
    </w:p>
    <w:p w14:paraId="58A55A56">
      <w:pPr>
        <w:widowControl/>
        <w:jc w:val="left"/>
        <w:rPr>
          <w:rStyle w:val="19"/>
          <w:rFonts w:ascii="宋体" w:hAnsi="宋体" w:eastAsia="宋体" w:cs="宋体"/>
          <w:color w:val="000000" w:themeColor="text1"/>
          <w:sz w:val="32"/>
          <w:szCs w:val="32"/>
          <w:highlight w:val="none"/>
        </w:rPr>
      </w:pPr>
      <w:r>
        <w:rPr>
          <w:rStyle w:val="19"/>
          <w:rFonts w:hint="eastAsia" w:ascii="宋体" w:hAnsi="宋体" w:eastAsia="宋体" w:cs="宋体"/>
          <w:color w:val="000000" w:themeColor="text1"/>
          <w:sz w:val="32"/>
          <w:szCs w:val="32"/>
          <w:highlight w:val="none"/>
        </w:rPr>
        <w:t>合同编号：</w:t>
      </w:r>
    </w:p>
    <w:p w14:paraId="60108E96">
      <w:pPr>
        <w:pStyle w:val="2"/>
        <w:rPr>
          <w:rStyle w:val="19"/>
          <w:rFonts w:ascii="宋体" w:hAnsi="宋体" w:eastAsia="宋体" w:cs="宋体"/>
          <w:color w:val="000000" w:themeColor="text1"/>
          <w:sz w:val="32"/>
          <w:szCs w:val="32"/>
          <w:highlight w:val="none"/>
        </w:rPr>
      </w:pPr>
    </w:p>
    <w:p w14:paraId="0C7554E2">
      <w:pPr>
        <w:pStyle w:val="3"/>
        <w:rPr>
          <w:rStyle w:val="19"/>
          <w:rFonts w:ascii="宋体" w:hAnsi="宋体" w:eastAsia="宋体" w:cs="宋体"/>
          <w:color w:val="000000" w:themeColor="text1"/>
          <w:sz w:val="32"/>
          <w:szCs w:val="32"/>
          <w:highlight w:val="none"/>
        </w:rPr>
      </w:pPr>
    </w:p>
    <w:p w14:paraId="3323D3AF">
      <w:pPr>
        <w:pStyle w:val="3"/>
        <w:rPr>
          <w:rStyle w:val="19"/>
          <w:rFonts w:ascii="宋体" w:hAnsi="宋体" w:eastAsia="宋体" w:cs="宋体"/>
          <w:color w:val="000000" w:themeColor="text1"/>
          <w:sz w:val="32"/>
          <w:szCs w:val="32"/>
          <w:highlight w:val="none"/>
        </w:rPr>
      </w:pPr>
    </w:p>
    <w:p w14:paraId="14265930">
      <w:pPr>
        <w:pStyle w:val="3"/>
        <w:rPr>
          <w:rStyle w:val="19"/>
          <w:rFonts w:ascii="宋体" w:hAnsi="宋体" w:eastAsia="宋体" w:cs="宋体"/>
          <w:color w:val="000000" w:themeColor="text1"/>
          <w:sz w:val="32"/>
          <w:szCs w:val="32"/>
          <w:highlight w:val="none"/>
        </w:rPr>
      </w:pPr>
    </w:p>
    <w:p w14:paraId="647598EF">
      <w:pPr>
        <w:pStyle w:val="3"/>
        <w:rPr>
          <w:rStyle w:val="19"/>
          <w:rFonts w:ascii="宋体" w:hAnsi="宋体" w:eastAsia="宋体" w:cs="宋体"/>
          <w:color w:val="000000" w:themeColor="text1"/>
          <w:sz w:val="32"/>
          <w:szCs w:val="32"/>
          <w:highlight w:val="none"/>
        </w:rPr>
      </w:pPr>
    </w:p>
    <w:p w14:paraId="490C0A4F">
      <w:pPr>
        <w:pStyle w:val="3"/>
        <w:rPr>
          <w:rStyle w:val="19"/>
          <w:rFonts w:ascii="宋体" w:hAnsi="宋体" w:eastAsia="宋体" w:cs="宋体"/>
          <w:color w:val="000000" w:themeColor="text1"/>
          <w:sz w:val="32"/>
          <w:szCs w:val="32"/>
          <w:highlight w:val="none"/>
        </w:rPr>
      </w:pPr>
    </w:p>
    <w:p w14:paraId="14D27326">
      <w:pPr>
        <w:pStyle w:val="20"/>
        <w:spacing w:line="360" w:lineRule="auto"/>
        <w:jc w:val="center"/>
        <w:rPr>
          <w:rFonts w:ascii="黑体" w:hAnsi="黑体" w:eastAsia="黑体" w:cs="宋体-简"/>
          <w:b/>
          <w:bCs/>
          <w:color w:val="auto"/>
          <w:sz w:val="44"/>
          <w:szCs w:val="44"/>
          <w:highlight w:val="none"/>
        </w:rPr>
      </w:pPr>
    </w:p>
    <w:p w14:paraId="2481EFFA">
      <w:pPr>
        <w:pStyle w:val="20"/>
        <w:spacing w:line="480" w:lineRule="auto"/>
        <w:jc w:val="center"/>
        <w:rPr>
          <w:rFonts w:ascii="黑体" w:hAnsi="黑体" w:eastAsia="黑体" w:cs="宋体-简"/>
          <w:b/>
          <w:bCs/>
          <w:color w:val="auto"/>
          <w:sz w:val="48"/>
          <w:szCs w:val="48"/>
          <w:highlight w:val="none"/>
        </w:rPr>
      </w:pPr>
      <w:r>
        <w:rPr>
          <w:rFonts w:hint="eastAsia" w:ascii="黑体" w:hAnsi="黑体" w:eastAsia="黑体" w:cs="宋体-简"/>
          <w:b/>
          <w:bCs/>
          <w:color w:val="auto"/>
          <w:sz w:val="48"/>
          <w:szCs w:val="48"/>
          <w:highlight w:val="none"/>
        </w:rPr>
        <w:t>江苏长江水务股份有限公司</w:t>
      </w:r>
    </w:p>
    <w:p w14:paraId="64EB813D">
      <w:pPr>
        <w:pStyle w:val="20"/>
        <w:spacing w:line="480" w:lineRule="auto"/>
        <w:jc w:val="center"/>
        <w:rPr>
          <w:rFonts w:ascii="黑体" w:hAnsi="黑体" w:eastAsia="黑体" w:cs="宋体-简"/>
          <w:b/>
          <w:bCs/>
          <w:color w:val="auto"/>
          <w:sz w:val="44"/>
          <w:szCs w:val="44"/>
          <w:highlight w:val="none"/>
        </w:rPr>
      </w:pPr>
      <w:r>
        <w:rPr>
          <w:rFonts w:hint="eastAsia" w:ascii="黑体" w:hAnsi="黑体" w:eastAsia="黑体" w:cs="宋体-简"/>
          <w:b/>
          <w:bCs/>
          <w:color w:val="auto"/>
          <w:sz w:val="44"/>
          <w:szCs w:val="44"/>
          <w:highlight w:val="none"/>
        </w:rPr>
        <w:t>“资产设备信息系统招标项目”</w:t>
      </w:r>
    </w:p>
    <w:p w14:paraId="4B4D27C7">
      <w:pPr>
        <w:pStyle w:val="20"/>
        <w:spacing w:line="480" w:lineRule="auto"/>
        <w:jc w:val="center"/>
        <w:rPr>
          <w:rFonts w:ascii="黑体" w:hAnsi="黑体" w:eastAsia="黑体" w:cs="宋体-简"/>
          <w:b/>
          <w:bCs/>
          <w:color w:val="auto"/>
          <w:sz w:val="44"/>
          <w:szCs w:val="44"/>
          <w:highlight w:val="none"/>
        </w:rPr>
      </w:pPr>
      <w:r>
        <w:rPr>
          <w:rFonts w:hint="eastAsia" w:ascii="黑体" w:hAnsi="黑体" w:eastAsia="黑体" w:cs="宋体-简"/>
          <w:b/>
          <w:bCs/>
          <w:color w:val="auto"/>
          <w:sz w:val="44"/>
          <w:szCs w:val="44"/>
          <w:highlight w:val="none"/>
        </w:rPr>
        <w:t>合同</w:t>
      </w:r>
    </w:p>
    <w:p w14:paraId="5F1EAC95">
      <w:pPr>
        <w:pStyle w:val="20"/>
        <w:spacing w:line="360" w:lineRule="auto"/>
        <w:jc w:val="center"/>
        <w:rPr>
          <w:rFonts w:ascii="黑体" w:hAnsi="黑体" w:eastAsia="黑体" w:cs="宋体-简"/>
          <w:b/>
          <w:bCs/>
          <w:color w:val="auto"/>
          <w:sz w:val="44"/>
          <w:szCs w:val="44"/>
          <w:highlight w:val="none"/>
        </w:rPr>
      </w:pPr>
    </w:p>
    <w:p w14:paraId="24405E90">
      <w:pPr>
        <w:pStyle w:val="20"/>
        <w:spacing w:line="360" w:lineRule="auto"/>
        <w:jc w:val="center"/>
        <w:rPr>
          <w:rFonts w:ascii="黑体" w:hAnsi="黑体" w:eastAsia="黑体" w:cs="宋体-简"/>
          <w:b/>
          <w:bCs/>
          <w:color w:val="auto"/>
          <w:sz w:val="44"/>
          <w:szCs w:val="44"/>
          <w:highlight w:val="none"/>
        </w:rPr>
      </w:pPr>
    </w:p>
    <w:p w14:paraId="7CE7E1D3">
      <w:pPr>
        <w:pStyle w:val="20"/>
        <w:spacing w:line="360" w:lineRule="auto"/>
        <w:rPr>
          <w:rFonts w:ascii="黑体" w:hAnsi="黑体" w:eastAsia="黑体" w:cs="宋体-简"/>
          <w:b/>
          <w:bCs/>
          <w:color w:val="auto"/>
          <w:sz w:val="44"/>
          <w:szCs w:val="44"/>
          <w:highlight w:val="none"/>
        </w:rPr>
      </w:pP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415"/>
        <w:gridCol w:w="4550"/>
      </w:tblGrid>
      <w:tr w14:paraId="3EB4F84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415" w:type="dxa"/>
            <w:tcBorders>
              <w:top w:val="nil"/>
              <w:bottom w:val="nil"/>
            </w:tcBorders>
          </w:tcPr>
          <w:p w14:paraId="41BED094">
            <w:pPr>
              <w:spacing w:line="360" w:lineRule="auto"/>
              <w:rPr>
                <w:rFonts w:ascii="黑体" w:hAnsi="黑体" w:eastAsia="黑体"/>
                <w:b/>
                <w:sz w:val="30"/>
                <w:szCs w:val="30"/>
                <w:highlight w:val="none"/>
              </w:rPr>
            </w:pPr>
            <w:r>
              <w:rPr>
                <w:rFonts w:hint="eastAsia" w:ascii="黑体" w:hAnsi="黑体" w:eastAsia="黑体"/>
                <w:b/>
                <w:sz w:val="30"/>
                <w:szCs w:val="30"/>
                <w:highlight w:val="none"/>
              </w:rPr>
              <w:t>甲  方</w:t>
            </w:r>
            <w:r>
              <w:rPr>
                <w:rFonts w:ascii="黑体" w:hAnsi="黑体" w:eastAsia="黑体"/>
                <w:b/>
                <w:sz w:val="30"/>
                <w:szCs w:val="30"/>
                <w:highlight w:val="none"/>
              </w:rPr>
              <w:t>：</w:t>
            </w:r>
          </w:p>
        </w:tc>
        <w:tc>
          <w:tcPr>
            <w:tcW w:w="4550" w:type="dxa"/>
          </w:tcPr>
          <w:p w14:paraId="796F18AE">
            <w:pPr>
              <w:spacing w:line="360" w:lineRule="auto"/>
              <w:rPr>
                <w:rFonts w:ascii="黑体" w:hAnsi="黑体" w:eastAsia="黑体"/>
                <w:sz w:val="30"/>
                <w:szCs w:val="30"/>
                <w:highlight w:val="none"/>
              </w:rPr>
            </w:pPr>
          </w:p>
        </w:tc>
      </w:tr>
      <w:tr w14:paraId="625E02E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415" w:type="dxa"/>
            <w:tcBorders>
              <w:top w:val="nil"/>
              <w:bottom w:val="nil"/>
            </w:tcBorders>
          </w:tcPr>
          <w:p w14:paraId="0477FB76">
            <w:pPr>
              <w:spacing w:line="360" w:lineRule="auto"/>
              <w:rPr>
                <w:rFonts w:ascii="黑体" w:hAnsi="黑体" w:eastAsia="黑体"/>
                <w:b/>
                <w:sz w:val="30"/>
                <w:szCs w:val="30"/>
                <w:highlight w:val="none"/>
              </w:rPr>
            </w:pPr>
            <w:r>
              <w:rPr>
                <w:rFonts w:hint="eastAsia" w:ascii="黑体" w:hAnsi="黑体" w:eastAsia="黑体"/>
                <w:b/>
                <w:sz w:val="30"/>
                <w:szCs w:val="30"/>
                <w:highlight w:val="none"/>
              </w:rPr>
              <w:t>乙  方</w:t>
            </w:r>
            <w:r>
              <w:rPr>
                <w:rFonts w:ascii="黑体" w:hAnsi="黑体" w:eastAsia="黑体"/>
                <w:b/>
                <w:sz w:val="30"/>
                <w:szCs w:val="30"/>
                <w:highlight w:val="none"/>
              </w:rPr>
              <w:t>：</w:t>
            </w:r>
          </w:p>
        </w:tc>
        <w:tc>
          <w:tcPr>
            <w:tcW w:w="4550" w:type="dxa"/>
          </w:tcPr>
          <w:p w14:paraId="5B896421">
            <w:pPr>
              <w:spacing w:line="360" w:lineRule="auto"/>
              <w:rPr>
                <w:rFonts w:ascii="黑体" w:hAnsi="黑体" w:eastAsia="黑体"/>
                <w:sz w:val="30"/>
                <w:szCs w:val="30"/>
                <w:highlight w:val="none"/>
              </w:rPr>
            </w:pPr>
          </w:p>
        </w:tc>
      </w:tr>
    </w:tbl>
    <w:p w14:paraId="27E83245">
      <w:pPr>
        <w:pStyle w:val="20"/>
        <w:spacing w:line="360" w:lineRule="auto"/>
        <w:ind w:firstLine="1084"/>
        <w:rPr>
          <w:rFonts w:ascii="宋体" w:hAnsi="宋体" w:eastAsia="宋体" w:cs="黑体"/>
          <w:b/>
          <w:bCs/>
          <w:color w:val="auto"/>
          <w:sz w:val="30"/>
          <w:szCs w:val="30"/>
          <w:highlight w:val="none"/>
          <w:u w:val="single"/>
        </w:rPr>
      </w:pPr>
    </w:p>
    <w:p w14:paraId="1FB2679D">
      <w:pPr>
        <w:pStyle w:val="20"/>
        <w:spacing w:line="360" w:lineRule="auto"/>
        <w:ind w:firstLine="9769"/>
        <w:rPr>
          <w:rFonts w:ascii="宋体" w:hAnsi="宋体" w:eastAsia="宋体" w:cs="黑体"/>
          <w:b/>
          <w:bCs/>
          <w:color w:val="auto"/>
          <w:highlight w:val="none"/>
          <w:u w:val="single"/>
        </w:rPr>
      </w:pPr>
    </w:p>
    <w:p w14:paraId="0793CF7B">
      <w:pPr>
        <w:pStyle w:val="20"/>
        <w:spacing w:line="360" w:lineRule="auto"/>
        <w:ind w:right="540" w:firstLine="1084"/>
        <w:jc w:val="right"/>
        <w:rPr>
          <w:rFonts w:ascii="宋体" w:hAnsi="宋体" w:eastAsia="宋体" w:cs="黑体"/>
          <w:b/>
          <w:bCs/>
          <w:color w:val="auto"/>
          <w:highlight w:val="none"/>
        </w:rPr>
      </w:pPr>
    </w:p>
    <w:p w14:paraId="69B80999">
      <w:pPr>
        <w:pStyle w:val="20"/>
        <w:spacing w:line="360" w:lineRule="auto"/>
        <w:ind w:right="540" w:firstLine="1084"/>
        <w:jc w:val="right"/>
        <w:rPr>
          <w:rFonts w:ascii="宋体" w:hAnsi="宋体" w:eastAsia="宋体" w:cs="黑体"/>
          <w:b/>
          <w:bCs/>
          <w:color w:val="auto"/>
          <w:highlight w:val="none"/>
        </w:rPr>
      </w:pPr>
    </w:p>
    <w:p w14:paraId="46D86769">
      <w:pPr>
        <w:pStyle w:val="12"/>
        <w:tabs>
          <w:tab w:val="left" w:pos="1035"/>
          <w:tab w:val="center" w:pos="4876"/>
          <w:tab w:val="right" w:leader="dot" w:pos="9349"/>
        </w:tabs>
        <w:rPr>
          <w:rFonts w:ascii="宋体" w:hAnsi="宋体" w:cs="宋体"/>
          <w:b/>
          <w:bCs/>
          <w:highlight w:val="none"/>
        </w:rPr>
      </w:pPr>
      <w:r>
        <w:rPr>
          <w:rFonts w:ascii="宋体" w:hAnsi="宋体" w:cs="宋体"/>
          <w:b/>
          <w:bCs/>
          <w:highlight w:val="none"/>
        </w:rPr>
        <w:tab/>
      </w:r>
      <w:r>
        <w:rPr>
          <w:rFonts w:ascii="宋体" w:hAnsi="宋体" w:cs="宋体"/>
          <w:b/>
          <w:bCs/>
          <w:highlight w:val="none"/>
        </w:rPr>
        <w:tab/>
      </w:r>
      <w:r>
        <w:rPr>
          <w:rFonts w:ascii="宋体" w:hAnsi="宋体" w:cs="宋体"/>
          <w:b/>
          <w:bCs/>
          <w:highlight w:val="none"/>
        </w:rPr>
        <w:t>目 录</w:t>
      </w:r>
    </w:p>
    <w:p w14:paraId="548E58BF">
      <w:pPr>
        <w:pStyle w:val="12"/>
        <w:tabs>
          <w:tab w:val="right" w:leader="dot" w:pos="9349"/>
        </w:tabs>
        <w:jc w:val="center"/>
        <w:rPr>
          <w:rFonts w:ascii="宋体" w:hAnsi="宋体" w:cs="宋体"/>
          <w:b/>
          <w:bCs/>
          <w:highlight w:val="none"/>
        </w:rPr>
      </w:pPr>
    </w:p>
    <w:p w14:paraId="7F08D05A">
      <w:pPr>
        <w:pStyle w:val="12"/>
        <w:tabs>
          <w:tab w:val="right" w:leader="hyphen" w:pos="8306"/>
        </w:tabs>
        <w:rPr>
          <w:highlight w:val="none"/>
        </w:rPr>
      </w:pPr>
      <w:r>
        <w:rPr>
          <w:rFonts w:ascii="宋体" w:hAnsi="宋体" w:cs="宋体"/>
          <w:b/>
          <w:bCs/>
          <w:highlight w:val="none"/>
        </w:rPr>
        <w:fldChar w:fldCharType="begin"/>
      </w:r>
      <w:r>
        <w:rPr>
          <w:rFonts w:ascii="宋体" w:hAnsi="宋体" w:cs="宋体"/>
          <w:b/>
          <w:bCs/>
          <w:highlight w:val="none"/>
        </w:rPr>
        <w:instrText xml:space="preserve">TOC \o "1-3" \u </w:instrText>
      </w:r>
      <w:r>
        <w:rPr>
          <w:rFonts w:ascii="宋体" w:hAnsi="宋体" w:cs="宋体"/>
          <w:b/>
          <w:bCs/>
          <w:highlight w:val="none"/>
        </w:rPr>
        <w:fldChar w:fldCharType="separate"/>
      </w:r>
      <w:r>
        <w:rPr>
          <w:rFonts w:ascii="宋体" w:hAnsi="宋体" w:cs="宋体"/>
          <w:highlight w:val="none"/>
        </w:rPr>
        <w:t>第一条 定义</w:t>
      </w:r>
      <w:r>
        <w:rPr>
          <w:highlight w:val="none"/>
        </w:rPr>
        <w:tab/>
      </w:r>
      <w:r>
        <w:rPr>
          <w:highlight w:val="none"/>
        </w:rPr>
        <w:fldChar w:fldCharType="begin"/>
      </w:r>
      <w:r>
        <w:rPr>
          <w:highlight w:val="none"/>
        </w:rPr>
        <w:instrText xml:space="preserve"> PAGEREF _Toc14445 \h </w:instrText>
      </w:r>
      <w:r>
        <w:rPr>
          <w:highlight w:val="none"/>
        </w:rPr>
        <w:fldChar w:fldCharType="separate"/>
      </w:r>
      <w:r>
        <w:rPr>
          <w:highlight w:val="none"/>
        </w:rPr>
        <w:t>3</w:t>
      </w:r>
      <w:r>
        <w:rPr>
          <w:highlight w:val="none"/>
        </w:rPr>
        <w:fldChar w:fldCharType="end"/>
      </w:r>
    </w:p>
    <w:p w14:paraId="0833535F">
      <w:pPr>
        <w:pStyle w:val="12"/>
        <w:tabs>
          <w:tab w:val="right" w:leader="hyphen" w:pos="8306"/>
        </w:tabs>
        <w:rPr>
          <w:highlight w:val="none"/>
        </w:rPr>
      </w:pPr>
      <w:r>
        <w:rPr>
          <w:rFonts w:ascii="宋体" w:hAnsi="宋体" w:cs="宋体"/>
          <w:highlight w:val="none"/>
        </w:rPr>
        <w:t>第二条 合同的构成</w:t>
      </w:r>
      <w:r>
        <w:rPr>
          <w:highlight w:val="none"/>
        </w:rPr>
        <w:tab/>
      </w:r>
      <w:r>
        <w:rPr>
          <w:highlight w:val="none"/>
        </w:rPr>
        <w:fldChar w:fldCharType="begin"/>
      </w:r>
      <w:r>
        <w:rPr>
          <w:highlight w:val="none"/>
        </w:rPr>
        <w:instrText xml:space="preserve"> PAGEREF _Toc26083 \h </w:instrText>
      </w:r>
      <w:r>
        <w:rPr>
          <w:highlight w:val="none"/>
        </w:rPr>
        <w:fldChar w:fldCharType="separate"/>
      </w:r>
      <w:r>
        <w:rPr>
          <w:highlight w:val="none"/>
        </w:rPr>
        <w:t>4</w:t>
      </w:r>
      <w:r>
        <w:rPr>
          <w:highlight w:val="none"/>
        </w:rPr>
        <w:fldChar w:fldCharType="end"/>
      </w:r>
    </w:p>
    <w:p w14:paraId="13688655">
      <w:pPr>
        <w:pStyle w:val="12"/>
        <w:tabs>
          <w:tab w:val="right" w:leader="hyphen" w:pos="8306"/>
        </w:tabs>
        <w:rPr>
          <w:highlight w:val="none"/>
        </w:rPr>
      </w:pPr>
      <w:r>
        <w:rPr>
          <w:rFonts w:hint="eastAsia" w:ascii="宋体" w:hAnsi="宋体" w:cs="宋体"/>
          <w:highlight w:val="none"/>
        </w:rPr>
        <w:t xml:space="preserve">第三条 </w:t>
      </w:r>
      <w:r>
        <w:rPr>
          <w:rFonts w:ascii="宋体" w:hAnsi="宋体" w:cs="宋体"/>
          <w:highlight w:val="none"/>
        </w:rPr>
        <w:t>合同</w:t>
      </w:r>
      <w:r>
        <w:rPr>
          <w:rFonts w:hint="eastAsia" w:ascii="宋体" w:hAnsi="宋体" w:cs="宋体"/>
          <w:highlight w:val="none"/>
        </w:rPr>
        <w:t>采购内容及</w:t>
      </w:r>
      <w:r>
        <w:rPr>
          <w:rFonts w:ascii="宋体" w:hAnsi="宋体" w:cs="宋体"/>
          <w:highlight w:val="none"/>
        </w:rPr>
        <w:t>金额</w:t>
      </w:r>
      <w:r>
        <w:rPr>
          <w:highlight w:val="none"/>
        </w:rPr>
        <w:tab/>
      </w:r>
      <w:r>
        <w:rPr>
          <w:highlight w:val="none"/>
        </w:rPr>
        <w:fldChar w:fldCharType="begin"/>
      </w:r>
      <w:r>
        <w:rPr>
          <w:highlight w:val="none"/>
        </w:rPr>
        <w:instrText xml:space="preserve"> PAGEREF _Toc24494 \h </w:instrText>
      </w:r>
      <w:r>
        <w:rPr>
          <w:highlight w:val="none"/>
        </w:rPr>
        <w:fldChar w:fldCharType="separate"/>
      </w:r>
      <w:r>
        <w:rPr>
          <w:highlight w:val="none"/>
        </w:rPr>
        <w:t>4</w:t>
      </w:r>
      <w:r>
        <w:rPr>
          <w:highlight w:val="none"/>
        </w:rPr>
        <w:fldChar w:fldCharType="end"/>
      </w:r>
    </w:p>
    <w:p w14:paraId="71D1ED12">
      <w:pPr>
        <w:pStyle w:val="12"/>
        <w:tabs>
          <w:tab w:val="right" w:leader="hyphen" w:pos="8306"/>
        </w:tabs>
        <w:rPr>
          <w:highlight w:val="none"/>
        </w:rPr>
      </w:pPr>
      <w:r>
        <w:rPr>
          <w:rFonts w:ascii="宋体" w:hAnsi="宋体" w:cs="宋体"/>
          <w:highlight w:val="none"/>
        </w:rPr>
        <w:t>第四条 支付方式</w:t>
      </w:r>
      <w:r>
        <w:rPr>
          <w:highlight w:val="none"/>
        </w:rPr>
        <w:tab/>
      </w:r>
      <w:r>
        <w:rPr>
          <w:highlight w:val="none"/>
        </w:rPr>
        <w:fldChar w:fldCharType="begin"/>
      </w:r>
      <w:r>
        <w:rPr>
          <w:highlight w:val="none"/>
        </w:rPr>
        <w:instrText xml:space="preserve"> PAGEREF _Toc5812 \h </w:instrText>
      </w:r>
      <w:r>
        <w:rPr>
          <w:highlight w:val="none"/>
        </w:rPr>
        <w:fldChar w:fldCharType="separate"/>
      </w:r>
      <w:r>
        <w:rPr>
          <w:highlight w:val="none"/>
        </w:rPr>
        <w:t>4</w:t>
      </w:r>
      <w:r>
        <w:rPr>
          <w:highlight w:val="none"/>
        </w:rPr>
        <w:fldChar w:fldCharType="end"/>
      </w:r>
    </w:p>
    <w:p w14:paraId="4CDF4588">
      <w:pPr>
        <w:pStyle w:val="12"/>
        <w:tabs>
          <w:tab w:val="right" w:leader="hyphen" w:pos="8306"/>
        </w:tabs>
        <w:rPr>
          <w:highlight w:val="none"/>
        </w:rPr>
      </w:pPr>
      <w:r>
        <w:rPr>
          <w:rFonts w:ascii="宋体" w:hAnsi="宋体" w:cs="宋体"/>
          <w:highlight w:val="none"/>
        </w:rPr>
        <w:t>第五条 乙方开户银行名称、户名和账号</w:t>
      </w:r>
      <w:r>
        <w:rPr>
          <w:highlight w:val="none"/>
        </w:rPr>
        <w:tab/>
      </w:r>
      <w:r>
        <w:rPr>
          <w:highlight w:val="none"/>
        </w:rPr>
        <w:fldChar w:fldCharType="begin"/>
      </w:r>
      <w:r>
        <w:rPr>
          <w:highlight w:val="none"/>
        </w:rPr>
        <w:instrText xml:space="preserve"> PAGEREF _Toc17314 \h </w:instrText>
      </w:r>
      <w:r>
        <w:rPr>
          <w:highlight w:val="none"/>
        </w:rPr>
        <w:fldChar w:fldCharType="separate"/>
      </w:r>
      <w:r>
        <w:rPr>
          <w:highlight w:val="none"/>
        </w:rPr>
        <w:t>5</w:t>
      </w:r>
      <w:r>
        <w:rPr>
          <w:highlight w:val="none"/>
        </w:rPr>
        <w:fldChar w:fldCharType="end"/>
      </w:r>
    </w:p>
    <w:p w14:paraId="263011EE">
      <w:pPr>
        <w:pStyle w:val="12"/>
        <w:tabs>
          <w:tab w:val="right" w:leader="hyphen" w:pos="8306"/>
        </w:tabs>
        <w:rPr>
          <w:highlight w:val="none"/>
        </w:rPr>
      </w:pPr>
      <w:r>
        <w:rPr>
          <w:rFonts w:ascii="宋体" w:hAnsi="宋体" w:cs="宋体"/>
          <w:highlight w:val="none"/>
        </w:rPr>
        <w:t>第六条 发票信息</w:t>
      </w:r>
      <w:r>
        <w:rPr>
          <w:highlight w:val="none"/>
        </w:rPr>
        <w:tab/>
      </w:r>
      <w:r>
        <w:rPr>
          <w:highlight w:val="none"/>
        </w:rPr>
        <w:fldChar w:fldCharType="begin"/>
      </w:r>
      <w:r>
        <w:rPr>
          <w:highlight w:val="none"/>
        </w:rPr>
        <w:instrText xml:space="preserve"> PAGEREF _Toc18766 \h </w:instrText>
      </w:r>
      <w:r>
        <w:rPr>
          <w:highlight w:val="none"/>
        </w:rPr>
        <w:fldChar w:fldCharType="separate"/>
      </w:r>
      <w:r>
        <w:rPr>
          <w:highlight w:val="none"/>
        </w:rPr>
        <w:t>5</w:t>
      </w:r>
      <w:r>
        <w:rPr>
          <w:highlight w:val="none"/>
        </w:rPr>
        <w:fldChar w:fldCharType="end"/>
      </w:r>
    </w:p>
    <w:p w14:paraId="5196459C">
      <w:pPr>
        <w:pStyle w:val="12"/>
        <w:tabs>
          <w:tab w:val="right" w:leader="hyphen" w:pos="8306"/>
        </w:tabs>
        <w:rPr>
          <w:highlight w:val="none"/>
        </w:rPr>
      </w:pPr>
      <w:r>
        <w:rPr>
          <w:rFonts w:ascii="宋体" w:hAnsi="宋体" w:cs="宋体"/>
          <w:highlight w:val="none"/>
        </w:rPr>
        <w:t>第七条 著作权及知识产权</w:t>
      </w:r>
      <w:r>
        <w:rPr>
          <w:highlight w:val="none"/>
        </w:rPr>
        <w:tab/>
      </w:r>
      <w:r>
        <w:rPr>
          <w:highlight w:val="none"/>
        </w:rPr>
        <w:fldChar w:fldCharType="begin"/>
      </w:r>
      <w:r>
        <w:rPr>
          <w:highlight w:val="none"/>
        </w:rPr>
        <w:instrText xml:space="preserve"> PAGEREF _Toc19349 \h </w:instrText>
      </w:r>
      <w:r>
        <w:rPr>
          <w:highlight w:val="none"/>
        </w:rPr>
        <w:fldChar w:fldCharType="separate"/>
      </w:r>
      <w:r>
        <w:rPr>
          <w:highlight w:val="none"/>
        </w:rPr>
        <w:t>6</w:t>
      </w:r>
      <w:r>
        <w:rPr>
          <w:highlight w:val="none"/>
        </w:rPr>
        <w:fldChar w:fldCharType="end"/>
      </w:r>
    </w:p>
    <w:p w14:paraId="63A02946">
      <w:pPr>
        <w:pStyle w:val="12"/>
        <w:tabs>
          <w:tab w:val="right" w:leader="hyphen" w:pos="8306"/>
        </w:tabs>
        <w:rPr>
          <w:highlight w:val="none"/>
        </w:rPr>
      </w:pPr>
      <w:r>
        <w:rPr>
          <w:rFonts w:hint="eastAsia" w:ascii="宋体" w:hAnsi="宋体" w:cs="宋体"/>
          <w:highlight w:val="none"/>
        </w:rPr>
        <w:t>第八条 验收</w:t>
      </w:r>
      <w:r>
        <w:rPr>
          <w:highlight w:val="none"/>
        </w:rPr>
        <w:tab/>
      </w:r>
      <w:r>
        <w:rPr>
          <w:highlight w:val="none"/>
        </w:rPr>
        <w:fldChar w:fldCharType="begin"/>
      </w:r>
      <w:r>
        <w:rPr>
          <w:highlight w:val="none"/>
        </w:rPr>
        <w:instrText xml:space="preserve"> PAGEREF _Toc8394 \h </w:instrText>
      </w:r>
      <w:r>
        <w:rPr>
          <w:highlight w:val="none"/>
        </w:rPr>
        <w:fldChar w:fldCharType="separate"/>
      </w:r>
      <w:r>
        <w:rPr>
          <w:highlight w:val="none"/>
        </w:rPr>
        <w:t>6</w:t>
      </w:r>
      <w:r>
        <w:rPr>
          <w:highlight w:val="none"/>
        </w:rPr>
        <w:fldChar w:fldCharType="end"/>
      </w:r>
    </w:p>
    <w:p w14:paraId="0EE7A9C5">
      <w:pPr>
        <w:pStyle w:val="12"/>
        <w:tabs>
          <w:tab w:val="right" w:leader="hyphen" w:pos="8306"/>
        </w:tabs>
        <w:rPr>
          <w:highlight w:val="none"/>
        </w:rPr>
      </w:pPr>
      <w:r>
        <w:rPr>
          <w:rFonts w:ascii="宋体" w:hAnsi="宋体" w:cs="宋体"/>
          <w:highlight w:val="none"/>
        </w:rPr>
        <w:t>第</w:t>
      </w:r>
      <w:r>
        <w:rPr>
          <w:rFonts w:hint="eastAsia" w:ascii="宋体" w:hAnsi="宋体" w:cs="宋体"/>
          <w:highlight w:val="none"/>
        </w:rPr>
        <w:t>九</w:t>
      </w:r>
      <w:r>
        <w:rPr>
          <w:rFonts w:ascii="宋体" w:hAnsi="宋体" w:cs="宋体"/>
          <w:highlight w:val="none"/>
        </w:rPr>
        <w:t>条 责任限制与违约责任</w:t>
      </w:r>
      <w:r>
        <w:rPr>
          <w:highlight w:val="none"/>
        </w:rPr>
        <w:tab/>
      </w:r>
      <w:r>
        <w:rPr>
          <w:highlight w:val="none"/>
        </w:rPr>
        <w:fldChar w:fldCharType="begin"/>
      </w:r>
      <w:r>
        <w:rPr>
          <w:highlight w:val="none"/>
        </w:rPr>
        <w:instrText xml:space="preserve"> PAGEREF _Toc2878 \h </w:instrText>
      </w:r>
      <w:r>
        <w:rPr>
          <w:highlight w:val="none"/>
        </w:rPr>
        <w:fldChar w:fldCharType="separate"/>
      </w:r>
      <w:r>
        <w:rPr>
          <w:highlight w:val="none"/>
        </w:rPr>
        <w:t>6</w:t>
      </w:r>
      <w:r>
        <w:rPr>
          <w:highlight w:val="none"/>
        </w:rPr>
        <w:fldChar w:fldCharType="end"/>
      </w:r>
    </w:p>
    <w:p w14:paraId="417A186E">
      <w:pPr>
        <w:pStyle w:val="12"/>
        <w:tabs>
          <w:tab w:val="right" w:leader="hyphen" w:pos="8306"/>
        </w:tabs>
        <w:rPr>
          <w:highlight w:val="none"/>
        </w:rPr>
      </w:pPr>
      <w:r>
        <w:rPr>
          <w:rFonts w:ascii="宋体" w:hAnsi="宋体" w:cs="宋体"/>
          <w:highlight w:val="none"/>
        </w:rPr>
        <w:t>第</w:t>
      </w:r>
      <w:r>
        <w:rPr>
          <w:rFonts w:hint="eastAsia" w:ascii="宋体" w:hAnsi="宋体" w:cs="宋体"/>
          <w:highlight w:val="none"/>
        </w:rPr>
        <w:t>十</w:t>
      </w:r>
      <w:r>
        <w:rPr>
          <w:rFonts w:ascii="宋体" w:hAnsi="宋体" w:cs="宋体"/>
          <w:highlight w:val="none"/>
        </w:rPr>
        <w:t>条 不可抗力</w:t>
      </w:r>
      <w:r>
        <w:rPr>
          <w:highlight w:val="none"/>
        </w:rPr>
        <w:tab/>
      </w:r>
      <w:r>
        <w:rPr>
          <w:highlight w:val="none"/>
        </w:rPr>
        <w:fldChar w:fldCharType="begin"/>
      </w:r>
      <w:r>
        <w:rPr>
          <w:highlight w:val="none"/>
        </w:rPr>
        <w:instrText xml:space="preserve"> PAGEREF _Toc21274 \h </w:instrText>
      </w:r>
      <w:r>
        <w:rPr>
          <w:highlight w:val="none"/>
        </w:rPr>
        <w:fldChar w:fldCharType="separate"/>
      </w:r>
      <w:r>
        <w:rPr>
          <w:highlight w:val="none"/>
        </w:rPr>
        <w:t>8</w:t>
      </w:r>
      <w:r>
        <w:rPr>
          <w:highlight w:val="none"/>
        </w:rPr>
        <w:fldChar w:fldCharType="end"/>
      </w:r>
    </w:p>
    <w:p w14:paraId="5F3574E7">
      <w:pPr>
        <w:pStyle w:val="12"/>
        <w:tabs>
          <w:tab w:val="right" w:leader="hyphen" w:pos="8306"/>
        </w:tabs>
        <w:rPr>
          <w:highlight w:val="none"/>
        </w:rPr>
      </w:pPr>
      <w:r>
        <w:rPr>
          <w:rFonts w:ascii="宋体" w:hAnsi="宋体" w:cs="宋体"/>
          <w:highlight w:val="none"/>
        </w:rPr>
        <w:t>第十</w:t>
      </w:r>
      <w:r>
        <w:rPr>
          <w:rFonts w:hint="eastAsia" w:ascii="宋体" w:hAnsi="宋体" w:cs="宋体"/>
          <w:highlight w:val="none"/>
        </w:rPr>
        <w:t>一</w:t>
      </w:r>
      <w:r>
        <w:rPr>
          <w:rFonts w:ascii="宋体" w:hAnsi="宋体" w:cs="宋体"/>
          <w:highlight w:val="none"/>
        </w:rPr>
        <w:t>条 通知</w:t>
      </w:r>
      <w:r>
        <w:rPr>
          <w:highlight w:val="none"/>
        </w:rPr>
        <w:tab/>
      </w:r>
      <w:r>
        <w:rPr>
          <w:highlight w:val="none"/>
        </w:rPr>
        <w:fldChar w:fldCharType="begin"/>
      </w:r>
      <w:r>
        <w:rPr>
          <w:highlight w:val="none"/>
        </w:rPr>
        <w:instrText xml:space="preserve"> PAGEREF _Toc21903 \h </w:instrText>
      </w:r>
      <w:r>
        <w:rPr>
          <w:highlight w:val="none"/>
        </w:rPr>
        <w:fldChar w:fldCharType="separate"/>
      </w:r>
      <w:r>
        <w:rPr>
          <w:highlight w:val="none"/>
        </w:rPr>
        <w:t>8</w:t>
      </w:r>
      <w:r>
        <w:rPr>
          <w:highlight w:val="none"/>
        </w:rPr>
        <w:fldChar w:fldCharType="end"/>
      </w:r>
    </w:p>
    <w:p w14:paraId="6F111339">
      <w:pPr>
        <w:pStyle w:val="12"/>
        <w:tabs>
          <w:tab w:val="right" w:leader="hyphen" w:pos="8306"/>
        </w:tabs>
        <w:rPr>
          <w:highlight w:val="none"/>
        </w:rPr>
      </w:pPr>
      <w:r>
        <w:rPr>
          <w:rFonts w:ascii="宋体" w:hAnsi="宋体" w:cs="宋体"/>
          <w:highlight w:val="none"/>
        </w:rPr>
        <w:t>第十</w:t>
      </w:r>
      <w:r>
        <w:rPr>
          <w:rFonts w:hint="eastAsia" w:ascii="宋体" w:hAnsi="宋体" w:cs="宋体"/>
          <w:highlight w:val="none"/>
        </w:rPr>
        <w:t>二</w:t>
      </w:r>
      <w:r>
        <w:rPr>
          <w:rFonts w:ascii="宋体" w:hAnsi="宋体" w:cs="宋体"/>
          <w:highlight w:val="none"/>
        </w:rPr>
        <w:t>条 合同解除及变更</w:t>
      </w:r>
      <w:r>
        <w:rPr>
          <w:highlight w:val="none"/>
        </w:rPr>
        <w:tab/>
      </w:r>
      <w:r>
        <w:rPr>
          <w:highlight w:val="none"/>
        </w:rPr>
        <w:fldChar w:fldCharType="begin"/>
      </w:r>
      <w:r>
        <w:rPr>
          <w:highlight w:val="none"/>
        </w:rPr>
        <w:instrText xml:space="preserve"> PAGEREF _Toc12553 \h </w:instrText>
      </w:r>
      <w:r>
        <w:rPr>
          <w:highlight w:val="none"/>
        </w:rPr>
        <w:fldChar w:fldCharType="separate"/>
      </w:r>
      <w:r>
        <w:rPr>
          <w:highlight w:val="none"/>
        </w:rPr>
        <w:t>8</w:t>
      </w:r>
      <w:r>
        <w:rPr>
          <w:highlight w:val="none"/>
        </w:rPr>
        <w:fldChar w:fldCharType="end"/>
      </w:r>
    </w:p>
    <w:p w14:paraId="44902FE4">
      <w:pPr>
        <w:pStyle w:val="12"/>
        <w:tabs>
          <w:tab w:val="right" w:leader="hyphen" w:pos="8306"/>
        </w:tabs>
        <w:rPr>
          <w:highlight w:val="none"/>
        </w:rPr>
      </w:pPr>
      <w:r>
        <w:rPr>
          <w:rFonts w:ascii="宋体" w:hAnsi="宋体" w:cs="宋体"/>
          <w:highlight w:val="none"/>
        </w:rPr>
        <w:t>第十</w:t>
      </w:r>
      <w:r>
        <w:rPr>
          <w:rFonts w:hint="eastAsia" w:ascii="宋体" w:hAnsi="宋体" w:cs="宋体"/>
          <w:highlight w:val="none"/>
        </w:rPr>
        <w:t>三</w:t>
      </w:r>
      <w:r>
        <w:rPr>
          <w:rFonts w:ascii="宋体" w:hAnsi="宋体" w:cs="宋体"/>
          <w:highlight w:val="none"/>
        </w:rPr>
        <w:t>条 争议解决</w:t>
      </w:r>
      <w:r>
        <w:rPr>
          <w:highlight w:val="none"/>
        </w:rPr>
        <w:tab/>
      </w:r>
      <w:r>
        <w:rPr>
          <w:highlight w:val="none"/>
        </w:rPr>
        <w:fldChar w:fldCharType="begin"/>
      </w:r>
      <w:r>
        <w:rPr>
          <w:highlight w:val="none"/>
        </w:rPr>
        <w:instrText xml:space="preserve"> PAGEREF _Toc25404 \h </w:instrText>
      </w:r>
      <w:r>
        <w:rPr>
          <w:highlight w:val="none"/>
        </w:rPr>
        <w:fldChar w:fldCharType="separate"/>
      </w:r>
      <w:r>
        <w:rPr>
          <w:highlight w:val="none"/>
        </w:rPr>
        <w:t>8</w:t>
      </w:r>
      <w:r>
        <w:rPr>
          <w:highlight w:val="none"/>
        </w:rPr>
        <w:fldChar w:fldCharType="end"/>
      </w:r>
    </w:p>
    <w:p w14:paraId="6F8968AC">
      <w:pPr>
        <w:pStyle w:val="12"/>
        <w:tabs>
          <w:tab w:val="right" w:leader="hyphen" w:pos="8306"/>
        </w:tabs>
        <w:rPr>
          <w:highlight w:val="none"/>
        </w:rPr>
      </w:pPr>
      <w:r>
        <w:rPr>
          <w:rFonts w:ascii="宋体" w:hAnsi="宋体" w:cs="宋体"/>
          <w:highlight w:val="none"/>
        </w:rPr>
        <w:t>第十</w:t>
      </w:r>
      <w:r>
        <w:rPr>
          <w:rFonts w:hint="eastAsia" w:ascii="宋体" w:hAnsi="宋体" w:cs="宋体"/>
          <w:highlight w:val="none"/>
        </w:rPr>
        <w:t>三</w:t>
      </w:r>
      <w:r>
        <w:rPr>
          <w:rFonts w:ascii="宋体" w:hAnsi="宋体" w:cs="宋体"/>
          <w:highlight w:val="none"/>
        </w:rPr>
        <w:t>条 合同签订及期限</w:t>
      </w:r>
      <w:r>
        <w:rPr>
          <w:highlight w:val="none"/>
        </w:rPr>
        <w:tab/>
      </w:r>
      <w:r>
        <w:rPr>
          <w:highlight w:val="none"/>
        </w:rPr>
        <w:fldChar w:fldCharType="begin"/>
      </w:r>
      <w:r>
        <w:rPr>
          <w:highlight w:val="none"/>
        </w:rPr>
        <w:instrText xml:space="preserve"> PAGEREF _Toc30505 \h </w:instrText>
      </w:r>
      <w:r>
        <w:rPr>
          <w:highlight w:val="none"/>
        </w:rPr>
        <w:fldChar w:fldCharType="separate"/>
      </w:r>
      <w:r>
        <w:rPr>
          <w:highlight w:val="none"/>
        </w:rPr>
        <w:t>9</w:t>
      </w:r>
      <w:r>
        <w:rPr>
          <w:highlight w:val="none"/>
        </w:rPr>
        <w:fldChar w:fldCharType="end"/>
      </w:r>
    </w:p>
    <w:p w14:paraId="32E71BE3">
      <w:pPr>
        <w:pStyle w:val="20"/>
        <w:spacing w:line="360" w:lineRule="auto"/>
        <w:jc w:val="center"/>
        <w:rPr>
          <w:rFonts w:ascii="宋体" w:hAnsi="宋体" w:eastAsia="宋体" w:cs="宋体"/>
          <w:bCs/>
          <w:color w:val="auto"/>
          <w:highlight w:val="none"/>
        </w:rPr>
      </w:pPr>
      <w:r>
        <w:rPr>
          <w:rFonts w:ascii="宋体" w:hAnsi="宋体" w:eastAsia="宋体" w:cs="宋体"/>
          <w:bCs/>
          <w:color w:val="auto"/>
          <w:highlight w:val="none"/>
        </w:rPr>
        <w:fldChar w:fldCharType="end"/>
      </w:r>
    </w:p>
    <w:p w14:paraId="26F41020">
      <w:pPr>
        <w:pStyle w:val="20"/>
        <w:spacing w:line="360" w:lineRule="auto"/>
        <w:jc w:val="center"/>
        <w:rPr>
          <w:rFonts w:ascii="宋体" w:hAnsi="宋体" w:eastAsia="宋体" w:cs="宋体"/>
          <w:bCs/>
          <w:color w:val="auto"/>
          <w:highlight w:val="none"/>
        </w:rPr>
      </w:pPr>
    </w:p>
    <w:p w14:paraId="14179A3E">
      <w:pPr>
        <w:rPr>
          <w:rFonts w:ascii="宋体" w:hAnsi="宋体"/>
          <w:highlight w:val="none"/>
        </w:rPr>
      </w:pPr>
    </w:p>
    <w:p w14:paraId="258484CF">
      <w:pPr>
        <w:rPr>
          <w:rFonts w:ascii="宋体" w:hAnsi="宋体"/>
          <w:highlight w:val="none"/>
        </w:rPr>
      </w:pPr>
      <w:r>
        <w:rPr>
          <w:rFonts w:hint="eastAsia" w:ascii="宋体" w:hAnsi="宋体"/>
          <w:highlight w:val="none"/>
        </w:rPr>
        <w:br w:type="page"/>
      </w:r>
    </w:p>
    <w:tbl>
      <w:tblPr>
        <w:tblStyle w:val="14"/>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45"/>
        <w:gridCol w:w="3094"/>
        <w:gridCol w:w="1548"/>
      </w:tblGrid>
      <w:tr w14:paraId="0B21BB6D">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4" w:hRule="atLeast"/>
        </w:trPr>
        <w:tc>
          <w:tcPr>
            <w:tcW w:w="1845" w:type="dxa"/>
            <w:tcBorders>
              <w:top w:val="nil"/>
              <w:bottom w:val="nil"/>
            </w:tcBorders>
          </w:tcPr>
          <w:p w14:paraId="357D572E">
            <w:pPr>
              <w:rPr>
                <w:rFonts w:ascii="宋体" w:hAnsi="宋体"/>
                <w:highlight w:val="none"/>
                <w:u w:val="single"/>
              </w:rPr>
            </w:pPr>
            <w:r>
              <w:rPr>
                <w:rFonts w:hint="eastAsia" w:ascii="宋体" w:hAnsi="宋体"/>
                <w:szCs w:val="21"/>
                <w:highlight w:val="none"/>
              </w:rPr>
              <w:t>甲    方</w:t>
            </w:r>
            <w:r>
              <w:rPr>
                <w:rFonts w:hint="eastAsia" w:ascii="宋体" w:hAnsi="宋体"/>
                <w:highlight w:val="none"/>
              </w:rPr>
              <w:t>：</w:t>
            </w:r>
          </w:p>
        </w:tc>
        <w:tc>
          <w:tcPr>
            <w:tcW w:w="4642" w:type="dxa"/>
            <w:gridSpan w:val="2"/>
          </w:tcPr>
          <w:p w14:paraId="7159F690">
            <w:pPr>
              <w:spacing w:line="360" w:lineRule="auto"/>
              <w:rPr>
                <w:rFonts w:ascii="宋体" w:hAnsi="宋体"/>
                <w:szCs w:val="21"/>
                <w:highlight w:val="none"/>
              </w:rPr>
            </w:pPr>
          </w:p>
        </w:tc>
      </w:tr>
      <w:tr w14:paraId="4F43212B">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0" w:hRule="atLeast"/>
        </w:trPr>
        <w:tc>
          <w:tcPr>
            <w:tcW w:w="1845" w:type="dxa"/>
            <w:tcBorders>
              <w:top w:val="nil"/>
              <w:bottom w:val="nil"/>
            </w:tcBorders>
          </w:tcPr>
          <w:p w14:paraId="29415D8E">
            <w:pPr>
              <w:spacing w:beforeLines="50" w:line="360" w:lineRule="auto"/>
              <w:rPr>
                <w:rFonts w:ascii="宋体" w:hAnsi="宋体"/>
                <w:szCs w:val="21"/>
                <w:highlight w:val="none"/>
                <w:u w:val="single"/>
              </w:rPr>
            </w:pPr>
            <w:r>
              <w:rPr>
                <w:rFonts w:hint="eastAsia" w:ascii="宋体" w:hAnsi="宋体"/>
                <w:szCs w:val="21"/>
                <w:highlight w:val="none"/>
              </w:rPr>
              <w:t>地址：</w:t>
            </w:r>
          </w:p>
        </w:tc>
        <w:tc>
          <w:tcPr>
            <w:tcW w:w="4642" w:type="dxa"/>
            <w:gridSpan w:val="2"/>
          </w:tcPr>
          <w:p w14:paraId="7F3998D0">
            <w:pPr>
              <w:spacing w:beforeLines="50" w:line="360" w:lineRule="auto"/>
              <w:rPr>
                <w:rFonts w:ascii="宋体" w:hAnsi="宋体"/>
                <w:szCs w:val="21"/>
                <w:highlight w:val="none"/>
              </w:rPr>
            </w:pPr>
          </w:p>
        </w:tc>
      </w:tr>
      <w:tr w14:paraId="0483DD74">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0" w:hRule="atLeast"/>
        </w:trPr>
        <w:tc>
          <w:tcPr>
            <w:tcW w:w="1845" w:type="dxa"/>
            <w:tcBorders>
              <w:top w:val="nil"/>
              <w:bottom w:val="nil"/>
            </w:tcBorders>
          </w:tcPr>
          <w:p w14:paraId="15D18084">
            <w:pPr>
              <w:spacing w:beforeLines="50" w:line="360" w:lineRule="auto"/>
              <w:rPr>
                <w:rFonts w:ascii="宋体" w:hAnsi="宋体"/>
                <w:szCs w:val="21"/>
                <w:highlight w:val="none"/>
              </w:rPr>
            </w:pPr>
            <w:r>
              <w:rPr>
                <w:rFonts w:hint="eastAsia" w:ascii="宋体" w:hAnsi="宋体"/>
                <w:szCs w:val="21"/>
                <w:highlight w:val="none"/>
              </w:rPr>
              <w:t>法定代表人：</w:t>
            </w:r>
          </w:p>
        </w:tc>
        <w:tc>
          <w:tcPr>
            <w:tcW w:w="4642" w:type="dxa"/>
            <w:gridSpan w:val="2"/>
          </w:tcPr>
          <w:p w14:paraId="268DF7C9">
            <w:pPr>
              <w:spacing w:beforeLines="50" w:line="360" w:lineRule="auto"/>
              <w:rPr>
                <w:rFonts w:ascii="宋体" w:hAnsi="宋体"/>
                <w:szCs w:val="21"/>
                <w:highlight w:val="none"/>
              </w:rPr>
            </w:pPr>
          </w:p>
        </w:tc>
      </w:tr>
      <w:tr w14:paraId="7E9AC7E5">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6" w:hRule="atLeast"/>
        </w:trPr>
        <w:tc>
          <w:tcPr>
            <w:tcW w:w="1845" w:type="dxa"/>
            <w:tcBorders>
              <w:top w:val="nil"/>
              <w:bottom w:val="nil"/>
            </w:tcBorders>
          </w:tcPr>
          <w:p w14:paraId="39C8E076">
            <w:pPr>
              <w:spacing w:beforeLines="50" w:line="360" w:lineRule="auto"/>
              <w:rPr>
                <w:rFonts w:ascii="宋体" w:hAnsi="宋体"/>
                <w:szCs w:val="21"/>
                <w:highlight w:val="none"/>
                <w:u w:val="single"/>
              </w:rPr>
            </w:pPr>
            <w:r>
              <w:rPr>
                <w:rFonts w:hint="eastAsia" w:ascii="宋体" w:hAnsi="宋体"/>
                <w:szCs w:val="21"/>
                <w:highlight w:val="none"/>
              </w:rPr>
              <w:t>联 系 人：</w:t>
            </w:r>
          </w:p>
        </w:tc>
        <w:tc>
          <w:tcPr>
            <w:tcW w:w="3094" w:type="dxa"/>
          </w:tcPr>
          <w:p w14:paraId="330A788B">
            <w:pPr>
              <w:spacing w:beforeLines="50" w:line="360" w:lineRule="auto"/>
              <w:rPr>
                <w:rFonts w:ascii="宋体" w:hAnsi="宋体"/>
                <w:szCs w:val="21"/>
                <w:highlight w:val="none"/>
              </w:rPr>
            </w:pPr>
          </w:p>
        </w:tc>
        <w:tc>
          <w:tcPr>
            <w:tcW w:w="1548" w:type="dxa"/>
            <w:tcBorders>
              <w:top w:val="nil"/>
              <w:bottom w:val="nil"/>
            </w:tcBorders>
          </w:tcPr>
          <w:p w14:paraId="62677068">
            <w:pPr>
              <w:spacing w:beforeLines="50" w:line="360" w:lineRule="auto"/>
              <w:rPr>
                <w:rFonts w:ascii="宋体" w:hAnsi="宋体"/>
                <w:szCs w:val="21"/>
                <w:highlight w:val="none"/>
              </w:rPr>
            </w:pPr>
          </w:p>
        </w:tc>
      </w:tr>
      <w:tr w14:paraId="0327A202">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15" w:hRule="atLeast"/>
        </w:trPr>
        <w:tc>
          <w:tcPr>
            <w:tcW w:w="1845" w:type="dxa"/>
            <w:tcBorders>
              <w:top w:val="nil"/>
              <w:bottom w:val="nil"/>
            </w:tcBorders>
          </w:tcPr>
          <w:p w14:paraId="6DC40954">
            <w:pPr>
              <w:spacing w:beforeLines="50" w:line="360" w:lineRule="auto"/>
              <w:rPr>
                <w:rFonts w:ascii="宋体" w:hAnsi="宋体"/>
                <w:szCs w:val="21"/>
                <w:highlight w:val="none"/>
                <w:u w:val="single"/>
              </w:rPr>
            </w:pPr>
            <w:r>
              <w:rPr>
                <w:rFonts w:hint="eastAsia" w:ascii="宋体" w:hAnsi="宋体"/>
                <w:szCs w:val="21"/>
                <w:highlight w:val="none"/>
              </w:rPr>
              <w:t>联系电话：</w:t>
            </w:r>
          </w:p>
        </w:tc>
        <w:tc>
          <w:tcPr>
            <w:tcW w:w="3094" w:type="dxa"/>
          </w:tcPr>
          <w:p w14:paraId="68D9F6FB">
            <w:pPr>
              <w:spacing w:beforeLines="50" w:line="360" w:lineRule="auto"/>
              <w:rPr>
                <w:rFonts w:ascii="宋体" w:hAnsi="宋体"/>
                <w:szCs w:val="21"/>
                <w:highlight w:val="none"/>
              </w:rPr>
            </w:pPr>
          </w:p>
        </w:tc>
        <w:tc>
          <w:tcPr>
            <w:tcW w:w="1548" w:type="dxa"/>
            <w:tcBorders>
              <w:top w:val="nil"/>
              <w:bottom w:val="nil"/>
            </w:tcBorders>
          </w:tcPr>
          <w:p w14:paraId="7DFA72F6">
            <w:pPr>
              <w:spacing w:beforeLines="50" w:line="360" w:lineRule="auto"/>
              <w:rPr>
                <w:rFonts w:ascii="宋体" w:hAnsi="宋体"/>
                <w:szCs w:val="21"/>
                <w:highlight w:val="none"/>
              </w:rPr>
            </w:pPr>
          </w:p>
        </w:tc>
      </w:tr>
      <w:tr w14:paraId="4650A19F">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15" w:hRule="atLeast"/>
        </w:trPr>
        <w:tc>
          <w:tcPr>
            <w:tcW w:w="1845" w:type="dxa"/>
            <w:tcBorders>
              <w:top w:val="nil"/>
              <w:bottom w:val="nil"/>
            </w:tcBorders>
          </w:tcPr>
          <w:p w14:paraId="1D5A12A2">
            <w:pPr>
              <w:spacing w:beforeLines="50" w:line="360" w:lineRule="auto"/>
              <w:rPr>
                <w:rFonts w:ascii="宋体" w:hAnsi="宋体"/>
                <w:szCs w:val="21"/>
                <w:highlight w:val="none"/>
              </w:rPr>
            </w:pPr>
            <w:r>
              <w:rPr>
                <w:rFonts w:hint="eastAsia" w:ascii="宋体" w:hAnsi="宋体"/>
                <w:szCs w:val="21"/>
                <w:highlight w:val="none"/>
              </w:rPr>
              <w:t>电子邮箱：</w:t>
            </w:r>
          </w:p>
        </w:tc>
        <w:tc>
          <w:tcPr>
            <w:tcW w:w="3094" w:type="dxa"/>
          </w:tcPr>
          <w:p w14:paraId="306F20E0">
            <w:pPr>
              <w:spacing w:beforeLines="50" w:line="360" w:lineRule="auto"/>
              <w:rPr>
                <w:rFonts w:ascii="宋体" w:hAnsi="宋体"/>
                <w:szCs w:val="21"/>
                <w:highlight w:val="none"/>
              </w:rPr>
            </w:pPr>
          </w:p>
        </w:tc>
        <w:tc>
          <w:tcPr>
            <w:tcW w:w="1548" w:type="dxa"/>
            <w:tcBorders>
              <w:top w:val="nil"/>
              <w:bottom w:val="nil"/>
            </w:tcBorders>
          </w:tcPr>
          <w:p w14:paraId="6F3339E0">
            <w:pPr>
              <w:spacing w:beforeLines="50" w:line="360" w:lineRule="auto"/>
              <w:rPr>
                <w:rFonts w:ascii="宋体" w:hAnsi="宋体"/>
                <w:szCs w:val="21"/>
                <w:highlight w:val="none"/>
              </w:rPr>
            </w:pPr>
          </w:p>
        </w:tc>
      </w:tr>
    </w:tbl>
    <w:p w14:paraId="50EC0996">
      <w:pPr>
        <w:pStyle w:val="20"/>
        <w:spacing w:line="360" w:lineRule="auto"/>
        <w:rPr>
          <w:rFonts w:ascii="宋体" w:hAnsi="宋体" w:eastAsia="宋体" w:cs="宋体"/>
          <w:color w:val="auto"/>
          <w:highlight w:val="none"/>
        </w:rPr>
      </w:pPr>
    </w:p>
    <w:tbl>
      <w:tblPr>
        <w:tblStyle w:val="14"/>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45"/>
        <w:gridCol w:w="3106"/>
        <w:gridCol w:w="1555"/>
      </w:tblGrid>
      <w:tr w14:paraId="1D7B46A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0" w:hRule="atLeast"/>
        </w:trPr>
        <w:tc>
          <w:tcPr>
            <w:tcW w:w="1845" w:type="dxa"/>
            <w:tcBorders>
              <w:top w:val="nil"/>
              <w:bottom w:val="nil"/>
            </w:tcBorders>
          </w:tcPr>
          <w:p w14:paraId="22590CFE">
            <w:pPr>
              <w:spacing w:beforeLines="50" w:line="360" w:lineRule="auto"/>
              <w:rPr>
                <w:rFonts w:ascii="宋体" w:hAnsi="宋体" w:cs="宋体-简"/>
                <w:szCs w:val="21"/>
                <w:highlight w:val="none"/>
              </w:rPr>
            </w:pPr>
            <w:r>
              <w:rPr>
                <w:rFonts w:hint="eastAsia" w:ascii="宋体" w:hAnsi="宋体" w:cs="宋体-简"/>
                <w:szCs w:val="21"/>
                <w:highlight w:val="none"/>
              </w:rPr>
              <w:t>乙    方：</w:t>
            </w:r>
          </w:p>
        </w:tc>
        <w:tc>
          <w:tcPr>
            <w:tcW w:w="4661" w:type="dxa"/>
            <w:gridSpan w:val="2"/>
          </w:tcPr>
          <w:p w14:paraId="5EFB6932">
            <w:pPr>
              <w:spacing w:beforeLines="50" w:line="360" w:lineRule="auto"/>
              <w:rPr>
                <w:rFonts w:ascii="宋体" w:hAnsi="宋体" w:cs="宋体-简"/>
                <w:szCs w:val="21"/>
                <w:highlight w:val="none"/>
              </w:rPr>
            </w:pPr>
          </w:p>
        </w:tc>
      </w:tr>
      <w:tr w14:paraId="236FC08C">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5" w:hRule="atLeast"/>
        </w:trPr>
        <w:tc>
          <w:tcPr>
            <w:tcW w:w="1845" w:type="dxa"/>
            <w:tcBorders>
              <w:top w:val="nil"/>
              <w:bottom w:val="nil"/>
            </w:tcBorders>
          </w:tcPr>
          <w:p w14:paraId="7C4CF26D">
            <w:pPr>
              <w:spacing w:beforeLines="50" w:line="360" w:lineRule="auto"/>
              <w:rPr>
                <w:rFonts w:ascii="宋体" w:hAnsi="宋体" w:cs="宋体-简"/>
                <w:szCs w:val="21"/>
                <w:highlight w:val="none"/>
              </w:rPr>
            </w:pPr>
            <w:r>
              <w:rPr>
                <w:rFonts w:hint="eastAsia" w:ascii="宋体" w:hAnsi="宋体" w:cs="宋体-简"/>
                <w:szCs w:val="21"/>
                <w:highlight w:val="none"/>
              </w:rPr>
              <w:t>地址：</w:t>
            </w:r>
          </w:p>
        </w:tc>
        <w:tc>
          <w:tcPr>
            <w:tcW w:w="4661" w:type="dxa"/>
            <w:gridSpan w:val="2"/>
          </w:tcPr>
          <w:p w14:paraId="74A380B2">
            <w:pPr>
              <w:spacing w:beforeLines="50" w:line="360" w:lineRule="auto"/>
              <w:rPr>
                <w:rFonts w:ascii="宋体" w:hAnsi="宋体" w:cs="宋体-简"/>
                <w:szCs w:val="21"/>
                <w:highlight w:val="none"/>
              </w:rPr>
            </w:pPr>
          </w:p>
        </w:tc>
      </w:tr>
      <w:tr w14:paraId="537CA2B5">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5" w:hRule="atLeast"/>
        </w:trPr>
        <w:tc>
          <w:tcPr>
            <w:tcW w:w="1845" w:type="dxa"/>
            <w:tcBorders>
              <w:top w:val="nil"/>
              <w:bottom w:val="nil"/>
            </w:tcBorders>
          </w:tcPr>
          <w:p w14:paraId="5310A6E4">
            <w:pPr>
              <w:spacing w:beforeLines="50" w:line="360" w:lineRule="auto"/>
              <w:rPr>
                <w:rFonts w:ascii="宋体" w:hAnsi="宋体" w:cs="宋体-简"/>
                <w:szCs w:val="21"/>
                <w:highlight w:val="none"/>
              </w:rPr>
            </w:pPr>
            <w:r>
              <w:rPr>
                <w:rFonts w:hint="eastAsia" w:ascii="宋体" w:hAnsi="宋体" w:cs="宋体-简"/>
                <w:szCs w:val="21"/>
                <w:highlight w:val="none"/>
              </w:rPr>
              <w:t>法定代表人</w:t>
            </w:r>
          </w:p>
        </w:tc>
        <w:tc>
          <w:tcPr>
            <w:tcW w:w="4661" w:type="dxa"/>
            <w:gridSpan w:val="2"/>
          </w:tcPr>
          <w:p w14:paraId="7DAAC355">
            <w:pPr>
              <w:spacing w:beforeLines="50" w:line="360" w:lineRule="auto"/>
              <w:rPr>
                <w:rFonts w:ascii="宋体" w:hAnsi="宋体" w:cs="宋体-简"/>
                <w:szCs w:val="21"/>
                <w:highlight w:val="none"/>
              </w:rPr>
            </w:pPr>
          </w:p>
        </w:tc>
      </w:tr>
      <w:tr w14:paraId="04EB512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97" w:hRule="atLeast"/>
        </w:trPr>
        <w:tc>
          <w:tcPr>
            <w:tcW w:w="1845" w:type="dxa"/>
            <w:tcBorders>
              <w:top w:val="nil"/>
              <w:bottom w:val="nil"/>
            </w:tcBorders>
          </w:tcPr>
          <w:p w14:paraId="26E182E4">
            <w:pPr>
              <w:spacing w:beforeLines="50" w:line="360" w:lineRule="auto"/>
              <w:rPr>
                <w:rFonts w:ascii="宋体" w:hAnsi="宋体" w:cs="宋体-简"/>
                <w:szCs w:val="21"/>
                <w:highlight w:val="none"/>
              </w:rPr>
            </w:pPr>
            <w:r>
              <w:rPr>
                <w:rFonts w:hint="eastAsia" w:ascii="宋体" w:hAnsi="宋体" w:cs="宋体-简"/>
                <w:szCs w:val="21"/>
                <w:highlight w:val="none"/>
              </w:rPr>
              <w:t>联 系 人：</w:t>
            </w:r>
          </w:p>
        </w:tc>
        <w:tc>
          <w:tcPr>
            <w:tcW w:w="3106" w:type="dxa"/>
          </w:tcPr>
          <w:p w14:paraId="3232A5D1">
            <w:pPr>
              <w:spacing w:beforeLines="50" w:line="360" w:lineRule="auto"/>
              <w:rPr>
                <w:rFonts w:ascii="宋体" w:hAnsi="宋体" w:cs="宋体-简"/>
                <w:szCs w:val="21"/>
                <w:highlight w:val="none"/>
              </w:rPr>
            </w:pPr>
          </w:p>
        </w:tc>
        <w:tc>
          <w:tcPr>
            <w:tcW w:w="1555" w:type="dxa"/>
            <w:tcBorders>
              <w:top w:val="nil"/>
              <w:bottom w:val="nil"/>
            </w:tcBorders>
          </w:tcPr>
          <w:p w14:paraId="4FF38EDC">
            <w:pPr>
              <w:spacing w:beforeLines="50" w:line="360" w:lineRule="auto"/>
              <w:rPr>
                <w:rFonts w:ascii="宋体" w:hAnsi="宋体" w:cs="宋体-简"/>
                <w:szCs w:val="21"/>
                <w:highlight w:val="none"/>
              </w:rPr>
            </w:pPr>
          </w:p>
        </w:tc>
      </w:tr>
      <w:tr w14:paraId="02AEFFD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3" w:hRule="atLeast"/>
        </w:trPr>
        <w:tc>
          <w:tcPr>
            <w:tcW w:w="1845" w:type="dxa"/>
            <w:tcBorders>
              <w:top w:val="nil"/>
              <w:bottom w:val="nil"/>
            </w:tcBorders>
          </w:tcPr>
          <w:p w14:paraId="685F3DC0">
            <w:pPr>
              <w:spacing w:beforeLines="50" w:line="360" w:lineRule="auto"/>
              <w:rPr>
                <w:rFonts w:ascii="宋体" w:hAnsi="宋体" w:cs="宋体-简"/>
                <w:szCs w:val="21"/>
                <w:highlight w:val="none"/>
              </w:rPr>
            </w:pPr>
            <w:r>
              <w:rPr>
                <w:rFonts w:hint="eastAsia" w:ascii="宋体" w:hAnsi="宋体" w:cs="宋体-简"/>
                <w:szCs w:val="21"/>
                <w:highlight w:val="none"/>
              </w:rPr>
              <w:t>联系电话：</w:t>
            </w:r>
          </w:p>
        </w:tc>
        <w:tc>
          <w:tcPr>
            <w:tcW w:w="3106" w:type="dxa"/>
          </w:tcPr>
          <w:p w14:paraId="7F4A6FFC">
            <w:pPr>
              <w:spacing w:beforeLines="50" w:line="360" w:lineRule="auto"/>
              <w:rPr>
                <w:rFonts w:ascii="宋体" w:hAnsi="宋体" w:cs="宋体-简"/>
                <w:szCs w:val="21"/>
                <w:highlight w:val="none"/>
              </w:rPr>
            </w:pPr>
          </w:p>
        </w:tc>
        <w:tc>
          <w:tcPr>
            <w:tcW w:w="1555" w:type="dxa"/>
            <w:tcBorders>
              <w:top w:val="nil"/>
              <w:bottom w:val="nil"/>
            </w:tcBorders>
          </w:tcPr>
          <w:p w14:paraId="407FBB3E">
            <w:pPr>
              <w:spacing w:beforeLines="50" w:line="360" w:lineRule="auto"/>
              <w:rPr>
                <w:rFonts w:ascii="宋体" w:hAnsi="宋体" w:cs="宋体-简"/>
                <w:szCs w:val="21"/>
                <w:highlight w:val="none"/>
              </w:rPr>
            </w:pPr>
          </w:p>
        </w:tc>
      </w:tr>
      <w:tr w14:paraId="07FAD85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3" w:hRule="atLeast"/>
        </w:trPr>
        <w:tc>
          <w:tcPr>
            <w:tcW w:w="1845" w:type="dxa"/>
            <w:tcBorders>
              <w:top w:val="nil"/>
              <w:bottom w:val="nil"/>
            </w:tcBorders>
          </w:tcPr>
          <w:p w14:paraId="39831D8E">
            <w:pPr>
              <w:spacing w:beforeLines="50" w:line="360" w:lineRule="auto"/>
              <w:rPr>
                <w:rFonts w:ascii="宋体" w:hAnsi="宋体" w:cs="宋体-简"/>
                <w:szCs w:val="21"/>
                <w:highlight w:val="none"/>
              </w:rPr>
            </w:pPr>
            <w:r>
              <w:rPr>
                <w:rFonts w:hint="eastAsia" w:ascii="宋体" w:hAnsi="宋体" w:cs="宋体-简"/>
                <w:szCs w:val="21"/>
                <w:highlight w:val="none"/>
              </w:rPr>
              <w:t>电子邮箱：</w:t>
            </w:r>
          </w:p>
        </w:tc>
        <w:tc>
          <w:tcPr>
            <w:tcW w:w="3106" w:type="dxa"/>
          </w:tcPr>
          <w:p w14:paraId="02524B91">
            <w:pPr>
              <w:spacing w:beforeLines="50" w:line="360" w:lineRule="auto"/>
              <w:rPr>
                <w:rFonts w:ascii="宋体" w:hAnsi="宋体" w:cs="宋体-简"/>
                <w:szCs w:val="21"/>
                <w:highlight w:val="none"/>
              </w:rPr>
            </w:pPr>
          </w:p>
        </w:tc>
        <w:tc>
          <w:tcPr>
            <w:tcW w:w="1555" w:type="dxa"/>
            <w:tcBorders>
              <w:top w:val="nil"/>
              <w:bottom w:val="nil"/>
            </w:tcBorders>
          </w:tcPr>
          <w:p w14:paraId="2EA1DBDE">
            <w:pPr>
              <w:spacing w:beforeLines="50" w:line="360" w:lineRule="auto"/>
              <w:rPr>
                <w:rFonts w:ascii="宋体" w:hAnsi="宋体" w:cs="宋体-简"/>
                <w:szCs w:val="21"/>
                <w:highlight w:val="none"/>
              </w:rPr>
            </w:pPr>
          </w:p>
        </w:tc>
      </w:tr>
    </w:tbl>
    <w:p w14:paraId="34F0A914">
      <w:pPr>
        <w:pStyle w:val="20"/>
        <w:spacing w:line="360" w:lineRule="auto"/>
        <w:rPr>
          <w:rFonts w:ascii="宋体" w:hAnsi="宋体" w:eastAsia="宋体" w:cs="宋体"/>
          <w:color w:val="auto"/>
          <w:highlight w:val="none"/>
        </w:rPr>
      </w:pPr>
    </w:p>
    <w:p w14:paraId="487CEBD3">
      <w:pPr>
        <w:rPr>
          <w:highlight w:val="none"/>
        </w:rPr>
      </w:pPr>
      <w:r>
        <w:rPr>
          <w:rFonts w:ascii="宋体" w:hAnsi="宋体" w:cs="宋体"/>
          <w:szCs w:val="21"/>
          <w:highlight w:val="none"/>
          <w:u w:color="000000"/>
        </w:rPr>
        <w:t>依据《中华人民共和国</w:t>
      </w:r>
      <w:r>
        <w:rPr>
          <w:rFonts w:hint="eastAsia" w:ascii="宋体" w:hAnsi="宋体" w:cs="宋体"/>
          <w:szCs w:val="21"/>
          <w:highlight w:val="none"/>
          <w:u w:color="000000"/>
        </w:rPr>
        <w:t>民法典</w:t>
      </w:r>
      <w:r>
        <w:rPr>
          <w:rFonts w:ascii="宋体" w:hAnsi="宋体" w:cs="宋体"/>
          <w:szCs w:val="21"/>
          <w:highlight w:val="none"/>
          <w:u w:color="000000"/>
        </w:rPr>
        <w:t>》及其他相关法律、行政法规，本着相互信任、真诚合作、共同发展的原则，</w:t>
      </w:r>
      <w:r>
        <w:rPr>
          <w:rFonts w:hint="eastAsia" w:ascii="宋体" w:hAnsi="宋体" w:cs="宋体"/>
          <w:szCs w:val="21"/>
          <w:highlight w:val="none"/>
          <w:u w:color="000000"/>
        </w:rPr>
        <w:t>通过友好协商达成如下协议：</w:t>
      </w:r>
    </w:p>
    <w:p w14:paraId="6B453734">
      <w:pPr>
        <w:pStyle w:val="21"/>
        <w:spacing w:before="312" w:line="360" w:lineRule="auto"/>
        <w:rPr>
          <w:rFonts w:ascii="宋体" w:hAnsi="宋体" w:eastAsia="宋体" w:cs="宋体"/>
          <w:color w:val="auto"/>
          <w:sz w:val="24"/>
          <w:szCs w:val="24"/>
          <w:highlight w:val="none"/>
        </w:rPr>
      </w:pPr>
      <w:bookmarkStart w:id="85" w:name="_Toc14445"/>
      <w:r>
        <w:rPr>
          <w:rFonts w:ascii="宋体" w:hAnsi="宋体" w:eastAsia="宋体" w:cs="宋体"/>
          <w:color w:val="auto"/>
          <w:sz w:val="24"/>
          <w:szCs w:val="24"/>
          <w:highlight w:val="none"/>
        </w:rPr>
        <w:t>第一条 定义</w:t>
      </w:r>
      <w:bookmarkEnd w:id="85"/>
    </w:p>
    <w:p w14:paraId="19318887">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本合同的有关术语，定义如下：</w:t>
      </w:r>
    </w:p>
    <w:p w14:paraId="099EF615">
      <w:pPr>
        <w:spacing w:line="360" w:lineRule="auto"/>
        <w:ind w:right="258" w:rightChars="123" w:firstLine="424" w:firstLineChars="202"/>
        <w:rPr>
          <w:rFonts w:ascii="宋体" w:hAnsi="宋体" w:cs="宋体"/>
          <w:color w:val="000000" w:themeColor="text1"/>
          <w:szCs w:val="21"/>
          <w:highlight w:val="none"/>
        </w:rPr>
      </w:pPr>
      <w:r>
        <w:rPr>
          <w:rFonts w:hint="eastAsia" w:ascii="宋体" w:hAnsi="宋体" w:cs="宋体"/>
          <w:color w:val="000000" w:themeColor="text1"/>
          <w:szCs w:val="21"/>
          <w:highlight w:val="none"/>
        </w:rPr>
        <w:t>“项目”本合同所称项目是指符合甲方要求的资产设备信息系统招标项目”项目内容，它还应包括由乙方送交给甲方的所有的必须文件和与使用及测试有关的应进行的任何规定的服务。</w:t>
      </w:r>
    </w:p>
    <w:p w14:paraId="269084C9">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服务”系指根据合同规定乙方应承担的与资产设备信息系统招标项目”有关的义务，比如设计、开发、测试、运维以及其它伴随服务，比如调试以及上门提供技术援助、培训、配合措施、和合同中规定乙方应承担的其它义务。</w:t>
      </w:r>
    </w:p>
    <w:p w14:paraId="774CF244">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“合同价”系指根据中标的投标文件和合同规定，乙方在正确地履行合同义务后甲方应支付乙方的价款。</w:t>
      </w:r>
    </w:p>
    <w:p w14:paraId="553C0FB5">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“甲方”系指合同中明确规定的“资产设备信息系统招标项目”项目需求方和接受服务的单位。</w:t>
      </w:r>
    </w:p>
    <w:p w14:paraId="0647C50D">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“乙方”系指合同中规定的“资产设备信息系统招标项目”项目提供方的单位。</w:t>
      </w:r>
    </w:p>
    <w:p w14:paraId="26ACA971">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“损失”本合同所指损失是指合同一方因不履行合同义务而遭致另一方及第三方的各种损失及损害的费用，还包括守约方为减轻损害或维护权利而需支付的各种调查费用，车旅费用、律师费用等。</w:t>
      </w:r>
    </w:p>
    <w:p w14:paraId="5407966D">
      <w:pPr>
        <w:pStyle w:val="20"/>
        <w:spacing w:line="360" w:lineRule="auto"/>
        <w:ind w:firstLine="420"/>
        <w:jc w:val="left"/>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产品注册许可数</w:t>
      </w:r>
      <w:r>
        <w:rPr>
          <w:rFonts w:hint="eastAsia" w:ascii="宋体" w:hAnsi="宋体" w:eastAsia="宋体" w:cs="宋体"/>
          <w:color w:val="auto"/>
          <w:highlight w:val="none"/>
        </w:rPr>
        <w:t>”</w:t>
      </w:r>
      <w:r>
        <w:rPr>
          <w:rFonts w:hint="eastAsia" w:ascii="宋体" w:hAnsi="宋体" w:eastAsia="宋体" w:cs="宋体"/>
          <w:color w:val="000000" w:themeColor="text1"/>
          <w:highlight w:val="none"/>
        </w:rPr>
        <w:t>系指</w:t>
      </w:r>
      <w:r>
        <w:rPr>
          <w:rFonts w:ascii="宋体" w:hAnsi="宋体" w:eastAsia="宋体" w:cs="宋体"/>
          <w:color w:val="auto"/>
          <w:highlight w:val="none"/>
        </w:rPr>
        <w:t>购买产品后可以使用乙方软件的客户端数量。</w:t>
      </w:r>
    </w:p>
    <w:p w14:paraId="00DB36C3">
      <w:pPr>
        <w:pStyle w:val="20"/>
        <w:spacing w:line="360" w:lineRule="auto"/>
        <w:ind w:firstLine="420"/>
        <w:jc w:val="left"/>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产品并发许可数</w:t>
      </w:r>
      <w:r>
        <w:rPr>
          <w:rFonts w:hint="eastAsia" w:ascii="宋体" w:hAnsi="宋体" w:eastAsia="宋体" w:cs="宋体"/>
          <w:color w:val="auto"/>
          <w:highlight w:val="none"/>
        </w:rPr>
        <w:t>”</w:t>
      </w:r>
      <w:r>
        <w:rPr>
          <w:rFonts w:hint="eastAsia" w:ascii="宋体" w:hAnsi="宋体" w:eastAsia="宋体" w:cs="宋体"/>
          <w:color w:val="000000" w:themeColor="text1"/>
          <w:highlight w:val="none"/>
        </w:rPr>
        <w:t>系指</w:t>
      </w:r>
      <w:r>
        <w:rPr>
          <w:rFonts w:ascii="宋体" w:hAnsi="宋体" w:eastAsia="宋体" w:cs="宋体"/>
          <w:color w:val="auto"/>
          <w:highlight w:val="none"/>
        </w:rPr>
        <w:t>购买产品后可以同时使用乙方软件的在线人数。</w:t>
      </w:r>
    </w:p>
    <w:p w14:paraId="60F077D6">
      <w:pPr>
        <w:pStyle w:val="20"/>
        <w:spacing w:line="360" w:lineRule="auto"/>
        <w:ind w:left="420"/>
        <w:jc w:val="left"/>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实施服务</w:t>
      </w:r>
      <w:r>
        <w:rPr>
          <w:rFonts w:hint="eastAsia" w:ascii="宋体" w:hAnsi="宋体" w:eastAsia="宋体" w:cs="宋体"/>
          <w:color w:val="auto"/>
          <w:highlight w:val="none"/>
        </w:rPr>
        <w:t>”</w:t>
      </w:r>
      <w:r>
        <w:rPr>
          <w:rFonts w:hint="eastAsia" w:ascii="宋体" w:hAnsi="宋体" w:eastAsia="宋体" w:cs="宋体"/>
          <w:color w:val="000000" w:themeColor="text1"/>
          <w:highlight w:val="none"/>
        </w:rPr>
        <w:t>系指</w:t>
      </w:r>
      <w:r>
        <w:rPr>
          <w:rFonts w:ascii="宋体" w:hAnsi="宋体" w:eastAsia="宋体" w:cs="宋体"/>
          <w:color w:val="auto"/>
          <w:highlight w:val="none"/>
        </w:rPr>
        <w:t xml:space="preserve">乙方基于甲方所购买的产品，提供软件系统本身的安装、调试等相关工作（不包含客户化开发和代码的修改）。 </w:t>
      </w:r>
    </w:p>
    <w:p w14:paraId="358B41E5">
      <w:pPr>
        <w:pStyle w:val="20"/>
        <w:spacing w:line="360" w:lineRule="auto"/>
        <w:ind w:firstLine="420"/>
        <w:jc w:val="left"/>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质保服务</w:t>
      </w:r>
      <w:r>
        <w:rPr>
          <w:rFonts w:hint="eastAsia" w:ascii="宋体" w:hAnsi="宋体" w:eastAsia="宋体" w:cs="宋体"/>
          <w:color w:val="auto"/>
          <w:highlight w:val="none"/>
        </w:rPr>
        <w:t>”</w:t>
      </w:r>
      <w:r>
        <w:rPr>
          <w:rFonts w:hint="eastAsia" w:ascii="宋体" w:hAnsi="宋体" w:eastAsia="宋体" w:cs="宋体"/>
          <w:color w:val="000000" w:themeColor="text1"/>
          <w:highlight w:val="none"/>
        </w:rPr>
        <w:t>系指</w:t>
      </w:r>
      <w:r>
        <w:rPr>
          <w:rFonts w:ascii="宋体" w:hAnsi="宋体" w:cs="宋体"/>
          <w:highlight w:val="none"/>
        </w:rPr>
        <w:t>乙方产品提供的自项目验收</w:t>
      </w:r>
      <w:r>
        <w:rPr>
          <w:rFonts w:hint="eastAsia" w:ascii="宋体" w:hAnsi="宋体" w:eastAsia="宋体" w:cs="宋体"/>
          <w:highlight w:val="none"/>
        </w:rPr>
        <w:t>完成</w:t>
      </w:r>
      <w:r>
        <w:rPr>
          <w:rFonts w:ascii="宋体" w:hAnsi="宋体" w:cs="宋体"/>
          <w:highlight w:val="none"/>
        </w:rPr>
        <w:t>之日起一年的免费</w:t>
      </w:r>
      <w:r>
        <w:rPr>
          <w:rFonts w:hint="eastAsia" w:ascii="宋体" w:hAnsi="宋体" w:eastAsia="宋体" w:cs="宋体"/>
          <w:highlight w:val="none"/>
        </w:rPr>
        <w:t>质保</w:t>
      </w:r>
      <w:r>
        <w:rPr>
          <w:rFonts w:ascii="宋体" w:hAnsi="宋体" w:cs="宋体"/>
          <w:highlight w:val="none"/>
        </w:rPr>
        <w:t>服务。</w:t>
      </w:r>
    </w:p>
    <w:p w14:paraId="1B362D68">
      <w:pPr>
        <w:pStyle w:val="21"/>
        <w:spacing w:before="312" w:line="360" w:lineRule="auto"/>
        <w:rPr>
          <w:rFonts w:ascii="宋体" w:hAnsi="宋体" w:eastAsia="宋体" w:cs="宋体"/>
          <w:color w:val="auto"/>
          <w:sz w:val="24"/>
          <w:szCs w:val="24"/>
          <w:highlight w:val="none"/>
        </w:rPr>
      </w:pPr>
      <w:bookmarkStart w:id="86" w:name="_Toc26083"/>
      <w:r>
        <w:rPr>
          <w:rFonts w:ascii="宋体" w:hAnsi="宋体" w:eastAsia="宋体" w:cs="宋体"/>
          <w:color w:val="auto"/>
          <w:sz w:val="24"/>
          <w:szCs w:val="24"/>
          <w:highlight w:val="none"/>
        </w:rPr>
        <w:t>第二条 合同的构成</w:t>
      </w:r>
      <w:bookmarkEnd w:id="86"/>
    </w:p>
    <w:p w14:paraId="340249AC">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下列附件是本合同不可分割的组成部分，与本合同具有同等效力。</w:t>
      </w:r>
    </w:p>
    <w:p w14:paraId="4E8A1F31">
      <w:pPr>
        <w:pStyle w:val="20"/>
        <w:spacing w:line="360" w:lineRule="auto"/>
        <w:ind w:left="420"/>
        <w:rPr>
          <w:rFonts w:ascii="宋体" w:hAnsi="宋体" w:eastAsia="宋体" w:cs="宋体"/>
          <w:bCs/>
          <w:color w:val="auto"/>
          <w:highlight w:val="none"/>
        </w:rPr>
      </w:pPr>
      <w:r>
        <w:rPr>
          <w:rFonts w:ascii="宋体" w:hAnsi="宋体" w:eastAsia="宋体" w:cs="宋体"/>
          <w:bCs/>
          <w:color w:val="auto"/>
          <w:highlight w:val="none"/>
        </w:rPr>
        <w:sym w:font="Wingdings 2" w:char="0052"/>
      </w:r>
      <w:r>
        <w:rPr>
          <w:rFonts w:ascii="宋体" w:hAnsi="宋体" w:eastAsia="宋体" w:cs="宋体"/>
          <w:bCs/>
          <w:color w:val="auto"/>
          <w:highlight w:val="none"/>
        </w:rPr>
        <w:t>《</w:t>
      </w:r>
      <w:r>
        <w:rPr>
          <w:rFonts w:hint="eastAsia" w:ascii="宋体" w:hAnsi="宋体" w:eastAsia="宋体" w:cs="宋体"/>
          <w:bCs/>
          <w:color w:val="auto"/>
          <w:highlight w:val="none"/>
        </w:rPr>
        <w:t>费用明细</w:t>
      </w:r>
      <w:r>
        <w:rPr>
          <w:rFonts w:ascii="宋体" w:hAnsi="宋体" w:eastAsia="宋体" w:cs="宋体"/>
          <w:bCs/>
          <w:color w:val="auto"/>
          <w:highlight w:val="none"/>
        </w:rPr>
        <w:t>单》</w:t>
      </w:r>
    </w:p>
    <w:p w14:paraId="12666B7E">
      <w:pPr>
        <w:pStyle w:val="20"/>
        <w:spacing w:line="360" w:lineRule="auto"/>
        <w:ind w:left="420"/>
        <w:rPr>
          <w:rFonts w:ascii="宋体" w:hAnsi="宋体" w:eastAsia="宋体" w:cs="宋体"/>
          <w:bCs/>
          <w:color w:val="auto"/>
          <w:highlight w:val="none"/>
        </w:rPr>
      </w:pPr>
      <w:r>
        <w:rPr>
          <w:rFonts w:hint="eastAsia" w:ascii="宋体" w:hAnsi="宋体" w:eastAsia="宋体" w:cs="宋体"/>
          <w:bCs/>
          <w:color w:val="auto"/>
          <w:highlight w:val="none"/>
        </w:rPr>
        <w:sym w:font="Wingdings 2" w:char="0052"/>
      </w:r>
      <w:r>
        <w:rPr>
          <w:rFonts w:hint="eastAsia" w:ascii="宋体" w:hAnsi="宋体" w:eastAsia="宋体" w:cs="宋体"/>
          <w:bCs/>
          <w:color w:val="auto"/>
          <w:highlight w:val="none"/>
        </w:rPr>
        <w:t>《实施服务》</w:t>
      </w:r>
    </w:p>
    <w:p w14:paraId="6E3911A1">
      <w:pPr>
        <w:pStyle w:val="20"/>
        <w:spacing w:line="360" w:lineRule="auto"/>
        <w:ind w:left="420"/>
        <w:rPr>
          <w:rFonts w:ascii="宋体" w:hAnsi="宋体" w:eastAsia="宋体" w:cs="宋体"/>
          <w:bCs/>
          <w:color w:val="auto"/>
          <w:highlight w:val="none"/>
        </w:rPr>
      </w:pPr>
      <w:r>
        <w:rPr>
          <w:rFonts w:ascii="宋体" w:hAnsi="宋体" w:eastAsia="宋体" w:cs="宋体"/>
          <w:bCs/>
          <w:color w:val="auto"/>
          <w:highlight w:val="none"/>
        </w:rPr>
        <w:sym w:font="Wingdings 2" w:char="0052"/>
      </w:r>
      <w:r>
        <w:rPr>
          <w:rFonts w:ascii="宋体" w:hAnsi="宋体" w:eastAsia="宋体" w:cs="宋体"/>
          <w:bCs/>
          <w:color w:val="auto"/>
          <w:highlight w:val="none"/>
        </w:rPr>
        <w:t>《质保服务内容》</w:t>
      </w:r>
    </w:p>
    <w:p w14:paraId="2FC80C02">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双方均已知悉上述附件的内容。乙方同意按照本合同和上述附件的规定提供服务，甲方同意接受该等服务。</w:t>
      </w:r>
    </w:p>
    <w:p w14:paraId="68FF523F">
      <w:pPr>
        <w:pStyle w:val="21"/>
        <w:numPr>
          <w:ilvl w:val="0"/>
          <w:numId w:val="4"/>
        </w:numPr>
        <w:spacing w:before="312" w:line="360" w:lineRule="auto"/>
        <w:rPr>
          <w:rFonts w:ascii="宋体" w:hAnsi="宋体" w:eastAsia="宋体" w:cs="宋体"/>
          <w:color w:val="auto"/>
          <w:sz w:val="24"/>
          <w:szCs w:val="24"/>
          <w:highlight w:val="none"/>
        </w:rPr>
      </w:pPr>
      <w:bookmarkStart w:id="87" w:name="_Toc24494"/>
      <w:r>
        <w:rPr>
          <w:rFonts w:ascii="宋体" w:hAnsi="宋体" w:eastAsia="宋体" w:cs="宋体"/>
          <w:color w:val="auto"/>
          <w:sz w:val="24"/>
          <w:szCs w:val="24"/>
          <w:highlight w:val="none"/>
        </w:rPr>
        <w:t>合同</w:t>
      </w:r>
      <w:r>
        <w:rPr>
          <w:rFonts w:hint="eastAsia" w:ascii="宋体" w:hAnsi="宋体" w:eastAsia="宋体" w:cs="宋体"/>
          <w:color w:val="auto"/>
          <w:sz w:val="24"/>
          <w:szCs w:val="24"/>
          <w:highlight w:val="none"/>
        </w:rPr>
        <w:t>采购内容及</w:t>
      </w:r>
      <w:r>
        <w:rPr>
          <w:rFonts w:ascii="宋体" w:hAnsi="宋体" w:eastAsia="宋体" w:cs="宋体"/>
          <w:color w:val="auto"/>
          <w:sz w:val="24"/>
          <w:szCs w:val="24"/>
          <w:highlight w:val="none"/>
        </w:rPr>
        <w:t>金额</w:t>
      </w:r>
      <w:bookmarkEnd w:id="87"/>
    </w:p>
    <w:p w14:paraId="085B06C3">
      <w:pPr>
        <w:pStyle w:val="20"/>
        <w:rPr>
          <w:rFonts w:eastAsia="宋体"/>
          <w:highlight w:val="none"/>
        </w:rPr>
      </w:pPr>
      <w:r>
        <w:rPr>
          <w:rFonts w:hint="eastAsia" w:eastAsia="宋体"/>
          <w:highlight w:val="none"/>
        </w:rPr>
        <w:t>见附件《费用明细单》</w:t>
      </w:r>
    </w:p>
    <w:p w14:paraId="451C1F31">
      <w:pPr>
        <w:pStyle w:val="21"/>
        <w:spacing w:before="312" w:line="360" w:lineRule="auto"/>
        <w:rPr>
          <w:rFonts w:ascii="宋体" w:hAnsi="宋体" w:eastAsia="宋体" w:cs="宋体"/>
          <w:color w:val="auto"/>
          <w:sz w:val="24"/>
          <w:szCs w:val="24"/>
          <w:highlight w:val="none"/>
        </w:rPr>
      </w:pPr>
      <w:bookmarkStart w:id="88" w:name="_Toc5812"/>
      <w:r>
        <w:rPr>
          <w:rFonts w:ascii="宋体" w:hAnsi="宋体" w:eastAsia="宋体" w:cs="宋体"/>
          <w:color w:val="auto"/>
          <w:sz w:val="24"/>
          <w:szCs w:val="24"/>
          <w:highlight w:val="none"/>
        </w:rPr>
        <w:t>第四条 支付方式</w:t>
      </w:r>
      <w:bookmarkEnd w:id="88"/>
    </w:p>
    <w:p w14:paraId="214811FE">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甲方应分期将合同全额支付给乙方，付款时间具体如下：</w:t>
      </w:r>
    </w:p>
    <w:p w14:paraId="152E6CC3">
      <w:pPr>
        <w:pStyle w:val="20"/>
        <w:spacing w:line="360" w:lineRule="auto"/>
        <w:ind w:firstLine="420"/>
        <w:rPr>
          <w:rFonts w:ascii="宋体" w:hAnsi="宋体" w:eastAsia="宋体" w:cs="宋体"/>
          <w:color w:val="auto"/>
          <w:highlight w:val="none"/>
        </w:rPr>
      </w:pPr>
    </w:p>
    <w:tbl>
      <w:tblPr>
        <w:tblStyle w:val="14"/>
        <w:tblW w:w="9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3118"/>
        <w:gridCol w:w="2127"/>
        <w:gridCol w:w="1275"/>
        <w:gridCol w:w="1586"/>
      </w:tblGrid>
      <w:tr w14:paraId="2AD5C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shd w:val="clear" w:color="auto" w:fill="548DD4"/>
          </w:tcPr>
          <w:p w14:paraId="4CB8A5A8">
            <w:pPr>
              <w:pStyle w:val="20"/>
              <w:spacing w:line="360" w:lineRule="auto"/>
              <w:jc w:val="center"/>
              <w:rPr>
                <w:rFonts w:ascii="宋体" w:hAnsi="宋体" w:eastAsia="宋体" w:cs="宋体"/>
                <w:b/>
                <w:color w:val="auto"/>
                <w:highlight w:val="none"/>
              </w:rPr>
            </w:pPr>
            <w:r>
              <w:rPr>
                <w:rFonts w:hint="eastAsia" w:ascii="宋体" w:hAnsi="宋体" w:eastAsia="宋体" w:cs="宋体"/>
                <w:b/>
                <w:color w:val="auto"/>
                <w:highlight w:val="none"/>
              </w:rPr>
              <w:t>付款阶段</w:t>
            </w:r>
          </w:p>
        </w:tc>
        <w:tc>
          <w:tcPr>
            <w:tcW w:w="3118" w:type="dxa"/>
            <w:shd w:val="clear" w:color="auto" w:fill="548DD4"/>
          </w:tcPr>
          <w:p w14:paraId="0DDC4D83">
            <w:pPr>
              <w:pStyle w:val="20"/>
              <w:spacing w:line="360" w:lineRule="auto"/>
              <w:jc w:val="center"/>
              <w:rPr>
                <w:rFonts w:ascii="宋体" w:hAnsi="宋体" w:eastAsia="宋体" w:cs="宋体"/>
                <w:b/>
                <w:color w:val="auto"/>
                <w:highlight w:val="none"/>
              </w:rPr>
            </w:pPr>
            <w:r>
              <w:rPr>
                <w:rFonts w:hint="eastAsia" w:ascii="宋体" w:hAnsi="宋体" w:eastAsia="宋体" w:cs="宋体"/>
                <w:b/>
                <w:color w:val="auto"/>
                <w:highlight w:val="none"/>
              </w:rPr>
              <w:t>付款条件</w:t>
            </w:r>
          </w:p>
        </w:tc>
        <w:tc>
          <w:tcPr>
            <w:tcW w:w="2127" w:type="dxa"/>
            <w:shd w:val="clear" w:color="auto" w:fill="548DD4"/>
          </w:tcPr>
          <w:p w14:paraId="6D3CAE6C">
            <w:pPr>
              <w:pStyle w:val="20"/>
              <w:spacing w:line="360" w:lineRule="auto"/>
              <w:jc w:val="center"/>
              <w:rPr>
                <w:rFonts w:ascii="宋体" w:hAnsi="宋体" w:eastAsia="宋体" w:cs="宋体"/>
                <w:b/>
                <w:color w:val="auto"/>
                <w:highlight w:val="none"/>
              </w:rPr>
            </w:pPr>
            <w:r>
              <w:rPr>
                <w:rFonts w:hint="eastAsia" w:ascii="宋体" w:hAnsi="宋体" w:eastAsia="宋体" w:cs="宋体"/>
                <w:b/>
                <w:color w:val="auto"/>
                <w:highlight w:val="none"/>
              </w:rPr>
              <w:t>费用类型</w:t>
            </w:r>
          </w:p>
        </w:tc>
        <w:tc>
          <w:tcPr>
            <w:tcW w:w="1275" w:type="dxa"/>
            <w:shd w:val="clear" w:color="auto" w:fill="548DD4"/>
          </w:tcPr>
          <w:p w14:paraId="33EE368E">
            <w:pPr>
              <w:pStyle w:val="20"/>
              <w:spacing w:line="360" w:lineRule="auto"/>
              <w:jc w:val="center"/>
              <w:rPr>
                <w:rFonts w:ascii="宋体" w:hAnsi="宋体" w:eastAsia="宋体" w:cs="宋体"/>
                <w:b/>
                <w:color w:val="auto"/>
                <w:highlight w:val="none"/>
              </w:rPr>
            </w:pPr>
            <w:r>
              <w:rPr>
                <w:rFonts w:hint="eastAsia" w:ascii="宋体" w:hAnsi="宋体" w:eastAsia="宋体" w:cs="宋体"/>
                <w:b/>
                <w:color w:val="auto"/>
                <w:highlight w:val="none"/>
              </w:rPr>
              <w:t>付款比例</w:t>
            </w:r>
          </w:p>
        </w:tc>
        <w:tc>
          <w:tcPr>
            <w:tcW w:w="1586" w:type="dxa"/>
            <w:shd w:val="clear" w:color="auto" w:fill="548DD4"/>
          </w:tcPr>
          <w:p w14:paraId="0D4F4CB3">
            <w:pPr>
              <w:pStyle w:val="20"/>
              <w:spacing w:line="360" w:lineRule="auto"/>
              <w:jc w:val="center"/>
              <w:rPr>
                <w:rFonts w:ascii="宋体" w:hAnsi="宋体" w:eastAsia="宋体" w:cs="宋体"/>
                <w:b/>
                <w:color w:val="auto"/>
                <w:highlight w:val="none"/>
              </w:rPr>
            </w:pPr>
            <w:r>
              <w:rPr>
                <w:rFonts w:hint="eastAsia" w:ascii="宋体" w:hAnsi="宋体" w:eastAsia="宋体" w:cs="宋体"/>
                <w:b/>
                <w:color w:val="auto"/>
                <w:highlight w:val="none"/>
              </w:rPr>
              <w:t>付款金额</w:t>
            </w:r>
          </w:p>
        </w:tc>
      </w:tr>
      <w:tr w14:paraId="2C25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vAlign w:val="center"/>
          </w:tcPr>
          <w:p w14:paraId="1DC5BAFB">
            <w:pPr>
              <w:pStyle w:val="20"/>
              <w:spacing w:line="360" w:lineRule="auto"/>
              <w:jc w:val="center"/>
              <w:rPr>
                <w:rFonts w:ascii="宋体" w:hAnsi="宋体" w:eastAsia="宋体" w:cs="宋体"/>
                <w:b/>
                <w:color w:val="auto"/>
                <w:highlight w:val="none"/>
              </w:rPr>
            </w:pPr>
            <w:r>
              <w:rPr>
                <w:rFonts w:hint="eastAsia" w:ascii="宋体" w:hAnsi="宋体" w:eastAsia="宋体" w:cs="宋体"/>
                <w:b/>
                <w:color w:val="auto"/>
                <w:highlight w:val="none"/>
              </w:rPr>
              <w:t>第一阶段</w:t>
            </w:r>
          </w:p>
        </w:tc>
        <w:tc>
          <w:tcPr>
            <w:tcW w:w="3118" w:type="dxa"/>
          </w:tcPr>
          <w:p w14:paraId="40A6B1F8">
            <w:pPr>
              <w:pStyle w:val="20"/>
              <w:spacing w:line="360" w:lineRule="auto"/>
              <w:rPr>
                <w:rFonts w:ascii="宋体" w:hAnsi="宋体" w:eastAsia="宋体" w:cs="宋体"/>
                <w:color w:val="auto"/>
                <w:highlight w:val="none"/>
              </w:rPr>
            </w:pPr>
            <w:r>
              <w:rPr>
                <w:rFonts w:hint="eastAsia" w:ascii="宋体" w:hAnsi="宋体" w:eastAsia="宋体" w:cs="宋体"/>
                <w:color w:val="auto"/>
                <w:highlight w:val="none"/>
              </w:rPr>
              <w:t>系统上线（甲方签署上线报告）后7</w:t>
            </w:r>
            <w:r>
              <w:rPr>
                <w:rFonts w:ascii="宋体" w:hAnsi="宋体" w:eastAsia="宋体" w:cs="宋体"/>
                <w:color w:val="auto"/>
                <w:highlight w:val="none"/>
              </w:rPr>
              <w:t>个工作日</w:t>
            </w:r>
            <w:r>
              <w:rPr>
                <w:rFonts w:hint="eastAsia" w:ascii="宋体" w:hAnsi="宋体" w:eastAsia="宋体" w:cs="宋体"/>
                <w:color w:val="auto"/>
                <w:highlight w:val="none"/>
              </w:rPr>
              <w:t>内</w:t>
            </w:r>
          </w:p>
        </w:tc>
        <w:tc>
          <w:tcPr>
            <w:tcW w:w="2127" w:type="dxa"/>
            <w:vAlign w:val="center"/>
          </w:tcPr>
          <w:p w14:paraId="2085EEB6">
            <w:pPr>
              <w:pStyle w:val="2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t>系统上线</w:t>
            </w:r>
          </w:p>
        </w:tc>
        <w:tc>
          <w:tcPr>
            <w:tcW w:w="1275" w:type="dxa"/>
          </w:tcPr>
          <w:p w14:paraId="5DA46FDE">
            <w:pPr>
              <w:pStyle w:val="2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t>4</w:t>
            </w:r>
            <w:r>
              <w:rPr>
                <w:rFonts w:ascii="宋体" w:hAnsi="宋体" w:eastAsia="宋体" w:cs="宋体"/>
                <w:color w:val="auto"/>
                <w:highlight w:val="none"/>
              </w:rPr>
              <w:t>0%</w:t>
            </w:r>
          </w:p>
        </w:tc>
        <w:tc>
          <w:tcPr>
            <w:tcW w:w="1586" w:type="dxa"/>
          </w:tcPr>
          <w:p w14:paraId="4D398411">
            <w:pPr>
              <w:pStyle w:val="20"/>
              <w:spacing w:line="360" w:lineRule="auto"/>
              <w:jc w:val="center"/>
              <w:rPr>
                <w:rFonts w:ascii="宋体" w:hAnsi="宋体" w:eastAsia="宋体" w:cs="宋体"/>
                <w:color w:val="auto"/>
                <w:highlight w:val="none"/>
              </w:rPr>
            </w:pPr>
          </w:p>
        </w:tc>
      </w:tr>
      <w:tr w14:paraId="65A0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tcPr>
          <w:p w14:paraId="024EA235">
            <w:pPr>
              <w:pStyle w:val="20"/>
              <w:spacing w:line="360" w:lineRule="auto"/>
              <w:rPr>
                <w:rFonts w:ascii="宋体" w:hAnsi="宋体" w:eastAsia="宋体" w:cs="宋体"/>
                <w:color w:val="auto"/>
                <w:highlight w:val="none"/>
              </w:rPr>
            </w:pPr>
            <w:r>
              <w:rPr>
                <w:rFonts w:hint="eastAsia" w:ascii="宋体" w:hAnsi="宋体" w:eastAsia="宋体" w:cs="宋体"/>
                <w:color w:val="auto"/>
                <w:highlight w:val="none"/>
              </w:rPr>
              <w:t>第二阶段</w:t>
            </w:r>
          </w:p>
        </w:tc>
        <w:tc>
          <w:tcPr>
            <w:tcW w:w="3118" w:type="dxa"/>
          </w:tcPr>
          <w:p w14:paraId="0E2D2BC2">
            <w:pPr>
              <w:pStyle w:val="20"/>
              <w:spacing w:line="360" w:lineRule="auto"/>
              <w:rPr>
                <w:rFonts w:ascii="宋体" w:hAnsi="宋体" w:eastAsia="宋体" w:cs="宋体"/>
                <w:color w:val="auto"/>
                <w:highlight w:val="none"/>
              </w:rPr>
            </w:pPr>
            <w:r>
              <w:rPr>
                <w:rFonts w:hint="eastAsia" w:ascii="宋体" w:hAnsi="宋体" w:eastAsia="宋体" w:cs="宋体"/>
                <w:color w:val="auto"/>
                <w:highlight w:val="none"/>
              </w:rPr>
              <w:t>项目验收（甲方签署验收报告）</w:t>
            </w:r>
          </w:p>
        </w:tc>
        <w:tc>
          <w:tcPr>
            <w:tcW w:w="2127" w:type="dxa"/>
            <w:vAlign w:val="center"/>
          </w:tcPr>
          <w:p w14:paraId="1FCA8F04">
            <w:pPr>
              <w:pStyle w:val="2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t>项目验收</w:t>
            </w:r>
          </w:p>
        </w:tc>
        <w:tc>
          <w:tcPr>
            <w:tcW w:w="1275" w:type="dxa"/>
          </w:tcPr>
          <w:p w14:paraId="5EA75EB0">
            <w:pPr>
              <w:pStyle w:val="2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t>4</w:t>
            </w:r>
            <w:r>
              <w:rPr>
                <w:rFonts w:ascii="宋体" w:hAnsi="宋体" w:eastAsia="宋体" w:cs="宋体"/>
                <w:color w:val="auto"/>
                <w:highlight w:val="none"/>
              </w:rPr>
              <w:t>0%</w:t>
            </w:r>
          </w:p>
        </w:tc>
        <w:tc>
          <w:tcPr>
            <w:tcW w:w="1586" w:type="dxa"/>
          </w:tcPr>
          <w:p w14:paraId="67E532E9">
            <w:pPr>
              <w:pStyle w:val="20"/>
              <w:spacing w:line="360" w:lineRule="auto"/>
              <w:jc w:val="center"/>
              <w:rPr>
                <w:rFonts w:ascii="宋体" w:hAnsi="宋体" w:eastAsia="宋体" w:cs="宋体"/>
                <w:color w:val="auto"/>
                <w:highlight w:val="none"/>
              </w:rPr>
            </w:pPr>
          </w:p>
        </w:tc>
      </w:tr>
      <w:tr w14:paraId="0F9B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tcPr>
          <w:p w14:paraId="4C376E72">
            <w:pPr>
              <w:pStyle w:val="20"/>
              <w:spacing w:line="360" w:lineRule="auto"/>
              <w:rPr>
                <w:rFonts w:ascii="宋体" w:hAnsi="宋体" w:eastAsia="宋体" w:cs="宋体"/>
                <w:color w:val="auto"/>
                <w:highlight w:val="none"/>
              </w:rPr>
            </w:pPr>
            <w:r>
              <w:rPr>
                <w:rFonts w:hint="eastAsia" w:ascii="宋体" w:hAnsi="宋体" w:eastAsia="宋体" w:cs="宋体"/>
                <w:color w:val="auto"/>
                <w:highlight w:val="none"/>
              </w:rPr>
              <w:t>第三阶段</w:t>
            </w:r>
          </w:p>
        </w:tc>
        <w:tc>
          <w:tcPr>
            <w:tcW w:w="3118" w:type="dxa"/>
          </w:tcPr>
          <w:p w14:paraId="50475346">
            <w:pPr>
              <w:pStyle w:val="20"/>
              <w:spacing w:line="360" w:lineRule="auto"/>
              <w:rPr>
                <w:rFonts w:ascii="宋体" w:hAnsi="宋体" w:eastAsia="宋体" w:cs="宋体"/>
                <w:color w:val="auto"/>
                <w:highlight w:val="none"/>
              </w:rPr>
            </w:pPr>
            <w:r>
              <w:rPr>
                <w:rFonts w:hint="eastAsia" w:ascii="宋体" w:hAnsi="宋体" w:eastAsia="宋体" w:cs="宋体"/>
                <w:color w:val="auto"/>
                <w:highlight w:val="none"/>
              </w:rPr>
              <w:t>质保期满（自项目验收之日起，提供两年免费服务）</w:t>
            </w:r>
          </w:p>
        </w:tc>
        <w:tc>
          <w:tcPr>
            <w:tcW w:w="2127" w:type="dxa"/>
            <w:vAlign w:val="center"/>
          </w:tcPr>
          <w:p w14:paraId="1E3E34BA">
            <w:pPr>
              <w:pStyle w:val="2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t>质保费用</w:t>
            </w:r>
          </w:p>
        </w:tc>
        <w:tc>
          <w:tcPr>
            <w:tcW w:w="1275" w:type="dxa"/>
          </w:tcPr>
          <w:p w14:paraId="47255118">
            <w:pPr>
              <w:pStyle w:val="20"/>
              <w:spacing w:line="360" w:lineRule="auto"/>
              <w:jc w:val="center"/>
              <w:rPr>
                <w:rFonts w:ascii="宋体" w:hAnsi="宋体" w:eastAsia="宋体" w:cs="宋体"/>
                <w:color w:val="auto"/>
                <w:highlight w:val="none"/>
              </w:rPr>
            </w:pPr>
            <w:r>
              <w:rPr>
                <w:rFonts w:hint="eastAsia" w:ascii="宋体" w:hAnsi="宋体" w:eastAsia="宋体" w:cs="宋体"/>
                <w:color w:val="auto"/>
                <w:highlight w:val="none"/>
              </w:rPr>
              <w:t>20%</w:t>
            </w:r>
          </w:p>
        </w:tc>
        <w:tc>
          <w:tcPr>
            <w:tcW w:w="1586" w:type="dxa"/>
          </w:tcPr>
          <w:p w14:paraId="026FC6B3">
            <w:pPr>
              <w:pStyle w:val="20"/>
              <w:spacing w:line="360" w:lineRule="auto"/>
              <w:jc w:val="center"/>
              <w:rPr>
                <w:rFonts w:ascii="宋体" w:hAnsi="宋体" w:eastAsia="宋体" w:cs="宋体"/>
                <w:color w:val="auto"/>
                <w:highlight w:val="none"/>
              </w:rPr>
            </w:pPr>
          </w:p>
        </w:tc>
      </w:tr>
      <w:tr w14:paraId="71E62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5" w:type="dxa"/>
            <w:gridSpan w:val="2"/>
            <w:vAlign w:val="center"/>
          </w:tcPr>
          <w:p w14:paraId="31DDD76F">
            <w:pPr>
              <w:pStyle w:val="20"/>
              <w:spacing w:line="360" w:lineRule="auto"/>
              <w:jc w:val="center"/>
              <w:rPr>
                <w:rFonts w:ascii="宋体" w:hAnsi="宋体" w:eastAsia="宋体" w:cs="宋体"/>
                <w:color w:val="auto"/>
                <w:highlight w:val="none"/>
              </w:rPr>
            </w:pPr>
            <w:r>
              <w:rPr>
                <w:rFonts w:ascii="宋体" w:hAnsi="宋体" w:eastAsia="宋体"/>
                <w:b/>
                <w:bCs/>
                <w:color w:val="auto"/>
                <w:highlight w:val="none"/>
              </w:rPr>
              <w:t>合同总额合计</w:t>
            </w:r>
            <w:r>
              <w:rPr>
                <w:rFonts w:hint="eastAsia" w:ascii="宋体" w:hAnsi="宋体" w:eastAsia="宋体"/>
                <w:b/>
                <w:bCs/>
                <w:color w:val="auto"/>
                <w:highlight w:val="none"/>
              </w:rPr>
              <w:t>（含税）</w:t>
            </w:r>
            <w:r>
              <w:rPr>
                <w:rFonts w:ascii="宋体" w:hAnsi="宋体" w:eastAsia="宋体"/>
                <w:b/>
                <w:bCs/>
                <w:color w:val="auto"/>
                <w:highlight w:val="none"/>
              </w:rPr>
              <w:t>：</w:t>
            </w:r>
          </w:p>
        </w:tc>
        <w:tc>
          <w:tcPr>
            <w:tcW w:w="4988" w:type="dxa"/>
            <w:gridSpan w:val="3"/>
            <w:vAlign w:val="center"/>
          </w:tcPr>
          <w:p w14:paraId="6E7DEEB7">
            <w:pPr>
              <w:pStyle w:val="20"/>
              <w:spacing w:line="360" w:lineRule="auto"/>
              <w:jc w:val="left"/>
              <w:rPr>
                <w:rFonts w:ascii="宋体" w:hAnsi="宋体" w:eastAsia="宋体" w:cs="宋体"/>
                <w:b/>
                <w:bCs/>
                <w:color w:val="auto"/>
                <w:kern w:val="0"/>
                <w:highlight w:val="none"/>
              </w:rPr>
            </w:pPr>
            <w:r>
              <w:rPr>
                <w:rFonts w:ascii="宋体" w:hAnsi="宋体" w:eastAsia="宋体" w:cs="宋体"/>
                <w:b/>
                <w:bCs/>
                <w:color w:val="auto"/>
                <w:highlight w:val="none"/>
              </w:rPr>
              <w:t xml:space="preserve">小写金额： </w:t>
            </w:r>
            <w:r>
              <w:rPr>
                <w:rFonts w:ascii="宋体" w:hAnsi="宋体" w:eastAsia="宋体" w:cs="宋体"/>
                <w:b/>
                <w:bCs/>
                <w:color w:val="auto"/>
                <w:kern w:val="0"/>
                <w:highlight w:val="none"/>
              </w:rPr>
              <w:t>￥</w:t>
            </w:r>
            <w:r>
              <w:rPr>
                <w:rFonts w:ascii="宋体" w:hAnsi="宋体" w:eastAsia="宋体" w:cs="宋体"/>
                <w:color w:val="auto"/>
                <w:highlight w:val="none"/>
              </w:rPr>
              <w:t>____________________</w:t>
            </w:r>
            <w:r>
              <w:rPr>
                <w:rFonts w:hint="eastAsia" w:ascii="宋体" w:hAnsi="宋体" w:eastAsia="宋体" w:cs="宋体"/>
                <w:bCs/>
                <w:color w:val="auto"/>
                <w:kern w:val="0"/>
                <w:highlight w:val="none"/>
              </w:rPr>
              <w:t>元</w:t>
            </w:r>
          </w:p>
          <w:p w14:paraId="31C246C9">
            <w:pPr>
              <w:pStyle w:val="20"/>
              <w:spacing w:line="360" w:lineRule="auto"/>
              <w:rPr>
                <w:rFonts w:ascii="宋体" w:hAnsi="宋体" w:eastAsia="宋体" w:cs="宋体"/>
                <w:color w:val="auto"/>
                <w:highlight w:val="none"/>
              </w:rPr>
            </w:pPr>
            <w:r>
              <w:rPr>
                <w:rFonts w:ascii="宋体" w:hAnsi="宋体" w:eastAsia="宋体" w:cs="宋体"/>
                <w:b/>
                <w:bCs/>
                <w:color w:val="auto"/>
                <w:kern w:val="0"/>
                <w:highlight w:val="none"/>
              </w:rPr>
              <w:t>大写金额：人民币</w:t>
            </w:r>
            <w:r>
              <w:rPr>
                <w:rFonts w:ascii="宋体" w:hAnsi="宋体" w:eastAsia="宋体" w:cs="宋体"/>
                <w:color w:val="auto"/>
                <w:highlight w:val="none"/>
              </w:rPr>
              <w:t>_________________元整</w:t>
            </w:r>
          </w:p>
        </w:tc>
      </w:tr>
    </w:tbl>
    <w:p w14:paraId="2BF3014D">
      <w:pPr>
        <w:pStyle w:val="21"/>
        <w:keepNext w:val="0"/>
        <w:spacing w:before="312" w:line="360" w:lineRule="auto"/>
        <w:rPr>
          <w:rFonts w:ascii="宋体" w:hAnsi="宋体" w:eastAsia="宋体" w:cs="宋体"/>
          <w:color w:val="auto"/>
          <w:sz w:val="24"/>
          <w:szCs w:val="24"/>
          <w:highlight w:val="none"/>
        </w:rPr>
      </w:pPr>
      <w:bookmarkStart w:id="89" w:name="_Toc17314"/>
      <w:r>
        <w:rPr>
          <w:rFonts w:ascii="宋体" w:hAnsi="宋体" w:eastAsia="宋体" w:cs="宋体"/>
          <w:color w:val="auto"/>
          <w:sz w:val="24"/>
          <w:szCs w:val="24"/>
          <w:highlight w:val="none"/>
        </w:rPr>
        <w:t>第五条 乙方开户银行名称、户名和账号</w:t>
      </w:r>
      <w:bookmarkEnd w:id="89"/>
    </w:p>
    <w:p w14:paraId="208C5206">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开户银行：</w:t>
      </w:r>
    </w:p>
    <w:p w14:paraId="4E528723">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户    名：</w:t>
      </w:r>
    </w:p>
    <w:p w14:paraId="2CBFA219">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账    号：</w:t>
      </w:r>
    </w:p>
    <w:p w14:paraId="08E207F9">
      <w:pPr>
        <w:pStyle w:val="20"/>
        <w:spacing w:line="360" w:lineRule="auto"/>
        <w:ind w:left="401" w:leftChars="166" w:hanging="52" w:hangingChars="25"/>
        <w:rPr>
          <w:rFonts w:ascii="宋体" w:hAnsi="宋体" w:eastAsia="宋体" w:cs="宋体"/>
          <w:color w:val="auto"/>
          <w:highlight w:val="none"/>
        </w:rPr>
      </w:pPr>
      <w:r>
        <w:rPr>
          <w:rFonts w:hint="eastAsia" w:ascii="宋体" w:hAnsi="宋体" w:eastAsia="宋体" w:cs="宋体"/>
          <w:color w:val="auto"/>
          <w:highlight w:val="none"/>
        </w:rPr>
        <w:t>甲方应按照上述账户信息进行付款，否则，视为甲方未履行付款义务，乙方有权拒绝提供相关技术服务且不承担任何责任。在此情况下，甲方除应向该账户重新支付本合同约定价款外，由此造成的损失由甲方自行承担。</w:t>
      </w:r>
    </w:p>
    <w:p w14:paraId="65004AEF">
      <w:pPr>
        <w:pStyle w:val="21"/>
        <w:spacing w:before="312" w:line="360" w:lineRule="auto"/>
        <w:rPr>
          <w:rFonts w:ascii="宋体" w:hAnsi="宋体" w:eastAsia="宋体" w:cs="宋体"/>
          <w:color w:val="auto"/>
          <w:sz w:val="24"/>
          <w:szCs w:val="24"/>
          <w:highlight w:val="none"/>
        </w:rPr>
      </w:pPr>
      <w:bookmarkStart w:id="90" w:name="_Toc18766"/>
      <w:r>
        <w:rPr>
          <w:rFonts w:ascii="宋体" w:hAnsi="宋体" w:eastAsia="宋体" w:cs="宋体"/>
          <w:color w:val="auto"/>
          <w:sz w:val="24"/>
          <w:szCs w:val="24"/>
          <w:highlight w:val="none"/>
        </w:rPr>
        <w:t>第六条 发票信息</w:t>
      </w:r>
      <w:bookmarkEnd w:id="90"/>
    </w:p>
    <w:p w14:paraId="2C0D5C11">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6.1甲方如需开具合法发票，请补充填写如下开票信息，由于甲方提供的信息有误而产生的损失均由甲方负责承担。</w:t>
      </w:r>
    </w:p>
    <w:p w14:paraId="794C9019">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6.2乙方提供给甲方的软件产品发票内容适用13%的增值税税率；客开服务、实施服务等服务发票内容适用6%的增值税税率。</w:t>
      </w:r>
      <w:r>
        <w:rPr>
          <w:rFonts w:hint="eastAsia" w:ascii="宋体" w:hAnsi="宋体" w:eastAsia="宋体" w:cs="宋体"/>
          <w:color w:val="auto"/>
          <w:highlight w:val="none"/>
        </w:rPr>
        <w:t>（请勾选发票类型：□普通发票 ☑专用发票）</w:t>
      </w:r>
    </w:p>
    <w:tbl>
      <w:tblPr>
        <w:tblStyle w:val="14"/>
        <w:tblW w:w="0" w:type="auto"/>
        <w:jc w:val="center"/>
        <w:tblLayout w:type="fixed"/>
        <w:tblCellMar>
          <w:top w:w="0" w:type="dxa"/>
          <w:left w:w="108" w:type="dxa"/>
          <w:bottom w:w="0" w:type="dxa"/>
          <w:right w:w="108" w:type="dxa"/>
        </w:tblCellMar>
      </w:tblPr>
      <w:tblGrid>
        <w:gridCol w:w="1792"/>
        <w:gridCol w:w="7008"/>
      </w:tblGrid>
      <w:tr w14:paraId="6F378F15">
        <w:tblPrEx>
          <w:tblCellMar>
            <w:top w:w="0" w:type="dxa"/>
            <w:left w:w="108" w:type="dxa"/>
            <w:bottom w:w="0" w:type="dxa"/>
            <w:right w:w="108" w:type="dxa"/>
          </w:tblCellMar>
        </w:tblPrEx>
        <w:trPr>
          <w:trHeight w:val="90" w:hRule="atLeast"/>
          <w:jc w:val="center"/>
        </w:trPr>
        <w:tc>
          <w:tcPr>
            <w:tcW w:w="1792" w:type="dxa"/>
          </w:tcPr>
          <w:p w14:paraId="7D7F646B">
            <w:pPr>
              <w:pStyle w:val="20"/>
              <w:spacing w:line="360" w:lineRule="auto"/>
              <w:ind w:left="-13"/>
              <w:rPr>
                <w:rFonts w:ascii="宋体" w:hAnsi="宋体" w:eastAsia="宋体" w:cs="宋体"/>
                <w:color w:val="auto"/>
                <w:highlight w:val="none"/>
              </w:rPr>
            </w:pPr>
            <w:r>
              <w:rPr>
                <w:rFonts w:ascii="宋体" w:hAnsi="宋体" w:eastAsia="宋体" w:cs="宋体"/>
                <w:color w:val="auto"/>
                <w:highlight w:val="none"/>
              </w:rPr>
              <w:t>单位名称：</w:t>
            </w:r>
          </w:p>
        </w:tc>
        <w:tc>
          <w:tcPr>
            <w:tcW w:w="7008" w:type="dxa"/>
          </w:tcPr>
          <w:p w14:paraId="53D1927B">
            <w:pPr>
              <w:pStyle w:val="20"/>
              <w:spacing w:line="360" w:lineRule="auto"/>
              <w:ind w:left="420"/>
              <w:rPr>
                <w:rFonts w:ascii="宋体" w:hAnsi="宋体" w:eastAsia="宋体" w:cs="宋体"/>
                <w:color w:val="auto"/>
                <w:highlight w:val="none"/>
              </w:rPr>
            </w:pPr>
          </w:p>
        </w:tc>
      </w:tr>
      <w:tr w14:paraId="4B8F0F5E">
        <w:tblPrEx>
          <w:tblCellMar>
            <w:top w:w="0" w:type="dxa"/>
            <w:left w:w="108" w:type="dxa"/>
            <w:bottom w:w="0" w:type="dxa"/>
            <w:right w:w="108" w:type="dxa"/>
          </w:tblCellMar>
        </w:tblPrEx>
        <w:trPr>
          <w:trHeight w:val="416" w:hRule="atLeast"/>
          <w:jc w:val="center"/>
        </w:trPr>
        <w:tc>
          <w:tcPr>
            <w:tcW w:w="1792" w:type="dxa"/>
          </w:tcPr>
          <w:p w14:paraId="0C814A8C">
            <w:pPr>
              <w:pStyle w:val="20"/>
              <w:spacing w:line="360" w:lineRule="auto"/>
              <w:ind w:left="-13"/>
              <w:rPr>
                <w:rFonts w:ascii="宋体" w:hAnsi="宋体" w:eastAsia="宋体" w:cs="宋体"/>
                <w:color w:val="auto"/>
                <w:highlight w:val="none"/>
              </w:rPr>
            </w:pPr>
            <w:r>
              <w:rPr>
                <w:rFonts w:ascii="宋体" w:hAnsi="宋体" w:eastAsia="宋体" w:cs="宋体"/>
                <w:color w:val="auto"/>
                <w:highlight w:val="none"/>
              </w:rPr>
              <w:t>纳税人识别号：</w:t>
            </w:r>
          </w:p>
        </w:tc>
        <w:tc>
          <w:tcPr>
            <w:tcW w:w="7008" w:type="dxa"/>
          </w:tcPr>
          <w:p w14:paraId="5B7AE4B8">
            <w:pPr>
              <w:pStyle w:val="20"/>
              <w:spacing w:line="360" w:lineRule="auto"/>
              <w:ind w:left="420"/>
              <w:rPr>
                <w:rFonts w:ascii="宋体" w:hAnsi="宋体" w:eastAsia="宋体" w:cs="宋体"/>
                <w:color w:val="auto"/>
                <w:highlight w:val="none"/>
              </w:rPr>
            </w:pPr>
          </w:p>
        </w:tc>
      </w:tr>
      <w:tr w14:paraId="01A4DAF6">
        <w:tblPrEx>
          <w:tblCellMar>
            <w:top w:w="0" w:type="dxa"/>
            <w:left w:w="108" w:type="dxa"/>
            <w:bottom w:w="0" w:type="dxa"/>
            <w:right w:w="108" w:type="dxa"/>
          </w:tblCellMar>
        </w:tblPrEx>
        <w:trPr>
          <w:trHeight w:val="416" w:hRule="atLeast"/>
          <w:jc w:val="center"/>
        </w:trPr>
        <w:tc>
          <w:tcPr>
            <w:tcW w:w="1792" w:type="dxa"/>
          </w:tcPr>
          <w:p w14:paraId="04684587">
            <w:pPr>
              <w:pStyle w:val="20"/>
              <w:spacing w:line="360" w:lineRule="auto"/>
              <w:ind w:left="-13"/>
              <w:rPr>
                <w:rFonts w:ascii="宋体" w:hAnsi="宋体" w:eastAsia="宋体" w:cs="宋体"/>
                <w:color w:val="auto"/>
                <w:highlight w:val="none"/>
              </w:rPr>
            </w:pPr>
            <w:r>
              <w:rPr>
                <w:rFonts w:ascii="宋体" w:hAnsi="宋体" w:eastAsia="宋体" w:cs="宋体"/>
                <w:color w:val="auto"/>
                <w:highlight w:val="none"/>
              </w:rPr>
              <w:t>地址、电话：</w:t>
            </w:r>
          </w:p>
        </w:tc>
        <w:tc>
          <w:tcPr>
            <w:tcW w:w="7008" w:type="dxa"/>
          </w:tcPr>
          <w:p w14:paraId="27F34DFB">
            <w:pPr>
              <w:pStyle w:val="20"/>
              <w:spacing w:line="360" w:lineRule="auto"/>
              <w:ind w:left="420"/>
              <w:rPr>
                <w:rFonts w:ascii="宋体" w:hAnsi="宋体" w:eastAsia="宋体" w:cs="宋体"/>
                <w:color w:val="auto"/>
                <w:highlight w:val="none"/>
              </w:rPr>
            </w:pPr>
          </w:p>
        </w:tc>
      </w:tr>
      <w:tr w14:paraId="4B600823">
        <w:tblPrEx>
          <w:tblCellMar>
            <w:top w:w="0" w:type="dxa"/>
            <w:left w:w="108" w:type="dxa"/>
            <w:bottom w:w="0" w:type="dxa"/>
            <w:right w:w="108" w:type="dxa"/>
          </w:tblCellMar>
        </w:tblPrEx>
        <w:trPr>
          <w:trHeight w:val="90" w:hRule="atLeast"/>
          <w:jc w:val="center"/>
        </w:trPr>
        <w:tc>
          <w:tcPr>
            <w:tcW w:w="1792" w:type="dxa"/>
          </w:tcPr>
          <w:p w14:paraId="17CE9D06">
            <w:pPr>
              <w:pStyle w:val="20"/>
              <w:spacing w:line="360" w:lineRule="auto"/>
              <w:ind w:left="-13"/>
              <w:rPr>
                <w:rFonts w:ascii="宋体" w:hAnsi="宋体" w:eastAsia="宋体" w:cs="宋体"/>
                <w:color w:val="auto"/>
                <w:highlight w:val="none"/>
              </w:rPr>
            </w:pPr>
            <w:r>
              <w:rPr>
                <w:rFonts w:ascii="宋体" w:hAnsi="宋体" w:eastAsia="宋体" w:cs="宋体"/>
                <w:color w:val="auto"/>
                <w:highlight w:val="none"/>
              </w:rPr>
              <w:t>开户行及账号：</w:t>
            </w:r>
          </w:p>
        </w:tc>
        <w:tc>
          <w:tcPr>
            <w:tcW w:w="7008" w:type="dxa"/>
          </w:tcPr>
          <w:p w14:paraId="4108F37C">
            <w:pPr>
              <w:pStyle w:val="20"/>
              <w:spacing w:line="360" w:lineRule="auto"/>
              <w:ind w:left="420"/>
              <w:rPr>
                <w:rFonts w:ascii="宋体" w:hAnsi="宋体" w:eastAsia="宋体" w:cs="宋体"/>
                <w:color w:val="auto"/>
                <w:highlight w:val="none"/>
              </w:rPr>
            </w:pPr>
          </w:p>
        </w:tc>
      </w:tr>
    </w:tbl>
    <w:p w14:paraId="39A1E762">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6.3甲</w:t>
      </w:r>
      <w:r>
        <w:rPr>
          <w:rFonts w:ascii="宋体" w:hAnsi="宋体" w:eastAsia="宋体" w:cs="宋体"/>
          <w:color w:val="auto"/>
          <w:highlight w:val="none"/>
        </w:rPr>
        <w:t>方上述开票信息变更的，应及时书面通知</w:t>
      </w:r>
      <w:r>
        <w:rPr>
          <w:rFonts w:hint="eastAsia" w:ascii="宋体" w:hAnsi="宋体" w:eastAsia="宋体" w:cs="宋体"/>
          <w:color w:val="auto"/>
          <w:highlight w:val="none"/>
        </w:rPr>
        <w:t>乙</w:t>
      </w:r>
      <w:r>
        <w:rPr>
          <w:rFonts w:ascii="宋体" w:hAnsi="宋体" w:eastAsia="宋体" w:cs="宋体"/>
          <w:color w:val="auto"/>
          <w:highlight w:val="none"/>
        </w:rPr>
        <w:t>方，否则</w:t>
      </w:r>
      <w:r>
        <w:rPr>
          <w:rFonts w:hint="eastAsia" w:ascii="宋体" w:hAnsi="宋体" w:eastAsia="宋体" w:cs="宋体"/>
          <w:color w:val="auto"/>
          <w:highlight w:val="none"/>
        </w:rPr>
        <w:t>乙</w:t>
      </w:r>
      <w:r>
        <w:rPr>
          <w:rFonts w:ascii="宋体" w:hAnsi="宋体" w:eastAsia="宋体" w:cs="宋体"/>
          <w:color w:val="auto"/>
          <w:highlight w:val="none"/>
        </w:rPr>
        <w:t>方按照上述信息进行开票的，视为</w:t>
      </w:r>
      <w:r>
        <w:rPr>
          <w:rFonts w:hint="eastAsia" w:ascii="宋体" w:hAnsi="宋体" w:eastAsia="宋体" w:cs="宋体"/>
          <w:color w:val="auto"/>
          <w:highlight w:val="none"/>
        </w:rPr>
        <w:t>乙</w:t>
      </w:r>
      <w:r>
        <w:rPr>
          <w:rFonts w:ascii="宋体" w:hAnsi="宋体" w:eastAsia="宋体" w:cs="宋体"/>
          <w:color w:val="auto"/>
          <w:highlight w:val="none"/>
        </w:rPr>
        <w:t>方已履行开票义务，由此造成的损失由</w:t>
      </w:r>
      <w:r>
        <w:rPr>
          <w:rFonts w:hint="eastAsia" w:ascii="宋体" w:hAnsi="宋体" w:eastAsia="宋体" w:cs="宋体"/>
          <w:color w:val="auto"/>
          <w:highlight w:val="none"/>
        </w:rPr>
        <w:t>甲</w:t>
      </w:r>
      <w:r>
        <w:rPr>
          <w:rFonts w:ascii="宋体" w:hAnsi="宋体" w:eastAsia="宋体" w:cs="宋体"/>
          <w:color w:val="auto"/>
          <w:highlight w:val="none"/>
        </w:rPr>
        <w:t>方自行承担。</w:t>
      </w:r>
    </w:p>
    <w:p w14:paraId="1BAE970F">
      <w:pPr>
        <w:pStyle w:val="21"/>
        <w:spacing w:before="312" w:line="360" w:lineRule="auto"/>
        <w:rPr>
          <w:rFonts w:ascii="宋体" w:hAnsi="宋体" w:eastAsia="宋体" w:cs="宋体"/>
          <w:color w:val="auto"/>
          <w:sz w:val="24"/>
          <w:szCs w:val="24"/>
          <w:highlight w:val="none"/>
        </w:rPr>
      </w:pPr>
      <w:bookmarkStart w:id="91" w:name="_Toc19349"/>
      <w:r>
        <w:rPr>
          <w:rFonts w:ascii="宋体" w:hAnsi="宋体" w:eastAsia="宋体" w:cs="宋体"/>
          <w:color w:val="auto"/>
          <w:sz w:val="24"/>
          <w:szCs w:val="24"/>
          <w:highlight w:val="none"/>
        </w:rPr>
        <w:t>第七条 著作权及知识产权</w:t>
      </w:r>
      <w:bookmarkEnd w:id="91"/>
    </w:p>
    <w:p w14:paraId="61E93E79">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7.1著作权</w:t>
      </w:r>
    </w:p>
    <w:p w14:paraId="0B431E3D">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甲方承认软件产品及与软件产品有关的源代码、目标代码、文档资料以及任何由乙方根据相关专业服务提供的软件、资料的著作权均归</w:t>
      </w:r>
      <w:r>
        <w:rPr>
          <w:rFonts w:hint="eastAsia" w:ascii="宋体" w:hAnsi="宋体" w:eastAsia="宋体" w:cs="宋体"/>
          <w:color w:val="auto"/>
          <w:highlight w:val="none"/>
        </w:rPr>
        <w:t>甲方</w:t>
      </w:r>
      <w:r>
        <w:rPr>
          <w:rFonts w:ascii="宋体" w:hAnsi="宋体" w:eastAsia="宋体" w:cs="宋体"/>
          <w:color w:val="auto"/>
          <w:highlight w:val="none"/>
        </w:rPr>
        <w:t>所有，并受《中华人民共和国著作权法》和其他有关法律、法规的保护。</w:t>
      </w:r>
    </w:p>
    <w:p w14:paraId="3C97348A">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7.2知识产权保证</w:t>
      </w:r>
    </w:p>
    <w:p w14:paraId="7CC4C8E1">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7.2.1乙方保证在本合同生效之日，软件产品不侵犯任何第三方的专利权、著作权、商标专用权、商业秘密及其他权属权利。</w:t>
      </w:r>
    </w:p>
    <w:p w14:paraId="2B9B10E1">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7.2.2甲方因在本合同项下</w:t>
      </w:r>
      <w:r>
        <w:rPr>
          <w:rFonts w:hint="eastAsia" w:ascii="宋体" w:hAnsi="宋体" w:eastAsia="宋体" w:cs="宋体"/>
          <w:color w:val="auto"/>
          <w:highlight w:val="none"/>
        </w:rPr>
        <w:t>按约定</w:t>
      </w:r>
      <w:r>
        <w:rPr>
          <w:rFonts w:ascii="宋体" w:hAnsi="宋体" w:eastAsia="宋体" w:cs="宋体"/>
          <w:color w:val="auto"/>
          <w:highlight w:val="none"/>
        </w:rPr>
        <w:t>使用该软件产品，而导致第三方对甲方提起诉讼或控告，指控甲方侵犯其著作权、专利权、商标专用权或商业秘密等合法权利，甲方应立即将任何此类索赔以书面形式通知乙方</w:t>
      </w:r>
      <w:r>
        <w:rPr>
          <w:rFonts w:hint="eastAsia" w:ascii="宋体" w:hAnsi="宋体" w:eastAsia="宋体" w:cs="宋体"/>
          <w:color w:val="auto"/>
          <w:highlight w:val="none"/>
        </w:rPr>
        <w:t>，乙方应积极协助</w:t>
      </w:r>
      <w:r>
        <w:rPr>
          <w:rFonts w:ascii="宋体" w:hAnsi="宋体" w:eastAsia="宋体" w:cs="宋体"/>
          <w:color w:val="auto"/>
          <w:highlight w:val="none"/>
        </w:rPr>
        <w:t>。</w:t>
      </w:r>
    </w:p>
    <w:p w14:paraId="6C9974BD">
      <w:pPr>
        <w:pStyle w:val="20"/>
        <w:spacing w:line="360" w:lineRule="auto"/>
        <w:ind w:left="420"/>
        <w:rPr>
          <w:rFonts w:ascii="宋体" w:hAnsi="宋体" w:eastAsia="宋体" w:cs="宋体"/>
          <w:color w:val="auto"/>
          <w:highlight w:val="none"/>
        </w:rPr>
      </w:pPr>
      <w:r>
        <w:rPr>
          <w:rFonts w:ascii="宋体" w:hAnsi="宋体" w:eastAsia="宋体" w:cs="宋体"/>
          <w:color w:val="auto"/>
          <w:highlight w:val="none"/>
        </w:rPr>
        <w:t>7.2.3如果前述款项所述侵权是因除乙方或乙方合法代理人以外的人对软件产品修改、改动、增加所造成的，乙方不承担任何法律责任。</w:t>
      </w:r>
    </w:p>
    <w:p w14:paraId="222E3E38">
      <w:pPr>
        <w:pStyle w:val="21"/>
        <w:spacing w:before="312" w:line="360" w:lineRule="auto"/>
        <w:rPr>
          <w:rFonts w:ascii="宋体" w:hAnsi="宋体" w:eastAsia="宋体" w:cs="宋体"/>
          <w:color w:val="auto"/>
          <w:sz w:val="24"/>
          <w:szCs w:val="24"/>
          <w:highlight w:val="none"/>
        </w:rPr>
      </w:pPr>
      <w:bookmarkStart w:id="92" w:name="_Toc8394"/>
      <w:r>
        <w:rPr>
          <w:rFonts w:hint="eastAsia" w:ascii="宋体" w:hAnsi="宋体" w:eastAsia="宋体" w:cs="宋体"/>
          <w:color w:val="auto"/>
          <w:sz w:val="24"/>
          <w:szCs w:val="24"/>
          <w:highlight w:val="none"/>
        </w:rPr>
        <w:t>第八条 验收</w:t>
      </w:r>
      <w:bookmarkEnd w:id="92"/>
    </w:p>
    <w:p w14:paraId="67BDEA15">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8.1甲方对乙方交付的“资产设备信息系统招标项目”项目成果初验合格的，投入试运行，试运行15日后，组织进行终验。从终验程序开始之日起30日内，终验工作完成，甲方出具终验验收文件。</w:t>
      </w:r>
    </w:p>
    <w:p w14:paraId="0AE8A2D4">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8.2终验不合格的，乙方应在甲方要求的合理时限内修正，再次验收时间与周期与前一次验收时间与周期安排相同；</w:t>
      </w:r>
    </w:p>
    <w:p w14:paraId="5603CCE1">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8.3乙方提交的“资产设备信息系统招标项目”项目成果经再次验收仍不合格的，乙方需提供说明及可行性整改方案，否则视为乙方未能依约完成本合同约定的委托开发工作。</w:t>
      </w:r>
    </w:p>
    <w:p w14:paraId="785D0F00">
      <w:p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8.4对于甲方在标书中和合同中所要求的及乙方在合同中所承诺提供的功能，乙方应无条件提供。除甲方原因外，所造成的额外费用由乙方自行承担。由于甲方要求删除的部分及功能，乙方应予以在合同总价中扣除该部分的价格。</w:t>
      </w:r>
    </w:p>
    <w:p w14:paraId="4BD919E8">
      <w:pPr>
        <w:pStyle w:val="21"/>
        <w:spacing w:before="312" w:line="360" w:lineRule="auto"/>
        <w:rPr>
          <w:rFonts w:ascii="宋体" w:hAnsi="宋体" w:eastAsia="宋体" w:cs="宋体"/>
          <w:color w:val="auto"/>
          <w:sz w:val="24"/>
          <w:szCs w:val="24"/>
          <w:highlight w:val="none"/>
        </w:rPr>
      </w:pPr>
      <w:bookmarkStart w:id="93" w:name="_Toc2878"/>
      <w:r>
        <w:rPr>
          <w:rFonts w:ascii="宋体" w:hAnsi="宋体" w:eastAsia="宋体" w:cs="宋体"/>
          <w:color w:val="auto"/>
          <w:sz w:val="24"/>
          <w:szCs w:val="24"/>
          <w:highlight w:val="none"/>
        </w:rPr>
        <w:t>第</w:t>
      </w:r>
      <w:r>
        <w:rPr>
          <w:rFonts w:hint="eastAsia" w:ascii="宋体" w:hAnsi="宋体" w:eastAsia="宋体" w:cs="宋体"/>
          <w:color w:val="auto"/>
          <w:sz w:val="24"/>
          <w:szCs w:val="24"/>
          <w:highlight w:val="none"/>
        </w:rPr>
        <w:t>九</w:t>
      </w:r>
      <w:r>
        <w:rPr>
          <w:rFonts w:ascii="宋体" w:hAnsi="宋体" w:eastAsia="宋体" w:cs="宋体"/>
          <w:color w:val="auto"/>
          <w:sz w:val="24"/>
          <w:szCs w:val="24"/>
          <w:highlight w:val="none"/>
        </w:rPr>
        <w:t>条 责任限制与违约责任</w:t>
      </w:r>
      <w:bookmarkEnd w:id="93"/>
    </w:p>
    <w:p w14:paraId="11C4672D">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9</w:t>
      </w:r>
      <w:r>
        <w:rPr>
          <w:rFonts w:ascii="宋体" w:hAnsi="宋体" w:eastAsia="宋体" w:cs="宋体"/>
          <w:color w:val="auto"/>
          <w:highlight w:val="none"/>
        </w:rPr>
        <w:t>.1双方应本着友好合作的态度履行各自合同义务，任何一方均不得</w:t>
      </w:r>
      <w:r>
        <w:rPr>
          <w:rFonts w:hint="eastAsia" w:ascii="宋体" w:hAnsi="宋体" w:eastAsia="宋体" w:cs="宋体"/>
          <w:color w:val="auto"/>
          <w:highlight w:val="none"/>
        </w:rPr>
        <w:t>无故</w:t>
      </w:r>
      <w:r>
        <w:rPr>
          <w:rFonts w:ascii="宋体" w:hAnsi="宋体" w:eastAsia="宋体" w:cs="宋体"/>
          <w:color w:val="auto"/>
          <w:highlight w:val="none"/>
        </w:rPr>
        <w:t>单方面解除该合同，一方</w:t>
      </w:r>
      <w:r>
        <w:rPr>
          <w:rFonts w:hint="eastAsia" w:ascii="宋体" w:hAnsi="宋体" w:eastAsia="宋体" w:cs="宋体"/>
          <w:color w:val="auto"/>
          <w:highlight w:val="none"/>
        </w:rPr>
        <w:t>无故</w:t>
      </w:r>
      <w:r>
        <w:rPr>
          <w:rFonts w:ascii="宋体" w:hAnsi="宋体" w:eastAsia="宋体" w:cs="宋体"/>
          <w:color w:val="auto"/>
          <w:highlight w:val="none"/>
        </w:rPr>
        <w:t>提出单方面解除该合同，需要向另一方支付本合同总额的10%的违约金</w:t>
      </w:r>
      <w:r>
        <w:rPr>
          <w:rFonts w:hint="eastAsia" w:ascii="宋体" w:hAnsi="宋体" w:eastAsia="宋体" w:cs="宋体"/>
          <w:color w:val="auto"/>
          <w:highlight w:val="none"/>
        </w:rPr>
        <w:t>，该违约金支付并不免除双方应当履行的义务。违约金不足以弥补守约方损失的，违约方应予补足。</w:t>
      </w:r>
    </w:p>
    <w:p w14:paraId="4D7F6BC0">
      <w:pPr>
        <w:pStyle w:val="20"/>
        <w:spacing w:line="360" w:lineRule="auto"/>
        <w:ind w:left="420"/>
        <w:rPr>
          <w:rFonts w:hint="eastAsia" w:ascii="宋体" w:hAnsi="宋体" w:eastAsia="宋体" w:cs="宋体"/>
          <w:color w:val="auto"/>
          <w:highlight w:val="none"/>
        </w:rPr>
      </w:pPr>
      <w:r>
        <w:rPr>
          <w:rFonts w:hint="eastAsia" w:ascii="宋体" w:hAnsi="宋体" w:eastAsia="宋体" w:cs="宋体"/>
          <w:color w:val="auto"/>
          <w:highlight w:val="none"/>
        </w:rPr>
        <w:t>9</w:t>
      </w:r>
      <w:r>
        <w:rPr>
          <w:rFonts w:ascii="宋体" w:hAnsi="宋体" w:eastAsia="宋体" w:cs="宋体"/>
          <w:color w:val="auto"/>
          <w:highlight w:val="none"/>
        </w:rPr>
        <w:t>.2乙方应当按照本合同约定向甲方提供相关产品，</w:t>
      </w:r>
      <w:r>
        <w:rPr>
          <w:rFonts w:hint="eastAsia" w:ascii="宋体" w:hAnsi="宋体" w:eastAsia="宋体" w:cs="宋体"/>
          <w:color w:val="auto"/>
          <w:highlight w:val="none"/>
        </w:rPr>
        <w:t>若因乙方原因导致延期提供的，</w:t>
      </w:r>
      <w:r>
        <w:rPr>
          <w:rFonts w:ascii="宋体" w:hAnsi="宋体" w:eastAsia="宋体" w:cs="宋体"/>
          <w:color w:val="auto"/>
          <w:highlight w:val="none"/>
        </w:rPr>
        <w:t>每延期一个工作日，应向甲方支付本合同总额的0.1%的违约金，但</w:t>
      </w:r>
      <w:r>
        <w:rPr>
          <w:rFonts w:hint="eastAsia" w:ascii="宋体" w:hAnsi="宋体" w:eastAsia="宋体" w:cs="宋体"/>
          <w:color w:val="auto"/>
          <w:highlight w:val="none"/>
        </w:rPr>
        <w:t>乙方支付的</w:t>
      </w:r>
      <w:r>
        <w:rPr>
          <w:rFonts w:ascii="宋体" w:hAnsi="宋体" w:eastAsia="宋体" w:cs="宋体"/>
          <w:color w:val="auto"/>
          <w:highlight w:val="none"/>
        </w:rPr>
        <w:t>违约金以应付款项的【5】</w:t>
      </w:r>
      <w:r>
        <w:rPr>
          <w:rFonts w:hint="eastAsia" w:ascii="宋体" w:hAnsi="宋体" w:eastAsia="宋体" w:cs="宋体"/>
          <w:color w:val="auto"/>
          <w:highlight w:val="none"/>
        </w:rPr>
        <w:t>%为限，延期超过30个工作日的，甲方有权解除合同。</w:t>
      </w:r>
    </w:p>
    <w:p w14:paraId="5789E81D">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9.3因乙方产品</w:t>
      </w:r>
      <w:r>
        <w:rPr>
          <w:rFonts w:ascii="宋体" w:hAnsi="宋体" w:eastAsia="宋体" w:cs="宋体"/>
          <w:color w:val="auto"/>
          <w:highlight w:val="none"/>
        </w:rPr>
        <w:t>侵犯其著作权、专利权、商标专用权或商业秘密等</w:t>
      </w:r>
      <w:r>
        <w:rPr>
          <w:rFonts w:hint="eastAsia" w:ascii="宋体" w:hAnsi="宋体" w:eastAsia="宋体" w:cs="宋体"/>
          <w:color w:val="auto"/>
          <w:highlight w:val="none"/>
        </w:rPr>
        <w:t>第三方</w:t>
      </w:r>
      <w:r>
        <w:rPr>
          <w:rFonts w:ascii="宋体" w:hAnsi="宋体" w:eastAsia="宋体" w:cs="宋体"/>
          <w:color w:val="auto"/>
          <w:highlight w:val="none"/>
        </w:rPr>
        <w:t>合法权利，</w:t>
      </w:r>
      <w:r>
        <w:rPr>
          <w:rFonts w:hint="eastAsia" w:ascii="宋体" w:hAnsi="宋体" w:eastAsia="宋体" w:cs="宋体"/>
          <w:color w:val="auto"/>
          <w:highlight w:val="none"/>
        </w:rPr>
        <w:t>致使甲方遭受损失的，乙方应向甲方承担相应的赔偿责任。</w:t>
      </w:r>
    </w:p>
    <w:p w14:paraId="4CBD6CD3">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9</w:t>
      </w:r>
      <w:r>
        <w:rPr>
          <w:rFonts w:ascii="宋体" w:hAnsi="宋体" w:eastAsia="宋体" w:cs="宋体"/>
          <w:color w:val="auto"/>
          <w:highlight w:val="none"/>
        </w:rPr>
        <w:t>.</w:t>
      </w:r>
      <w:r>
        <w:rPr>
          <w:rFonts w:hint="eastAsia" w:ascii="宋体" w:hAnsi="宋体" w:eastAsia="宋体" w:cs="宋体"/>
          <w:color w:val="auto"/>
          <w:highlight w:val="none"/>
        </w:rPr>
        <w:t>4</w:t>
      </w:r>
      <w:r>
        <w:rPr>
          <w:rFonts w:ascii="宋体" w:hAnsi="宋体" w:eastAsia="宋体" w:cs="宋体"/>
          <w:color w:val="auto"/>
          <w:highlight w:val="none"/>
        </w:rPr>
        <w:t>本合同所约定的损失包括但不限于经济利益的减损、</w:t>
      </w:r>
      <w:r>
        <w:rPr>
          <w:rFonts w:hint="eastAsia" w:ascii="宋体" w:hAnsi="宋体" w:eastAsia="宋体" w:cs="宋体"/>
          <w:color w:val="auto"/>
          <w:highlight w:val="none"/>
        </w:rPr>
        <w:t>一</w:t>
      </w:r>
      <w:r>
        <w:rPr>
          <w:rFonts w:ascii="宋体" w:hAnsi="宋体" w:eastAsia="宋体" w:cs="宋体"/>
          <w:color w:val="auto"/>
          <w:highlight w:val="none"/>
        </w:rPr>
        <w:t>方为证实</w:t>
      </w:r>
      <w:r>
        <w:rPr>
          <w:rFonts w:hint="eastAsia" w:ascii="宋体" w:hAnsi="宋体" w:eastAsia="宋体" w:cs="宋体"/>
          <w:color w:val="auto"/>
          <w:highlight w:val="none"/>
        </w:rPr>
        <w:t>对</w:t>
      </w:r>
      <w:r>
        <w:rPr>
          <w:rFonts w:ascii="宋体" w:hAnsi="宋体" w:eastAsia="宋体" w:cs="宋体"/>
          <w:color w:val="auto"/>
          <w:highlight w:val="none"/>
        </w:rPr>
        <w:t>方违约行为所支付的调查取证、公证费用、</w:t>
      </w:r>
      <w:r>
        <w:rPr>
          <w:rFonts w:hint="eastAsia" w:ascii="宋体" w:hAnsi="宋体" w:eastAsia="宋体" w:cs="宋体"/>
          <w:color w:val="auto"/>
          <w:highlight w:val="none"/>
        </w:rPr>
        <w:t>一</w:t>
      </w:r>
      <w:r>
        <w:rPr>
          <w:rFonts w:ascii="宋体" w:hAnsi="宋体" w:eastAsia="宋体" w:cs="宋体"/>
          <w:color w:val="auto"/>
          <w:highlight w:val="none"/>
        </w:rPr>
        <w:t>方为寻求救济所支付的诉讼费、</w:t>
      </w:r>
      <w:r>
        <w:rPr>
          <w:rFonts w:hint="eastAsia" w:ascii="宋体" w:hAnsi="宋体" w:eastAsia="宋体" w:cs="宋体"/>
          <w:color w:val="auto"/>
          <w:highlight w:val="none"/>
        </w:rPr>
        <w:t>律师费、</w:t>
      </w:r>
      <w:r>
        <w:rPr>
          <w:rFonts w:ascii="宋体" w:hAnsi="宋体" w:eastAsia="宋体" w:cs="宋体"/>
          <w:color w:val="auto"/>
          <w:highlight w:val="none"/>
        </w:rPr>
        <w:t>保全费、咨询费和法院执行费用、调查取证费、差旅费等全部损失及费用。</w:t>
      </w:r>
    </w:p>
    <w:p w14:paraId="59A4B50A">
      <w:pPr>
        <w:pStyle w:val="21"/>
        <w:spacing w:before="312" w:line="360" w:lineRule="auto"/>
        <w:rPr>
          <w:rFonts w:ascii="宋体" w:hAnsi="宋体" w:eastAsia="宋体" w:cs="宋体"/>
          <w:color w:val="auto"/>
          <w:sz w:val="24"/>
          <w:szCs w:val="24"/>
          <w:highlight w:val="none"/>
        </w:rPr>
      </w:pPr>
      <w:bookmarkStart w:id="94" w:name="_Toc21274"/>
      <w:r>
        <w:rPr>
          <w:rFonts w:ascii="宋体" w:hAnsi="宋体" w:eastAsia="宋体" w:cs="宋体"/>
          <w:color w:val="auto"/>
          <w:sz w:val="24"/>
          <w:szCs w:val="24"/>
          <w:highlight w:val="none"/>
        </w:rPr>
        <w:t>第</w:t>
      </w:r>
      <w:r>
        <w:rPr>
          <w:rFonts w:hint="eastAsia" w:ascii="宋体" w:hAnsi="宋体" w:eastAsia="宋体" w:cs="宋体"/>
          <w:color w:val="auto"/>
          <w:sz w:val="24"/>
          <w:szCs w:val="24"/>
          <w:highlight w:val="none"/>
        </w:rPr>
        <w:t>十</w:t>
      </w:r>
      <w:r>
        <w:rPr>
          <w:rFonts w:ascii="宋体" w:hAnsi="宋体" w:eastAsia="宋体" w:cs="宋体"/>
          <w:color w:val="auto"/>
          <w:sz w:val="24"/>
          <w:szCs w:val="24"/>
          <w:highlight w:val="none"/>
        </w:rPr>
        <w:t>条 不可抗力</w:t>
      </w:r>
      <w:bookmarkEnd w:id="94"/>
    </w:p>
    <w:p w14:paraId="7E3F7A7F">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10</w:t>
      </w:r>
      <w:r>
        <w:rPr>
          <w:rFonts w:ascii="宋体" w:hAnsi="宋体" w:eastAsia="宋体" w:cs="宋体"/>
          <w:color w:val="auto"/>
          <w:highlight w:val="none"/>
        </w:rPr>
        <w:t>.1合同的任何一方因不能预见、无法避免的自然灾害或社会事件，包括但不限于战争、港口封锁、内乱以及严重的水灾、地震</w:t>
      </w:r>
      <w:r>
        <w:rPr>
          <w:rFonts w:hint="eastAsia" w:ascii="宋体" w:hAnsi="宋体" w:eastAsia="宋体" w:cs="宋体"/>
          <w:color w:val="auto"/>
          <w:highlight w:val="none"/>
        </w:rPr>
        <w:t>、黑客攻击、疫情</w:t>
      </w:r>
      <w:r>
        <w:rPr>
          <w:rFonts w:ascii="宋体" w:hAnsi="宋体" w:eastAsia="宋体" w:cs="宋体"/>
          <w:color w:val="auto"/>
          <w:highlight w:val="none"/>
        </w:rPr>
        <w:t>和其他国际商务惯例被认定的不可抗力事故而影响合同执行时，则延迟履行合同的期限，延迟的时间应相当于不可抗力事故所影响的时间。</w:t>
      </w:r>
    </w:p>
    <w:p w14:paraId="6C4C2A0F">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10</w:t>
      </w:r>
      <w:r>
        <w:rPr>
          <w:rFonts w:ascii="宋体" w:hAnsi="宋体" w:eastAsia="宋体" w:cs="宋体"/>
          <w:color w:val="auto"/>
          <w:highlight w:val="none"/>
        </w:rPr>
        <w:t>.2合同的任何一方因不可抗力的原因，不能履行合同，应及时</w:t>
      </w:r>
      <w:r>
        <w:rPr>
          <w:rFonts w:hint="eastAsia" w:ascii="宋体" w:hAnsi="宋体" w:eastAsia="宋体" w:cs="宋体"/>
          <w:color w:val="auto"/>
          <w:highlight w:val="none"/>
        </w:rPr>
        <w:t>书面</w:t>
      </w:r>
      <w:r>
        <w:rPr>
          <w:rFonts w:ascii="宋体" w:hAnsi="宋体" w:eastAsia="宋体" w:cs="宋体"/>
          <w:color w:val="auto"/>
          <w:highlight w:val="none"/>
        </w:rPr>
        <w:t>通知对方，在取得有关部门的</w:t>
      </w:r>
      <w:r>
        <w:rPr>
          <w:rFonts w:hint="eastAsia" w:ascii="宋体" w:hAnsi="宋体" w:eastAsia="宋体" w:cs="宋体"/>
          <w:color w:val="auto"/>
          <w:highlight w:val="none"/>
        </w:rPr>
        <w:t>书面</w:t>
      </w:r>
      <w:r>
        <w:rPr>
          <w:rFonts w:ascii="宋体" w:hAnsi="宋体" w:eastAsia="宋体" w:cs="宋体"/>
          <w:color w:val="auto"/>
          <w:highlight w:val="none"/>
        </w:rPr>
        <w:t>证明和对方谅解的情况下，经双方协商一致，可延期履行合同，或更改合同中的某些条款。</w:t>
      </w:r>
      <w:r>
        <w:rPr>
          <w:rFonts w:hint="eastAsia" w:ascii="宋体" w:hAnsi="宋体" w:eastAsia="宋体" w:cs="宋体"/>
          <w:color w:val="auto"/>
          <w:highlight w:val="none"/>
        </w:rPr>
        <w:t>但法律另有规定的除外。</w:t>
      </w:r>
    </w:p>
    <w:p w14:paraId="32B739E0">
      <w:pPr>
        <w:pStyle w:val="21"/>
        <w:spacing w:before="312"/>
        <w:rPr>
          <w:rFonts w:ascii="宋体" w:hAnsi="宋体" w:eastAsia="宋体" w:cs="宋体"/>
          <w:color w:val="auto"/>
          <w:sz w:val="24"/>
          <w:szCs w:val="24"/>
          <w:highlight w:val="none"/>
        </w:rPr>
      </w:pPr>
      <w:bookmarkStart w:id="95" w:name="_Toc21903"/>
      <w:r>
        <w:rPr>
          <w:rFonts w:ascii="宋体" w:hAnsi="宋体" w:eastAsia="宋体" w:cs="宋体"/>
          <w:color w:val="auto"/>
          <w:sz w:val="24"/>
          <w:szCs w:val="24"/>
          <w:highlight w:val="none"/>
        </w:rPr>
        <w:t>第十</w:t>
      </w:r>
      <w:r>
        <w:rPr>
          <w:rFonts w:hint="eastAsia" w:ascii="宋体" w:hAnsi="宋体" w:eastAsia="宋体" w:cs="宋体"/>
          <w:color w:val="auto"/>
          <w:sz w:val="24"/>
          <w:szCs w:val="24"/>
          <w:highlight w:val="none"/>
        </w:rPr>
        <w:t>一</w:t>
      </w:r>
      <w:r>
        <w:rPr>
          <w:rFonts w:ascii="宋体" w:hAnsi="宋体" w:eastAsia="宋体" w:cs="宋体"/>
          <w:color w:val="auto"/>
          <w:sz w:val="24"/>
          <w:szCs w:val="24"/>
          <w:highlight w:val="none"/>
        </w:rPr>
        <w:t>条 通知</w:t>
      </w:r>
      <w:bookmarkEnd w:id="95"/>
    </w:p>
    <w:p w14:paraId="22997464">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各方基于本合同向对方发出的所有书面通知均应按本合同首部约定的地址</w:t>
      </w:r>
      <w:r>
        <w:rPr>
          <w:rFonts w:hint="eastAsia" w:ascii="宋体" w:hAnsi="宋体" w:eastAsia="宋体" w:cs="宋体"/>
          <w:color w:val="auto"/>
          <w:highlight w:val="none"/>
        </w:rPr>
        <w:t>（包括电子邮箱地址）</w:t>
      </w:r>
      <w:r>
        <w:rPr>
          <w:rFonts w:ascii="宋体" w:hAnsi="宋体" w:eastAsia="宋体" w:cs="宋体"/>
          <w:color w:val="auto"/>
          <w:highlight w:val="none"/>
        </w:rPr>
        <w:t>及联系人发出，任何一方上述信息发生变化时，均应</w:t>
      </w:r>
      <w:r>
        <w:rPr>
          <w:rFonts w:hint="eastAsia" w:ascii="宋体" w:hAnsi="宋体" w:eastAsia="宋体" w:cs="宋体"/>
          <w:color w:val="auto"/>
          <w:highlight w:val="none"/>
        </w:rPr>
        <w:t>提前</w:t>
      </w:r>
      <w:r>
        <w:rPr>
          <w:rFonts w:ascii="宋体" w:hAnsi="宋体" w:eastAsia="宋体" w:cs="宋体"/>
          <w:color w:val="auto"/>
          <w:highlight w:val="none"/>
        </w:rPr>
        <w:t>10</w:t>
      </w:r>
      <w:r>
        <w:rPr>
          <w:rFonts w:hint="eastAsia" w:ascii="宋体" w:hAnsi="宋体" w:eastAsia="宋体" w:cs="宋体"/>
          <w:color w:val="auto"/>
          <w:highlight w:val="none"/>
        </w:rPr>
        <w:t>日</w:t>
      </w:r>
      <w:r>
        <w:rPr>
          <w:rFonts w:ascii="宋体" w:hAnsi="宋体" w:eastAsia="宋体" w:cs="宋体"/>
          <w:color w:val="auto"/>
          <w:highlight w:val="none"/>
        </w:rPr>
        <w:t>通知对方，否则由此产生的不利后果由变更方承担。</w:t>
      </w:r>
    </w:p>
    <w:p w14:paraId="062911D1">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11.2如果因接受方原因（包括但不限于接受方相关信息变更未及时通知、无人签收或拒收、电子邮箱地址不存在或者邮箱已满或者设置拒收等）导致通知发送失败，则发送方按照上述地址以寄送方式送达的书面文件，寄送后第3个工作日视为送达；以电子邮件方式送达的书面文件，以电子邮件发送时间作为通知送达时间。</w:t>
      </w:r>
    </w:p>
    <w:p w14:paraId="3F2FD183">
      <w:pPr>
        <w:pStyle w:val="21"/>
        <w:spacing w:before="312"/>
        <w:rPr>
          <w:rFonts w:ascii="宋体" w:hAnsi="宋体" w:eastAsia="宋体" w:cs="宋体"/>
          <w:color w:val="auto"/>
          <w:sz w:val="24"/>
          <w:szCs w:val="24"/>
          <w:highlight w:val="none"/>
        </w:rPr>
      </w:pPr>
      <w:bookmarkStart w:id="96" w:name="_Toc12553"/>
      <w:r>
        <w:rPr>
          <w:rFonts w:ascii="宋体" w:hAnsi="宋体" w:eastAsia="宋体" w:cs="宋体"/>
          <w:color w:val="auto"/>
          <w:sz w:val="24"/>
          <w:szCs w:val="24"/>
          <w:highlight w:val="none"/>
        </w:rPr>
        <w:t>第十</w:t>
      </w:r>
      <w:r>
        <w:rPr>
          <w:rFonts w:hint="eastAsia" w:ascii="宋体" w:hAnsi="宋体" w:eastAsia="宋体" w:cs="宋体"/>
          <w:color w:val="auto"/>
          <w:sz w:val="24"/>
          <w:szCs w:val="24"/>
          <w:highlight w:val="none"/>
        </w:rPr>
        <w:t>二</w:t>
      </w:r>
      <w:r>
        <w:rPr>
          <w:rFonts w:ascii="宋体" w:hAnsi="宋体" w:eastAsia="宋体" w:cs="宋体"/>
          <w:color w:val="auto"/>
          <w:sz w:val="24"/>
          <w:szCs w:val="24"/>
          <w:highlight w:val="none"/>
        </w:rPr>
        <w:t>条 合同解除及变更</w:t>
      </w:r>
      <w:bookmarkEnd w:id="96"/>
    </w:p>
    <w:p w14:paraId="21A2A03D">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12</w:t>
      </w:r>
      <w:r>
        <w:rPr>
          <w:rFonts w:ascii="宋体" w:hAnsi="宋体" w:eastAsia="宋体" w:cs="宋体"/>
          <w:color w:val="auto"/>
          <w:highlight w:val="none"/>
        </w:rPr>
        <w:t>.1如果合同一方严重违反本合同约定的义务，守约方可以向违约方发出一份书面通知，要求其在合理的期限内改正违约行为。若违约方在上述期限内仍未改正其违约行为，守约方可以书面通知违约方解除合同。</w:t>
      </w:r>
    </w:p>
    <w:p w14:paraId="110A8E9E">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12</w:t>
      </w:r>
      <w:r>
        <w:rPr>
          <w:rFonts w:ascii="宋体" w:hAnsi="宋体" w:eastAsia="宋体" w:cs="宋体"/>
          <w:color w:val="auto"/>
          <w:highlight w:val="none"/>
        </w:rPr>
        <w:t>.2双方经过协商一致，可以书面解除本合同。</w:t>
      </w:r>
    </w:p>
    <w:p w14:paraId="1E32E0BC">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12</w:t>
      </w:r>
      <w:r>
        <w:rPr>
          <w:rFonts w:ascii="宋体" w:hAnsi="宋体" w:eastAsia="宋体" w:cs="宋体"/>
          <w:color w:val="auto"/>
          <w:highlight w:val="none"/>
        </w:rPr>
        <w:t>.3在合同履行过程中，如果任何一方需变更合同内容，包括但不限于金额、产品、需求、工作量的变更，双方均应另行签署</w:t>
      </w:r>
      <w:r>
        <w:rPr>
          <w:rFonts w:hint="eastAsia" w:ascii="宋体" w:hAnsi="宋体" w:eastAsia="宋体" w:cs="宋体"/>
          <w:color w:val="auto"/>
          <w:highlight w:val="none"/>
        </w:rPr>
        <w:t>书面</w:t>
      </w:r>
      <w:r>
        <w:rPr>
          <w:rFonts w:ascii="宋体" w:hAnsi="宋体" w:eastAsia="宋体" w:cs="宋体"/>
          <w:color w:val="auto"/>
          <w:highlight w:val="none"/>
        </w:rPr>
        <w:t>补充或变更协议。</w:t>
      </w:r>
    </w:p>
    <w:p w14:paraId="7CC6EA93">
      <w:pPr>
        <w:pStyle w:val="21"/>
        <w:spacing w:before="312"/>
        <w:rPr>
          <w:rFonts w:ascii="宋体" w:hAnsi="宋体" w:eastAsia="宋体" w:cs="宋体"/>
          <w:color w:val="auto"/>
          <w:sz w:val="24"/>
          <w:szCs w:val="24"/>
          <w:highlight w:val="none"/>
        </w:rPr>
      </w:pPr>
      <w:bookmarkStart w:id="97" w:name="_Toc25404"/>
      <w:r>
        <w:rPr>
          <w:rFonts w:ascii="宋体" w:hAnsi="宋体" w:eastAsia="宋体" w:cs="宋体"/>
          <w:color w:val="auto"/>
          <w:sz w:val="24"/>
          <w:szCs w:val="24"/>
          <w:highlight w:val="none"/>
        </w:rPr>
        <w:t>第十</w:t>
      </w:r>
      <w:r>
        <w:rPr>
          <w:rFonts w:hint="eastAsia" w:ascii="宋体" w:hAnsi="宋体" w:eastAsia="宋体" w:cs="宋体"/>
          <w:color w:val="auto"/>
          <w:sz w:val="24"/>
          <w:szCs w:val="24"/>
          <w:highlight w:val="none"/>
        </w:rPr>
        <w:t>三</w:t>
      </w:r>
      <w:r>
        <w:rPr>
          <w:rFonts w:ascii="宋体" w:hAnsi="宋体" w:eastAsia="宋体" w:cs="宋体"/>
          <w:color w:val="auto"/>
          <w:sz w:val="24"/>
          <w:szCs w:val="24"/>
          <w:highlight w:val="none"/>
        </w:rPr>
        <w:t>条 争议解决</w:t>
      </w:r>
      <w:bookmarkEnd w:id="97"/>
    </w:p>
    <w:p w14:paraId="1BE98E1F">
      <w:pPr>
        <w:pStyle w:val="20"/>
        <w:spacing w:line="360" w:lineRule="auto"/>
        <w:ind w:firstLine="420"/>
        <w:rPr>
          <w:rFonts w:ascii="宋体" w:hAnsi="宋体" w:eastAsia="宋体" w:cs="宋体"/>
          <w:color w:val="auto"/>
          <w:highlight w:val="none"/>
        </w:rPr>
      </w:pPr>
      <w:r>
        <w:rPr>
          <w:rFonts w:ascii="宋体" w:hAnsi="宋体" w:eastAsia="宋体" w:cs="宋体"/>
          <w:color w:val="auto"/>
          <w:highlight w:val="none"/>
        </w:rPr>
        <w:t>凡由本合同引起的或与解释或执行本合同有关的任何争议，各方应首先通过友好协商或调解解决。协商或调解不成，双方同意提交</w:t>
      </w:r>
      <w:r>
        <w:rPr>
          <w:rFonts w:hint="eastAsia" w:ascii="宋体" w:hAnsi="宋体" w:eastAsia="宋体" w:cs="宋体"/>
          <w:color w:val="auto"/>
          <w:highlight w:val="none"/>
        </w:rPr>
        <w:t>甲方住所地</w:t>
      </w:r>
      <w:r>
        <w:rPr>
          <w:rFonts w:ascii="宋体" w:hAnsi="宋体" w:eastAsia="宋体" w:cs="宋体"/>
          <w:color w:val="auto"/>
          <w:highlight w:val="none"/>
        </w:rPr>
        <w:t>的</w:t>
      </w:r>
      <w:r>
        <w:rPr>
          <w:rFonts w:hint="eastAsia" w:ascii="宋体" w:hAnsi="宋体" w:eastAsia="宋体" w:cs="宋体"/>
          <w:color w:val="auto"/>
          <w:highlight w:val="none"/>
        </w:rPr>
        <w:t>基层</w:t>
      </w:r>
      <w:r>
        <w:rPr>
          <w:rFonts w:ascii="宋体" w:hAnsi="宋体" w:eastAsia="宋体" w:cs="宋体"/>
          <w:color w:val="auto"/>
          <w:highlight w:val="none"/>
        </w:rPr>
        <w:t>人民法院诉讼解决。</w:t>
      </w:r>
    </w:p>
    <w:p w14:paraId="7FA4F161">
      <w:pPr>
        <w:pStyle w:val="21"/>
        <w:spacing w:before="312"/>
        <w:rPr>
          <w:rFonts w:ascii="宋体" w:hAnsi="宋体" w:cs="宋体"/>
          <w:sz w:val="21"/>
          <w:szCs w:val="21"/>
          <w:highlight w:val="none"/>
        </w:rPr>
      </w:pPr>
      <w:bookmarkStart w:id="98" w:name="_Toc30505"/>
      <w:r>
        <w:rPr>
          <w:rFonts w:ascii="宋体" w:hAnsi="宋体" w:eastAsia="宋体" w:cs="宋体"/>
          <w:color w:val="auto"/>
          <w:sz w:val="24"/>
          <w:szCs w:val="24"/>
          <w:highlight w:val="none"/>
        </w:rPr>
        <w:t>第十</w:t>
      </w:r>
      <w:r>
        <w:rPr>
          <w:rFonts w:hint="eastAsia" w:ascii="宋体" w:hAnsi="宋体" w:eastAsia="宋体" w:cs="宋体"/>
          <w:color w:val="auto"/>
          <w:sz w:val="24"/>
          <w:szCs w:val="24"/>
          <w:highlight w:val="none"/>
        </w:rPr>
        <w:t>三</w:t>
      </w:r>
      <w:r>
        <w:rPr>
          <w:rFonts w:ascii="宋体" w:hAnsi="宋体" w:eastAsia="宋体" w:cs="宋体"/>
          <w:color w:val="auto"/>
          <w:sz w:val="24"/>
          <w:szCs w:val="24"/>
          <w:highlight w:val="none"/>
        </w:rPr>
        <w:t>条 合同签订及期限</w:t>
      </w:r>
      <w:bookmarkEnd w:id="98"/>
      <w:r>
        <w:rPr>
          <w:rFonts w:ascii="宋体" w:hAnsi="宋体" w:eastAsia="宋体" w:cs="宋体"/>
          <w:color w:val="auto"/>
          <w:sz w:val="24"/>
          <w:szCs w:val="24"/>
          <w:highlight w:val="none"/>
        </w:rPr>
        <w:tab/>
      </w:r>
    </w:p>
    <w:p w14:paraId="6380BC0B">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13.1各方授权代表均具有完全的民事行为能力及民事权利能力，且已经获得其所属公司充分必要的授权，有权签署本合同。本合同一经签署即对合同各方具有法律约束力。</w:t>
      </w:r>
    </w:p>
    <w:p w14:paraId="5E270ABD">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13.2</w:t>
      </w:r>
      <w:r>
        <w:rPr>
          <w:rFonts w:ascii="宋体" w:hAnsi="宋体" w:eastAsia="宋体" w:cs="宋体"/>
          <w:color w:val="auto"/>
          <w:highlight w:val="none"/>
        </w:rPr>
        <w:t>本合同自双方</w:t>
      </w:r>
      <w:r>
        <w:rPr>
          <w:rFonts w:hint="eastAsia" w:ascii="宋体" w:hAnsi="宋体" w:eastAsia="宋体" w:cs="宋体"/>
          <w:color w:val="auto"/>
          <w:highlight w:val="none"/>
        </w:rPr>
        <w:t>签字并</w:t>
      </w:r>
      <w:r>
        <w:rPr>
          <w:rFonts w:ascii="宋体" w:hAnsi="宋体" w:eastAsia="宋体" w:cs="宋体"/>
          <w:color w:val="auto"/>
          <w:highlight w:val="none"/>
        </w:rPr>
        <w:t>加盖公章或合同章之日起生效，</w:t>
      </w:r>
      <w:r>
        <w:rPr>
          <w:rFonts w:hint="eastAsia" w:ascii="宋体" w:hAnsi="宋体" w:eastAsia="宋体" w:cs="宋体"/>
          <w:color w:val="auto"/>
          <w:highlight w:val="none"/>
        </w:rPr>
        <w:t>并持续有效直至本合同中的约定的内容履行完毕后终止。</w:t>
      </w:r>
      <w:r>
        <w:rPr>
          <w:rFonts w:ascii="宋体" w:hAnsi="宋体" w:eastAsia="宋体" w:cs="宋体"/>
          <w:color w:val="auto"/>
          <w:highlight w:val="none"/>
        </w:rPr>
        <w:t>本合同</w:t>
      </w:r>
      <w:r>
        <w:rPr>
          <w:rFonts w:hint="eastAsia" w:ascii="宋体" w:hAnsi="宋体" w:eastAsia="宋体" w:cs="宋体"/>
          <w:color w:val="auto"/>
          <w:highlight w:val="none"/>
        </w:rPr>
        <w:t>一式【肆】份，</w:t>
      </w:r>
      <w:r>
        <w:rPr>
          <w:rFonts w:ascii="宋体" w:hAnsi="宋体" w:eastAsia="宋体" w:cs="宋体"/>
          <w:color w:val="auto"/>
          <w:highlight w:val="none"/>
        </w:rPr>
        <w:t>甲方执</w:t>
      </w:r>
      <w:r>
        <w:rPr>
          <w:rFonts w:hint="eastAsia" w:ascii="宋体" w:hAnsi="宋体" w:eastAsia="宋体" w:cs="宋体"/>
          <w:color w:val="auto"/>
          <w:highlight w:val="none"/>
        </w:rPr>
        <w:t>【贰】</w:t>
      </w:r>
      <w:r>
        <w:rPr>
          <w:rFonts w:ascii="宋体" w:hAnsi="宋体" w:eastAsia="宋体" w:cs="宋体"/>
          <w:color w:val="auto"/>
          <w:highlight w:val="none"/>
        </w:rPr>
        <w:t>份，乙方执</w:t>
      </w:r>
      <w:r>
        <w:rPr>
          <w:rFonts w:hint="eastAsia" w:ascii="宋体" w:hAnsi="宋体" w:eastAsia="宋体" w:cs="宋体"/>
          <w:color w:val="auto"/>
          <w:highlight w:val="none"/>
        </w:rPr>
        <w:t>【贰</w:t>
      </w:r>
      <w:r>
        <w:rPr>
          <w:rFonts w:ascii="宋体" w:hAnsi="宋体" w:eastAsia="宋体" w:cs="宋体"/>
          <w:color w:val="auto"/>
          <w:highlight w:val="none"/>
        </w:rPr>
        <w:t>】份，</w:t>
      </w:r>
      <w:r>
        <w:rPr>
          <w:rFonts w:hint="eastAsia" w:ascii="宋体" w:hAnsi="宋体" w:eastAsia="宋体" w:cs="宋体"/>
          <w:color w:val="auto"/>
          <w:highlight w:val="none"/>
        </w:rPr>
        <w:t>每份均</w:t>
      </w:r>
      <w:r>
        <w:rPr>
          <w:rFonts w:ascii="宋体" w:hAnsi="宋体" w:eastAsia="宋体" w:cs="宋体"/>
          <w:color w:val="auto"/>
          <w:highlight w:val="none"/>
        </w:rPr>
        <w:t>具有同等法律效力。</w:t>
      </w:r>
    </w:p>
    <w:tbl>
      <w:tblPr>
        <w:tblStyle w:val="14"/>
        <w:tblpPr w:leftFromText="180" w:rightFromText="180" w:vertAnchor="text" w:horzAnchor="margin" w:tblpY="233"/>
        <w:tblOverlap w:val="never"/>
        <w:tblW w:w="9978" w:type="dxa"/>
        <w:tblInd w:w="0" w:type="dxa"/>
        <w:tblLayout w:type="fixed"/>
        <w:tblCellMar>
          <w:top w:w="0" w:type="dxa"/>
          <w:left w:w="108" w:type="dxa"/>
          <w:bottom w:w="0" w:type="dxa"/>
          <w:right w:w="108" w:type="dxa"/>
        </w:tblCellMar>
      </w:tblPr>
      <w:tblGrid>
        <w:gridCol w:w="1697"/>
        <w:gridCol w:w="3292"/>
        <w:gridCol w:w="1698"/>
        <w:gridCol w:w="3291"/>
      </w:tblGrid>
      <w:tr w14:paraId="0B9D3622">
        <w:tc>
          <w:tcPr>
            <w:tcW w:w="1697" w:type="dxa"/>
          </w:tcPr>
          <w:p w14:paraId="7C68E4BC">
            <w:pPr>
              <w:pStyle w:val="20"/>
              <w:spacing w:line="360" w:lineRule="auto"/>
              <w:rPr>
                <w:rFonts w:ascii="宋体" w:hAnsi="宋体" w:eastAsia="宋体" w:cs="宋体"/>
                <w:b/>
                <w:bCs/>
                <w:color w:val="auto"/>
                <w:highlight w:val="none"/>
              </w:rPr>
            </w:pPr>
            <w:r>
              <w:rPr>
                <w:rFonts w:ascii="宋体" w:hAnsi="宋体" w:eastAsia="宋体" w:cs="宋体"/>
                <w:b/>
                <w:bCs/>
                <w:color w:val="auto"/>
                <w:highlight w:val="none"/>
              </w:rPr>
              <w:t>甲方（</w:t>
            </w:r>
            <w:r>
              <w:rPr>
                <w:rFonts w:hint="eastAsia" w:ascii="宋体" w:hAnsi="宋体" w:eastAsia="宋体" w:cs="宋体"/>
                <w:b/>
                <w:bCs/>
                <w:color w:val="auto"/>
                <w:highlight w:val="none"/>
              </w:rPr>
              <w:t>签</w:t>
            </w:r>
            <w:r>
              <w:rPr>
                <w:rFonts w:ascii="宋体" w:hAnsi="宋体" w:eastAsia="宋体" w:cs="宋体"/>
                <w:b/>
                <w:bCs/>
                <w:color w:val="auto"/>
                <w:highlight w:val="none"/>
              </w:rPr>
              <w:t>章）：</w:t>
            </w:r>
          </w:p>
        </w:tc>
        <w:tc>
          <w:tcPr>
            <w:tcW w:w="3292" w:type="dxa"/>
          </w:tcPr>
          <w:p w14:paraId="30FA6C10">
            <w:pPr>
              <w:pStyle w:val="20"/>
              <w:spacing w:line="360" w:lineRule="auto"/>
              <w:rPr>
                <w:rFonts w:ascii="宋体" w:hAnsi="宋体" w:eastAsia="宋体" w:cs="宋体"/>
                <w:b/>
                <w:bCs/>
                <w:color w:val="auto"/>
                <w:highlight w:val="none"/>
              </w:rPr>
            </w:pPr>
          </w:p>
        </w:tc>
        <w:tc>
          <w:tcPr>
            <w:tcW w:w="1698" w:type="dxa"/>
          </w:tcPr>
          <w:p w14:paraId="7E5E174E">
            <w:pPr>
              <w:pStyle w:val="20"/>
              <w:spacing w:line="360" w:lineRule="auto"/>
              <w:rPr>
                <w:rFonts w:ascii="宋体" w:hAnsi="宋体" w:eastAsia="宋体" w:cs="宋体"/>
                <w:b/>
                <w:bCs/>
                <w:color w:val="auto"/>
                <w:highlight w:val="none"/>
              </w:rPr>
            </w:pPr>
            <w:r>
              <w:rPr>
                <w:rFonts w:ascii="宋体" w:hAnsi="宋体" w:eastAsia="宋体" w:cs="宋体"/>
                <w:b/>
                <w:bCs/>
                <w:color w:val="auto"/>
                <w:highlight w:val="none"/>
              </w:rPr>
              <w:t>乙方（签章）：</w:t>
            </w:r>
          </w:p>
        </w:tc>
        <w:tc>
          <w:tcPr>
            <w:tcW w:w="3291" w:type="dxa"/>
          </w:tcPr>
          <w:p w14:paraId="709DD732">
            <w:pPr>
              <w:pStyle w:val="20"/>
              <w:spacing w:line="360" w:lineRule="auto"/>
              <w:rPr>
                <w:rFonts w:ascii="宋体" w:hAnsi="宋体" w:eastAsia="宋体" w:cs="宋体"/>
                <w:b/>
                <w:bCs/>
                <w:color w:val="auto"/>
                <w:highlight w:val="none"/>
              </w:rPr>
            </w:pPr>
          </w:p>
          <w:p w14:paraId="275FBF51">
            <w:pPr>
              <w:pStyle w:val="20"/>
              <w:spacing w:line="360" w:lineRule="auto"/>
              <w:rPr>
                <w:rFonts w:ascii="宋体" w:hAnsi="宋体" w:eastAsia="宋体" w:cs="宋体"/>
                <w:b/>
                <w:bCs/>
                <w:color w:val="auto"/>
                <w:highlight w:val="none"/>
              </w:rPr>
            </w:pPr>
          </w:p>
        </w:tc>
      </w:tr>
      <w:tr w14:paraId="041396F0">
        <w:tblPrEx>
          <w:tblCellMar>
            <w:top w:w="0" w:type="dxa"/>
            <w:left w:w="108" w:type="dxa"/>
            <w:bottom w:w="0" w:type="dxa"/>
            <w:right w:w="108" w:type="dxa"/>
          </w:tblCellMar>
        </w:tblPrEx>
        <w:tc>
          <w:tcPr>
            <w:tcW w:w="1697" w:type="dxa"/>
          </w:tcPr>
          <w:p w14:paraId="59C08D85">
            <w:pPr>
              <w:pStyle w:val="20"/>
              <w:spacing w:line="360" w:lineRule="auto"/>
              <w:rPr>
                <w:rFonts w:ascii="宋体" w:hAnsi="宋体" w:eastAsia="宋体" w:cs="宋体"/>
                <w:b/>
                <w:bCs/>
                <w:color w:val="auto"/>
                <w:highlight w:val="none"/>
              </w:rPr>
            </w:pPr>
            <w:r>
              <w:rPr>
                <w:rFonts w:ascii="宋体" w:hAnsi="宋体" w:eastAsia="宋体" w:cs="宋体"/>
                <w:b/>
                <w:bCs/>
                <w:color w:val="auto"/>
                <w:highlight w:val="none"/>
              </w:rPr>
              <w:t>签 约 日  期：</w:t>
            </w:r>
          </w:p>
        </w:tc>
        <w:tc>
          <w:tcPr>
            <w:tcW w:w="3292" w:type="dxa"/>
          </w:tcPr>
          <w:p w14:paraId="3712C76A">
            <w:pPr>
              <w:pStyle w:val="20"/>
              <w:spacing w:line="360" w:lineRule="auto"/>
              <w:rPr>
                <w:rFonts w:ascii="宋体" w:hAnsi="宋体" w:eastAsia="宋体" w:cs="宋体"/>
                <w:b/>
                <w:bCs/>
                <w:color w:val="auto"/>
                <w:highlight w:val="none"/>
              </w:rPr>
            </w:pPr>
            <w:r>
              <w:rPr>
                <w:rFonts w:ascii="宋体" w:hAnsi="宋体" w:eastAsia="宋体" w:cs="宋体"/>
                <w:b/>
                <w:bCs/>
                <w:color w:val="auto"/>
                <w:highlight w:val="none"/>
              </w:rPr>
              <w:t>年月</w:t>
            </w:r>
            <w:r>
              <w:rPr>
                <w:rFonts w:ascii="宋体" w:hAnsi="宋体" w:eastAsia="宋体" w:cs="宋体"/>
                <w:b/>
                <w:bCs/>
                <w:color w:val="auto"/>
                <w:highlight w:val="none"/>
                <w:u w:val="single"/>
              </w:rPr>
              <w:t xml:space="preserve">      日</w:t>
            </w:r>
          </w:p>
        </w:tc>
        <w:tc>
          <w:tcPr>
            <w:tcW w:w="1698" w:type="dxa"/>
          </w:tcPr>
          <w:p w14:paraId="4EFD691F">
            <w:pPr>
              <w:pStyle w:val="20"/>
              <w:spacing w:line="360" w:lineRule="auto"/>
              <w:rPr>
                <w:rFonts w:ascii="宋体" w:hAnsi="宋体" w:eastAsia="宋体" w:cs="宋体"/>
                <w:b/>
                <w:bCs/>
                <w:color w:val="auto"/>
                <w:highlight w:val="none"/>
              </w:rPr>
            </w:pPr>
            <w:r>
              <w:rPr>
                <w:rFonts w:ascii="宋体" w:hAnsi="宋体" w:eastAsia="宋体" w:cs="宋体"/>
                <w:b/>
                <w:bCs/>
                <w:color w:val="auto"/>
                <w:highlight w:val="none"/>
              </w:rPr>
              <w:t>签 约 日  期：</w:t>
            </w:r>
          </w:p>
        </w:tc>
        <w:tc>
          <w:tcPr>
            <w:tcW w:w="3291" w:type="dxa"/>
          </w:tcPr>
          <w:p w14:paraId="11982600">
            <w:pPr>
              <w:pStyle w:val="20"/>
              <w:spacing w:line="360" w:lineRule="auto"/>
              <w:rPr>
                <w:rFonts w:ascii="宋体" w:hAnsi="宋体" w:eastAsia="宋体" w:cs="宋体"/>
                <w:b/>
                <w:bCs/>
                <w:color w:val="auto"/>
                <w:highlight w:val="none"/>
              </w:rPr>
            </w:pPr>
            <w:r>
              <w:rPr>
                <w:rFonts w:ascii="宋体" w:hAnsi="宋体" w:eastAsia="宋体" w:cs="宋体"/>
                <w:b/>
                <w:bCs/>
                <w:color w:val="auto"/>
                <w:highlight w:val="none"/>
              </w:rPr>
              <w:t>年月</w:t>
            </w:r>
            <w:r>
              <w:rPr>
                <w:rFonts w:ascii="宋体" w:hAnsi="宋体" w:eastAsia="宋体" w:cs="宋体"/>
                <w:b/>
                <w:bCs/>
                <w:color w:val="auto"/>
                <w:highlight w:val="none"/>
                <w:u w:val="single"/>
              </w:rPr>
              <w:t xml:space="preserve">      日</w:t>
            </w:r>
          </w:p>
        </w:tc>
      </w:tr>
    </w:tbl>
    <w:p w14:paraId="70CE8822">
      <w:pPr>
        <w:pStyle w:val="20"/>
        <w:rPr>
          <w:rFonts w:ascii="宋体-简" w:hAnsi="宋体-简" w:eastAsia="宋体-简" w:cs="宋体-简"/>
          <w:b/>
          <w:bCs/>
          <w:color w:val="auto"/>
          <w:szCs w:val="20"/>
          <w:highlight w:val="none"/>
        </w:rPr>
      </w:pPr>
    </w:p>
    <w:p w14:paraId="2EC61AEE">
      <w:pPr>
        <w:pStyle w:val="20"/>
        <w:spacing w:line="360" w:lineRule="auto"/>
        <w:ind w:firstLine="420"/>
        <w:rPr>
          <w:rFonts w:ascii="宋体-简" w:hAnsi="宋体-简" w:eastAsia="宋体-简" w:cs="宋体-简"/>
          <w:color w:val="auto"/>
          <w:highlight w:val="none"/>
        </w:rPr>
      </w:pPr>
      <w:r>
        <w:rPr>
          <w:rFonts w:hint="eastAsia" w:ascii="宋体-简" w:hAnsi="宋体-简" w:eastAsia="宋体-简" w:cs="宋体-简"/>
          <w:b/>
          <w:bCs/>
          <w:color w:val="auto"/>
          <w:szCs w:val="20"/>
          <w:highlight w:val="none"/>
        </w:rPr>
        <w:br w:type="page"/>
      </w:r>
      <w:r>
        <w:rPr>
          <w:rFonts w:hint="eastAsia" w:ascii="宋体" w:hAnsi="宋体" w:eastAsia="宋体" w:cs="宋体"/>
          <w:b/>
          <w:bCs/>
          <w:color w:val="auto"/>
          <w:highlight w:val="none"/>
        </w:rPr>
        <w:t>附件</w:t>
      </w:r>
    </w:p>
    <w:p w14:paraId="54DC5861">
      <w:pPr>
        <w:pStyle w:val="20"/>
        <w:rPr>
          <w:rFonts w:ascii="宋体-简" w:hAnsi="宋体-简" w:eastAsia="宋体-简" w:cs="宋体-简"/>
          <w:color w:val="auto"/>
          <w:highlight w:val="none"/>
        </w:rPr>
      </w:pPr>
    </w:p>
    <w:p w14:paraId="179D3888">
      <w:pPr>
        <w:pStyle w:val="20"/>
        <w:spacing w:line="360" w:lineRule="auto"/>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费用明细</w:t>
      </w:r>
      <w:r>
        <w:rPr>
          <w:rFonts w:ascii="宋体" w:hAnsi="宋体" w:eastAsia="宋体" w:cs="宋体"/>
          <w:b/>
          <w:color w:val="auto"/>
          <w:sz w:val="28"/>
          <w:szCs w:val="28"/>
          <w:highlight w:val="none"/>
        </w:rPr>
        <w:t>单</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2364"/>
        <w:gridCol w:w="794"/>
        <w:gridCol w:w="828"/>
        <w:gridCol w:w="1149"/>
        <w:gridCol w:w="3282"/>
      </w:tblGrid>
      <w:tr w14:paraId="748FC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shd w:val="clear" w:color="auto" w:fill="548DD4"/>
            <w:vAlign w:val="center"/>
          </w:tcPr>
          <w:p w14:paraId="344FFA09">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产品应用分类</w:t>
            </w:r>
          </w:p>
        </w:tc>
        <w:tc>
          <w:tcPr>
            <w:tcW w:w="2364" w:type="dxa"/>
            <w:shd w:val="clear" w:color="auto" w:fill="548DD4"/>
            <w:vAlign w:val="center"/>
          </w:tcPr>
          <w:p w14:paraId="4A738967">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名称</w:t>
            </w:r>
          </w:p>
        </w:tc>
        <w:tc>
          <w:tcPr>
            <w:tcW w:w="794" w:type="dxa"/>
            <w:shd w:val="clear" w:color="auto" w:fill="548DD4"/>
            <w:vAlign w:val="center"/>
          </w:tcPr>
          <w:p w14:paraId="7420EF08">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数量</w:t>
            </w:r>
          </w:p>
        </w:tc>
        <w:tc>
          <w:tcPr>
            <w:tcW w:w="828" w:type="dxa"/>
            <w:shd w:val="clear" w:color="auto" w:fill="548DD4"/>
            <w:vAlign w:val="center"/>
          </w:tcPr>
          <w:p w14:paraId="474ACB46">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单位</w:t>
            </w:r>
          </w:p>
        </w:tc>
        <w:tc>
          <w:tcPr>
            <w:tcW w:w="1149" w:type="dxa"/>
            <w:shd w:val="clear" w:color="auto" w:fill="548DD4"/>
            <w:vAlign w:val="center"/>
          </w:tcPr>
          <w:p w14:paraId="3E1887B8">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标准报价</w:t>
            </w:r>
          </w:p>
        </w:tc>
        <w:tc>
          <w:tcPr>
            <w:tcW w:w="3282" w:type="dxa"/>
            <w:shd w:val="clear" w:color="auto" w:fill="548DD4"/>
            <w:vAlign w:val="center"/>
          </w:tcPr>
          <w:p w14:paraId="33490362">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功能描述</w:t>
            </w:r>
          </w:p>
        </w:tc>
      </w:tr>
      <w:tr w14:paraId="7C9E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004A9CE6">
            <w:pPr>
              <w:pStyle w:val="20"/>
              <w:rPr>
                <w:rFonts w:ascii="宋体-简" w:hAnsi="宋体-简" w:eastAsia="宋体-简" w:cs="宋体-简"/>
                <w:color w:val="auto"/>
                <w:highlight w:val="none"/>
              </w:rPr>
            </w:pPr>
          </w:p>
        </w:tc>
        <w:tc>
          <w:tcPr>
            <w:tcW w:w="2364" w:type="dxa"/>
          </w:tcPr>
          <w:p w14:paraId="6DABDE47">
            <w:pPr>
              <w:pStyle w:val="20"/>
              <w:rPr>
                <w:rFonts w:ascii="宋体-简" w:hAnsi="宋体-简" w:eastAsia="宋体-简" w:cs="宋体-简"/>
                <w:color w:val="auto"/>
                <w:highlight w:val="none"/>
              </w:rPr>
            </w:pPr>
          </w:p>
        </w:tc>
        <w:tc>
          <w:tcPr>
            <w:tcW w:w="794" w:type="dxa"/>
          </w:tcPr>
          <w:p w14:paraId="3DD899AE">
            <w:pPr>
              <w:pStyle w:val="20"/>
              <w:rPr>
                <w:rFonts w:ascii="宋体-简" w:hAnsi="宋体-简" w:eastAsia="宋体-简" w:cs="宋体-简"/>
                <w:color w:val="auto"/>
                <w:highlight w:val="none"/>
              </w:rPr>
            </w:pPr>
          </w:p>
        </w:tc>
        <w:tc>
          <w:tcPr>
            <w:tcW w:w="828" w:type="dxa"/>
          </w:tcPr>
          <w:p w14:paraId="72274CDE">
            <w:pPr>
              <w:pStyle w:val="20"/>
              <w:rPr>
                <w:rFonts w:ascii="宋体-简" w:hAnsi="宋体-简" w:eastAsia="宋体-简" w:cs="宋体-简"/>
                <w:color w:val="auto"/>
                <w:highlight w:val="none"/>
              </w:rPr>
            </w:pPr>
          </w:p>
        </w:tc>
        <w:tc>
          <w:tcPr>
            <w:tcW w:w="1149" w:type="dxa"/>
          </w:tcPr>
          <w:p w14:paraId="73155C53">
            <w:pPr>
              <w:pStyle w:val="20"/>
              <w:rPr>
                <w:rFonts w:ascii="宋体-简" w:hAnsi="宋体-简" w:eastAsia="宋体-简" w:cs="宋体-简"/>
                <w:color w:val="auto"/>
                <w:highlight w:val="none"/>
              </w:rPr>
            </w:pPr>
          </w:p>
        </w:tc>
        <w:tc>
          <w:tcPr>
            <w:tcW w:w="3282" w:type="dxa"/>
          </w:tcPr>
          <w:p w14:paraId="433BD697">
            <w:pPr>
              <w:pStyle w:val="20"/>
              <w:rPr>
                <w:rFonts w:ascii="宋体-简" w:hAnsi="宋体-简" w:eastAsia="宋体-简" w:cs="宋体-简"/>
                <w:color w:val="auto"/>
                <w:highlight w:val="none"/>
              </w:rPr>
            </w:pPr>
          </w:p>
        </w:tc>
      </w:tr>
      <w:tr w14:paraId="10A0D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5C504691">
            <w:pPr>
              <w:pStyle w:val="20"/>
              <w:rPr>
                <w:rFonts w:ascii="宋体-简" w:hAnsi="宋体-简" w:eastAsia="宋体-简" w:cs="宋体-简"/>
                <w:color w:val="auto"/>
                <w:highlight w:val="none"/>
              </w:rPr>
            </w:pPr>
          </w:p>
        </w:tc>
        <w:tc>
          <w:tcPr>
            <w:tcW w:w="2364" w:type="dxa"/>
          </w:tcPr>
          <w:p w14:paraId="2847D055">
            <w:pPr>
              <w:pStyle w:val="20"/>
              <w:rPr>
                <w:rFonts w:ascii="宋体-简" w:hAnsi="宋体-简" w:eastAsia="宋体-简" w:cs="宋体-简"/>
                <w:color w:val="auto"/>
                <w:highlight w:val="none"/>
              </w:rPr>
            </w:pPr>
          </w:p>
        </w:tc>
        <w:tc>
          <w:tcPr>
            <w:tcW w:w="794" w:type="dxa"/>
          </w:tcPr>
          <w:p w14:paraId="0387029C">
            <w:pPr>
              <w:pStyle w:val="20"/>
              <w:rPr>
                <w:rFonts w:ascii="宋体-简" w:hAnsi="宋体-简" w:eastAsia="宋体-简" w:cs="宋体-简"/>
                <w:color w:val="auto"/>
                <w:highlight w:val="none"/>
              </w:rPr>
            </w:pPr>
          </w:p>
        </w:tc>
        <w:tc>
          <w:tcPr>
            <w:tcW w:w="828" w:type="dxa"/>
          </w:tcPr>
          <w:p w14:paraId="76A2DC3E">
            <w:pPr>
              <w:pStyle w:val="20"/>
              <w:rPr>
                <w:rFonts w:ascii="宋体-简" w:hAnsi="宋体-简" w:eastAsia="宋体-简" w:cs="宋体-简"/>
                <w:color w:val="auto"/>
                <w:highlight w:val="none"/>
              </w:rPr>
            </w:pPr>
          </w:p>
        </w:tc>
        <w:tc>
          <w:tcPr>
            <w:tcW w:w="1149" w:type="dxa"/>
          </w:tcPr>
          <w:p w14:paraId="6FDE048C">
            <w:pPr>
              <w:pStyle w:val="20"/>
              <w:rPr>
                <w:rFonts w:ascii="宋体-简" w:hAnsi="宋体-简" w:eastAsia="宋体-简" w:cs="宋体-简"/>
                <w:color w:val="auto"/>
                <w:highlight w:val="none"/>
              </w:rPr>
            </w:pPr>
          </w:p>
        </w:tc>
        <w:tc>
          <w:tcPr>
            <w:tcW w:w="3282" w:type="dxa"/>
          </w:tcPr>
          <w:p w14:paraId="27FB4078">
            <w:pPr>
              <w:pStyle w:val="20"/>
              <w:rPr>
                <w:rFonts w:ascii="宋体-简" w:hAnsi="宋体-简" w:eastAsia="宋体-简" w:cs="宋体-简"/>
                <w:color w:val="auto"/>
                <w:highlight w:val="none"/>
              </w:rPr>
            </w:pPr>
          </w:p>
        </w:tc>
      </w:tr>
    </w:tbl>
    <w:p w14:paraId="6E084330">
      <w:pPr>
        <w:rPr>
          <w:rFonts w:ascii="宋体-简" w:hAnsi="宋体-简" w:eastAsia="宋体-简" w:cs="宋体-简"/>
          <w:b/>
          <w:bCs/>
          <w:highlight w:val="none"/>
        </w:rPr>
      </w:pPr>
      <w:r>
        <w:rPr>
          <w:rFonts w:hint="eastAsia"/>
          <w:highlight w:val="none"/>
        </w:rPr>
        <w:br w:type="page"/>
      </w:r>
      <w:r>
        <w:rPr>
          <w:rFonts w:hint="eastAsia"/>
          <w:b/>
          <w:bCs/>
          <w:highlight w:val="none"/>
        </w:rPr>
        <w:t>附件</w:t>
      </w:r>
    </w:p>
    <w:p w14:paraId="30D3BA34">
      <w:pPr>
        <w:pStyle w:val="20"/>
        <w:spacing w:line="360" w:lineRule="auto"/>
        <w:jc w:val="center"/>
        <w:rPr>
          <w:rFonts w:ascii="宋体" w:hAnsi="宋体" w:eastAsia="宋体" w:cs="宋体"/>
          <w:b/>
          <w:color w:val="auto"/>
          <w:sz w:val="28"/>
          <w:szCs w:val="28"/>
          <w:highlight w:val="none"/>
        </w:rPr>
      </w:pPr>
      <w:r>
        <w:rPr>
          <w:rFonts w:ascii="宋体" w:hAnsi="宋体" w:eastAsia="宋体" w:cs="宋体"/>
          <w:b/>
          <w:color w:val="auto"/>
          <w:sz w:val="28"/>
          <w:szCs w:val="28"/>
          <w:highlight w:val="none"/>
        </w:rPr>
        <w:t>实施服务</w:t>
      </w:r>
    </w:p>
    <w:p w14:paraId="31445878">
      <w:pPr>
        <w:pStyle w:val="20"/>
        <w:spacing w:line="360" w:lineRule="auto"/>
        <w:jc w:val="center"/>
        <w:rPr>
          <w:rFonts w:ascii="宋体" w:hAnsi="宋体" w:eastAsia="宋体" w:cs="宋体"/>
          <w:bCs/>
          <w:color w:val="auto"/>
          <w:sz w:val="24"/>
          <w:szCs w:val="24"/>
          <w:highlight w:val="none"/>
        </w:rPr>
      </w:pPr>
    </w:p>
    <w:p w14:paraId="385917AD">
      <w:pPr>
        <w:pStyle w:val="20"/>
        <w:numPr>
          <w:ilvl w:val="0"/>
          <w:numId w:val="5"/>
        </w:numPr>
        <w:spacing w:line="360" w:lineRule="auto"/>
        <w:rPr>
          <w:rFonts w:ascii="宋体" w:hAnsi="宋体" w:eastAsia="宋体" w:cs="宋体"/>
          <w:bCs/>
          <w:color w:val="auto"/>
          <w:sz w:val="24"/>
          <w:szCs w:val="24"/>
          <w:highlight w:val="none"/>
        </w:rPr>
      </w:pPr>
      <w:r>
        <w:rPr>
          <w:rFonts w:ascii="宋体" w:hAnsi="宋体" w:eastAsia="宋体" w:cs="宋体"/>
          <w:bCs/>
          <w:color w:val="auto"/>
          <w:sz w:val="24"/>
          <w:szCs w:val="24"/>
          <w:highlight w:val="none"/>
        </w:rPr>
        <w:t>实施</w:t>
      </w:r>
      <w:r>
        <w:rPr>
          <w:rFonts w:ascii="宋体" w:hAnsi="宋体" w:eastAsia="宋体" w:cs="宋体"/>
          <w:bCs/>
          <w:color w:val="auto"/>
          <w:sz w:val="24"/>
          <w:szCs w:val="24"/>
          <w:highlight w:val="none"/>
          <w:lang w:val="zh-CN"/>
        </w:rPr>
        <w:t>服务</w:t>
      </w:r>
      <w:r>
        <w:rPr>
          <w:rFonts w:ascii="宋体" w:hAnsi="宋体" w:eastAsia="宋体" w:cs="宋体"/>
          <w:bCs/>
          <w:color w:val="auto"/>
          <w:sz w:val="24"/>
          <w:szCs w:val="24"/>
          <w:highlight w:val="none"/>
        </w:rPr>
        <w:t>内容</w:t>
      </w:r>
    </w:p>
    <w:p w14:paraId="7D8AC2A8">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1.1 服务对象：【江苏长江水务股份有限公司】。</w:t>
      </w:r>
    </w:p>
    <w:p w14:paraId="5201A592">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1.2 服务地点：【扬州】。</w:t>
      </w:r>
    </w:p>
    <w:p w14:paraId="04762CFF">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1.3服务范围：【】</w:t>
      </w:r>
    </w:p>
    <w:p w14:paraId="031A4D1C">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1</w:t>
      </w:r>
      <w:r>
        <w:rPr>
          <w:rFonts w:ascii="宋体" w:hAnsi="宋体" w:eastAsia="宋体" w:cs="宋体-简"/>
          <w:kern w:val="2"/>
          <w:sz w:val="21"/>
          <w:szCs w:val="21"/>
          <w:highlight w:val="none"/>
          <w:u w:color="000000"/>
        </w:rPr>
        <w:t>.</w:t>
      </w:r>
      <w:r>
        <w:rPr>
          <w:rFonts w:hint="eastAsia" w:ascii="宋体" w:hAnsi="宋体" w:eastAsia="宋体" w:cs="宋体-简"/>
          <w:kern w:val="2"/>
          <w:sz w:val="21"/>
          <w:szCs w:val="21"/>
          <w:highlight w:val="none"/>
          <w:u w:color="000000"/>
        </w:rPr>
        <w:t>4</w:t>
      </w:r>
      <w:r>
        <w:rPr>
          <w:rFonts w:ascii="宋体" w:hAnsi="宋体" w:eastAsia="宋体" w:cs="宋体-简"/>
          <w:kern w:val="2"/>
          <w:sz w:val="21"/>
          <w:szCs w:val="21"/>
          <w:highlight w:val="none"/>
          <w:u w:color="000000"/>
        </w:rPr>
        <w:t>实施</w:t>
      </w:r>
      <w:r>
        <w:rPr>
          <w:rFonts w:hint="eastAsia" w:ascii="宋体" w:hAnsi="宋体" w:eastAsia="宋体" w:cs="宋体-简"/>
          <w:kern w:val="2"/>
          <w:sz w:val="21"/>
          <w:szCs w:val="21"/>
          <w:highlight w:val="none"/>
          <w:u w:color="000000"/>
        </w:rPr>
        <w:t>内容：【】</w:t>
      </w:r>
      <w:r>
        <w:rPr>
          <w:rFonts w:ascii="宋体" w:hAnsi="宋体" w:eastAsia="宋体" w:cs="宋体-简"/>
          <w:kern w:val="2"/>
          <w:sz w:val="21"/>
          <w:szCs w:val="21"/>
          <w:highlight w:val="none"/>
          <w:u w:color="000000"/>
        </w:rPr>
        <w:t xml:space="preserve">。 </w:t>
      </w:r>
    </w:p>
    <w:p w14:paraId="64738173">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1</w:t>
      </w:r>
      <w:r>
        <w:rPr>
          <w:rFonts w:ascii="宋体" w:hAnsi="宋体" w:eastAsia="宋体" w:cs="宋体-简"/>
          <w:kern w:val="2"/>
          <w:sz w:val="21"/>
          <w:szCs w:val="21"/>
          <w:highlight w:val="none"/>
          <w:u w:color="000000"/>
        </w:rPr>
        <w:t>.</w:t>
      </w:r>
      <w:r>
        <w:rPr>
          <w:rFonts w:hint="eastAsia" w:ascii="宋体" w:hAnsi="宋体" w:eastAsia="宋体" w:cs="宋体-简"/>
          <w:kern w:val="2"/>
          <w:sz w:val="21"/>
          <w:szCs w:val="21"/>
          <w:highlight w:val="none"/>
          <w:u w:color="000000"/>
        </w:rPr>
        <w:t>5</w:t>
      </w:r>
      <w:r>
        <w:rPr>
          <w:rFonts w:ascii="宋体" w:hAnsi="宋体" w:eastAsia="宋体" w:cs="宋体-简"/>
          <w:kern w:val="2"/>
          <w:sz w:val="21"/>
          <w:szCs w:val="21"/>
          <w:highlight w:val="none"/>
          <w:u w:color="000000"/>
        </w:rPr>
        <w:t>本合同中涉及的实施服务内容，以本合同附件约定及双方</w:t>
      </w:r>
      <w:r>
        <w:rPr>
          <w:rFonts w:hint="eastAsia" w:ascii="宋体" w:hAnsi="宋体" w:eastAsia="宋体" w:cs="宋体-简"/>
          <w:kern w:val="2"/>
          <w:sz w:val="21"/>
          <w:szCs w:val="21"/>
          <w:highlight w:val="none"/>
          <w:u w:color="000000"/>
        </w:rPr>
        <w:t>书面</w:t>
      </w:r>
      <w:r>
        <w:rPr>
          <w:rFonts w:ascii="宋体" w:hAnsi="宋体" w:eastAsia="宋体" w:cs="宋体-简"/>
          <w:kern w:val="2"/>
          <w:sz w:val="21"/>
          <w:szCs w:val="21"/>
          <w:highlight w:val="none"/>
          <w:u w:color="000000"/>
        </w:rPr>
        <w:t>确认后的《</w:t>
      </w:r>
      <w:r>
        <w:rPr>
          <w:rFonts w:hint="eastAsia" w:ascii="宋体" w:hAnsi="宋体" w:eastAsia="宋体" w:cs="宋体-简"/>
          <w:kern w:val="2"/>
          <w:sz w:val="21"/>
          <w:szCs w:val="21"/>
          <w:highlight w:val="none"/>
          <w:u w:color="000000"/>
        </w:rPr>
        <w:t>实施工作</w:t>
      </w:r>
      <w:r>
        <w:rPr>
          <w:rFonts w:ascii="宋体" w:hAnsi="宋体" w:eastAsia="宋体" w:cs="宋体-简"/>
          <w:kern w:val="2"/>
          <w:sz w:val="21"/>
          <w:szCs w:val="21"/>
          <w:highlight w:val="none"/>
          <w:u w:color="000000"/>
        </w:rPr>
        <w:t>任务书》内容为准，该内容作为本合同实施服务内容的验收标准。任何超出约定的其他服务，均应由双方另行签署补充协议。</w:t>
      </w:r>
    </w:p>
    <w:p w14:paraId="4D7D0358">
      <w:pPr>
        <w:pStyle w:val="20"/>
        <w:spacing w:line="360" w:lineRule="auto"/>
        <w:rPr>
          <w:rFonts w:ascii="宋体" w:hAnsi="宋体" w:eastAsia="宋体" w:cs="宋体"/>
          <w:bCs/>
          <w:color w:val="auto"/>
          <w:sz w:val="24"/>
          <w:szCs w:val="24"/>
          <w:highlight w:val="none"/>
        </w:rPr>
      </w:pPr>
      <w:r>
        <w:rPr>
          <w:rFonts w:ascii="宋体" w:hAnsi="宋体" w:eastAsia="宋体" w:cs="宋体"/>
          <w:bCs/>
          <w:color w:val="auto"/>
          <w:sz w:val="24"/>
          <w:szCs w:val="24"/>
          <w:highlight w:val="none"/>
        </w:rPr>
        <w:t>第</w:t>
      </w:r>
      <w:r>
        <w:rPr>
          <w:rFonts w:hint="eastAsia" w:ascii="宋体" w:hAnsi="宋体" w:eastAsia="宋体" w:cs="宋体"/>
          <w:bCs/>
          <w:color w:val="auto"/>
          <w:sz w:val="24"/>
          <w:szCs w:val="24"/>
          <w:highlight w:val="none"/>
        </w:rPr>
        <w:t>二</w:t>
      </w:r>
      <w:r>
        <w:rPr>
          <w:rFonts w:ascii="宋体" w:hAnsi="宋体" w:eastAsia="宋体" w:cs="宋体"/>
          <w:bCs/>
          <w:color w:val="auto"/>
          <w:sz w:val="24"/>
          <w:szCs w:val="24"/>
          <w:highlight w:val="none"/>
        </w:rPr>
        <w:t>条 项目实施前提</w:t>
      </w:r>
    </w:p>
    <w:p w14:paraId="0BDD0D42">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2</w:t>
      </w:r>
      <w:r>
        <w:rPr>
          <w:rFonts w:ascii="宋体" w:hAnsi="宋体" w:eastAsia="宋体" w:cs="宋体-简"/>
          <w:kern w:val="2"/>
          <w:sz w:val="21"/>
          <w:szCs w:val="21"/>
          <w:highlight w:val="none"/>
          <w:u w:color="000000"/>
        </w:rPr>
        <w:t>.1本项目涉及的除乙方软件产品外的其他硬件、软件、</w:t>
      </w:r>
      <w:r>
        <w:rPr>
          <w:rFonts w:hint="eastAsia" w:ascii="宋体" w:hAnsi="宋体" w:eastAsia="宋体" w:cs="宋体-简"/>
          <w:kern w:val="2"/>
          <w:sz w:val="21"/>
          <w:szCs w:val="21"/>
          <w:highlight w:val="none"/>
          <w:u w:color="000000"/>
        </w:rPr>
        <w:t>服务器、</w:t>
      </w:r>
      <w:r>
        <w:rPr>
          <w:rFonts w:ascii="宋体" w:hAnsi="宋体" w:eastAsia="宋体" w:cs="宋体-简"/>
          <w:kern w:val="2"/>
          <w:sz w:val="21"/>
          <w:szCs w:val="21"/>
          <w:highlight w:val="none"/>
          <w:u w:color="000000"/>
        </w:rPr>
        <w:t>网络、客户环境的安装，不包含在乙方的工作范围内。</w:t>
      </w:r>
    </w:p>
    <w:p w14:paraId="0D305140">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2</w:t>
      </w:r>
      <w:r>
        <w:rPr>
          <w:rFonts w:ascii="宋体" w:hAnsi="宋体" w:eastAsia="宋体" w:cs="宋体-简"/>
          <w:kern w:val="2"/>
          <w:sz w:val="21"/>
          <w:szCs w:val="21"/>
          <w:highlight w:val="none"/>
          <w:u w:color="000000"/>
        </w:rPr>
        <w:t>.2甲方项目负责人需按照</w:t>
      </w:r>
      <w:r>
        <w:rPr>
          <w:rFonts w:hint="eastAsia" w:ascii="宋体" w:hAnsi="宋体" w:eastAsia="宋体" w:cs="宋体-简"/>
          <w:kern w:val="2"/>
          <w:sz w:val="21"/>
          <w:szCs w:val="21"/>
          <w:highlight w:val="none"/>
          <w:u w:color="000000"/>
        </w:rPr>
        <w:t>《</w:t>
      </w:r>
      <w:r>
        <w:rPr>
          <w:rFonts w:ascii="宋体" w:hAnsi="宋体" w:eastAsia="宋体" w:cs="宋体-简"/>
          <w:kern w:val="2"/>
          <w:sz w:val="21"/>
          <w:szCs w:val="21"/>
          <w:highlight w:val="none"/>
          <w:u w:color="000000"/>
        </w:rPr>
        <w:t>实施工作任务书</w:t>
      </w:r>
      <w:r>
        <w:rPr>
          <w:rFonts w:hint="eastAsia" w:ascii="宋体" w:hAnsi="宋体" w:eastAsia="宋体" w:cs="宋体-简"/>
          <w:kern w:val="2"/>
          <w:sz w:val="21"/>
          <w:szCs w:val="21"/>
          <w:highlight w:val="none"/>
          <w:u w:color="000000"/>
        </w:rPr>
        <w:t>》</w:t>
      </w:r>
      <w:r>
        <w:rPr>
          <w:rFonts w:ascii="宋体" w:hAnsi="宋体" w:eastAsia="宋体" w:cs="宋体-简"/>
          <w:kern w:val="2"/>
          <w:sz w:val="21"/>
          <w:szCs w:val="21"/>
          <w:highlight w:val="none"/>
          <w:u w:color="000000"/>
        </w:rPr>
        <w:t>约定中的里程碑阶段对于乙方的工作成果及阶段文档予以</w:t>
      </w:r>
      <w:r>
        <w:rPr>
          <w:rFonts w:hint="eastAsia" w:ascii="宋体" w:hAnsi="宋体" w:eastAsia="宋体" w:cs="宋体-简"/>
          <w:kern w:val="2"/>
          <w:sz w:val="21"/>
          <w:szCs w:val="21"/>
          <w:highlight w:val="none"/>
          <w:u w:color="000000"/>
        </w:rPr>
        <w:t>书面确认</w:t>
      </w:r>
      <w:r>
        <w:rPr>
          <w:rFonts w:ascii="宋体" w:hAnsi="宋体" w:eastAsia="宋体" w:cs="宋体-简"/>
          <w:kern w:val="2"/>
          <w:sz w:val="21"/>
          <w:szCs w:val="21"/>
          <w:highlight w:val="none"/>
          <w:u w:color="000000"/>
        </w:rPr>
        <w:t>，甲方人员无理由拒绝</w:t>
      </w:r>
      <w:r>
        <w:rPr>
          <w:rFonts w:hint="eastAsia" w:ascii="宋体" w:hAnsi="宋体" w:eastAsia="宋体" w:cs="宋体-简"/>
          <w:kern w:val="2"/>
          <w:sz w:val="21"/>
          <w:szCs w:val="21"/>
          <w:highlight w:val="none"/>
          <w:u w:color="000000"/>
        </w:rPr>
        <w:t>确认</w:t>
      </w:r>
      <w:r>
        <w:rPr>
          <w:rFonts w:ascii="宋体" w:hAnsi="宋体" w:eastAsia="宋体" w:cs="宋体-简"/>
          <w:kern w:val="2"/>
          <w:sz w:val="21"/>
          <w:szCs w:val="21"/>
          <w:highlight w:val="none"/>
          <w:u w:color="000000"/>
        </w:rPr>
        <w:t>的，乙方可有权暂停履行合同，且无须承担任何违约责任。</w:t>
      </w:r>
    </w:p>
    <w:p w14:paraId="07141090">
      <w:pPr>
        <w:pStyle w:val="20"/>
        <w:rPr>
          <w:rFonts w:ascii="宋体" w:hAnsi="宋体" w:eastAsia="宋体" w:cs="宋体"/>
          <w:bCs/>
          <w:color w:val="auto"/>
          <w:sz w:val="24"/>
          <w:szCs w:val="24"/>
          <w:highlight w:val="none"/>
        </w:rPr>
      </w:pPr>
      <w:r>
        <w:rPr>
          <w:rFonts w:ascii="宋体" w:hAnsi="宋体" w:eastAsia="宋体" w:cs="宋体"/>
          <w:bCs/>
          <w:color w:val="auto"/>
          <w:sz w:val="24"/>
          <w:szCs w:val="24"/>
          <w:highlight w:val="none"/>
        </w:rPr>
        <w:t>第</w:t>
      </w:r>
      <w:r>
        <w:rPr>
          <w:rFonts w:hint="eastAsia" w:ascii="宋体" w:hAnsi="宋体" w:eastAsia="宋体" w:cs="宋体"/>
          <w:bCs/>
          <w:color w:val="auto"/>
          <w:sz w:val="24"/>
          <w:szCs w:val="24"/>
          <w:highlight w:val="none"/>
        </w:rPr>
        <w:t>三</w:t>
      </w:r>
      <w:r>
        <w:rPr>
          <w:rFonts w:ascii="宋体" w:hAnsi="宋体" w:eastAsia="宋体" w:cs="宋体"/>
          <w:bCs/>
          <w:color w:val="auto"/>
          <w:sz w:val="24"/>
          <w:szCs w:val="24"/>
          <w:highlight w:val="none"/>
        </w:rPr>
        <w:t>条 双方任务及职责</w:t>
      </w:r>
    </w:p>
    <w:p w14:paraId="61991724">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甲方项目组包括项目经理、关键用户、技术人员等，配合乙方完成</w:t>
      </w:r>
      <w:r>
        <w:rPr>
          <w:rFonts w:ascii="宋体" w:hAnsi="宋体" w:eastAsia="宋体" w:cs="宋体-简"/>
          <w:kern w:val="2"/>
          <w:sz w:val="21"/>
          <w:szCs w:val="21"/>
          <w:highlight w:val="none"/>
          <w:u w:color="000000"/>
        </w:rPr>
        <w:t>《实施</w:t>
      </w:r>
      <w:r>
        <w:rPr>
          <w:rFonts w:hint="eastAsia" w:ascii="宋体" w:hAnsi="宋体" w:eastAsia="宋体" w:cs="宋体-简"/>
          <w:kern w:val="2"/>
          <w:sz w:val="21"/>
          <w:szCs w:val="21"/>
          <w:highlight w:val="none"/>
          <w:u w:color="000000"/>
        </w:rPr>
        <w:t>工作任务书</w:t>
      </w:r>
      <w:r>
        <w:rPr>
          <w:rFonts w:ascii="宋体" w:hAnsi="宋体" w:eastAsia="宋体" w:cs="宋体-简"/>
          <w:kern w:val="2"/>
          <w:sz w:val="21"/>
          <w:szCs w:val="21"/>
          <w:highlight w:val="none"/>
          <w:u w:color="000000"/>
        </w:rPr>
        <w:t>》</w:t>
      </w:r>
      <w:r>
        <w:rPr>
          <w:rFonts w:hint="eastAsia" w:ascii="宋体" w:hAnsi="宋体" w:eastAsia="宋体" w:cs="宋体-简"/>
          <w:kern w:val="2"/>
          <w:sz w:val="21"/>
          <w:szCs w:val="21"/>
          <w:highlight w:val="none"/>
          <w:u w:color="000000"/>
        </w:rPr>
        <w:t>中约定的各任务；乙方项目组负责按照本工作任务书确定的实施范围，提供项目管理和总体协调、组织项目实施工作。</w:t>
      </w:r>
    </w:p>
    <w:p w14:paraId="7875D4EB">
      <w:pPr>
        <w:pStyle w:val="22"/>
        <w:spacing w:line="360" w:lineRule="auto"/>
        <w:ind w:firstLine="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.1</w:t>
      </w:r>
      <w:r>
        <w:rPr>
          <w:rFonts w:hint="eastAsia" w:ascii="宋体" w:hAnsi="宋体" w:eastAsia="宋体" w:cs="宋体-简"/>
          <w:kern w:val="2"/>
          <w:sz w:val="21"/>
          <w:szCs w:val="21"/>
          <w:highlight w:val="none"/>
          <w:u w:color="000000"/>
        </w:rPr>
        <w:t>甲方的主要职责</w:t>
      </w:r>
    </w:p>
    <w:p w14:paraId="1EF1C1C2">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.1.1</w:t>
      </w:r>
      <w:r>
        <w:rPr>
          <w:rFonts w:hint="eastAsia" w:ascii="宋体" w:hAnsi="宋体" w:eastAsia="宋体" w:cs="宋体-简"/>
          <w:kern w:val="2"/>
          <w:sz w:val="21"/>
          <w:szCs w:val="21"/>
          <w:highlight w:val="none"/>
          <w:u w:color="000000"/>
        </w:rPr>
        <w:t>甲方应在本工作任务书约定之实施地点，提供适当的工作环境和相应的设施(包括网络、通讯办公设备等)；</w:t>
      </w:r>
    </w:p>
    <w:p w14:paraId="4CB33912">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
          <w:sz w:val="22"/>
          <w:szCs w:val="22"/>
          <w:highlight w:val="none"/>
        </w:rPr>
        <w:t>3</w:t>
      </w:r>
      <w:r>
        <w:rPr>
          <w:rFonts w:ascii="宋体" w:hAnsi="宋体" w:eastAsia="宋体" w:cs="宋体"/>
          <w:sz w:val="22"/>
          <w:szCs w:val="22"/>
          <w:highlight w:val="none"/>
        </w:rPr>
        <w:t>.1.2</w:t>
      </w:r>
      <w:r>
        <w:rPr>
          <w:rFonts w:hint="eastAsia" w:ascii="宋体" w:hAnsi="宋体" w:eastAsia="宋体" w:cs="宋体"/>
          <w:sz w:val="22"/>
          <w:szCs w:val="22"/>
          <w:highlight w:val="none"/>
        </w:rPr>
        <w:t>甲方应按照本合同约定为乙方提供本项目所需的信息、资源，包括但不限于技术数据、计算机设备、文档、文件、测试数据、示例输出及其它信息和资源，并执行本合同中约定的应由甲方负责的工作。甲方应对其提供的所有该类数据、材料以及信息的内容、准确性、完整性和统一性负责，并承担由此产生的一切责任；</w:t>
      </w:r>
    </w:p>
    <w:p w14:paraId="5A246382">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.1.3甲方项目经理或授权人员代表甲方在相关</w:t>
      </w:r>
      <w:r>
        <w:rPr>
          <w:rFonts w:hint="eastAsia" w:ascii="宋体" w:hAnsi="宋体" w:eastAsia="宋体" w:cs="宋体-简"/>
          <w:kern w:val="2"/>
          <w:sz w:val="21"/>
          <w:szCs w:val="21"/>
          <w:highlight w:val="none"/>
          <w:u w:color="000000"/>
        </w:rPr>
        <w:t>过程文档</w:t>
      </w:r>
      <w:r>
        <w:rPr>
          <w:rFonts w:ascii="宋体" w:hAnsi="宋体" w:eastAsia="宋体" w:cs="宋体-简"/>
          <w:kern w:val="2"/>
          <w:sz w:val="21"/>
          <w:szCs w:val="21"/>
          <w:highlight w:val="none"/>
          <w:u w:color="000000"/>
        </w:rPr>
        <w:t>上签字，甲方承认其法律效力</w:t>
      </w:r>
      <w:r>
        <w:rPr>
          <w:rFonts w:hint="eastAsia" w:ascii="宋体" w:hAnsi="宋体" w:eastAsia="宋体" w:cs="宋体-简"/>
          <w:kern w:val="2"/>
          <w:sz w:val="21"/>
          <w:szCs w:val="21"/>
          <w:highlight w:val="none"/>
          <w:u w:color="000000"/>
        </w:rPr>
        <w:t>；</w:t>
      </w:r>
    </w:p>
    <w:p w14:paraId="51871153">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.1.4</w:t>
      </w:r>
      <w:r>
        <w:rPr>
          <w:rFonts w:hint="eastAsia" w:ascii="宋体" w:hAnsi="宋体" w:eastAsia="宋体" w:cs="宋体-简"/>
          <w:kern w:val="2"/>
          <w:sz w:val="21"/>
          <w:szCs w:val="21"/>
          <w:highlight w:val="none"/>
          <w:u w:color="000000"/>
        </w:rPr>
        <w:t>甲方</w:t>
      </w:r>
      <w:r>
        <w:rPr>
          <w:rFonts w:ascii="宋体" w:hAnsi="宋体" w:eastAsia="宋体" w:cs="宋体-简"/>
          <w:kern w:val="2"/>
          <w:sz w:val="21"/>
          <w:szCs w:val="21"/>
          <w:highlight w:val="none"/>
          <w:u w:color="000000"/>
        </w:rPr>
        <w:t>应</w:t>
      </w:r>
      <w:r>
        <w:rPr>
          <w:rFonts w:hint="eastAsia" w:ascii="宋体" w:hAnsi="宋体" w:eastAsia="宋体" w:cs="宋体-简"/>
          <w:kern w:val="2"/>
          <w:sz w:val="21"/>
          <w:szCs w:val="21"/>
          <w:highlight w:val="none"/>
          <w:u w:color="000000"/>
        </w:rPr>
        <w:t>建立内部项目交接和管理团队，配合乙方进行产品及配套应用知识转移、确认、落实培训计划，进行培训准备与人员组织；</w:t>
      </w:r>
    </w:p>
    <w:p w14:paraId="535C2EF7">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.1.5</w:t>
      </w:r>
      <w:r>
        <w:rPr>
          <w:rFonts w:hint="eastAsia" w:ascii="宋体" w:hAnsi="宋体" w:eastAsia="宋体" w:cs="宋体-简"/>
          <w:kern w:val="2"/>
          <w:sz w:val="21"/>
          <w:szCs w:val="21"/>
          <w:highlight w:val="none"/>
          <w:u w:color="000000"/>
        </w:rPr>
        <w:t>甲方</w:t>
      </w:r>
      <w:r>
        <w:rPr>
          <w:rFonts w:ascii="宋体" w:hAnsi="宋体" w:eastAsia="宋体" w:cs="宋体-简"/>
          <w:kern w:val="2"/>
          <w:sz w:val="21"/>
          <w:szCs w:val="21"/>
          <w:highlight w:val="none"/>
          <w:u w:color="000000"/>
        </w:rPr>
        <w:t>应</w:t>
      </w:r>
      <w:r>
        <w:rPr>
          <w:rFonts w:hint="eastAsia" w:ascii="宋体" w:hAnsi="宋体" w:eastAsia="宋体" w:cs="宋体-简"/>
          <w:kern w:val="2"/>
          <w:sz w:val="21"/>
          <w:szCs w:val="21"/>
          <w:highlight w:val="none"/>
          <w:u w:color="000000"/>
        </w:rPr>
        <w:t>协助进行系统上线后问题的处理</w:t>
      </w:r>
      <w:r>
        <w:rPr>
          <w:rFonts w:ascii="宋体" w:hAnsi="宋体" w:eastAsia="宋体" w:cs="宋体-简"/>
          <w:kern w:val="2"/>
          <w:sz w:val="21"/>
          <w:szCs w:val="21"/>
          <w:highlight w:val="none"/>
          <w:u w:color="000000"/>
        </w:rPr>
        <w:t>，并盖章签署</w:t>
      </w:r>
      <w:r>
        <w:rPr>
          <w:rFonts w:hint="eastAsia" w:ascii="宋体" w:hAnsi="宋体" w:eastAsia="宋体" w:cs="宋体-简"/>
          <w:kern w:val="2"/>
          <w:sz w:val="21"/>
          <w:szCs w:val="21"/>
          <w:highlight w:val="none"/>
          <w:u w:color="000000"/>
        </w:rPr>
        <w:t>书面《</w:t>
      </w:r>
      <w:r>
        <w:rPr>
          <w:rFonts w:ascii="宋体" w:hAnsi="宋体" w:eastAsia="宋体" w:cs="宋体-简"/>
          <w:kern w:val="2"/>
          <w:sz w:val="21"/>
          <w:szCs w:val="21"/>
          <w:highlight w:val="none"/>
          <w:u w:color="000000"/>
        </w:rPr>
        <w:t>项目验收报告</w:t>
      </w:r>
      <w:r>
        <w:rPr>
          <w:rFonts w:hint="eastAsia" w:ascii="宋体" w:hAnsi="宋体" w:eastAsia="宋体" w:cs="宋体-简"/>
          <w:kern w:val="2"/>
          <w:sz w:val="21"/>
          <w:szCs w:val="21"/>
          <w:highlight w:val="none"/>
          <w:u w:color="000000"/>
        </w:rPr>
        <w:t>》</w:t>
      </w:r>
      <w:r>
        <w:rPr>
          <w:rFonts w:ascii="宋体" w:hAnsi="宋体" w:eastAsia="宋体" w:cs="宋体-简"/>
          <w:kern w:val="2"/>
          <w:sz w:val="21"/>
          <w:szCs w:val="21"/>
          <w:highlight w:val="none"/>
          <w:u w:color="000000"/>
        </w:rPr>
        <w:t>。</w:t>
      </w:r>
    </w:p>
    <w:p w14:paraId="0D0212CF">
      <w:pPr>
        <w:pStyle w:val="22"/>
        <w:spacing w:line="360" w:lineRule="auto"/>
        <w:ind w:firstLine="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.2乙方的主要职责</w:t>
      </w:r>
    </w:p>
    <w:p w14:paraId="4C9E821C">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.2.1</w:t>
      </w:r>
      <w:r>
        <w:rPr>
          <w:rFonts w:hint="eastAsia" w:ascii="宋体" w:hAnsi="宋体" w:eastAsia="宋体" w:cs="宋体-简"/>
          <w:kern w:val="2"/>
          <w:sz w:val="21"/>
          <w:szCs w:val="21"/>
          <w:highlight w:val="none"/>
          <w:u w:color="000000"/>
        </w:rPr>
        <w:t>乙方负责推动召开项目启动会；</w:t>
      </w:r>
    </w:p>
    <w:p w14:paraId="0961319B">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.2.2</w:t>
      </w:r>
      <w:r>
        <w:rPr>
          <w:rFonts w:hint="eastAsia" w:ascii="宋体" w:hAnsi="宋体" w:eastAsia="宋体" w:cs="宋体-简"/>
          <w:kern w:val="2"/>
          <w:sz w:val="21"/>
          <w:szCs w:val="21"/>
          <w:highlight w:val="none"/>
          <w:u w:color="000000"/>
        </w:rPr>
        <w:t>乙方与甲方人员沟通、确认项目实施规划、目标、验收标准，</w:t>
      </w:r>
      <w:r>
        <w:rPr>
          <w:rFonts w:ascii="宋体" w:hAnsi="宋体" w:eastAsia="宋体" w:cs="宋体-简"/>
          <w:kern w:val="2"/>
          <w:sz w:val="21"/>
          <w:szCs w:val="21"/>
          <w:highlight w:val="none"/>
          <w:u w:color="000000"/>
        </w:rPr>
        <w:t>并签署《</w:t>
      </w:r>
      <w:r>
        <w:rPr>
          <w:rFonts w:hint="eastAsia" w:ascii="宋体" w:hAnsi="宋体" w:eastAsia="宋体" w:cs="宋体-简"/>
          <w:kern w:val="2"/>
          <w:sz w:val="21"/>
          <w:szCs w:val="21"/>
          <w:highlight w:val="none"/>
          <w:u w:color="000000"/>
        </w:rPr>
        <w:t>实施工作</w:t>
      </w:r>
      <w:r>
        <w:rPr>
          <w:rFonts w:ascii="宋体" w:hAnsi="宋体" w:eastAsia="宋体" w:cs="宋体-简"/>
          <w:kern w:val="2"/>
          <w:sz w:val="21"/>
          <w:szCs w:val="21"/>
          <w:highlight w:val="none"/>
          <w:u w:color="000000"/>
        </w:rPr>
        <w:t>任务书》</w:t>
      </w:r>
      <w:r>
        <w:rPr>
          <w:rFonts w:hint="eastAsia" w:ascii="宋体" w:hAnsi="宋体" w:eastAsia="宋体" w:cs="宋体-简"/>
          <w:kern w:val="2"/>
          <w:sz w:val="21"/>
          <w:szCs w:val="21"/>
          <w:highlight w:val="none"/>
          <w:u w:color="000000"/>
        </w:rPr>
        <w:t>；</w:t>
      </w:r>
    </w:p>
    <w:p w14:paraId="4B632441">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.2.3</w:t>
      </w:r>
      <w:r>
        <w:rPr>
          <w:rFonts w:hint="eastAsia" w:ascii="宋体" w:hAnsi="宋体" w:eastAsia="宋体" w:cs="宋体-简"/>
          <w:kern w:val="2"/>
          <w:sz w:val="21"/>
          <w:szCs w:val="21"/>
          <w:highlight w:val="none"/>
          <w:u w:color="000000"/>
        </w:rPr>
        <w:t>乙方</w:t>
      </w:r>
      <w:r>
        <w:rPr>
          <w:rFonts w:ascii="宋体" w:hAnsi="宋体" w:eastAsia="宋体" w:cs="宋体-简"/>
          <w:kern w:val="2"/>
          <w:sz w:val="21"/>
          <w:szCs w:val="21"/>
          <w:highlight w:val="none"/>
          <w:u w:color="000000"/>
        </w:rPr>
        <w:t>负责</w:t>
      </w:r>
      <w:r>
        <w:rPr>
          <w:rFonts w:hint="eastAsia" w:ascii="宋体" w:hAnsi="宋体" w:eastAsia="宋体" w:cs="宋体-简"/>
          <w:kern w:val="2"/>
          <w:sz w:val="21"/>
          <w:szCs w:val="21"/>
          <w:highlight w:val="none"/>
          <w:u w:color="000000"/>
        </w:rPr>
        <w:t>安装标准产品，建立软件应用环境；</w:t>
      </w:r>
    </w:p>
    <w:p w14:paraId="4C3BDA75">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.2.4</w:t>
      </w:r>
      <w:r>
        <w:rPr>
          <w:rFonts w:hint="eastAsia" w:ascii="宋体" w:hAnsi="宋体" w:eastAsia="宋体" w:cs="宋体-简"/>
          <w:kern w:val="2"/>
          <w:sz w:val="21"/>
          <w:szCs w:val="21"/>
          <w:highlight w:val="none"/>
          <w:u w:color="000000"/>
        </w:rPr>
        <w:t>乙方根据《</w:t>
      </w:r>
      <w:r>
        <w:rPr>
          <w:rFonts w:ascii="宋体" w:hAnsi="宋体" w:eastAsia="宋体" w:cs="宋体-简"/>
          <w:kern w:val="2"/>
          <w:sz w:val="21"/>
          <w:szCs w:val="21"/>
          <w:highlight w:val="none"/>
          <w:u w:color="000000"/>
        </w:rPr>
        <w:t>实施工作任务书</w:t>
      </w:r>
      <w:r>
        <w:rPr>
          <w:rFonts w:hint="eastAsia" w:ascii="宋体" w:hAnsi="宋体" w:eastAsia="宋体" w:cs="宋体-简"/>
          <w:kern w:val="2"/>
          <w:sz w:val="21"/>
          <w:szCs w:val="21"/>
          <w:highlight w:val="none"/>
          <w:u w:color="000000"/>
        </w:rPr>
        <w:t>》</w:t>
      </w:r>
      <w:r>
        <w:rPr>
          <w:rFonts w:ascii="宋体" w:hAnsi="宋体" w:eastAsia="宋体" w:cs="宋体-简"/>
          <w:kern w:val="2"/>
          <w:sz w:val="21"/>
          <w:szCs w:val="21"/>
          <w:highlight w:val="none"/>
          <w:u w:color="000000"/>
        </w:rPr>
        <w:t>制定的任务标准</w:t>
      </w:r>
      <w:r>
        <w:rPr>
          <w:rFonts w:hint="eastAsia" w:ascii="宋体" w:hAnsi="宋体" w:eastAsia="宋体" w:cs="宋体-简"/>
          <w:kern w:val="2"/>
          <w:sz w:val="21"/>
          <w:szCs w:val="21"/>
          <w:highlight w:val="none"/>
          <w:u w:color="000000"/>
        </w:rPr>
        <w:t>进行需求</w:t>
      </w:r>
      <w:r>
        <w:rPr>
          <w:rFonts w:ascii="宋体" w:hAnsi="宋体" w:eastAsia="宋体" w:cs="宋体-简"/>
          <w:kern w:val="2"/>
          <w:sz w:val="21"/>
          <w:szCs w:val="21"/>
          <w:highlight w:val="none"/>
          <w:u w:color="000000"/>
        </w:rPr>
        <w:t>调研并提供解决方案；</w:t>
      </w:r>
    </w:p>
    <w:p w14:paraId="5493FBDD">
      <w:pPr>
        <w:pStyle w:val="22"/>
        <w:spacing w:line="360" w:lineRule="auto"/>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.2.5</w:t>
      </w:r>
      <w:r>
        <w:rPr>
          <w:rFonts w:hint="eastAsia" w:ascii="宋体" w:hAnsi="宋体" w:eastAsia="宋体" w:cs="宋体-简"/>
          <w:kern w:val="2"/>
          <w:sz w:val="21"/>
          <w:szCs w:val="21"/>
          <w:highlight w:val="none"/>
          <w:u w:color="000000"/>
        </w:rPr>
        <w:t>乙方</w:t>
      </w:r>
      <w:r>
        <w:rPr>
          <w:rFonts w:ascii="宋体" w:hAnsi="宋体" w:eastAsia="宋体" w:cs="宋体-简"/>
          <w:kern w:val="2"/>
          <w:sz w:val="21"/>
          <w:szCs w:val="21"/>
          <w:highlight w:val="none"/>
          <w:u w:color="000000"/>
        </w:rPr>
        <w:t>负责将软件产品许可合同中约定的产品功能对甲方进行培训；</w:t>
      </w:r>
    </w:p>
    <w:p w14:paraId="1CB01D9D">
      <w:pPr>
        <w:pStyle w:val="22"/>
        <w:ind w:left="420"/>
        <w:rPr>
          <w:rFonts w:ascii="宋体" w:hAnsi="宋体" w:eastAsia="宋体" w:cs="宋体-简"/>
          <w:kern w:val="2"/>
          <w:sz w:val="21"/>
          <w:szCs w:val="21"/>
          <w:highlight w:val="none"/>
          <w:u w:color="000000"/>
        </w:rPr>
      </w:pPr>
      <w:r>
        <w:rPr>
          <w:rFonts w:hint="eastAsia" w:ascii="宋体" w:hAnsi="宋体" w:eastAsia="宋体" w:cs="宋体-简"/>
          <w:kern w:val="2"/>
          <w:sz w:val="21"/>
          <w:szCs w:val="21"/>
          <w:highlight w:val="none"/>
          <w:u w:color="000000"/>
        </w:rPr>
        <w:t>3</w:t>
      </w:r>
      <w:r>
        <w:rPr>
          <w:rFonts w:ascii="宋体" w:hAnsi="宋体" w:eastAsia="宋体" w:cs="宋体-简"/>
          <w:kern w:val="2"/>
          <w:sz w:val="21"/>
          <w:szCs w:val="21"/>
          <w:highlight w:val="none"/>
          <w:u w:color="000000"/>
        </w:rPr>
        <w:t>.2.6乙方整理项目实施过程文档，编写《项目验收报告》。</w:t>
      </w:r>
    </w:p>
    <w:p w14:paraId="1A29B967">
      <w:pPr>
        <w:pStyle w:val="20"/>
        <w:spacing w:line="360" w:lineRule="auto"/>
        <w:rPr>
          <w:rFonts w:ascii="宋体" w:hAnsi="宋体" w:eastAsia="宋体" w:cs="宋体"/>
          <w:bCs/>
          <w:color w:val="auto"/>
          <w:sz w:val="24"/>
          <w:szCs w:val="24"/>
          <w:highlight w:val="none"/>
        </w:rPr>
      </w:pPr>
      <w:r>
        <w:rPr>
          <w:rFonts w:ascii="宋体" w:hAnsi="宋体" w:eastAsia="宋体" w:cs="宋体"/>
          <w:bCs/>
          <w:color w:val="auto"/>
          <w:sz w:val="24"/>
          <w:szCs w:val="24"/>
          <w:highlight w:val="none"/>
        </w:rPr>
        <w:t>第</w:t>
      </w:r>
      <w:r>
        <w:rPr>
          <w:rFonts w:hint="eastAsia" w:ascii="宋体" w:hAnsi="宋体" w:eastAsia="宋体" w:cs="宋体"/>
          <w:bCs/>
          <w:color w:val="auto"/>
          <w:sz w:val="24"/>
          <w:szCs w:val="24"/>
          <w:highlight w:val="none"/>
        </w:rPr>
        <w:t>四</w:t>
      </w:r>
      <w:r>
        <w:rPr>
          <w:rFonts w:ascii="宋体" w:hAnsi="宋体" w:eastAsia="宋体" w:cs="宋体"/>
          <w:bCs/>
          <w:color w:val="auto"/>
          <w:sz w:val="24"/>
          <w:szCs w:val="24"/>
          <w:highlight w:val="none"/>
        </w:rPr>
        <w:t>条 工作成果确认程序</w:t>
      </w:r>
    </w:p>
    <w:p w14:paraId="429CEFC9">
      <w:pPr>
        <w:pStyle w:val="20"/>
        <w:spacing w:line="360" w:lineRule="auto"/>
        <w:ind w:left="420"/>
        <w:rPr>
          <w:rFonts w:ascii="宋体" w:hAnsi="宋体" w:eastAsia="宋体"/>
          <w:color w:val="auto"/>
          <w:highlight w:val="none"/>
        </w:rPr>
      </w:pPr>
      <w:r>
        <w:rPr>
          <w:rFonts w:hint="eastAsia" w:ascii="宋体" w:hAnsi="宋体" w:eastAsia="宋体" w:cs="宋体"/>
          <w:color w:val="auto"/>
          <w:highlight w:val="none"/>
        </w:rPr>
        <w:t>4</w:t>
      </w:r>
      <w:r>
        <w:rPr>
          <w:rFonts w:ascii="宋体" w:hAnsi="宋体" w:eastAsia="宋体" w:cs="宋体"/>
          <w:color w:val="auto"/>
          <w:highlight w:val="none"/>
        </w:rPr>
        <w:t>.1为保证项目的进度与质量，双方遵照《实施</w:t>
      </w:r>
      <w:r>
        <w:rPr>
          <w:rFonts w:hint="eastAsia" w:ascii="宋体" w:hAnsi="宋体" w:eastAsia="宋体" w:cs="宋体"/>
          <w:color w:val="auto"/>
          <w:highlight w:val="none"/>
        </w:rPr>
        <w:t>工作任务书</w:t>
      </w:r>
      <w:r>
        <w:rPr>
          <w:rFonts w:ascii="宋体" w:hAnsi="宋体" w:eastAsia="宋体" w:cs="宋体"/>
          <w:color w:val="auto"/>
          <w:highlight w:val="none"/>
        </w:rPr>
        <w:t>》中具体的里程碑阶段推进项目进程，乙方完成每一阶段性里程碑工作成果后，将对应的里程碑交付物送达给甲方，甲方在收到交付成果后</w:t>
      </w:r>
      <w:r>
        <w:rPr>
          <w:rFonts w:ascii="宋体" w:hAnsi="宋体" w:eastAsia="宋体"/>
          <w:color w:val="auto"/>
          <w:highlight w:val="none"/>
        </w:rPr>
        <w:t>2</w:t>
      </w:r>
      <w:r>
        <w:rPr>
          <w:rFonts w:ascii="宋体" w:hAnsi="宋体" w:eastAsia="宋体" w:cs="宋体"/>
          <w:color w:val="auto"/>
          <w:highlight w:val="none"/>
        </w:rPr>
        <w:t>个工作日内，安排人员与乙方共同组成</w:t>
      </w:r>
      <w:r>
        <w:rPr>
          <w:rFonts w:hint="eastAsia" w:ascii="宋体" w:hAnsi="宋体" w:eastAsia="宋体" w:cs="宋体"/>
          <w:color w:val="auto"/>
          <w:highlight w:val="none"/>
        </w:rPr>
        <w:t>接收</w:t>
      </w:r>
      <w:r>
        <w:rPr>
          <w:rFonts w:ascii="宋体" w:hAnsi="宋体" w:eastAsia="宋体" w:cs="宋体"/>
          <w:color w:val="auto"/>
          <w:highlight w:val="none"/>
        </w:rPr>
        <w:t>确认小组，对各阶段性成果进行确认</w:t>
      </w:r>
      <w:r>
        <w:rPr>
          <w:rFonts w:hint="eastAsia" w:ascii="宋体" w:hAnsi="宋体" w:eastAsia="宋体" w:cs="宋体"/>
          <w:color w:val="auto"/>
          <w:highlight w:val="none"/>
        </w:rPr>
        <w:t>,如未在约定时间内进行确认，视同已确认</w:t>
      </w:r>
      <w:r>
        <w:rPr>
          <w:rFonts w:ascii="宋体" w:hAnsi="宋体" w:eastAsia="宋体" w:cs="宋体"/>
          <w:color w:val="auto"/>
          <w:highlight w:val="none"/>
        </w:rPr>
        <w:t>。</w:t>
      </w:r>
    </w:p>
    <w:p w14:paraId="6DFFD734">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4</w:t>
      </w:r>
      <w:r>
        <w:rPr>
          <w:rFonts w:ascii="宋体" w:hAnsi="宋体" w:eastAsia="宋体" w:cs="宋体"/>
          <w:color w:val="auto"/>
          <w:highlight w:val="none"/>
        </w:rPr>
        <w:t>.2由乙方将《</w:t>
      </w:r>
      <w:r>
        <w:rPr>
          <w:rFonts w:hint="eastAsia" w:ascii="宋体" w:hAnsi="宋体" w:eastAsia="宋体" w:cs="宋体"/>
          <w:color w:val="auto"/>
          <w:highlight w:val="none"/>
        </w:rPr>
        <w:t>上线</w:t>
      </w:r>
      <w:r>
        <w:rPr>
          <w:rFonts w:ascii="宋体" w:hAnsi="宋体" w:eastAsia="宋体" w:cs="宋体"/>
          <w:color w:val="auto"/>
          <w:highlight w:val="none"/>
        </w:rPr>
        <w:t>报告》</w:t>
      </w:r>
      <w:r>
        <w:rPr>
          <w:rFonts w:hint="eastAsia" w:ascii="宋体" w:hAnsi="宋体" w:eastAsia="宋体" w:cs="宋体"/>
          <w:color w:val="auto"/>
          <w:highlight w:val="none"/>
        </w:rPr>
        <w:t>或《项目</w:t>
      </w:r>
      <w:r>
        <w:rPr>
          <w:rFonts w:ascii="宋体" w:hAnsi="宋体" w:eastAsia="宋体" w:cs="宋体"/>
          <w:color w:val="auto"/>
          <w:highlight w:val="none"/>
        </w:rPr>
        <w:t>验收</w:t>
      </w:r>
      <w:r>
        <w:rPr>
          <w:rFonts w:hint="eastAsia" w:ascii="宋体" w:hAnsi="宋体" w:eastAsia="宋体" w:cs="宋体"/>
          <w:color w:val="auto"/>
          <w:highlight w:val="none"/>
        </w:rPr>
        <w:t>报告》</w:t>
      </w:r>
      <w:r>
        <w:rPr>
          <w:rFonts w:ascii="宋体" w:hAnsi="宋体" w:eastAsia="宋体" w:cs="宋体"/>
          <w:color w:val="auto"/>
          <w:highlight w:val="none"/>
        </w:rPr>
        <w:t>纸质版或电子文档提交给甲方项目经理。甲方项目经理应在收到该内容后</w:t>
      </w:r>
      <w:r>
        <w:rPr>
          <w:rFonts w:ascii="宋体" w:hAnsi="宋体" w:eastAsia="宋体"/>
          <w:color w:val="auto"/>
          <w:highlight w:val="none"/>
        </w:rPr>
        <w:t>2</w:t>
      </w:r>
      <w:r>
        <w:rPr>
          <w:rFonts w:ascii="宋体" w:hAnsi="宋体" w:eastAsia="宋体" w:cs="宋体"/>
          <w:color w:val="auto"/>
          <w:highlight w:val="none"/>
        </w:rPr>
        <w:t>个工作日内，对内容进行审核</w:t>
      </w:r>
      <w:r>
        <w:rPr>
          <w:rFonts w:hint="eastAsia" w:ascii="宋体" w:hAnsi="宋体" w:eastAsia="宋体" w:cs="宋体"/>
          <w:color w:val="auto"/>
          <w:highlight w:val="none"/>
        </w:rPr>
        <w:t>并</w:t>
      </w:r>
      <w:r>
        <w:rPr>
          <w:rFonts w:ascii="宋体" w:hAnsi="宋体" w:eastAsia="宋体" w:cs="宋体"/>
          <w:color w:val="auto"/>
          <w:highlight w:val="none"/>
        </w:rPr>
        <w:t>验收，如存在异议，应书面明确告知乙方具体的修改要求</w:t>
      </w:r>
      <w:r>
        <w:rPr>
          <w:rFonts w:hint="eastAsia" w:ascii="宋体" w:hAnsi="宋体" w:eastAsia="宋体" w:cs="宋体"/>
          <w:color w:val="auto"/>
          <w:highlight w:val="none"/>
        </w:rPr>
        <w:t>和理由，经</w:t>
      </w:r>
      <w:r>
        <w:rPr>
          <w:rFonts w:ascii="宋体" w:hAnsi="宋体" w:eastAsia="宋体" w:cs="宋体"/>
          <w:color w:val="auto"/>
          <w:highlight w:val="none"/>
        </w:rPr>
        <w:t>双方确认</w:t>
      </w:r>
      <w:r>
        <w:rPr>
          <w:rFonts w:hint="eastAsia" w:ascii="宋体" w:hAnsi="宋体" w:eastAsia="宋体" w:cs="宋体"/>
          <w:color w:val="auto"/>
          <w:highlight w:val="none"/>
        </w:rPr>
        <w:t>无</w:t>
      </w:r>
      <w:r>
        <w:rPr>
          <w:rFonts w:ascii="宋体" w:hAnsi="宋体" w:eastAsia="宋体" w:cs="宋体"/>
          <w:color w:val="auto"/>
          <w:highlight w:val="none"/>
        </w:rPr>
        <w:t>异议后</w:t>
      </w:r>
      <w:r>
        <w:rPr>
          <w:rFonts w:hint="eastAsia" w:ascii="宋体" w:hAnsi="宋体" w:eastAsia="宋体" w:cs="宋体"/>
          <w:color w:val="auto"/>
          <w:highlight w:val="none"/>
        </w:rPr>
        <w:t>乙方</w:t>
      </w:r>
      <w:r>
        <w:rPr>
          <w:rFonts w:ascii="宋体" w:hAnsi="宋体" w:eastAsia="宋体" w:cs="宋体"/>
          <w:color w:val="auto"/>
          <w:highlight w:val="none"/>
        </w:rPr>
        <w:t>给予修改和更新内容</w:t>
      </w:r>
      <w:r>
        <w:rPr>
          <w:rFonts w:hint="eastAsia" w:ascii="宋体" w:hAnsi="宋体" w:eastAsia="宋体" w:cs="宋体"/>
          <w:color w:val="auto"/>
          <w:highlight w:val="none"/>
        </w:rPr>
        <w:t>，如未在约定时间内完成验收，视同验收合格</w:t>
      </w:r>
      <w:r>
        <w:rPr>
          <w:rFonts w:ascii="宋体" w:hAnsi="宋体" w:eastAsia="宋体" w:cs="宋体"/>
          <w:color w:val="auto"/>
          <w:highlight w:val="none"/>
        </w:rPr>
        <w:t>。</w:t>
      </w:r>
    </w:p>
    <w:p w14:paraId="6E66AFCF">
      <w:pPr>
        <w:pStyle w:val="20"/>
        <w:spacing w:line="360" w:lineRule="auto"/>
        <w:rPr>
          <w:rFonts w:ascii="宋体" w:hAnsi="宋体" w:eastAsia="宋体" w:cs="宋体"/>
          <w:bCs/>
          <w:color w:val="auto"/>
          <w:sz w:val="24"/>
          <w:szCs w:val="24"/>
          <w:highlight w:val="none"/>
        </w:rPr>
      </w:pPr>
      <w:r>
        <w:rPr>
          <w:rFonts w:ascii="宋体" w:hAnsi="宋体" w:eastAsia="宋体" w:cs="宋体"/>
          <w:bCs/>
          <w:color w:val="auto"/>
          <w:sz w:val="24"/>
          <w:szCs w:val="24"/>
          <w:highlight w:val="none"/>
        </w:rPr>
        <w:t>第</w:t>
      </w:r>
      <w:r>
        <w:rPr>
          <w:rFonts w:hint="eastAsia" w:ascii="宋体" w:hAnsi="宋体" w:eastAsia="宋体" w:cs="宋体"/>
          <w:bCs/>
          <w:color w:val="auto"/>
          <w:sz w:val="24"/>
          <w:szCs w:val="24"/>
          <w:highlight w:val="none"/>
        </w:rPr>
        <w:t>五</w:t>
      </w:r>
      <w:r>
        <w:rPr>
          <w:rFonts w:ascii="宋体" w:hAnsi="宋体" w:eastAsia="宋体" w:cs="宋体"/>
          <w:bCs/>
          <w:color w:val="auto"/>
          <w:sz w:val="24"/>
          <w:szCs w:val="24"/>
          <w:highlight w:val="none"/>
        </w:rPr>
        <w:t>条 声明</w:t>
      </w:r>
    </w:p>
    <w:p w14:paraId="2455430A">
      <w:pPr>
        <w:pStyle w:val="20"/>
        <w:spacing w:line="360" w:lineRule="auto"/>
        <w:ind w:left="420"/>
        <w:rPr>
          <w:rFonts w:ascii="宋体" w:hAnsi="宋体" w:eastAsia="宋体" w:cs="宋体"/>
          <w:color w:val="auto"/>
          <w:highlight w:val="none"/>
        </w:rPr>
      </w:pPr>
      <w:r>
        <w:rPr>
          <w:rFonts w:hint="eastAsia" w:ascii="宋体" w:hAnsi="宋体" w:eastAsia="宋体" w:cs="宋体"/>
          <w:color w:val="auto"/>
          <w:highlight w:val="none"/>
        </w:rPr>
        <w:t>5</w:t>
      </w:r>
      <w:r>
        <w:rPr>
          <w:rFonts w:ascii="宋体" w:hAnsi="宋体" w:eastAsia="宋体" w:cs="宋体"/>
          <w:color w:val="auto"/>
          <w:highlight w:val="none"/>
        </w:rPr>
        <w:t>.1对非乙方的因素所造成的项目延误，乙方不承担责任，该等因素包括但不限于不可抗力、甲方计算机设备、网络设备等不符合要求、服务器不充分、甲方承诺的资源</w:t>
      </w:r>
      <w:r>
        <w:rPr>
          <w:rFonts w:hint="eastAsia" w:ascii="宋体" w:hAnsi="宋体" w:eastAsia="宋体" w:cs="宋体"/>
          <w:color w:val="auto"/>
          <w:highlight w:val="none"/>
        </w:rPr>
        <w:t>缺乏</w:t>
      </w:r>
      <w:r>
        <w:rPr>
          <w:rFonts w:ascii="宋体" w:hAnsi="宋体" w:eastAsia="宋体" w:cs="宋体"/>
          <w:color w:val="auto"/>
          <w:highlight w:val="none"/>
        </w:rPr>
        <w:t>、承诺的数据或人员不配合、人员变更等。</w:t>
      </w:r>
    </w:p>
    <w:p w14:paraId="36530209">
      <w:pPr>
        <w:pStyle w:val="8"/>
        <w:spacing w:before="123" w:line="357" w:lineRule="auto"/>
        <w:ind w:left="420" w:right="135"/>
        <w:rPr>
          <w:rFonts w:ascii="宋体" w:hAnsi="宋体" w:cs="宋体"/>
          <w:sz w:val="21"/>
          <w:szCs w:val="21"/>
          <w:highlight w:val="none"/>
        </w:rPr>
      </w:pPr>
      <w:r>
        <w:rPr>
          <w:rFonts w:hint="eastAsia" w:ascii="宋体" w:hAnsi="宋体" w:cs="宋体"/>
          <w:sz w:val="21"/>
          <w:szCs w:val="21"/>
          <w:highlight w:val="none"/>
          <w:u w:color="000000"/>
        </w:rPr>
        <w:t>5.2</w:t>
      </w:r>
      <w:r>
        <w:rPr>
          <w:rFonts w:ascii="宋体" w:hAnsi="宋体" w:cs="宋体"/>
          <w:sz w:val="21"/>
          <w:szCs w:val="21"/>
          <w:highlight w:val="none"/>
        </w:rPr>
        <w:t>项目实施交付过程中，如甲方有超出软件产品功能之外的新需求，则双方同意另行签订</w:t>
      </w:r>
      <w:r>
        <w:rPr>
          <w:rFonts w:hint="eastAsia" w:ascii="宋体" w:hAnsi="宋体" w:cs="宋体"/>
          <w:sz w:val="21"/>
          <w:szCs w:val="21"/>
          <w:highlight w:val="none"/>
        </w:rPr>
        <w:t>对应补充合同</w:t>
      </w:r>
      <w:r>
        <w:rPr>
          <w:rFonts w:ascii="宋体" w:hAnsi="宋体" w:cs="宋体"/>
          <w:sz w:val="21"/>
          <w:szCs w:val="21"/>
          <w:highlight w:val="none"/>
        </w:rPr>
        <w:t>，就业务需求、开发需求、工期、费用等方面</w:t>
      </w:r>
      <w:r>
        <w:rPr>
          <w:rFonts w:hint="eastAsia" w:ascii="宋体" w:hAnsi="宋体" w:cs="宋体"/>
          <w:sz w:val="21"/>
          <w:szCs w:val="21"/>
          <w:highlight w:val="none"/>
        </w:rPr>
        <w:t>另行</w:t>
      </w:r>
      <w:r>
        <w:rPr>
          <w:rFonts w:ascii="宋体" w:hAnsi="宋体" w:cs="宋体"/>
          <w:sz w:val="21"/>
          <w:szCs w:val="21"/>
          <w:highlight w:val="none"/>
        </w:rPr>
        <w:t>约定。</w:t>
      </w:r>
      <w:r>
        <w:rPr>
          <w:rFonts w:ascii="宋体" w:hAnsi="宋体" w:cs="宋体"/>
          <w:sz w:val="22"/>
          <w:szCs w:val="22"/>
          <w:highlight w:val="none"/>
        </w:rPr>
        <w:t>如需乙方提供实施服务，则双方同意另行协商，对本合同及《实施</w:t>
      </w:r>
      <w:r>
        <w:rPr>
          <w:rFonts w:hint="eastAsia" w:ascii="宋体" w:hAnsi="宋体" w:cs="宋体"/>
          <w:sz w:val="22"/>
          <w:szCs w:val="22"/>
          <w:highlight w:val="none"/>
        </w:rPr>
        <w:t>工作任务书</w:t>
      </w:r>
      <w:r>
        <w:rPr>
          <w:rFonts w:ascii="宋体" w:hAnsi="宋体" w:cs="宋体"/>
          <w:sz w:val="22"/>
          <w:szCs w:val="22"/>
          <w:highlight w:val="none"/>
        </w:rPr>
        <w:t>》进行变更 。</w:t>
      </w:r>
    </w:p>
    <w:p w14:paraId="28ECC50F">
      <w:pPr>
        <w:pStyle w:val="20"/>
        <w:rPr>
          <w:rFonts w:ascii="宋体" w:hAnsi="宋体" w:cs="宋体-简"/>
          <w:highlight w:val="none"/>
        </w:rPr>
      </w:pPr>
      <w:r>
        <w:rPr>
          <w:rFonts w:ascii="宋体" w:hAnsi="宋体" w:eastAsia="宋体" w:cs="宋体"/>
          <w:color w:val="auto"/>
          <w:highlight w:val="none"/>
        </w:rPr>
        <w:br w:type="page"/>
      </w:r>
      <w:r>
        <w:rPr>
          <w:rFonts w:ascii="宋体" w:hAnsi="宋体" w:eastAsia="宋体" w:cs="宋体"/>
          <w:b/>
          <w:bCs/>
          <w:color w:val="auto"/>
          <w:highlight w:val="none"/>
        </w:rPr>
        <w:t>附件</w:t>
      </w:r>
    </w:p>
    <w:p w14:paraId="48D417AC">
      <w:pPr>
        <w:spacing w:line="360" w:lineRule="auto"/>
        <w:jc w:val="center"/>
        <w:rPr>
          <w:rFonts w:ascii="宋体" w:hAnsi="宋体" w:cs="宋体-简"/>
          <w:b/>
          <w:sz w:val="28"/>
          <w:szCs w:val="28"/>
          <w:highlight w:val="none"/>
        </w:rPr>
      </w:pPr>
      <w:r>
        <w:rPr>
          <w:rFonts w:ascii="宋体" w:hAnsi="宋体" w:cs="宋体-简"/>
          <w:b/>
          <w:sz w:val="28"/>
          <w:szCs w:val="28"/>
          <w:highlight w:val="none"/>
        </w:rPr>
        <w:t>质保服务内容</w:t>
      </w:r>
    </w:p>
    <w:p w14:paraId="60009449">
      <w:pPr>
        <w:numPr>
          <w:ilvl w:val="0"/>
          <w:numId w:val="6"/>
        </w:num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乙方应确保其交付的单据集成开发成果满足甲方规定的功能要求。</w:t>
      </w:r>
    </w:p>
    <w:p w14:paraId="52ADB47C">
      <w:pPr>
        <w:numPr>
          <w:ilvl w:val="0"/>
          <w:numId w:val="6"/>
        </w:num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为确保本项目的正常实施，乙方除应提交合格的开发成果外，并应在软件开发过程中及完成后提供咨询、培训、调试、检测、维护等相关服务。</w:t>
      </w:r>
    </w:p>
    <w:p w14:paraId="5D0EA9A2">
      <w:pPr>
        <w:numPr>
          <w:ilvl w:val="0"/>
          <w:numId w:val="6"/>
        </w:numPr>
        <w:spacing w:line="360" w:lineRule="auto"/>
        <w:ind w:right="258" w:rightChars="123"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乙方应保证其实际从事资产设备信息系统招标项目”项目工作的技术人员具有相应的研发资质及能力，经甲方确认参与研发的技术人员，非经甲方事先书面同意，不得私自更换。如甲方认为乙方某参研人员的专业技术水平或工作能力不符合项目开发需求，甲方有权要求乙方予以更换，乙方应无条件进行更换。</w:t>
      </w:r>
    </w:p>
    <w:p w14:paraId="07418F68">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3.标人应提供不少于两年免费维护。自安装调试完毕，用户验收合格之日起计算。</w:t>
      </w:r>
    </w:p>
    <w:p w14:paraId="2CD1CED4">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4.中标人应根据不同情况设定不同的故障级别，并就不同故障级别提出对应的故障响应方案。在质保期内要求中标人提供7×24 小时不间断的技术支持响应，在采购人提出服务要求后，中标人应以优良的服务态度，不论是否工作日，在2小时内到达现场并提出解决方案；特殊情况双方协商解决。</w:t>
      </w:r>
    </w:p>
    <w:p w14:paraId="3D38ED38">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5.中标人应提供包括用户使用手册、维护手册、技术白皮书等在内的完备准确的项目技术资料；</w:t>
      </w:r>
    </w:p>
    <w:p w14:paraId="72190B36">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6.在安装和系统调测期间，采购人有权派出技术人员参加，中标人有义务提供技术咨询；</w:t>
      </w:r>
    </w:p>
    <w:p w14:paraId="01C559D8">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7.中标人把系统最终交付手册、培训课件和FAQ等做成联机帮助。建立完整的问题管理体系。</w:t>
      </w:r>
    </w:p>
    <w:p w14:paraId="29271A02">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8.维保要求：两年内，采购人如在不改变原有软件架构的情况下，做好相关软件的升级工作，并在约定时间内完成。</w:t>
      </w:r>
    </w:p>
    <w:p w14:paraId="495076EF">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9.投标人应负责对用户进行培训，培训对象主要包括系统管理员及使用人员，培训地点为采购人所在地。</w:t>
      </w:r>
    </w:p>
    <w:p w14:paraId="54B736F0">
      <w:pPr>
        <w:snapToGrid w:val="0"/>
        <w:spacing w:line="360" w:lineRule="auto"/>
        <w:ind w:firstLine="420" w:firstLineChars="200"/>
        <w:rPr>
          <w:rFonts w:ascii="宋体" w:hAnsi="宋体" w:cs="仿宋"/>
          <w:color w:val="000000"/>
          <w:szCs w:val="21"/>
          <w:highlight w:val="none"/>
        </w:rPr>
      </w:pPr>
      <w:r>
        <w:rPr>
          <w:rFonts w:hint="eastAsia" w:ascii="宋体" w:hAnsi="宋体" w:cs="仿宋"/>
          <w:color w:val="000000"/>
          <w:szCs w:val="21"/>
          <w:highlight w:val="none"/>
        </w:rPr>
        <w:t>10.投标人须在系统运行过程中提供及时的技术支撑，包括针对软件平台、业务系统、数据规范、数据分布、数据结构和数据内容的答疑，并根据采购人要求提供不定期的数据导出、数据报表等技术服务，为各部分配置指的服务人员。</w:t>
      </w:r>
    </w:p>
    <w:p w14:paraId="35F569FF">
      <w:pPr>
        <w:rPr>
          <w:highlight w:val="none"/>
        </w:rPr>
      </w:pPr>
    </w:p>
    <w:p w14:paraId="5F8962B4">
      <w:pPr>
        <w:spacing w:line="440" w:lineRule="exact"/>
        <w:ind w:firstLine="570"/>
        <w:rPr>
          <w:rFonts w:ascii="宋体" w:hAnsi="宋体"/>
          <w:szCs w:val="21"/>
          <w:highlight w:val="none"/>
        </w:rPr>
      </w:pPr>
    </w:p>
    <w:p w14:paraId="3199007C">
      <w:pPr>
        <w:spacing w:line="360" w:lineRule="auto"/>
        <w:rPr>
          <w:rFonts w:ascii="宋体" w:hAnsi="宋体" w:cs="宋体"/>
          <w:b/>
          <w:bCs/>
          <w:kern w:val="0"/>
          <w:szCs w:val="21"/>
          <w:highlight w:val="none"/>
        </w:rPr>
      </w:pPr>
    </w:p>
    <w:p w14:paraId="6274F151">
      <w:pPr>
        <w:spacing w:line="360" w:lineRule="auto"/>
        <w:rPr>
          <w:rFonts w:ascii="宋体" w:hAnsi="宋体" w:cs="宋体"/>
          <w:b/>
          <w:bCs/>
          <w:kern w:val="0"/>
          <w:szCs w:val="21"/>
          <w:highlight w:val="none"/>
        </w:rPr>
      </w:pPr>
    </w:p>
    <w:p w14:paraId="27C6F46F">
      <w:pPr>
        <w:spacing w:line="360" w:lineRule="auto"/>
        <w:rPr>
          <w:rFonts w:ascii="宋体" w:hAnsi="宋体" w:cs="宋体"/>
          <w:b/>
          <w:bCs/>
          <w:kern w:val="0"/>
          <w:szCs w:val="21"/>
          <w:highlight w:val="none"/>
        </w:rPr>
      </w:pPr>
    </w:p>
    <w:p w14:paraId="00B50103">
      <w:pPr>
        <w:spacing w:line="360" w:lineRule="auto"/>
        <w:rPr>
          <w:rFonts w:hint="eastAsia" w:ascii="宋体" w:hAnsi="宋体" w:cs="宋体"/>
          <w:b/>
          <w:bCs/>
          <w:kern w:val="0"/>
          <w:szCs w:val="21"/>
          <w:highlight w:val="none"/>
        </w:rPr>
      </w:pPr>
    </w:p>
    <w:p w14:paraId="0631FAEF">
      <w:pPr>
        <w:spacing w:line="360" w:lineRule="auto"/>
        <w:rPr>
          <w:rFonts w:hint="eastAsia" w:ascii="宋体" w:hAnsi="宋体" w:cs="宋体"/>
          <w:b/>
          <w:bCs/>
          <w:kern w:val="0"/>
          <w:szCs w:val="21"/>
          <w:highlight w:val="none"/>
        </w:rPr>
      </w:pPr>
    </w:p>
    <w:p w14:paraId="54DE0F1E">
      <w:pPr>
        <w:spacing w:line="360" w:lineRule="auto"/>
        <w:rPr>
          <w:rFonts w:hint="eastAsia" w:ascii="宋体" w:hAnsi="宋体" w:cs="宋体"/>
          <w:b/>
          <w:bCs/>
          <w:kern w:val="0"/>
          <w:szCs w:val="21"/>
          <w:highlight w:val="none"/>
        </w:rPr>
      </w:pPr>
    </w:p>
    <w:p w14:paraId="59BD673A">
      <w:pPr>
        <w:spacing w:line="360" w:lineRule="auto"/>
        <w:rPr>
          <w:rFonts w:hint="eastAsia" w:ascii="宋体" w:hAnsi="宋体" w:cs="宋体"/>
          <w:b/>
          <w:bCs/>
          <w:kern w:val="0"/>
          <w:szCs w:val="21"/>
          <w:highlight w:val="none"/>
        </w:rPr>
      </w:pPr>
    </w:p>
    <w:p w14:paraId="468552C9">
      <w:pPr>
        <w:spacing w:line="360" w:lineRule="auto"/>
        <w:rPr>
          <w:rFonts w:ascii="宋体" w:hAnsi="宋体" w:cs="宋体"/>
          <w:b/>
          <w:bCs/>
          <w:kern w:val="0"/>
          <w:szCs w:val="21"/>
          <w:highlight w:val="none"/>
        </w:rPr>
      </w:pPr>
      <w:r>
        <w:rPr>
          <w:rFonts w:hint="eastAsia" w:ascii="宋体" w:hAnsi="宋体" w:cs="宋体"/>
          <w:b/>
          <w:bCs/>
          <w:kern w:val="0"/>
          <w:szCs w:val="21"/>
          <w:highlight w:val="none"/>
        </w:rPr>
        <w:t>附件：</w:t>
      </w:r>
    </w:p>
    <w:p w14:paraId="3EE5F54C">
      <w:pPr>
        <w:spacing w:line="360" w:lineRule="auto"/>
        <w:ind w:firstLine="562" w:firstLineChars="200"/>
        <w:jc w:val="center"/>
        <w:rPr>
          <w:b/>
          <w:bCs/>
          <w:sz w:val="28"/>
          <w:szCs w:val="28"/>
          <w:highlight w:val="none"/>
        </w:rPr>
      </w:pPr>
      <w:r>
        <w:rPr>
          <w:rFonts w:hint="eastAsia"/>
          <w:b/>
          <w:bCs/>
          <w:sz w:val="28"/>
          <w:szCs w:val="28"/>
          <w:highlight w:val="none"/>
        </w:rPr>
        <w:t>廉洁协议书</w:t>
      </w:r>
    </w:p>
    <w:p w14:paraId="6E158F0F">
      <w:pPr>
        <w:spacing w:line="312" w:lineRule="auto"/>
        <w:ind w:firstLine="422" w:firstLineChars="200"/>
        <w:rPr>
          <w:b/>
          <w:bCs/>
          <w:szCs w:val="21"/>
          <w:highlight w:val="none"/>
        </w:rPr>
      </w:pPr>
      <w:r>
        <w:rPr>
          <w:rFonts w:hint="eastAsia"/>
          <w:b/>
          <w:bCs/>
          <w:szCs w:val="21"/>
          <w:highlight w:val="none"/>
        </w:rPr>
        <w:t>甲  方：</w:t>
      </w:r>
      <w:r>
        <w:rPr>
          <w:rFonts w:hint="eastAsia" w:ascii="宋体" w:hAnsi="宋体"/>
          <w:szCs w:val="21"/>
          <w:highlight w:val="none"/>
        </w:rPr>
        <w:t>江苏长江水务股份有限公司</w:t>
      </w:r>
    </w:p>
    <w:p w14:paraId="2302BFD8">
      <w:pPr>
        <w:spacing w:line="312" w:lineRule="auto"/>
        <w:ind w:firstLine="422" w:firstLineChars="200"/>
        <w:rPr>
          <w:rFonts w:ascii="宋体" w:hAnsi="宋体"/>
          <w:szCs w:val="21"/>
          <w:highlight w:val="none"/>
        </w:rPr>
      </w:pPr>
      <w:r>
        <w:rPr>
          <w:rFonts w:hint="eastAsia"/>
          <w:b/>
          <w:bCs/>
          <w:szCs w:val="21"/>
          <w:highlight w:val="none"/>
        </w:rPr>
        <w:t>乙  方：</w:t>
      </w:r>
    </w:p>
    <w:p w14:paraId="258B65B5">
      <w:pPr>
        <w:spacing w:line="312" w:lineRule="auto"/>
        <w:ind w:firstLine="422" w:firstLineChars="200"/>
        <w:rPr>
          <w:b/>
          <w:bCs/>
          <w:szCs w:val="21"/>
          <w:highlight w:val="none"/>
        </w:rPr>
      </w:pPr>
      <w:r>
        <w:rPr>
          <w:rFonts w:hint="eastAsia"/>
          <w:b/>
          <w:bCs/>
          <w:szCs w:val="21"/>
          <w:highlight w:val="none"/>
        </w:rPr>
        <w:t>项目名称：</w:t>
      </w:r>
    </w:p>
    <w:p w14:paraId="6FFAB97B">
      <w:pPr>
        <w:spacing w:line="312" w:lineRule="auto"/>
        <w:ind w:firstLine="420" w:firstLineChars="200"/>
        <w:rPr>
          <w:szCs w:val="21"/>
          <w:highlight w:val="none"/>
        </w:rPr>
      </w:pPr>
      <w:r>
        <w:rPr>
          <w:rFonts w:hint="eastAsia"/>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买受人双方同意，订立本廉洁协议：</w:t>
      </w:r>
    </w:p>
    <w:p w14:paraId="773B5C4E">
      <w:pPr>
        <w:spacing w:line="312" w:lineRule="auto"/>
        <w:ind w:firstLine="422" w:firstLineChars="200"/>
        <w:rPr>
          <w:szCs w:val="21"/>
          <w:highlight w:val="none"/>
        </w:rPr>
      </w:pPr>
      <w:r>
        <w:rPr>
          <w:rFonts w:hint="eastAsia"/>
          <w:b/>
          <w:bCs/>
          <w:szCs w:val="21"/>
          <w:highlight w:val="none"/>
        </w:rPr>
        <w:t>第一条 甲、乙双方的共同责任</w:t>
      </w:r>
    </w:p>
    <w:p w14:paraId="735069DE">
      <w:pPr>
        <w:spacing w:line="312" w:lineRule="auto"/>
        <w:ind w:firstLine="420" w:firstLineChars="200"/>
        <w:rPr>
          <w:szCs w:val="21"/>
          <w:highlight w:val="none"/>
        </w:rPr>
      </w:pPr>
      <w:r>
        <w:rPr>
          <w:rFonts w:hint="eastAsia"/>
          <w:szCs w:val="21"/>
          <w:highlight w:val="none"/>
        </w:rPr>
        <w:t>1、应自觉遵守国家、地方及建设单位有关廉政建设的各项制度和规定。</w:t>
      </w:r>
    </w:p>
    <w:p w14:paraId="247C54CD">
      <w:pPr>
        <w:spacing w:line="312" w:lineRule="auto"/>
        <w:ind w:firstLine="420" w:firstLineChars="200"/>
        <w:rPr>
          <w:szCs w:val="21"/>
          <w:highlight w:val="none"/>
        </w:rPr>
      </w:pPr>
      <w:r>
        <w:rPr>
          <w:rFonts w:hint="eastAsia"/>
          <w:szCs w:val="21"/>
          <w:highlight w:val="none"/>
        </w:rPr>
        <w:t>2、严格履行合同约定，自觉承担合同义务。</w:t>
      </w:r>
    </w:p>
    <w:p w14:paraId="6C3C3300">
      <w:pPr>
        <w:spacing w:line="312" w:lineRule="auto"/>
        <w:ind w:firstLine="420" w:firstLineChars="200"/>
        <w:rPr>
          <w:szCs w:val="21"/>
          <w:highlight w:val="none"/>
        </w:rPr>
      </w:pPr>
      <w:r>
        <w:rPr>
          <w:rFonts w:hint="eastAsia"/>
          <w:szCs w:val="21"/>
          <w:highlight w:val="none"/>
        </w:rPr>
        <w:t>3、开展业务活动必须坚持自愿、公平、公开、公正和诚实守信的原则，不得为谋取不正当利益损害国家、集体和双方权益。</w:t>
      </w:r>
    </w:p>
    <w:p w14:paraId="6EF71906">
      <w:pPr>
        <w:spacing w:line="312" w:lineRule="auto"/>
        <w:ind w:firstLine="420" w:firstLineChars="200"/>
        <w:rPr>
          <w:szCs w:val="21"/>
          <w:highlight w:val="none"/>
        </w:rPr>
      </w:pPr>
      <w:r>
        <w:rPr>
          <w:rFonts w:hint="eastAsia"/>
          <w:szCs w:val="21"/>
          <w:highlight w:val="none"/>
        </w:rPr>
        <w:t>4、建立健全自我制约制度，开展廉洁教育，增强廉洁意识，公布举报电话，监督并认真查处违规违纪违法行为。</w:t>
      </w:r>
    </w:p>
    <w:p w14:paraId="2211BA66">
      <w:pPr>
        <w:spacing w:line="312" w:lineRule="auto"/>
        <w:ind w:firstLine="420" w:firstLineChars="200"/>
        <w:rPr>
          <w:szCs w:val="21"/>
          <w:highlight w:val="none"/>
        </w:rPr>
      </w:pPr>
      <w:r>
        <w:rPr>
          <w:rFonts w:hint="eastAsia"/>
          <w:szCs w:val="21"/>
          <w:highlight w:val="none"/>
        </w:rPr>
        <w:t>5、不得有其他妨碍正常交易的违法行为。</w:t>
      </w:r>
    </w:p>
    <w:p w14:paraId="55C2ADF1">
      <w:pPr>
        <w:spacing w:line="312" w:lineRule="auto"/>
        <w:ind w:firstLine="422" w:firstLineChars="200"/>
        <w:rPr>
          <w:b/>
          <w:bCs/>
          <w:szCs w:val="21"/>
          <w:highlight w:val="none"/>
        </w:rPr>
      </w:pPr>
      <w:r>
        <w:rPr>
          <w:rFonts w:hint="eastAsia"/>
          <w:b/>
          <w:bCs/>
          <w:szCs w:val="21"/>
          <w:highlight w:val="none"/>
        </w:rPr>
        <w:t>第二条 买受人的责任</w:t>
      </w:r>
    </w:p>
    <w:p w14:paraId="40706B3F">
      <w:pPr>
        <w:spacing w:line="312" w:lineRule="auto"/>
        <w:ind w:firstLine="420" w:firstLineChars="200"/>
        <w:rPr>
          <w:szCs w:val="21"/>
          <w:highlight w:val="none"/>
        </w:rPr>
      </w:pPr>
      <w:r>
        <w:rPr>
          <w:rFonts w:hint="eastAsia"/>
          <w:szCs w:val="21"/>
          <w:highlight w:val="none"/>
        </w:rPr>
        <w:t>1、买受人应按照自愿、公平、公正、公开和诚实守信的原则开展各项业务活动，为乙方提供公平的竞争环境与平台。</w:t>
      </w:r>
    </w:p>
    <w:p w14:paraId="6915DFFC">
      <w:pPr>
        <w:spacing w:line="312" w:lineRule="auto"/>
        <w:ind w:firstLine="420" w:firstLineChars="200"/>
        <w:rPr>
          <w:szCs w:val="21"/>
          <w:highlight w:val="none"/>
        </w:rPr>
      </w:pPr>
      <w:r>
        <w:rPr>
          <w:rFonts w:hint="eastAsia"/>
          <w:szCs w:val="21"/>
          <w:highlight w:val="none"/>
        </w:rPr>
        <w:t>2、买受人应严格遵守公司对外服务“五条禁令”：严禁接受服务对象、业务单位的礼金、宴请；严禁违规收费；严禁越权动用供水设施；严禁私揽供水工程；严禁工作期间饮酒和擅离岗位。</w:t>
      </w:r>
    </w:p>
    <w:p w14:paraId="112EA101">
      <w:pPr>
        <w:spacing w:line="312" w:lineRule="auto"/>
        <w:ind w:firstLine="420" w:firstLineChars="200"/>
        <w:rPr>
          <w:szCs w:val="21"/>
          <w:highlight w:val="none"/>
        </w:rPr>
      </w:pPr>
      <w:r>
        <w:rPr>
          <w:rFonts w:hint="eastAsia"/>
          <w:szCs w:val="21"/>
          <w:highlight w:val="none"/>
        </w:rPr>
        <w:t>3、买受人不得以任何理由要求乙方为其亲属、朋友等安排工作。</w:t>
      </w:r>
    </w:p>
    <w:p w14:paraId="5B104A07">
      <w:pPr>
        <w:spacing w:line="312" w:lineRule="auto"/>
        <w:ind w:firstLine="420" w:firstLineChars="200"/>
        <w:rPr>
          <w:szCs w:val="21"/>
          <w:highlight w:val="none"/>
        </w:rPr>
      </w:pPr>
      <w:r>
        <w:rPr>
          <w:rFonts w:hint="eastAsia"/>
          <w:szCs w:val="21"/>
          <w:highlight w:val="none"/>
        </w:rPr>
        <w:t>4、买受人不得要求乙方及相关单位报销任何应由买受人或个人支付的费用。</w:t>
      </w:r>
    </w:p>
    <w:p w14:paraId="57D4DE93">
      <w:pPr>
        <w:spacing w:line="312" w:lineRule="auto"/>
        <w:ind w:firstLine="420" w:firstLineChars="200"/>
        <w:rPr>
          <w:szCs w:val="21"/>
          <w:highlight w:val="none"/>
        </w:rPr>
      </w:pPr>
      <w:r>
        <w:rPr>
          <w:rFonts w:hint="eastAsia"/>
          <w:szCs w:val="21"/>
          <w:highlight w:val="none"/>
        </w:rPr>
        <w:t>5、买受人不得参与影响相关双方正常工作和公正开展的其他活动。</w:t>
      </w:r>
    </w:p>
    <w:p w14:paraId="6CE9C5BA">
      <w:pPr>
        <w:spacing w:line="312" w:lineRule="auto"/>
        <w:ind w:firstLine="420" w:firstLineChars="200"/>
        <w:rPr>
          <w:szCs w:val="21"/>
          <w:highlight w:val="none"/>
        </w:rPr>
      </w:pPr>
      <w:r>
        <w:rPr>
          <w:rFonts w:hint="eastAsia"/>
          <w:szCs w:val="21"/>
          <w:highlight w:val="none"/>
        </w:rPr>
        <w:t>6、买受人不得向乙方泄露涉及有关业务活动的秘密。</w:t>
      </w:r>
    </w:p>
    <w:p w14:paraId="712244F2">
      <w:pPr>
        <w:spacing w:line="312" w:lineRule="auto"/>
        <w:ind w:firstLine="420" w:firstLineChars="200"/>
        <w:rPr>
          <w:szCs w:val="21"/>
          <w:highlight w:val="none"/>
        </w:rPr>
      </w:pPr>
      <w:r>
        <w:rPr>
          <w:rFonts w:hint="eastAsia"/>
          <w:szCs w:val="21"/>
          <w:highlight w:val="none"/>
        </w:rPr>
        <w:t>7、买受人要求参与公司业务活动的本公司员工主动申报与乙方的关联关系，包括但不限于存在亲属关系、利益关联体等。</w:t>
      </w:r>
    </w:p>
    <w:p w14:paraId="6CE84513">
      <w:pPr>
        <w:spacing w:line="312" w:lineRule="auto"/>
        <w:ind w:firstLine="420" w:firstLineChars="200"/>
        <w:rPr>
          <w:szCs w:val="21"/>
          <w:highlight w:val="none"/>
        </w:rPr>
      </w:pPr>
      <w:r>
        <w:rPr>
          <w:rFonts w:hint="eastAsia"/>
          <w:szCs w:val="21"/>
          <w:highlight w:val="none"/>
        </w:rPr>
        <w:t>8、在双方合作过程中，买受人有权依据公司相关规章制度对任何重要的流程节点，采取由买受人相关领导小组集体决策的方式作出决定，确保不因任何人的个人利益因素而对乙方提供特别的照顾、优惠、变通、变更。</w:t>
      </w:r>
    </w:p>
    <w:p w14:paraId="052BF613">
      <w:pPr>
        <w:spacing w:line="312" w:lineRule="auto"/>
        <w:ind w:firstLine="420" w:firstLineChars="200"/>
        <w:rPr>
          <w:szCs w:val="21"/>
          <w:highlight w:val="none"/>
        </w:rPr>
      </w:pPr>
      <w:r>
        <w:rPr>
          <w:rFonts w:hint="eastAsia"/>
          <w:szCs w:val="21"/>
          <w:highlight w:val="none"/>
        </w:rPr>
        <w:t>9、在合同订立及履行过程中，如乙方人员有行贿行为的，买受人应坚决拒绝，及时向公司领导、纪检监察部门或乙方上级领导或有关部门举报，并向双方单位通报。</w:t>
      </w:r>
    </w:p>
    <w:p w14:paraId="79C5990F">
      <w:pPr>
        <w:spacing w:line="312" w:lineRule="auto"/>
        <w:ind w:firstLine="422" w:firstLineChars="200"/>
        <w:rPr>
          <w:b/>
          <w:bCs/>
          <w:szCs w:val="21"/>
          <w:highlight w:val="none"/>
        </w:rPr>
      </w:pPr>
      <w:r>
        <w:rPr>
          <w:rFonts w:hint="eastAsia"/>
          <w:b/>
          <w:bCs/>
          <w:szCs w:val="21"/>
          <w:highlight w:val="none"/>
        </w:rPr>
        <w:t>第三条 乙方的责任</w:t>
      </w:r>
    </w:p>
    <w:p w14:paraId="707C8C71">
      <w:pPr>
        <w:spacing w:line="312" w:lineRule="auto"/>
        <w:ind w:firstLine="420" w:firstLineChars="200"/>
        <w:rPr>
          <w:szCs w:val="21"/>
          <w:highlight w:val="none"/>
        </w:rPr>
      </w:pPr>
      <w:r>
        <w:rPr>
          <w:rFonts w:hint="eastAsia"/>
          <w:szCs w:val="21"/>
          <w:highlight w:val="none"/>
        </w:rPr>
        <w:t>1、乙方应主动如实向买受人申报是否与买受人员工存在亲属关系、利益关联体关系，是否有买受人在岗或离职人员担任乙方重要岗位等情况。</w:t>
      </w:r>
    </w:p>
    <w:p w14:paraId="032A2BE4">
      <w:pPr>
        <w:spacing w:line="312" w:lineRule="auto"/>
        <w:ind w:firstLine="420" w:firstLineChars="200"/>
        <w:rPr>
          <w:szCs w:val="21"/>
          <w:highlight w:val="none"/>
        </w:rPr>
      </w:pPr>
      <w:r>
        <w:rPr>
          <w:rFonts w:hint="eastAsia"/>
          <w:szCs w:val="21"/>
          <w:highlight w:val="none"/>
        </w:rPr>
        <w:t>2、乙方不得接受买受人工作人员介绍的家属或者亲友从事与合同相关的业务，包括但不限于作为乙方的材料供应方、服务提供方等。</w:t>
      </w:r>
    </w:p>
    <w:p w14:paraId="05BE8D7C">
      <w:pPr>
        <w:spacing w:line="312" w:lineRule="auto"/>
        <w:ind w:firstLine="420" w:firstLineChars="200"/>
        <w:rPr>
          <w:szCs w:val="21"/>
          <w:highlight w:val="none"/>
        </w:rPr>
      </w:pPr>
      <w:r>
        <w:rPr>
          <w:rFonts w:hint="eastAsia"/>
          <w:szCs w:val="21"/>
          <w:highlight w:val="none"/>
        </w:rPr>
        <w:t>3、乙方不得为谋取利益擅自与买受人就工程承包、工程费用、材料设备供应、工程量变动、工程验收、工程质量问题处理进行私下商谈或者达成默契。</w:t>
      </w:r>
    </w:p>
    <w:p w14:paraId="456E7ADB">
      <w:pPr>
        <w:spacing w:line="312" w:lineRule="auto"/>
        <w:ind w:firstLine="420" w:firstLineChars="200"/>
        <w:rPr>
          <w:szCs w:val="21"/>
          <w:highlight w:val="none"/>
        </w:rPr>
      </w:pPr>
      <w:r>
        <w:rPr>
          <w:rFonts w:hint="eastAsia"/>
          <w:szCs w:val="21"/>
          <w:highlight w:val="none"/>
        </w:rPr>
        <w:t>4、乙方不得与其他单位串通投标、不得采取恶性竞争等不正当手段竞争业务。</w:t>
      </w:r>
    </w:p>
    <w:p w14:paraId="4C36E852">
      <w:pPr>
        <w:spacing w:line="312" w:lineRule="auto"/>
        <w:ind w:firstLine="420" w:firstLineChars="200"/>
        <w:rPr>
          <w:szCs w:val="21"/>
          <w:highlight w:val="none"/>
        </w:rPr>
      </w:pPr>
      <w:r>
        <w:rPr>
          <w:rFonts w:hint="eastAsia"/>
          <w:szCs w:val="21"/>
          <w:highlight w:val="none"/>
        </w:rPr>
        <w:t>5、乙方应当通过正常途径开展相关工作，不得以任何理由或者形式向买受人工作人员（含配偶、子女及其他特定关系人，同下）提供或赠送礼金、有价证券、贵重物品及手续费、回扣、好处费、感谢费等。</w:t>
      </w:r>
    </w:p>
    <w:p w14:paraId="596EF885">
      <w:pPr>
        <w:spacing w:line="312" w:lineRule="auto"/>
        <w:ind w:firstLine="420" w:firstLineChars="200"/>
        <w:rPr>
          <w:szCs w:val="21"/>
          <w:highlight w:val="none"/>
        </w:rPr>
      </w:pPr>
      <w:r>
        <w:rPr>
          <w:rFonts w:hint="eastAsia"/>
          <w:szCs w:val="21"/>
          <w:highlight w:val="none"/>
        </w:rPr>
        <w:t>6、乙方不得以任何理由或任何形式邀请买受人工作人员参加有可能影响廉洁、公正的宴请、健身、旅游、娱乐活动。</w:t>
      </w:r>
    </w:p>
    <w:p w14:paraId="6858422C">
      <w:pPr>
        <w:spacing w:line="312" w:lineRule="auto"/>
        <w:ind w:firstLine="420" w:firstLineChars="200"/>
        <w:rPr>
          <w:szCs w:val="21"/>
          <w:highlight w:val="none"/>
        </w:rPr>
      </w:pPr>
      <w:r>
        <w:rPr>
          <w:rFonts w:hint="eastAsia"/>
          <w:szCs w:val="21"/>
          <w:highlight w:val="none"/>
        </w:rPr>
        <w:t>7、乙方不得和买受人人员及其亲属发生任何形式的经济往来，包含但不限于个人借款、任何形式的费用报销、婚丧嫁娶、工作安排、出国、留学等。</w:t>
      </w:r>
    </w:p>
    <w:p w14:paraId="20FFB599">
      <w:pPr>
        <w:spacing w:line="312" w:lineRule="auto"/>
        <w:ind w:firstLine="420" w:firstLineChars="200"/>
        <w:rPr>
          <w:szCs w:val="21"/>
          <w:highlight w:val="none"/>
        </w:rPr>
      </w:pPr>
      <w:r>
        <w:rPr>
          <w:rFonts w:hint="eastAsia"/>
          <w:szCs w:val="21"/>
          <w:highlight w:val="none"/>
        </w:rPr>
        <w:t>8、乙方不得向买受人员工及其家属购置、提供任何住房、装修、交通工具、通讯工具、家电、高档办公用品等物品。</w:t>
      </w:r>
    </w:p>
    <w:p w14:paraId="22B1FD21">
      <w:pPr>
        <w:spacing w:line="312" w:lineRule="auto"/>
        <w:ind w:firstLine="420" w:firstLineChars="200"/>
        <w:rPr>
          <w:szCs w:val="21"/>
          <w:highlight w:val="none"/>
        </w:rPr>
      </w:pPr>
      <w:r>
        <w:rPr>
          <w:rFonts w:hint="eastAsia"/>
          <w:szCs w:val="21"/>
          <w:highlight w:val="none"/>
        </w:rPr>
        <w:t>9、乙方有义务监督买受人员工廉洁从业，对违反者，有向买受人反馈和举报的权利和义务。</w:t>
      </w:r>
    </w:p>
    <w:p w14:paraId="41E1A339">
      <w:pPr>
        <w:spacing w:line="312" w:lineRule="auto"/>
        <w:ind w:firstLine="420" w:firstLineChars="200"/>
        <w:rPr>
          <w:szCs w:val="21"/>
          <w:highlight w:val="none"/>
        </w:rPr>
      </w:pPr>
      <w:r>
        <w:rPr>
          <w:rFonts w:hint="eastAsia"/>
          <w:szCs w:val="21"/>
          <w:highlight w:val="none"/>
        </w:rPr>
        <w:t>10、乙方应当确保乙方人员了解并自觉遵守本协议，发现乙方任何人员有向买受人员工行贿倾向、建议或行为的，应予以制止、批评教育。乙方发现买受人员工有索贿、受贿行为的，应坚决拒绝，并向买受人审计、纪检监察部门进行举报。</w:t>
      </w:r>
    </w:p>
    <w:p w14:paraId="10534349">
      <w:pPr>
        <w:spacing w:line="312" w:lineRule="auto"/>
        <w:ind w:firstLine="422" w:firstLineChars="200"/>
        <w:rPr>
          <w:b/>
          <w:bCs/>
          <w:szCs w:val="21"/>
          <w:highlight w:val="none"/>
        </w:rPr>
      </w:pPr>
      <w:r>
        <w:rPr>
          <w:rFonts w:hint="eastAsia"/>
          <w:b/>
          <w:bCs/>
          <w:szCs w:val="21"/>
          <w:highlight w:val="none"/>
        </w:rPr>
        <w:t xml:space="preserve">第四条 违约责任 </w:t>
      </w:r>
    </w:p>
    <w:p w14:paraId="4390F0B5">
      <w:pPr>
        <w:spacing w:line="312" w:lineRule="auto"/>
        <w:ind w:firstLine="420" w:firstLineChars="200"/>
        <w:rPr>
          <w:szCs w:val="21"/>
          <w:highlight w:val="none"/>
        </w:rPr>
      </w:pPr>
      <w:r>
        <w:rPr>
          <w:rFonts w:hint="eastAsia"/>
          <w:szCs w:val="21"/>
          <w:highlight w:val="none"/>
        </w:rPr>
        <w:t>1、如乙方出现违反本协议约定的行为，买受人有权根据具体情节的严重程度和造成的后果要求乙方按照合同总金额的1-5%向买受人支付违约金，并承担因此给买受人造成的全部损失，买受人有权从双方已签订的其他正在履行的合同中乙方未结算款项里优先予以扣除且无需承担任何违约责任，如果其他正在履行的合同中乙方未结算款项不足以支付违约金的，乙方应按买受人要求，补足违约金差额。</w:t>
      </w:r>
    </w:p>
    <w:p w14:paraId="6CFCD361">
      <w:pPr>
        <w:spacing w:line="312" w:lineRule="auto"/>
        <w:ind w:firstLine="420" w:firstLineChars="200"/>
        <w:rPr>
          <w:szCs w:val="21"/>
          <w:highlight w:val="none"/>
        </w:rPr>
      </w:pPr>
      <w:r>
        <w:rPr>
          <w:rFonts w:hint="eastAsia"/>
          <w:szCs w:val="21"/>
          <w:highlight w:val="none"/>
        </w:rPr>
        <w:t>2、若买受人发现乙方工作人员为谋取自身不正当利益有违反廉政规定的行为，买受人有权要求乙方撤回该人员，并不再安排该人员从事与买受人有关的任何工作。根据情节严重程度及双方合作态度，买受人有权采取以下一种或多种措施：终止或解除合同，限制乙方后续投标资格、将乙方列入供应商黑名单不再合作等。</w:t>
      </w:r>
    </w:p>
    <w:p w14:paraId="025CA704">
      <w:pPr>
        <w:spacing w:line="312" w:lineRule="auto"/>
        <w:ind w:firstLine="420" w:firstLineChars="200"/>
        <w:rPr>
          <w:szCs w:val="21"/>
          <w:highlight w:val="none"/>
        </w:rPr>
      </w:pPr>
      <w:r>
        <w:rPr>
          <w:rFonts w:hint="eastAsia"/>
          <w:szCs w:val="21"/>
          <w:highlight w:val="none"/>
        </w:rPr>
        <w:t>3、如买受人出现违反本协议约定的行为，鼓励乙方进行举报，买受人将对乙方投诉人及投诉内容（举报人、陈述人、证人等）予以严格保密，并在接到乙方书面投诉后的15个工作日内给予乙方反馈。经查实买受人工作人员确有违反廉政规定行为的，买受人将根据有关规定对其进行严肃处理。</w:t>
      </w:r>
    </w:p>
    <w:p w14:paraId="7F8921E5">
      <w:pPr>
        <w:spacing w:line="312" w:lineRule="auto"/>
        <w:ind w:firstLine="422" w:firstLineChars="200"/>
        <w:rPr>
          <w:b/>
          <w:bCs/>
          <w:szCs w:val="21"/>
          <w:highlight w:val="none"/>
        </w:rPr>
      </w:pPr>
      <w:r>
        <w:rPr>
          <w:rFonts w:hint="eastAsia"/>
          <w:b/>
          <w:bCs/>
          <w:szCs w:val="21"/>
          <w:highlight w:val="none"/>
        </w:rPr>
        <w:t>第五条 其他约定</w:t>
      </w:r>
    </w:p>
    <w:p w14:paraId="7F47AE10">
      <w:pPr>
        <w:spacing w:line="312" w:lineRule="auto"/>
        <w:ind w:firstLine="420" w:firstLineChars="200"/>
        <w:rPr>
          <w:szCs w:val="21"/>
          <w:highlight w:val="none"/>
        </w:rPr>
      </w:pPr>
      <w:r>
        <w:rPr>
          <w:rFonts w:hint="eastAsia"/>
          <w:szCs w:val="21"/>
          <w:highlight w:val="none"/>
        </w:rPr>
        <w:t>1、本协议作为                                （＊项目全称）合同的附件应一并签订、保管，与该合同具有同等法律效力，经双方签署后立即生效。</w:t>
      </w:r>
    </w:p>
    <w:p w14:paraId="16682EFD">
      <w:pPr>
        <w:spacing w:line="312" w:lineRule="auto"/>
        <w:ind w:firstLine="420" w:firstLineChars="200"/>
        <w:rPr>
          <w:szCs w:val="21"/>
          <w:highlight w:val="none"/>
        </w:rPr>
      </w:pPr>
      <w:r>
        <w:rPr>
          <w:rFonts w:hint="eastAsia"/>
          <w:szCs w:val="21"/>
          <w:highlight w:val="none"/>
        </w:rPr>
        <w:t>2、本协议未尽事宜，双方可增补条款，增补内容如下：</w:t>
      </w:r>
    </w:p>
    <w:p w14:paraId="055770B2">
      <w:pPr>
        <w:spacing w:line="312" w:lineRule="auto"/>
        <w:ind w:firstLine="420" w:firstLineChars="200"/>
        <w:rPr>
          <w:szCs w:val="21"/>
          <w:highlight w:val="none"/>
          <w:u w:val="single"/>
        </w:rPr>
      </w:pPr>
      <w:r>
        <w:rPr>
          <w:rFonts w:hint="eastAsia"/>
          <w:szCs w:val="21"/>
          <w:highlight w:val="none"/>
          <w:u w:val="single"/>
        </w:rPr>
        <w:t xml:space="preserve">（1）                                           </w:t>
      </w:r>
    </w:p>
    <w:p w14:paraId="16E326B1">
      <w:pPr>
        <w:spacing w:line="312" w:lineRule="auto"/>
        <w:ind w:firstLine="420" w:firstLineChars="200"/>
        <w:rPr>
          <w:szCs w:val="21"/>
          <w:highlight w:val="none"/>
          <w:u w:val="single"/>
        </w:rPr>
      </w:pPr>
      <w:r>
        <w:rPr>
          <w:rFonts w:hint="eastAsia"/>
          <w:szCs w:val="21"/>
          <w:highlight w:val="none"/>
          <w:u w:val="single"/>
        </w:rPr>
        <w:t xml:space="preserve">（2）                                           </w:t>
      </w:r>
    </w:p>
    <w:p w14:paraId="3E0970F5">
      <w:pPr>
        <w:spacing w:line="312" w:lineRule="auto"/>
        <w:ind w:firstLine="420" w:firstLineChars="200"/>
        <w:rPr>
          <w:szCs w:val="21"/>
          <w:highlight w:val="none"/>
          <w:u w:val="single"/>
        </w:rPr>
      </w:pPr>
      <w:r>
        <w:rPr>
          <w:rFonts w:hint="eastAsia"/>
          <w:szCs w:val="21"/>
          <w:highlight w:val="none"/>
          <w:u w:val="single"/>
        </w:rPr>
        <w:t xml:space="preserve">（3）                                           </w:t>
      </w:r>
    </w:p>
    <w:p w14:paraId="51F34E72">
      <w:pPr>
        <w:spacing w:line="312" w:lineRule="auto"/>
        <w:ind w:firstLine="420" w:firstLineChars="200"/>
        <w:rPr>
          <w:szCs w:val="21"/>
          <w:highlight w:val="none"/>
        </w:rPr>
      </w:pPr>
      <w:r>
        <w:rPr>
          <w:rFonts w:hint="eastAsia"/>
          <w:szCs w:val="21"/>
          <w:highlight w:val="none"/>
        </w:rPr>
        <w:t>......</w:t>
      </w:r>
    </w:p>
    <w:p w14:paraId="3F259933">
      <w:pPr>
        <w:spacing w:line="312" w:lineRule="auto"/>
        <w:ind w:firstLine="420" w:firstLineChars="200"/>
        <w:rPr>
          <w:szCs w:val="21"/>
          <w:highlight w:val="none"/>
        </w:rPr>
      </w:pPr>
      <w:r>
        <w:rPr>
          <w:rFonts w:hint="eastAsia"/>
          <w:szCs w:val="21"/>
          <w:highlight w:val="none"/>
        </w:rPr>
        <w:t>3、本协议的有效期为双方签字盖章之日起至项目合同履行完成时止。</w:t>
      </w:r>
    </w:p>
    <w:p w14:paraId="3C9A712D">
      <w:pPr>
        <w:spacing w:line="312" w:lineRule="auto"/>
        <w:ind w:firstLine="420" w:firstLineChars="200"/>
        <w:rPr>
          <w:szCs w:val="21"/>
          <w:highlight w:val="none"/>
        </w:rPr>
      </w:pPr>
      <w:r>
        <w:rPr>
          <w:rFonts w:hint="eastAsia"/>
          <w:szCs w:val="21"/>
          <w:highlight w:val="none"/>
        </w:rPr>
        <w:t>4、为增进双方的沟通了解，买受人审计、纪检监察部门会与乙方进行非定期的访谈，乙方需予以配合。</w:t>
      </w:r>
    </w:p>
    <w:p w14:paraId="56557916">
      <w:pPr>
        <w:spacing w:line="312" w:lineRule="auto"/>
        <w:ind w:firstLine="420" w:firstLineChars="200"/>
        <w:rPr>
          <w:szCs w:val="21"/>
          <w:highlight w:val="none"/>
        </w:rPr>
      </w:pPr>
      <w:r>
        <w:rPr>
          <w:rFonts w:hint="eastAsia"/>
          <w:szCs w:val="21"/>
          <w:highlight w:val="none"/>
        </w:rPr>
        <w:t>5、乙方对买受人员工有任何意见、建议等，可向买受人审计、纪检监察部门反映，买受人将按规定对反映人、反映情况及个人联系方式进行保密。</w:t>
      </w:r>
    </w:p>
    <w:p w14:paraId="77D552D0">
      <w:pPr>
        <w:spacing w:line="312" w:lineRule="auto"/>
        <w:ind w:firstLine="420" w:firstLineChars="200"/>
        <w:rPr>
          <w:szCs w:val="21"/>
          <w:highlight w:val="none"/>
        </w:rPr>
      </w:pPr>
      <w:r>
        <w:rPr>
          <w:rFonts w:hint="eastAsia"/>
          <w:szCs w:val="21"/>
          <w:highlight w:val="none"/>
        </w:rPr>
        <w:t>6、对于支持审计、纪检监察工作和敢于揭露买受人有廉洁违规行为的乙方，买受人将优先考虑与其合作。</w:t>
      </w:r>
    </w:p>
    <w:p w14:paraId="6DC0ADD3">
      <w:pPr>
        <w:spacing w:line="312" w:lineRule="auto"/>
        <w:ind w:firstLine="420" w:firstLineChars="200"/>
        <w:rPr>
          <w:szCs w:val="21"/>
          <w:highlight w:val="none"/>
        </w:rPr>
      </w:pPr>
      <w:r>
        <w:rPr>
          <w:rFonts w:hint="eastAsia"/>
          <w:szCs w:val="21"/>
          <w:highlight w:val="none"/>
        </w:rPr>
        <w:t>7、买受人举报电话：0514-82883093；邮箱：</w:t>
      </w:r>
      <w:r>
        <w:rPr>
          <w:highlight w:val="none"/>
        </w:rPr>
        <w:fldChar w:fldCharType="begin"/>
      </w:r>
      <w:r>
        <w:rPr>
          <w:highlight w:val="none"/>
        </w:rPr>
        <w:instrText xml:space="preserve"> HYPERLINK "mailto:cjswjw@163.com" </w:instrText>
      </w:r>
      <w:r>
        <w:rPr>
          <w:highlight w:val="none"/>
        </w:rPr>
        <w:fldChar w:fldCharType="separate"/>
      </w:r>
      <w:r>
        <w:rPr>
          <w:rFonts w:hint="eastAsia"/>
          <w:szCs w:val="21"/>
          <w:highlight w:val="none"/>
        </w:rPr>
        <w:t>cjswjw@163.com</w:t>
      </w:r>
      <w:r>
        <w:rPr>
          <w:rFonts w:hint="eastAsia"/>
          <w:szCs w:val="21"/>
          <w:highlight w:val="none"/>
        </w:rPr>
        <w:fldChar w:fldCharType="end"/>
      </w:r>
      <w:r>
        <w:rPr>
          <w:rFonts w:hint="eastAsia"/>
          <w:szCs w:val="21"/>
          <w:highlight w:val="none"/>
        </w:rPr>
        <w:t>。</w:t>
      </w:r>
    </w:p>
    <w:p w14:paraId="273FCB24">
      <w:pPr>
        <w:spacing w:line="312" w:lineRule="auto"/>
        <w:ind w:firstLine="420" w:firstLineChars="200"/>
        <w:rPr>
          <w:szCs w:val="21"/>
          <w:highlight w:val="none"/>
        </w:rPr>
      </w:pPr>
      <w:r>
        <w:rPr>
          <w:rFonts w:hint="eastAsia"/>
          <w:szCs w:val="21"/>
          <w:highlight w:val="none"/>
        </w:rPr>
        <w:t xml:space="preserve">   乙方举报电话：             ；邮箱：              。</w:t>
      </w:r>
    </w:p>
    <w:p w14:paraId="15308A55">
      <w:pPr>
        <w:numPr>
          <w:ilvl w:val="0"/>
          <w:numId w:val="7"/>
        </w:numPr>
        <w:spacing w:line="312" w:lineRule="auto"/>
        <w:ind w:firstLine="420" w:firstLineChars="200"/>
        <w:rPr>
          <w:szCs w:val="21"/>
          <w:highlight w:val="none"/>
        </w:rPr>
      </w:pPr>
      <w:r>
        <w:rPr>
          <w:rFonts w:hint="eastAsia"/>
          <w:szCs w:val="21"/>
          <w:highlight w:val="none"/>
        </w:rPr>
        <w:t>本协议书一式六份，甲（纪委办留存一份）执四份，乙方执两份。</w:t>
      </w:r>
    </w:p>
    <w:tbl>
      <w:tblPr>
        <w:tblStyle w:val="14"/>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3F7FD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tcPr>
          <w:p w14:paraId="7F3D3851">
            <w:pPr>
              <w:spacing w:line="312" w:lineRule="auto"/>
              <w:jc w:val="center"/>
              <w:rPr>
                <w:rFonts w:ascii="宋体" w:hAnsi="宋体" w:cs="宋体"/>
                <w:szCs w:val="21"/>
                <w:highlight w:val="none"/>
              </w:rPr>
            </w:pPr>
            <w:r>
              <w:rPr>
                <w:rFonts w:hint="eastAsia" w:ascii="宋体" w:hAnsi="宋体" w:cs="宋体"/>
                <w:szCs w:val="21"/>
                <w:highlight w:val="none"/>
              </w:rPr>
              <w:t>甲     方</w:t>
            </w:r>
          </w:p>
          <w:p w14:paraId="4F49B203">
            <w:pPr>
              <w:spacing w:line="312" w:lineRule="auto"/>
              <w:rPr>
                <w:rFonts w:ascii="宋体" w:hAnsi="宋体" w:cs="宋体"/>
                <w:szCs w:val="21"/>
                <w:highlight w:val="none"/>
              </w:rPr>
            </w:pPr>
            <w:r>
              <w:rPr>
                <w:rFonts w:hint="eastAsia" w:ascii="宋体" w:hAnsi="宋体" w:cs="宋体"/>
                <w:szCs w:val="21"/>
                <w:highlight w:val="none"/>
              </w:rPr>
              <w:t>买受人单位（盖章）：江苏长江水务股份有限公司</w:t>
            </w:r>
          </w:p>
          <w:p w14:paraId="586A620A">
            <w:pPr>
              <w:pStyle w:val="13"/>
              <w:spacing w:line="312" w:lineRule="auto"/>
              <w:ind w:firstLine="0"/>
              <w:rPr>
                <w:rFonts w:ascii="宋体" w:hAnsi="宋体" w:cs="宋体"/>
                <w:sz w:val="21"/>
                <w:szCs w:val="21"/>
                <w:highlight w:val="none"/>
              </w:rPr>
            </w:pPr>
            <w:r>
              <w:rPr>
                <w:rFonts w:hint="eastAsia" w:ascii="宋体" w:hAnsi="宋体" w:cs="宋体"/>
                <w:sz w:val="21"/>
                <w:szCs w:val="21"/>
                <w:highlight w:val="none"/>
              </w:rPr>
              <w:t>法定代表人（签字）：</w:t>
            </w:r>
          </w:p>
          <w:p w14:paraId="389B14F8">
            <w:pPr>
              <w:pStyle w:val="6"/>
              <w:spacing w:line="312" w:lineRule="auto"/>
              <w:rPr>
                <w:rFonts w:hAnsi="宋体" w:cs="宋体"/>
                <w:sz w:val="21"/>
                <w:szCs w:val="21"/>
                <w:highlight w:val="none"/>
              </w:rPr>
            </w:pPr>
            <w:r>
              <w:rPr>
                <w:rFonts w:hint="eastAsia" w:hAnsi="宋体" w:cs="宋体"/>
                <w:sz w:val="21"/>
                <w:szCs w:val="21"/>
                <w:highlight w:val="none"/>
              </w:rPr>
              <w:t>委托代理人（签字）：</w:t>
            </w:r>
          </w:p>
          <w:p w14:paraId="79E41AC9">
            <w:pPr>
              <w:spacing w:line="312" w:lineRule="auto"/>
              <w:rPr>
                <w:rFonts w:ascii="宋体" w:hAnsi="宋体" w:cs="宋体"/>
                <w:szCs w:val="21"/>
                <w:highlight w:val="none"/>
              </w:rPr>
            </w:pPr>
            <w:r>
              <w:rPr>
                <w:rFonts w:hint="eastAsia" w:ascii="宋体" w:hAnsi="宋体" w:cs="宋体"/>
                <w:szCs w:val="21"/>
                <w:highlight w:val="none"/>
              </w:rPr>
              <w:t>地  址：</w:t>
            </w:r>
          </w:p>
          <w:p w14:paraId="2F2C8278">
            <w:pPr>
              <w:pStyle w:val="13"/>
              <w:spacing w:line="312" w:lineRule="auto"/>
              <w:ind w:firstLine="0"/>
              <w:rPr>
                <w:rFonts w:ascii="宋体" w:hAnsi="宋体" w:cs="宋体"/>
                <w:sz w:val="21"/>
                <w:szCs w:val="21"/>
                <w:highlight w:val="none"/>
              </w:rPr>
            </w:pPr>
            <w:r>
              <w:rPr>
                <w:rFonts w:hint="eastAsia" w:ascii="宋体" w:hAnsi="宋体" w:cs="宋体"/>
                <w:sz w:val="21"/>
                <w:szCs w:val="21"/>
                <w:highlight w:val="none"/>
              </w:rPr>
              <w:t>＊联系方式：0514-82980012</w:t>
            </w:r>
          </w:p>
          <w:p w14:paraId="524C99B9">
            <w:pPr>
              <w:pStyle w:val="6"/>
              <w:spacing w:line="312" w:lineRule="auto"/>
              <w:rPr>
                <w:rFonts w:hAnsi="宋体" w:cs="宋体"/>
                <w:sz w:val="21"/>
                <w:szCs w:val="21"/>
                <w:highlight w:val="none"/>
              </w:rPr>
            </w:pPr>
            <w:r>
              <w:rPr>
                <w:rFonts w:hint="eastAsia" w:hAnsi="宋体" w:cs="宋体"/>
                <w:sz w:val="21"/>
                <w:szCs w:val="21"/>
                <w:highlight w:val="none"/>
              </w:rPr>
              <w:t xml:space="preserve">年  月  日  </w:t>
            </w:r>
          </w:p>
        </w:tc>
        <w:tc>
          <w:tcPr>
            <w:tcW w:w="4463" w:type="dxa"/>
          </w:tcPr>
          <w:p w14:paraId="38A842BB">
            <w:pPr>
              <w:spacing w:line="312" w:lineRule="auto"/>
              <w:jc w:val="center"/>
              <w:rPr>
                <w:rFonts w:ascii="宋体" w:hAnsi="宋体" w:cs="宋体"/>
                <w:szCs w:val="21"/>
                <w:highlight w:val="none"/>
              </w:rPr>
            </w:pPr>
            <w:r>
              <w:rPr>
                <w:rFonts w:hint="eastAsia" w:ascii="宋体" w:hAnsi="宋体" w:cs="宋体"/>
                <w:szCs w:val="21"/>
                <w:highlight w:val="none"/>
              </w:rPr>
              <w:t>乙    方</w:t>
            </w:r>
          </w:p>
          <w:p w14:paraId="15A4A8C3">
            <w:pPr>
              <w:spacing w:line="312" w:lineRule="auto"/>
              <w:rPr>
                <w:rFonts w:ascii="宋体" w:hAnsi="宋体" w:cs="宋体"/>
                <w:szCs w:val="21"/>
                <w:highlight w:val="none"/>
              </w:rPr>
            </w:pPr>
            <w:r>
              <w:rPr>
                <w:rFonts w:hint="eastAsia" w:ascii="宋体" w:hAnsi="宋体" w:cs="宋体"/>
                <w:szCs w:val="21"/>
                <w:highlight w:val="none"/>
              </w:rPr>
              <w:t>乙方单位（盖章）：</w:t>
            </w:r>
          </w:p>
          <w:p w14:paraId="5FE1E46C">
            <w:pPr>
              <w:pStyle w:val="13"/>
              <w:spacing w:line="312" w:lineRule="auto"/>
              <w:ind w:firstLine="0"/>
              <w:rPr>
                <w:rFonts w:ascii="宋体" w:hAnsi="宋体" w:cs="宋体"/>
                <w:sz w:val="21"/>
                <w:szCs w:val="21"/>
                <w:highlight w:val="none"/>
              </w:rPr>
            </w:pPr>
            <w:r>
              <w:rPr>
                <w:rFonts w:hint="eastAsia" w:ascii="宋体" w:hAnsi="宋体" w:cs="宋体"/>
                <w:sz w:val="21"/>
                <w:szCs w:val="21"/>
                <w:highlight w:val="none"/>
              </w:rPr>
              <w:t>法定代表人（签字）：</w:t>
            </w:r>
          </w:p>
          <w:p w14:paraId="4A0A29F5">
            <w:pPr>
              <w:pStyle w:val="6"/>
              <w:spacing w:line="312" w:lineRule="auto"/>
              <w:rPr>
                <w:rFonts w:hAnsi="宋体" w:cs="宋体"/>
                <w:sz w:val="21"/>
                <w:szCs w:val="21"/>
                <w:highlight w:val="none"/>
              </w:rPr>
            </w:pPr>
            <w:r>
              <w:rPr>
                <w:rFonts w:hint="eastAsia" w:hAnsi="宋体" w:cs="宋体"/>
                <w:sz w:val="21"/>
                <w:szCs w:val="21"/>
                <w:highlight w:val="none"/>
              </w:rPr>
              <w:t>委托代理人（签字）：</w:t>
            </w:r>
          </w:p>
          <w:p w14:paraId="5931ACBB">
            <w:pPr>
              <w:spacing w:line="312" w:lineRule="auto"/>
              <w:rPr>
                <w:rFonts w:ascii="宋体" w:hAnsi="宋体" w:cs="宋体"/>
                <w:szCs w:val="21"/>
                <w:highlight w:val="none"/>
              </w:rPr>
            </w:pPr>
            <w:r>
              <w:rPr>
                <w:rFonts w:hint="eastAsia" w:ascii="宋体" w:hAnsi="宋体" w:cs="宋体"/>
                <w:szCs w:val="21"/>
                <w:highlight w:val="none"/>
              </w:rPr>
              <w:t>地  址：</w:t>
            </w:r>
          </w:p>
          <w:p w14:paraId="3934380C">
            <w:pPr>
              <w:pStyle w:val="13"/>
              <w:spacing w:line="312" w:lineRule="auto"/>
              <w:ind w:firstLine="0"/>
              <w:rPr>
                <w:rFonts w:ascii="宋体" w:hAnsi="宋体" w:cs="宋体"/>
                <w:sz w:val="21"/>
                <w:szCs w:val="21"/>
                <w:highlight w:val="none"/>
              </w:rPr>
            </w:pPr>
            <w:r>
              <w:rPr>
                <w:rFonts w:hint="eastAsia" w:ascii="宋体" w:hAnsi="宋体" w:cs="宋体"/>
                <w:sz w:val="21"/>
                <w:szCs w:val="21"/>
                <w:highlight w:val="none"/>
              </w:rPr>
              <w:t>＊联系方式：</w:t>
            </w:r>
          </w:p>
          <w:p w14:paraId="4E8F57D6">
            <w:pPr>
              <w:pStyle w:val="13"/>
              <w:spacing w:line="312" w:lineRule="auto"/>
              <w:ind w:firstLine="210"/>
              <w:rPr>
                <w:rFonts w:ascii="宋体" w:hAnsi="宋体" w:cs="宋体"/>
                <w:sz w:val="21"/>
                <w:szCs w:val="21"/>
                <w:highlight w:val="none"/>
              </w:rPr>
            </w:pPr>
            <w:r>
              <w:rPr>
                <w:rFonts w:hint="eastAsia" w:ascii="宋体" w:hAnsi="宋体" w:cs="宋体"/>
                <w:sz w:val="21"/>
                <w:szCs w:val="21"/>
                <w:highlight w:val="none"/>
              </w:rPr>
              <w:t xml:space="preserve">年  月  日  </w:t>
            </w:r>
          </w:p>
        </w:tc>
      </w:tr>
    </w:tbl>
    <w:p w14:paraId="062A670A">
      <w:pPr>
        <w:spacing w:line="312" w:lineRule="auto"/>
        <w:rPr>
          <w:szCs w:val="21"/>
          <w:highlight w:val="none"/>
        </w:rPr>
      </w:pPr>
      <w:r>
        <w:rPr>
          <w:rFonts w:hint="eastAsia"/>
          <w:szCs w:val="21"/>
          <w:highlight w:val="none"/>
        </w:rPr>
        <w:t>“＊”为必填项</w:t>
      </w:r>
    </w:p>
    <w:p w14:paraId="3C24475F">
      <w:pPr>
        <w:spacing w:line="400" w:lineRule="exact"/>
        <w:ind w:firstLine="527" w:firstLineChars="250"/>
        <w:rPr>
          <w:rFonts w:ascii="宋体" w:hAnsi="宋体"/>
          <w:b/>
          <w:szCs w:val="21"/>
          <w:highlight w:val="none"/>
        </w:rPr>
      </w:pPr>
    </w:p>
    <w:p w14:paraId="229A08D0">
      <w:pPr>
        <w:pStyle w:val="16"/>
        <w:rPr>
          <w:sz w:val="21"/>
          <w:szCs w:val="21"/>
          <w:highlight w:val="none"/>
        </w:rPr>
      </w:pPr>
    </w:p>
    <w:p w14:paraId="4B2ADBEE">
      <w:pPr>
        <w:autoSpaceDE w:val="0"/>
        <w:autoSpaceDN w:val="0"/>
        <w:adjustRightInd w:val="0"/>
        <w:snapToGrid w:val="0"/>
        <w:spacing w:line="480" w:lineRule="exact"/>
        <w:outlineLvl w:val="1"/>
        <w:rPr>
          <w:rFonts w:ascii="宋体" w:hAnsi="宋体"/>
          <w:b/>
          <w:szCs w:val="21"/>
          <w:highlight w:val="none"/>
        </w:rPr>
      </w:pPr>
      <w:r>
        <w:rPr>
          <w:rFonts w:hint="eastAsia" w:ascii="宋体" w:hAnsi="宋体"/>
          <w:b/>
          <w:szCs w:val="21"/>
          <w:highlight w:val="none"/>
        </w:rPr>
        <w:t>八、 投标文件格式</w:t>
      </w:r>
    </w:p>
    <w:p w14:paraId="67CACB66">
      <w:pPr>
        <w:spacing w:line="980" w:lineRule="exact"/>
        <w:jc w:val="center"/>
        <w:rPr>
          <w:rFonts w:ascii="黑体" w:eastAsia="黑体"/>
          <w:sz w:val="30"/>
          <w:highlight w:val="none"/>
        </w:rPr>
      </w:pPr>
      <w:r>
        <w:rPr>
          <w:rFonts w:hint="eastAsia" w:ascii="黑体" w:eastAsia="黑体"/>
          <w:sz w:val="30"/>
          <w:highlight w:val="none"/>
        </w:rPr>
        <w:t>目   录</w:t>
      </w:r>
    </w:p>
    <w:p w14:paraId="149B3FFD">
      <w:pPr>
        <w:spacing w:line="460" w:lineRule="exact"/>
        <w:rPr>
          <w:rFonts w:ascii="宋体" w:hAnsi="宋体"/>
          <w:sz w:val="24"/>
          <w:highlight w:val="none"/>
        </w:rPr>
      </w:pPr>
      <w:r>
        <w:rPr>
          <w:rFonts w:hint="eastAsia" w:ascii="宋体" w:hAnsi="宋体"/>
          <w:sz w:val="24"/>
          <w:highlight w:val="none"/>
        </w:rPr>
        <w:t>一、投标书及其附件</w:t>
      </w:r>
    </w:p>
    <w:p w14:paraId="04B7EB07">
      <w:pPr>
        <w:spacing w:line="460" w:lineRule="exact"/>
        <w:rPr>
          <w:rFonts w:ascii="宋体" w:hAnsi="宋体"/>
          <w:sz w:val="24"/>
          <w:highlight w:val="none"/>
        </w:rPr>
      </w:pPr>
      <w:r>
        <w:rPr>
          <w:rFonts w:hint="eastAsia" w:ascii="宋体" w:hAnsi="宋体"/>
          <w:sz w:val="24"/>
          <w:highlight w:val="none"/>
        </w:rPr>
        <w:t xml:space="preserve">      1.投标书</w:t>
      </w:r>
    </w:p>
    <w:p w14:paraId="0CE3C906">
      <w:pPr>
        <w:spacing w:line="460" w:lineRule="exact"/>
        <w:rPr>
          <w:rFonts w:ascii="宋体" w:hAnsi="宋体"/>
          <w:sz w:val="24"/>
          <w:highlight w:val="none"/>
        </w:rPr>
      </w:pPr>
      <w:r>
        <w:rPr>
          <w:rFonts w:hint="eastAsia" w:ascii="宋体" w:hAnsi="宋体"/>
          <w:sz w:val="24"/>
          <w:highlight w:val="none"/>
        </w:rPr>
        <w:t xml:space="preserve">      2.开标一览表     </w:t>
      </w:r>
    </w:p>
    <w:p w14:paraId="3286C6DB">
      <w:pPr>
        <w:spacing w:line="460" w:lineRule="exact"/>
        <w:rPr>
          <w:rFonts w:ascii="宋体" w:hAnsi="宋体"/>
          <w:sz w:val="24"/>
          <w:highlight w:val="none"/>
        </w:rPr>
      </w:pPr>
      <w:r>
        <w:rPr>
          <w:rFonts w:hint="eastAsia" w:ascii="宋体" w:hAnsi="宋体"/>
          <w:sz w:val="24"/>
          <w:highlight w:val="none"/>
        </w:rPr>
        <w:t>二、投标人资格证明文件</w:t>
      </w:r>
    </w:p>
    <w:p w14:paraId="7983A9FE">
      <w:pPr>
        <w:spacing w:line="460" w:lineRule="exact"/>
        <w:rPr>
          <w:rFonts w:ascii="宋体" w:hAnsi="宋体"/>
          <w:sz w:val="24"/>
          <w:highlight w:val="none"/>
        </w:rPr>
      </w:pPr>
      <w:r>
        <w:rPr>
          <w:rFonts w:hint="eastAsia" w:ascii="宋体" w:hAnsi="宋体"/>
          <w:sz w:val="24"/>
          <w:highlight w:val="none"/>
        </w:rPr>
        <w:t xml:space="preserve">      1.投标人概况（营业执照副本等材料）</w:t>
      </w:r>
    </w:p>
    <w:p w14:paraId="4784B4E1">
      <w:pPr>
        <w:spacing w:line="460" w:lineRule="exact"/>
        <w:rPr>
          <w:rFonts w:ascii="宋体" w:hAnsi="宋体"/>
          <w:sz w:val="24"/>
          <w:highlight w:val="none"/>
        </w:rPr>
      </w:pPr>
      <w:r>
        <w:rPr>
          <w:rFonts w:hint="eastAsia" w:ascii="宋体" w:hAnsi="宋体"/>
          <w:sz w:val="24"/>
          <w:highlight w:val="none"/>
        </w:rPr>
        <w:t xml:space="preserve">      2.投标人近期缴税证明等财务方面相关材料</w:t>
      </w:r>
    </w:p>
    <w:p w14:paraId="541CF0B5">
      <w:pPr>
        <w:spacing w:line="460" w:lineRule="exact"/>
        <w:rPr>
          <w:rFonts w:ascii="宋体" w:hAnsi="宋体"/>
          <w:sz w:val="24"/>
          <w:highlight w:val="none"/>
        </w:rPr>
      </w:pPr>
      <w:r>
        <w:rPr>
          <w:rFonts w:hint="eastAsia" w:ascii="宋体" w:hAnsi="宋体"/>
          <w:sz w:val="24"/>
          <w:highlight w:val="none"/>
        </w:rPr>
        <w:t xml:space="preserve">      3、相关资质证书材料</w:t>
      </w:r>
    </w:p>
    <w:p w14:paraId="66EE855F">
      <w:pPr>
        <w:spacing w:line="460" w:lineRule="exact"/>
        <w:rPr>
          <w:rFonts w:ascii="宋体" w:hAnsi="宋体"/>
          <w:sz w:val="24"/>
          <w:highlight w:val="none"/>
        </w:rPr>
      </w:pPr>
      <w:r>
        <w:rPr>
          <w:rFonts w:hint="eastAsia" w:ascii="宋体" w:hAnsi="宋体"/>
          <w:sz w:val="24"/>
          <w:highlight w:val="none"/>
        </w:rPr>
        <w:t xml:space="preserve">      4.授权委托书等相关材料</w:t>
      </w:r>
    </w:p>
    <w:p w14:paraId="5789FCAA">
      <w:pPr>
        <w:spacing w:line="460" w:lineRule="exact"/>
        <w:rPr>
          <w:rFonts w:ascii="宋体" w:hAnsi="宋体"/>
          <w:sz w:val="24"/>
          <w:highlight w:val="none"/>
        </w:rPr>
      </w:pPr>
      <w:r>
        <w:rPr>
          <w:rFonts w:hint="eastAsia" w:ascii="宋体" w:hAnsi="宋体"/>
          <w:sz w:val="24"/>
          <w:highlight w:val="none"/>
        </w:rPr>
        <w:t xml:space="preserve">      5.制造商授权书格式</w:t>
      </w:r>
    </w:p>
    <w:p w14:paraId="2EAF0589">
      <w:pPr>
        <w:spacing w:line="460" w:lineRule="exact"/>
        <w:rPr>
          <w:rFonts w:ascii="宋体" w:hAnsi="宋体"/>
          <w:sz w:val="24"/>
          <w:highlight w:val="none"/>
        </w:rPr>
      </w:pPr>
      <w:r>
        <w:rPr>
          <w:rFonts w:hint="eastAsia" w:ascii="宋体" w:hAnsi="宋体"/>
          <w:sz w:val="24"/>
          <w:highlight w:val="none"/>
        </w:rPr>
        <w:t>三、证明货物的合格性和符合招标文件规定的文件</w:t>
      </w:r>
    </w:p>
    <w:p w14:paraId="3EF4074A">
      <w:pPr>
        <w:numPr>
          <w:ilvl w:val="0"/>
          <w:numId w:val="8"/>
        </w:numPr>
        <w:spacing w:line="460" w:lineRule="exact"/>
        <w:rPr>
          <w:rFonts w:ascii="宋体" w:hAnsi="宋体"/>
          <w:sz w:val="24"/>
          <w:highlight w:val="none"/>
        </w:rPr>
      </w:pPr>
      <w:r>
        <w:rPr>
          <w:rFonts w:hint="eastAsia" w:ascii="宋体" w:hAnsi="宋体"/>
          <w:sz w:val="24"/>
          <w:highlight w:val="none"/>
        </w:rPr>
        <w:t>有关部门的检测报告（如有）</w:t>
      </w:r>
    </w:p>
    <w:p w14:paraId="6450B97A">
      <w:pPr>
        <w:spacing w:line="460" w:lineRule="exact"/>
        <w:rPr>
          <w:rFonts w:ascii="宋体" w:hAnsi="宋体"/>
          <w:sz w:val="24"/>
          <w:highlight w:val="none"/>
        </w:rPr>
      </w:pPr>
      <w:r>
        <w:rPr>
          <w:rFonts w:hint="eastAsia" w:ascii="宋体" w:hAnsi="宋体"/>
          <w:sz w:val="24"/>
          <w:highlight w:val="none"/>
        </w:rPr>
        <w:t xml:space="preserve">      2. 服务组成（服务范围表）</w:t>
      </w:r>
    </w:p>
    <w:p w14:paraId="7A97D407">
      <w:pPr>
        <w:spacing w:line="460" w:lineRule="exact"/>
        <w:rPr>
          <w:rFonts w:ascii="宋体" w:hAnsi="宋体"/>
          <w:sz w:val="24"/>
          <w:highlight w:val="none"/>
        </w:rPr>
      </w:pPr>
      <w:r>
        <w:rPr>
          <w:rFonts w:hint="eastAsia" w:ascii="宋体" w:hAnsi="宋体"/>
          <w:sz w:val="24"/>
          <w:highlight w:val="none"/>
        </w:rPr>
        <w:t xml:space="preserve">      3. 投标软件要求响应表格式</w:t>
      </w:r>
    </w:p>
    <w:p w14:paraId="7B014B74">
      <w:pPr>
        <w:spacing w:line="460" w:lineRule="exact"/>
        <w:rPr>
          <w:rFonts w:ascii="宋体" w:hAnsi="宋体"/>
          <w:sz w:val="24"/>
          <w:highlight w:val="none"/>
        </w:rPr>
      </w:pPr>
      <w:r>
        <w:rPr>
          <w:rFonts w:hint="eastAsia" w:ascii="宋体" w:hAnsi="宋体"/>
          <w:sz w:val="24"/>
          <w:highlight w:val="none"/>
        </w:rPr>
        <w:t xml:space="preserve">      4. 商务条款偏离表</w:t>
      </w:r>
    </w:p>
    <w:p w14:paraId="41E00409">
      <w:pPr>
        <w:spacing w:line="460" w:lineRule="exact"/>
        <w:rPr>
          <w:rFonts w:ascii="宋体" w:hAnsi="宋体"/>
          <w:sz w:val="24"/>
          <w:highlight w:val="none"/>
        </w:rPr>
      </w:pPr>
      <w:r>
        <w:rPr>
          <w:rFonts w:hint="eastAsia" w:ascii="宋体" w:hAnsi="宋体"/>
          <w:sz w:val="24"/>
          <w:highlight w:val="none"/>
        </w:rPr>
        <w:t xml:space="preserve">      5. 服务（培训、售后服务等）</w:t>
      </w:r>
    </w:p>
    <w:p w14:paraId="78AA26C7">
      <w:pPr>
        <w:spacing w:line="460" w:lineRule="exact"/>
        <w:rPr>
          <w:rFonts w:ascii="宋体" w:hAnsi="宋体"/>
          <w:sz w:val="24"/>
          <w:highlight w:val="none"/>
        </w:rPr>
      </w:pPr>
    </w:p>
    <w:p w14:paraId="35B5A047">
      <w:pPr>
        <w:spacing w:line="460" w:lineRule="exact"/>
        <w:rPr>
          <w:rFonts w:ascii="宋体" w:hAnsi="宋体"/>
          <w:sz w:val="24"/>
          <w:highlight w:val="none"/>
        </w:rPr>
      </w:pPr>
    </w:p>
    <w:p w14:paraId="041B61DC">
      <w:pPr>
        <w:spacing w:line="460" w:lineRule="exact"/>
        <w:rPr>
          <w:rFonts w:ascii="宋体" w:hAnsi="宋体"/>
          <w:sz w:val="24"/>
          <w:highlight w:val="none"/>
        </w:rPr>
      </w:pPr>
    </w:p>
    <w:p w14:paraId="67D349D6">
      <w:pPr>
        <w:widowControl/>
        <w:jc w:val="left"/>
        <w:rPr>
          <w:rFonts w:ascii="楷体_GB2312" w:eastAsia="楷体_GB2312"/>
          <w:sz w:val="24"/>
          <w:highlight w:val="none"/>
        </w:rPr>
        <w:sectPr>
          <w:headerReference r:id="rId3" w:type="default"/>
          <w:footerReference r:id="rId4" w:type="default"/>
          <w:pgSz w:w="11906" w:h="16838"/>
          <w:pgMar w:top="1440" w:right="1080" w:bottom="1440" w:left="1080" w:header="851" w:footer="992" w:gutter="0"/>
          <w:cols w:space="720" w:num="1"/>
          <w:docGrid w:type="lines" w:linePitch="312" w:charSpace="0"/>
        </w:sectPr>
      </w:pPr>
    </w:p>
    <w:p w14:paraId="484CAB95">
      <w:pPr>
        <w:spacing w:line="560" w:lineRule="exact"/>
        <w:rPr>
          <w:rFonts w:ascii="黑体" w:eastAsia="黑体"/>
          <w:sz w:val="28"/>
          <w:szCs w:val="28"/>
          <w:highlight w:val="none"/>
        </w:rPr>
      </w:pPr>
      <w:r>
        <w:rPr>
          <w:rFonts w:hint="eastAsia" w:ascii="黑体" w:eastAsia="黑体"/>
          <w:sz w:val="28"/>
          <w:szCs w:val="28"/>
          <w:highlight w:val="none"/>
        </w:rPr>
        <w:t>一、投标书及其附件</w:t>
      </w:r>
    </w:p>
    <w:p w14:paraId="31B77575">
      <w:pPr>
        <w:spacing w:line="560" w:lineRule="exact"/>
        <w:rPr>
          <w:rFonts w:ascii="黑体" w:eastAsia="黑体"/>
          <w:sz w:val="28"/>
          <w:szCs w:val="28"/>
          <w:highlight w:val="none"/>
        </w:rPr>
      </w:pPr>
      <w:r>
        <w:rPr>
          <w:rFonts w:hint="eastAsia" w:ascii="黑体" w:eastAsia="黑体"/>
          <w:sz w:val="28"/>
          <w:szCs w:val="28"/>
          <w:highlight w:val="none"/>
        </w:rPr>
        <w:t>1、投标书格式</w:t>
      </w:r>
    </w:p>
    <w:p w14:paraId="71EF816C">
      <w:pPr>
        <w:spacing w:line="720" w:lineRule="exact"/>
        <w:ind w:firstLine="3654" w:firstLineChars="1300"/>
        <w:rPr>
          <w:rFonts w:ascii="楷体_GB2312" w:eastAsia="楷体_GB2312"/>
          <w:b/>
          <w:sz w:val="28"/>
          <w:szCs w:val="28"/>
          <w:highlight w:val="none"/>
        </w:rPr>
      </w:pPr>
      <w:r>
        <w:rPr>
          <w:rFonts w:hint="eastAsia" w:ascii="楷体_GB2312" w:eastAsia="楷体_GB2312"/>
          <w:b/>
          <w:sz w:val="28"/>
          <w:szCs w:val="28"/>
          <w:highlight w:val="none"/>
        </w:rPr>
        <w:t>投标书</w:t>
      </w:r>
    </w:p>
    <w:p w14:paraId="62769CA4">
      <w:pPr>
        <w:spacing w:line="480" w:lineRule="exact"/>
        <w:rPr>
          <w:rFonts w:ascii="楷体_GB2312" w:eastAsia="楷体_GB2312"/>
          <w:szCs w:val="21"/>
          <w:highlight w:val="none"/>
        </w:rPr>
      </w:pPr>
      <w:r>
        <w:rPr>
          <w:rFonts w:hint="eastAsia" w:ascii="宋体" w:hAnsi="宋体"/>
          <w:spacing w:val="28"/>
          <w:szCs w:val="21"/>
          <w:highlight w:val="none"/>
        </w:rPr>
        <w:t>江苏长江水务股份有限公司</w:t>
      </w:r>
      <w:r>
        <w:rPr>
          <w:rFonts w:hint="eastAsia" w:ascii="楷体_GB2312" w:eastAsia="楷体_GB2312"/>
          <w:szCs w:val="21"/>
          <w:highlight w:val="none"/>
        </w:rPr>
        <w:t>：</w:t>
      </w:r>
    </w:p>
    <w:p w14:paraId="473FBDE4">
      <w:pPr>
        <w:spacing w:line="480" w:lineRule="exact"/>
        <w:ind w:firstLine="480"/>
        <w:rPr>
          <w:rFonts w:ascii="宋体" w:hAnsi="宋体"/>
          <w:szCs w:val="21"/>
          <w:highlight w:val="none"/>
        </w:rPr>
      </w:pPr>
      <w:r>
        <w:rPr>
          <w:rFonts w:hint="eastAsia" w:ascii="宋体" w:hAnsi="宋体"/>
          <w:szCs w:val="21"/>
          <w:highlight w:val="none"/>
        </w:rPr>
        <w:t>你们 招标文件（包括补充文件，如果有的话）收悉，我们经详细审阅和研究，现决定参加投标。</w:t>
      </w:r>
    </w:p>
    <w:p w14:paraId="42EEEA41">
      <w:pPr>
        <w:spacing w:line="480" w:lineRule="exact"/>
        <w:rPr>
          <w:rFonts w:ascii="宋体" w:hAnsi="宋体"/>
          <w:szCs w:val="21"/>
          <w:highlight w:val="none"/>
        </w:rPr>
      </w:pPr>
      <w:r>
        <w:rPr>
          <w:rFonts w:hint="eastAsia" w:ascii="宋体" w:hAnsi="宋体"/>
          <w:szCs w:val="21"/>
          <w:highlight w:val="none"/>
        </w:rPr>
        <w:t xml:space="preserve">    1.我们愿按照招标文件中的条款、要求，提供所需的招标货物及一切相关的服务，投标价为</w:t>
      </w:r>
      <w:r>
        <w:rPr>
          <w:rFonts w:hint="eastAsia" w:ascii="宋体" w:hAnsi="宋体"/>
          <w:szCs w:val="21"/>
          <w:highlight w:val="none"/>
          <w:u w:val="single"/>
        </w:rPr>
        <w:t xml:space="preserve">（币种及金额） </w:t>
      </w:r>
      <w:r>
        <w:rPr>
          <w:rFonts w:hint="eastAsia" w:ascii="宋体" w:hAnsi="宋体"/>
          <w:szCs w:val="21"/>
          <w:highlight w:val="none"/>
        </w:rPr>
        <w:t>。</w:t>
      </w:r>
    </w:p>
    <w:p w14:paraId="03EF607D">
      <w:pPr>
        <w:spacing w:line="480" w:lineRule="exact"/>
        <w:ind w:firstLine="420"/>
        <w:rPr>
          <w:rFonts w:ascii="宋体" w:hAnsi="宋体"/>
          <w:szCs w:val="21"/>
          <w:highlight w:val="none"/>
        </w:rPr>
      </w:pPr>
      <w:r>
        <w:rPr>
          <w:rFonts w:hint="eastAsia" w:ascii="宋体" w:hAnsi="宋体"/>
          <w:szCs w:val="21"/>
          <w:highlight w:val="none"/>
        </w:rPr>
        <w:t>2.如果我们中标，我们将在之后的天内交货。</w:t>
      </w:r>
    </w:p>
    <w:p w14:paraId="1DDE9FB0">
      <w:pPr>
        <w:spacing w:line="480" w:lineRule="exact"/>
        <w:ind w:firstLine="420"/>
        <w:rPr>
          <w:rFonts w:ascii="宋体" w:hAnsi="宋体"/>
          <w:szCs w:val="21"/>
          <w:highlight w:val="none"/>
        </w:rPr>
      </w:pPr>
      <w:r>
        <w:rPr>
          <w:rFonts w:hint="eastAsia" w:ascii="宋体" w:hAnsi="宋体"/>
          <w:szCs w:val="21"/>
          <w:highlight w:val="none"/>
        </w:rPr>
        <w:t>3.我们同意招标文件 “投标人须知”的规定，本投标文件在有效期内，将始终对我们具有约束力，并可随时被接受。如果我们入围，本投标文件在此期间之后将继续保持有效，直至合同生效。</w:t>
      </w:r>
    </w:p>
    <w:p w14:paraId="79448205">
      <w:pPr>
        <w:spacing w:line="480" w:lineRule="exact"/>
        <w:rPr>
          <w:rFonts w:ascii="宋体" w:hAnsi="宋体"/>
          <w:szCs w:val="21"/>
          <w:highlight w:val="none"/>
        </w:rPr>
      </w:pPr>
      <w:r>
        <w:rPr>
          <w:rFonts w:hint="eastAsia" w:ascii="宋体" w:hAnsi="宋体"/>
          <w:szCs w:val="21"/>
          <w:highlight w:val="none"/>
        </w:rPr>
        <w:t xml:space="preserve">    4.我们同意提供招标人要求的有关本次招标的所有资料。</w:t>
      </w:r>
    </w:p>
    <w:p w14:paraId="0E71CB63">
      <w:pPr>
        <w:spacing w:line="480" w:lineRule="exact"/>
        <w:ind w:firstLine="480"/>
        <w:rPr>
          <w:rFonts w:ascii="宋体" w:hAnsi="宋体"/>
          <w:szCs w:val="21"/>
          <w:highlight w:val="none"/>
        </w:rPr>
      </w:pPr>
      <w:r>
        <w:rPr>
          <w:rFonts w:hint="eastAsia" w:ascii="宋体" w:hAnsi="宋体"/>
          <w:szCs w:val="21"/>
          <w:highlight w:val="none"/>
        </w:rPr>
        <w:t>5.我们理解，你们无义务必须接受投标价最低的投标，并有权拒绝所有的投标。</w:t>
      </w:r>
    </w:p>
    <w:p w14:paraId="7A093F4F">
      <w:pPr>
        <w:spacing w:line="480" w:lineRule="exact"/>
        <w:ind w:firstLine="480"/>
        <w:rPr>
          <w:rFonts w:ascii="宋体" w:hAnsi="宋体"/>
          <w:szCs w:val="21"/>
          <w:highlight w:val="none"/>
        </w:rPr>
      </w:pPr>
      <w:r>
        <w:rPr>
          <w:rFonts w:hint="eastAsia" w:ascii="宋体" w:hAnsi="宋体"/>
          <w:szCs w:val="21"/>
          <w:highlight w:val="none"/>
        </w:rPr>
        <w:t>6.如果我们中标，为执行合同，我们将按招标文件的要求提供必要的履约保证。</w:t>
      </w:r>
    </w:p>
    <w:p w14:paraId="60058D88">
      <w:pPr>
        <w:spacing w:line="480" w:lineRule="exact"/>
        <w:rPr>
          <w:rFonts w:ascii="楷体_GB2312" w:eastAsia="楷体_GB2312"/>
          <w:szCs w:val="21"/>
          <w:highlight w:val="none"/>
        </w:rPr>
      </w:pPr>
    </w:p>
    <w:p w14:paraId="65D71786">
      <w:pPr>
        <w:spacing w:line="480" w:lineRule="exact"/>
        <w:rPr>
          <w:rFonts w:ascii="楷体_GB2312" w:eastAsia="楷体_GB2312"/>
          <w:szCs w:val="21"/>
          <w:highlight w:val="none"/>
        </w:rPr>
      </w:pPr>
    </w:p>
    <w:p w14:paraId="6F583E21">
      <w:pPr>
        <w:spacing w:line="480" w:lineRule="exact"/>
        <w:rPr>
          <w:rFonts w:ascii="楷体_GB2312" w:eastAsia="楷体_GB2312"/>
          <w:szCs w:val="21"/>
          <w:highlight w:val="none"/>
        </w:rPr>
      </w:pPr>
    </w:p>
    <w:p w14:paraId="71D57ECA">
      <w:pPr>
        <w:pStyle w:val="16"/>
        <w:rPr>
          <w:rFonts w:ascii="楷体_GB2312" w:eastAsia="楷体_GB2312"/>
          <w:sz w:val="21"/>
          <w:szCs w:val="21"/>
          <w:highlight w:val="none"/>
        </w:rPr>
      </w:pPr>
    </w:p>
    <w:p w14:paraId="1CF5C14B">
      <w:pPr>
        <w:pStyle w:val="16"/>
        <w:rPr>
          <w:rFonts w:ascii="楷体_GB2312" w:eastAsia="楷体_GB2312"/>
          <w:sz w:val="21"/>
          <w:szCs w:val="21"/>
          <w:highlight w:val="none"/>
        </w:rPr>
      </w:pPr>
    </w:p>
    <w:p w14:paraId="1D39FB28">
      <w:pPr>
        <w:spacing w:line="480" w:lineRule="exact"/>
        <w:jc w:val="center"/>
        <w:rPr>
          <w:rFonts w:ascii="宋体" w:hAnsi="宋体"/>
          <w:szCs w:val="21"/>
          <w:highlight w:val="none"/>
        </w:rPr>
      </w:pPr>
      <w:r>
        <w:rPr>
          <w:rFonts w:hint="eastAsia" w:ascii="宋体" w:hAnsi="宋体"/>
          <w:szCs w:val="21"/>
          <w:highlight w:val="none"/>
        </w:rPr>
        <w:t xml:space="preserve">  投标人名称：</w:t>
      </w:r>
    </w:p>
    <w:p w14:paraId="697091BC">
      <w:pPr>
        <w:spacing w:line="480" w:lineRule="exact"/>
        <w:rPr>
          <w:rFonts w:ascii="宋体" w:hAnsi="宋体"/>
          <w:szCs w:val="21"/>
          <w:highlight w:val="none"/>
        </w:rPr>
      </w:pPr>
      <w:r>
        <w:rPr>
          <w:rFonts w:hint="eastAsia" w:ascii="宋体" w:hAnsi="宋体"/>
          <w:szCs w:val="21"/>
          <w:highlight w:val="none"/>
        </w:rPr>
        <w:t xml:space="preserve">                             （盖章）</w:t>
      </w:r>
    </w:p>
    <w:p w14:paraId="2F97F855">
      <w:pPr>
        <w:spacing w:line="480" w:lineRule="exact"/>
        <w:rPr>
          <w:rFonts w:ascii="宋体" w:hAnsi="宋体"/>
          <w:szCs w:val="21"/>
          <w:highlight w:val="none"/>
        </w:rPr>
      </w:pPr>
      <w:r>
        <w:rPr>
          <w:rFonts w:hint="eastAsia" w:ascii="宋体" w:hAnsi="宋体"/>
          <w:szCs w:val="21"/>
          <w:highlight w:val="none"/>
        </w:rPr>
        <w:t xml:space="preserve">                              地址：               邮编：</w:t>
      </w:r>
    </w:p>
    <w:p w14:paraId="24B7C819">
      <w:pPr>
        <w:spacing w:line="480" w:lineRule="exact"/>
        <w:rPr>
          <w:rFonts w:ascii="宋体" w:hAnsi="宋体"/>
          <w:szCs w:val="21"/>
          <w:highlight w:val="none"/>
        </w:rPr>
      </w:pPr>
      <w:r>
        <w:rPr>
          <w:rFonts w:hint="eastAsia" w:ascii="宋体" w:hAnsi="宋体"/>
          <w:szCs w:val="21"/>
          <w:highlight w:val="none"/>
        </w:rPr>
        <w:t xml:space="preserve">                              电话：               传真：</w:t>
      </w:r>
    </w:p>
    <w:p w14:paraId="5E1F9B2A">
      <w:pPr>
        <w:spacing w:line="480" w:lineRule="exact"/>
        <w:rPr>
          <w:rFonts w:ascii="宋体" w:hAnsi="宋体"/>
          <w:szCs w:val="21"/>
          <w:highlight w:val="none"/>
        </w:rPr>
      </w:pPr>
      <w:r>
        <w:rPr>
          <w:rFonts w:hint="eastAsia" w:ascii="宋体" w:hAnsi="宋体"/>
          <w:szCs w:val="21"/>
          <w:highlight w:val="none"/>
        </w:rPr>
        <w:t xml:space="preserve">                              授权代表签字：</w:t>
      </w:r>
    </w:p>
    <w:p w14:paraId="4CA3E6B6">
      <w:pPr>
        <w:spacing w:line="480" w:lineRule="exact"/>
        <w:rPr>
          <w:rFonts w:ascii="宋体" w:hAnsi="宋体"/>
          <w:szCs w:val="21"/>
          <w:highlight w:val="none"/>
        </w:rPr>
      </w:pPr>
      <w:r>
        <w:rPr>
          <w:rFonts w:hint="eastAsia" w:ascii="宋体" w:hAnsi="宋体"/>
          <w:szCs w:val="21"/>
          <w:highlight w:val="none"/>
        </w:rPr>
        <w:t xml:space="preserve">                              职务：</w:t>
      </w:r>
    </w:p>
    <w:p w14:paraId="7D4469A8">
      <w:pPr>
        <w:spacing w:line="480" w:lineRule="exact"/>
        <w:rPr>
          <w:rFonts w:ascii="宋体" w:hAnsi="宋体"/>
          <w:szCs w:val="21"/>
          <w:highlight w:val="none"/>
        </w:rPr>
      </w:pPr>
      <w:r>
        <w:rPr>
          <w:rFonts w:hint="eastAsia" w:ascii="宋体" w:hAnsi="宋体"/>
          <w:szCs w:val="21"/>
          <w:highlight w:val="none"/>
        </w:rPr>
        <w:t xml:space="preserve">                              日期：</w:t>
      </w:r>
    </w:p>
    <w:p w14:paraId="23228182">
      <w:pPr>
        <w:spacing w:line="480" w:lineRule="exact"/>
        <w:rPr>
          <w:rFonts w:ascii="宋体" w:hAnsi="宋体"/>
          <w:szCs w:val="21"/>
          <w:highlight w:val="none"/>
        </w:rPr>
      </w:pPr>
    </w:p>
    <w:p w14:paraId="7F63DD05">
      <w:pPr>
        <w:spacing w:line="480" w:lineRule="exact"/>
        <w:rPr>
          <w:rFonts w:ascii="宋体" w:hAnsi="宋体"/>
          <w:szCs w:val="21"/>
          <w:highlight w:val="none"/>
        </w:rPr>
      </w:pPr>
    </w:p>
    <w:p w14:paraId="5FD6729C">
      <w:pPr>
        <w:pStyle w:val="16"/>
        <w:ind w:firstLine="0"/>
        <w:rPr>
          <w:sz w:val="21"/>
          <w:szCs w:val="21"/>
          <w:highlight w:val="none"/>
        </w:rPr>
      </w:pPr>
    </w:p>
    <w:p w14:paraId="65BDFCF7">
      <w:pPr>
        <w:pStyle w:val="16"/>
        <w:ind w:firstLine="0"/>
        <w:rPr>
          <w:sz w:val="21"/>
          <w:szCs w:val="21"/>
          <w:highlight w:val="none"/>
        </w:rPr>
      </w:pPr>
    </w:p>
    <w:p w14:paraId="6DC10F45">
      <w:pPr>
        <w:spacing w:line="560" w:lineRule="exact"/>
        <w:jc w:val="center"/>
        <w:rPr>
          <w:rFonts w:ascii="黑体" w:eastAsia="黑体"/>
          <w:sz w:val="28"/>
          <w:szCs w:val="28"/>
          <w:highlight w:val="none"/>
        </w:rPr>
      </w:pPr>
      <w:r>
        <w:rPr>
          <w:rFonts w:hint="eastAsia" w:ascii="黑体" w:eastAsia="黑体"/>
          <w:sz w:val="28"/>
          <w:szCs w:val="28"/>
          <w:highlight w:val="none"/>
        </w:rPr>
        <w:t>2、开标一览表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2269"/>
        <w:gridCol w:w="794"/>
        <w:gridCol w:w="828"/>
        <w:gridCol w:w="1149"/>
        <w:gridCol w:w="3390"/>
      </w:tblGrid>
      <w:tr w14:paraId="50AB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vAlign w:val="center"/>
          </w:tcPr>
          <w:p w14:paraId="0EE52DCE">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产品应用分类</w:t>
            </w:r>
          </w:p>
        </w:tc>
        <w:tc>
          <w:tcPr>
            <w:tcW w:w="2269" w:type="dxa"/>
            <w:vAlign w:val="center"/>
          </w:tcPr>
          <w:p w14:paraId="0BD0ABEE">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名称</w:t>
            </w:r>
          </w:p>
        </w:tc>
        <w:tc>
          <w:tcPr>
            <w:tcW w:w="794" w:type="dxa"/>
            <w:vAlign w:val="center"/>
          </w:tcPr>
          <w:p w14:paraId="494290F2">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数量</w:t>
            </w:r>
          </w:p>
        </w:tc>
        <w:tc>
          <w:tcPr>
            <w:tcW w:w="828" w:type="dxa"/>
            <w:vAlign w:val="center"/>
          </w:tcPr>
          <w:p w14:paraId="4DBEA64D">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单位</w:t>
            </w:r>
          </w:p>
        </w:tc>
        <w:tc>
          <w:tcPr>
            <w:tcW w:w="1149" w:type="dxa"/>
            <w:vAlign w:val="center"/>
          </w:tcPr>
          <w:p w14:paraId="21257480">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标准报价</w:t>
            </w:r>
          </w:p>
        </w:tc>
        <w:tc>
          <w:tcPr>
            <w:tcW w:w="3390" w:type="dxa"/>
            <w:vAlign w:val="center"/>
          </w:tcPr>
          <w:p w14:paraId="29FCD86C">
            <w:pPr>
              <w:pStyle w:val="20"/>
              <w:spacing w:line="360" w:lineRule="auto"/>
              <w:jc w:val="center"/>
              <w:rPr>
                <w:rFonts w:ascii="宋体-简" w:hAnsi="宋体-简" w:eastAsia="宋体-简" w:cs="宋体-简"/>
                <w:color w:val="auto"/>
                <w:highlight w:val="none"/>
              </w:rPr>
            </w:pPr>
            <w:r>
              <w:rPr>
                <w:rFonts w:hint="eastAsia" w:ascii="宋体" w:hAnsi="宋体" w:eastAsia="宋体" w:cs="宋体"/>
                <w:color w:val="auto"/>
                <w:highlight w:val="none"/>
              </w:rPr>
              <w:t>功能描述</w:t>
            </w:r>
          </w:p>
        </w:tc>
      </w:tr>
      <w:tr w14:paraId="55430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tcPr>
          <w:p w14:paraId="57FD1EF2">
            <w:pPr>
              <w:pStyle w:val="20"/>
              <w:rPr>
                <w:rFonts w:ascii="宋体-简" w:hAnsi="宋体-简" w:eastAsia="宋体-简" w:cs="宋体-简"/>
                <w:color w:val="auto"/>
                <w:highlight w:val="none"/>
              </w:rPr>
            </w:pPr>
          </w:p>
        </w:tc>
        <w:tc>
          <w:tcPr>
            <w:tcW w:w="2269" w:type="dxa"/>
          </w:tcPr>
          <w:p w14:paraId="559BF18D">
            <w:pPr>
              <w:pStyle w:val="20"/>
              <w:rPr>
                <w:rFonts w:ascii="宋体-简" w:hAnsi="宋体-简" w:eastAsia="宋体-简" w:cs="宋体-简"/>
                <w:color w:val="auto"/>
                <w:highlight w:val="none"/>
              </w:rPr>
            </w:pPr>
          </w:p>
        </w:tc>
        <w:tc>
          <w:tcPr>
            <w:tcW w:w="794" w:type="dxa"/>
          </w:tcPr>
          <w:p w14:paraId="04EFF67F">
            <w:pPr>
              <w:pStyle w:val="20"/>
              <w:rPr>
                <w:rFonts w:ascii="宋体-简" w:hAnsi="宋体-简" w:eastAsia="宋体-简" w:cs="宋体-简"/>
                <w:color w:val="auto"/>
                <w:highlight w:val="none"/>
              </w:rPr>
            </w:pPr>
          </w:p>
        </w:tc>
        <w:tc>
          <w:tcPr>
            <w:tcW w:w="828" w:type="dxa"/>
          </w:tcPr>
          <w:p w14:paraId="7FF4D5F5">
            <w:pPr>
              <w:pStyle w:val="20"/>
              <w:rPr>
                <w:rFonts w:ascii="宋体-简" w:hAnsi="宋体-简" w:eastAsia="宋体-简" w:cs="宋体-简"/>
                <w:color w:val="auto"/>
                <w:highlight w:val="none"/>
              </w:rPr>
            </w:pPr>
          </w:p>
        </w:tc>
        <w:tc>
          <w:tcPr>
            <w:tcW w:w="1149" w:type="dxa"/>
          </w:tcPr>
          <w:p w14:paraId="0305CAFF">
            <w:pPr>
              <w:pStyle w:val="20"/>
              <w:rPr>
                <w:rFonts w:ascii="宋体-简" w:hAnsi="宋体-简" w:eastAsia="宋体-简" w:cs="宋体-简"/>
                <w:color w:val="auto"/>
                <w:highlight w:val="none"/>
              </w:rPr>
            </w:pPr>
          </w:p>
        </w:tc>
        <w:tc>
          <w:tcPr>
            <w:tcW w:w="3390" w:type="dxa"/>
          </w:tcPr>
          <w:p w14:paraId="4E862795">
            <w:pPr>
              <w:pStyle w:val="20"/>
              <w:rPr>
                <w:rFonts w:ascii="宋体-简" w:hAnsi="宋体-简" w:eastAsia="宋体-简" w:cs="宋体-简"/>
                <w:color w:val="auto"/>
                <w:highlight w:val="none"/>
              </w:rPr>
            </w:pPr>
          </w:p>
        </w:tc>
      </w:tr>
      <w:tr w14:paraId="2486C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7CC4D373">
            <w:pPr>
              <w:spacing w:line="0" w:lineRule="atLeast"/>
              <w:jc w:val="center"/>
              <w:rPr>
                <w:rFonts w:ascii="宋体" w:hAnsi="宋体"/>
                <w:szCs w:val="21"/>
                <w:highlight w:val="none"/>
              </w:rPr>
            </w:pPr>
            <w:r>
              <w:rPr>
                <w:rFonts w:hint="eastAsia" w:ascii="宋体" w:hAnsi="宋体"/>
                <w:szCs w:val="21"/>
                <w:highlight w:val="none"/>
              </w:rPr>
              <w:t>价格条件</w:t>
            </w:r>
          </w:p>
        </w:tc>
        <w:tc>
          <w:tcPr>
            <w:tcW w:w="8430" w:type="dxa"/>
            <w:gridSpan w:val="5"/>
            <w:tcBorders>
              <w:top w:val="single" w:color="auto" w:sz="4" w:space="0"/>
              <w:left w:val="single" w:color="auto" w:sz="4" w:space="0"/>
              <w:bottom w:val="single" w:color="auto" w:sz="4" w:space="0"/>
              <w:right w:val="single" w:color="auto" w:sz="4" w:space="0"/>
            </w:tcBorders>
          </w:tcPr>
          <w:p w14:paraId="5276D31B">
            <w:pPr>
              <w:spacing w:line="0" w:lineRule="atLeast"/>
              <w:rPr>
                <w:rFonts w:ascii="宋体" w:hAnsi="宋体"/>
                <w:szCs w:val="21"/>
                <w:highlight w:val="none"/>
              </w:rPr>
            </w:pPr>
            <w:r>
              <w:rPr>
                <w:rFonts w:hint="eastAsia" w:ascii="宋体" w:hAnsi="宋体"/>
                <w:szCs w:val="21"/>
                <w:highlight w:val="none"/>
              </w:rPr>
              <w:t>扬州（指定地点）</w:t>
            </w:r>
          </w:p>
        </w:tc>
      </w:tr>
      <w:tr w14:paraId="46587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4573F1DC">
            <w:pPr>
              <w:spacing w:line="0" w:lineRule="atLeast"/>
              <w:jc w:val="center"/>
              <w:rPr>
                <w:rFonts w:ascii="宋体" w:hAnsi="宋体"/>
                <w:szCs w:val="21"/>
                <w:highlight w:val="none"/>
              </w:rPr>
            </w:pPr>
          </w:p>
        </w:tc>
        <w:tc>
          <w:tcPr>
            <w:tcW w:w="8430" w:type="dxa"/>
            <w:gridSpan w:val="5"/>
            <w:tcBorders>
              <w:top w:val="single" w:color="auto" w:sz="4" w:space="0"/>
              <w:left w:val="single" w:color="auto" w:sz="4" w:space="0"/>
              <w:bottom w:val="single" w:color="auto" w:sz="4" w:space="0"/>
              <w:right w:val="single" w:color="auto" w:sz="4" w:space="0"/>
            </w:tcBorders>
          </w:tcPr>
          <w:p w14:paraId="27658502">
            <w:pPr>
              <w:spacing w:line="0" w:lineRule="atLeast"/>
              <w:rPr>
                <w:rFonts w:ascii="宋体" w:hAnsi="宋体"/>
                <w:szCs w:val="21"/>
                <w:highlight w:val="none"/>
              </w:rPr>
            </w:pPr>
          </w:p>
        </w:tc>
      </w:tr>
      <w:tr w14:paraId="287B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355534B4">
            <w:pPr>
              <w:spacing w:line="0" w:lineRule="atLeast"/>
              <w:jc w:val="center"/>
              <w:rPr>
                <w:rFonts w:ascii="宋体" w:hAnsi="宋体"/>
                <w:szCs w:val="21"/>
                <w:highlight w:val="none"/>
              </w:rPr>
            </w:pPr>
            <w:r>
              <w:rPr>
                <w:rFonts w:hint="eastAsia" w:ascii="宋体" w:hAnsi="宋体"/>
                <w:szCs w:val="21"/>
                <w:highlight w:val="none"/>
              </w:rPr>
              <w:t>交 货 期</w:t>
            </w:r>
          </w:p>
        </w:tc>
        <w:tc>
          <w:tcPr>
            <w:tcW w:w="8430" w:type="dxa"/>
            <w:gridSpan w:val="5"/>
            <w:tcBorders>
              <w:top w:val="single" w:color="auto" w:sz="4" w:space="0"/>
              <w:left w:val="single" w:color="auto" w:sz="4" w:space="0"/>
              <w:bottom w:val="single" w:color="auto" w:sz="4" w:space="0"/>
              <w:right w:val="single" w:color="auto" w:sz="4" w:space="0"/>
            </w:tcBorders>
          </w:tcPr>
          <w:p w14:paraId="0F6BC83B">
            <w:pPr>
              <w:spacing w:line="0" w:lineRule="atLeast"/>
              <w:rPr>
                <w:rFonts w:ascii="宋体" w:hAnsi="宋体"/>
                <w:szCs w:val="21"/>
                <w:highlight w:val="none"/>
              </w:rPr>
            </w:pPr>
          </w:p>
        </w:tc>
      </w:tr>
      <w:tr w14:paraId="18A07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66D114AC">
            <w:pPr>
              <w:spacing w:line="0" w:lineRule="atLeast"/>
              <w:jc w:val="center"/>
              <w:rPr>
                <w:rFonts w:ascii="宋体" w:hAnsi="宋体"/>
                <w:szCs w:val="21"/>
                <w:highlight w:val="none"/>
              </w:rPr>
            </w:pPr>
          </w:p>
        </w:tc>
        <w:tc>
          <w:tcPr>
            <w:tcW w:w="8430" w:type="dxa"/>
            <w:gridSpan w:val="5"/>
            <w:tcBorders>
              <w:top w:val="single" w:color="auto" w:sz="4" w:space="0"/>
              <w:left w:val="single" w:color="auto" w:sz="4" w:space="0"/>
              <w:bottom w:val="single" w:color="auto" w:sz="4" w:space="0"/>
              <w:right w:val="single" w:color="auto" w:sz="4" w:space="0"/>
            </w:tcBorders>
          </w:tcPr>
          <w:p w14:paraId="29BB2416">
            <w:pPr>
              <w:spacing w:line="0" w:lineRule="atLeast"/>
              <w:rPr>
                <w:rFonts w:ascii="宋体" w:hAnsi="宋体"/>
                <w:szCs w:val="21"/>
                <w:highlight w:val="none"/>
              </w:rPr>
            </w:pPr>
          </w:p>
        </w:tc>
      </w:tr>
    </w:tbl>
    <w:p w14:paraId="07D62DE3">
      <w:pPr>
        <w:spacing w:line="480" w:lineRule="exact"/>
        <w:rPr>
          <w:rFonts w:ascii="宋体" w:hAnsi="宋体"/>
          <w:szCs w:val="21"/>
          <w:highlight w:val="none"/>
        </w:rPr>
      </w:pPr>
      <w:r>
        <w:rPr>
          <w:rFonts w:hint="eastAsia" w:ascii="宋体" w:hAnsi="宋体"/>
          <w:szCs w:val="21"/>
          <w:highlight w:val="none"/>
        </w:rPr>
        <w:t>投标人全称：（盖章或签字）</w:t>
      </w:r>
    </w:p>
    <w:p w14:paraId="2B09F5A4">
      <w:pPr>
        <w:spacing w:line="480" w:lineRule="exact"/>
        <w:rPr>
          <w:rFonts w:ascii="宋体" w:hAnsi="宋体"/>
          <w:szCs w:val="21"/>
          <w:highlight w:val="none"/>
        </w:rPr>
      </w:pPr>
      <w:r>
        <w:rPr>
          <w:rFonts w:hint="eastAsia" w:ascii="宋体" w:hAnsi="宋体"/>
          <w:szCs w:val="21"/>
          <w:highlight w:val="none"/>
        </w:rPr>
        <w:t>授权代表签字：</w:t>
      </w:r>
    </w:p>
    <w:p w14:paraId="5CB1DC7C">
      <w:pPr>
        <w:spacing w:line="480" w:lineRule="exact"/>
        <w:rPr>
          <w:rFonts w:ascii="宋体" w:hAnsi="宋体"/>
          <w:szCs w:val="21"/>
          <w:highlight w:val="none"/>
        </w:rPr>
      </w:pPr>
      <w:r>
        <w:rPr>
          <w:rFonts w:hint="eastAsia" w:ascii="宋体" w:hAnsi="宋体"/>
          <w:szCs w:val="21"/>
          <w:highlight w:val="none"/>
        </w:rPr>
        <w:t>日  期：</w:t>
      </w:r>
    </w:p>
    <w:p w14:paraId="7BBB289E">
      <w:pPr>
        <w:spacing w:line="480" w:lineRule="exact"/>
        <w:rPr>
          <w:rFonts w:ascii="宋体" w:hAnsi="宋体"/>
          <w:szCs w:val="21"/>
          <w:highlight w:val="none"/>
        </w:rPr>
      </w:pPr>
      <w:r>
        <w:rPr>
          <w:rFonts w:hint="eastAsia" w:ascii="宋体" w:hAnsi="宋体"/>
          <w:szCs w:val="21"/>
          <w:highlight w:val="none"/>
        </w:rPr>
        <w:t>说明：1、各投标单位须根据招标货物清单进行报单价和总价，且须对清单中未尽但项目必须的货物自动补齐，如有因缺漏项造成工程项目费用增加，由中标方承担；不得填报选择性报价方案；此价格含9%增值税。</w:t>
      </w:r>
    </w:p>
    <w:p w14:paraId="7EE939B7">
      <w:pPr>
        <w:spacing w:line="480" w:lineRule="exact"/>
        <w:ind w:firstLine="630" w:firstLineChars="300"/>
        <w:rPr>
          <w:rFonts w:ascii="宋体" w:hAnsi="宋体"/>
          <w:szCs w:val="21"/>
          <w:highlight w:val="none"/>
        </w:rPr>
      </w:pPr>
      <w:r>
        <w:rPr>
          <w:rFonts w:hint="eastAsia" w:ascii="宋体" w:hAnsi="宋体"/>
          <w:szCs w:val="21"/>
          <w:highlight w:val="none"/>
        </w:rPr>
        <w:t>2、此表一式两份，按招标文件要求封装，装入正本袋中。</w:t>
      </w:r>
    </w:p>
    <w:p w14:paraId="71C4D1C3">
      <w:pPr>
        <w:spacing w:line="480" w:lineRule="exact"/>
        <w:ind w:firstLine="630" w:firstLineChars="300"/>
        <w:rPr>
          <w:rFonts w:ascii="宋体" w:hAnsi="宋体"/>
          <w:szCs w:val="21"/>
          <w:highlight w:val="none"/>
        </w:rPr>
      </w:pPr>
      <w:r>
        <w:rPr>
          <w:rFonts w:hint="eastAsia" w:ascii="宋体" w:hAnsi="宋体"/>
          <w:szCs w:val="21"/>
          <w:highlight w:val="none"/>
        </w:rPr>
        <w:t>3、如因投标人填写有误，导致无法唱标，责任由投标人自负。</w:t>
      </w:r>
    </w:p>
    <w:p w14:paraId="164ABD1F">
      <w:pPr>
        <w:spacing w:line="560" w:lineRule="exact"/>
        <w:rPr>
          <w:rFonts w:ascii="楷体_GB2312" w:eastAsia="楷体_GB2312"/>
          <w:szCs w:val="21"/>
          <w:highlight w:val="none"/>
        </w:rPr>
      </w:pPr>
      <w:r>
        <w:rPr>
          <w:rFonts w:hint="eastAsia" w:ascii="楷体_GB2312" w:eastAsia="楷体_GB2312"/>
          <w:b/>
          <w:szCs w:val="21"/>
          <w:highlight w:val="none"/>
        </w:rPr>
        <w:br w:type="page"/>
      </w:r>
    </w:p>
    <w:p w14:paraId="0A6334D3">
      <w:pPr>
        <w:spacing w:line="560" w:lineRule="exact"/>
        <w:jc w:val="center"/>
        <w:rPr>
          <w:rFonts w:ascii="楷体_GB2312" w:eastAsia="楷体_GB2312"/>
          <w:b/>
          <w:sz w:val="28"/>
          <w:szCs w:val="28"/>
          <w:highlight w:val="none"/>
        </w:rPr>
      </w:pPr>
      <w:r>
        <w:rPr>
          <w:rFonts w:hint="eastAsia" w:ascii="楷体_GB2312" w:eastAsia="楷体_GB2312"/>
          <w:b/>
          <w:sz w:val="28"/>
          <w:szCs w:val="28"/>
          <w:highlight w:val="none"/>
        </w:rPr>
        <w:t>二、投标人资格证明文件</w:t>
      </w:r>
    </w:p>
    <w:p w14:paraId="66E0B874">
      <w:pPr>
        <w:spacing w:line="560" w:lineRule="exact"/>
        <w:rPr>
          <w:rFonts w:ascii="楷体_GB2312" w:eastAsia="楷体_GB2312"/>
          <w:sz w:val="28"/>
          <w:szCs w:val="28"/>
          <w:highlight w:val="none"/>
        </w:rPr>
      </w:pPr>
      <w:r>
        <w:rPr>
          <w:rFonts w:hint="eastAsia" w:ascii="黑体" w:eastAsia="黑体"/>
          <w:sz w:val="28"/>
          <w:szCs w:val="28"/>
          <w:highlight w:val="none"/>
        </w:rPr>
        <w:t>1.投标人概况</w:t>
      </w:r>
    </w:p>
    <w:p w14:paraId="752C0DC7">
      <w:pPr>
        <w:spacing w:line="560" w:lineRule="exact"/>
        <w:rPr>
          <w:rFonts w:ascii="宋体" w:hAnsi="宋体"/>
          <w:szCs w:val="21"/>
          <w:highlight w:val="none"/>
        </w:rPr>
      </w:pPr>
      <w:r>
        <w:rPr>
          <w:rFonts w:hint="eastAsia" w:ascii="宋体" w:hAnsi="宋体"/>
          <w:szCs w:val="21"/>
          <w:highlight w:val="none"/>
        </w:rPr>
        <w:t>（注：投标人简要历史、生产的主要产品或经营业务范围；组织机构、所属集（财）团等）</w:t>
      </w:r>
    </w:p>
    <w:p w14:paraId="510F87F5">
      <w:pPr>
        <w:spacing w:line="400" w:lineRule="exact"/>
        <w:rPr>
          <w:rFonts w:ascii="宋体" w:hAnsi="宋体"/>
          <w:szCs w:val="21"/>
          <w:highlight w:val="none"/>
        </w:rPr>
      </w:pPr>
    </w:p>
    <w:p w14:paraId="726D32CA">
      <w:pPr>
        <w:spacing w:line="560" w:lineRule="exact"/>
        <w:rPr>
          <w:rFonts w:ascii="黑体" w:eastAsia="黑体"/>
          <w:sz w:val="28"/>
          <w:szCs w:val="28"/>
          <w:highlight w:val="none"/>
        </w:rPr>
      </w:pPr>
      <w:r>
        <w:rPr>
          <w:rFonts w:hint="eastAsia" w:ascii="黑体" w:eastAsia="黑体"/>
          <w:sz w:val="28"/>
          <w:szCs w:val="28"/>
          <w:highlight w:val="none"/>
        </w:rPr>
        <w:t>2.营业执照等相关材料复印件</w:t>
      </w:r>
    </w:p>
    <w:p w14:paraId="0CDE1001">
      <w:pPr>
        <w:spacing w:line="560" w:lineRule="exact"/>
        <w:ind w:left="720"/>
        <w:rPr>
          <w:rFonts w:ascii="黑体" w:eastAsia="黑体"/>
          <w:sz w:val="28"/>
          <w:szCs w:val="28"/>
          <w:highlight w:val="none"/>
        </w:rPr>
      </w:pPr>
    </w:p>
    <w:p w14:paraId="50AF2046">
      <w:pPr>
        <w:spacing w:line="560" w:lineRule="exact"/>
        <w:rPr>
          <w:rFonts w:ascii="黑体" w:eastAsia="黑体"/>
          <w:sz w:val="28"/>
          <w:szCs w:val="28"/>
          <w:highlight w:val="none"/>
        </w:rPr>
      </w:pPr>
      <w:r>
        <w:rPr>
          <w:rFonts w:hint="eastAsia" w:ascii="黑体" w:eastAsia="黑体"/>
          <w:sz w:val="28"/>
          <w:szCs w:val="28"/>
          <w:highlight w:val="none"/>
        </w:rPr>
        <w:t>3.授权委托书(如有)</w:t>
      </w:r>
    </w:p>
    <w:p w14:paraId="5108BF8F">
      <w:pPr>
        <w:spacing w:line="560" w:lineRule="exact"/>
        <w:rPr>
          <w:rFonts w:ascii="楷体_GB2312" w:eastAsia="楷体_GB2312"/>
          <w:sz w:val="28"/>
          <w:szCs w:val="28"/>
          <w:highlight w:val="none"/>
        </w:rPr>
      </w:pPr>
    </w:p>
    <w:p w14:paraId="6F6E304F">
      <w:pPr>
        <w:spacing w:after="240" w:line="360" w:lineRule="auto"/>
        <w:jc w:val="center"/>
        <w:rPr>
          <w:rFonts w:ascii="宋体" w:hAnsi="宋体"/>
          <w:b/>
          <w:sz w:val="28"/>
          <w:szCs w:val="28"/>
          <w:highlight w:val="none"/>
        </w:rPr>
      </w:pPr>
      <w:r>
        <w:rPr>
          <w:rFonts w:hint="eastAsia" w:ascii="宋体" w:hAnsi="宋体"/>
          <w:b/>
          <w:sz w:val="28"/>
          <w:szCs w:val="28"/>
          <w:highlight w:val="none"/>
        </w:rPr>
        <w:t>授 权 委 托 书</w:t>
      </w:r>
    </w:p>
    <w:p w14:paraId="79338B87">
      <w:pPr>
        <w:topLinePunct/>
        <w:spacing w:line="360" w:lineRule="auto"/>
        <w:ind w:firstLine="420" w:firstLineChars="200"/>
        <w:rPr>
          <w:szCs w:val="21"/>
          <w:highlight w:val="none"/>
          <w:u w:val="single"/>
        </w:rPr>
      </w:pPr>
      <w:r>
        <w:rPr>
          <w:rFonts w:hint="eastAsia"/>
          <w:szCs w:val="21"/>
          <w:highlight w:val="none"/>
        </w:rPr>
        <w:t>本人（姓名）系（投标人名称）的法定代表人，现委托</w:t>
      </w:r>
    </w:p>
    <w:p w14:paraId="789F93BF">
      <w:pPr>
        <w:topLinePunct/>
        <w:spacing w:line="360" w:lineRule="auto"/>
        <w:rPr>
          <w:szCs w:val="21"/>
          <w:highlight w:val="none"/>
        </w:rPr>
      </w:pPr>
      <w:r>
        <w:rPr>
          <w:rFonts w:hint="eastAsia"/>
          <w:szCs w:val="21"/>
          <w:highlight w:val="none"/>
        </w:rPr>
        <w:t>（姓名）为我方代理人。代理人根据授权，以我方名义签署、澄清、说明、补正、递交、撤回、修改</w:t>
      </w:r>
      <w:r>
        <w:rPr>
          <w:rFonts w:hint="eastAsia" w:ascii="宋体" w:hAnsi="宋体"/>
          <w:szCs w:val="21"/>
          <w:highlight w:val="none"/>
        </w:rPr>
        <w:t>项目（项目名称）</w:t>
      </w:r>
      <w:r>
        <w:rPr>
          <w:rFonts w:hint="eastAsia"/>
          <w:szCs w:val="21"/>
          <w:highlight w:val="none"/>
        </w:rPr>
        <w:t>投标文件、签订合同和处理有关事宜，其法律后果由我方承担。</w:t>
      </w:r>
    </w:p>
    <w:p w14:paraId="1263D98B">
      <w:pPr>
        <w:spacing w:line="360" w:lineRule="auto"/>
        <w:rPr>
          <w:szCs w:val="21"/>
          <w:highlight w:val="none"/>
        </w:rPr>
      </w:pPr>
      <w:r>
        <w:rPr>
          <w:rFonts w:hint="eastAsia"/>
          <w:szCs w:val="21"/>
          <w:highlight w:val="none"/>
        </w:rPr>
        <w:t>代理人无转委托权。</w:t>
      </w:r>
    </w:p>
    <w:p w14:paraId="7A5BC64B">
      <w:pPr>
        <w:spacing w:line="360" w:lineRule="auto"/>
        <w:rPr>
          <w:szCs w:val="21"/>
          <w:highlight w:val="none"/>
        </w:rPr>
      </w:pPr>
    </w:p>
    <w:p w14:paraId="4AB1778F">
      <w:pPr>
        <w:spacing w:line="440" w:lineRule="exact"/>
        <w:rPr>
          <w:szCs w:val="21"/>
          <w:highlight w:val="none"/>
        </w:rPr>
      </w:pPr>
      <w:r>
        <w:rPr>
          <w:rFonts w:hint="eastAsia"/>
          <w:szCs w:val="21"/>
          <w:highlight w:val="none"/>
        </w:rPr>
        <w:t>投标人：（盖单位章）</w:t>
      </w:r>
    </w:p>
    <w:p w14:paraId="57A929A2">
      <w:pPr>
        <w:spacing w:line="440" w:lineRule="exact"/>
        <w:rPr>
          <w:szCs w:val="21"/>
          <w:highlight w:val="none"/>
        </w:rPr>
      </w:pPr>
    </w:p>
    <w:p w14:paraId="21092B17">
      <w:pPr>
        <w:spacing w:line="440" w:lineRule="exact"/>
        <w:rPr>
          <w:szCs w:val="21"/>
          <w:highlight w:val="none"/>
        </w:rPr>
      </w:pPr>
      <w:r>
        <w:rPr>
          <w:rFonts w:hint="eastAsia"/>
          <w:szCs w:val="21"/>
          <w:highlight w:val="none"/>
        </w:rPr>
        <w:t>法定代表人：（签字）</w:t>
      </w:r>
    </w:p>
    <w:p w14:paraId="4F627828">
      <w:pPr>
        <w:spacing w:line="440" w:lineRule="exact"/>
        <w:rPr>
          <w:szCs w:val="21"/>
          <w:highlight w:val="none"/>
        </w:rPr>
      </w:pPr>
    </w:p>
    <w:p w14:paraId="1DA8D121">
      <w:pPr>
        <w:spacing w:line="440" w:lineRule="exact"/>
        <w:rPr>
          <w:szCs w:val="21"/>
          <w:highlight w:val="none"/>
        </w:rPr>
      </w:pPr>
      <w:r>
        <w:rPr>
          <w:rFonts w:hint="eastAsia"/>
          <w:szCs w:val="21"/>
          <w:highlight w:val="none"/>
        </w:rPr>
        <w:t>身份证号码：</w:t>
      </w:r>
    </w:p>
    <w:p w14:paraId="52EFC3F9">
      <w:pPr>
        <w:spacing w:line="440" w:lineRule="exact"/>
        <w:rPr>
          <w:szCs w:val="21"/>
          <w:highlight w:val="none"/>
        </w:rPr>
      </w:pPr>
    </w:p>
    <w:p w14:paraId="0F2D165C">
      <w:pPr>
        <w:spacing w:line="440" w:lineRule="exact"/>
        <w:rPr>
          <w:szCs w:val="21"/>
          <w:highlight w:val="none"/>
        </w:rPr>
      </w:pPr>
      <w:r>
        <w:rPr>
          <w:rFonts w:hint="eastAsia"/>
          <w:szCs w:val="21"/>
          <w:highlight w:val="none"/>
        </w:rPr>
        <w:t>委托代理人：（签字）</w:t>
      </w:r>
    </w:p>
    <w:p w14:paraId="3E31CB55">
      <w:pPr>
        <w:spacing w:line="440" w:lineRule="exact"/>
        <w:rPr>
          <w:szCs w:val="21"/>
          <w:highlight w:val="none"/>
        </w:rPr>
      </w:pPr>
    </w:p>
    <w:p w14:paraId="78C3722B">
      <w:pPr>
        <w:spacing w:line="440" w:lineRule="exact"/>
        <w:rPr>
          <w:szCs w:val="21"/>
          <w:highlight w:val="none"/>
        </w:rPr>
      </w:pPr>
      <w:r>
        <w:rPr>
          <w:rFonts w:hint="eastAsia"/>
          <w:szCs w:val="21"/>
          <w:highlight w:val="none"/>
        </w:rPr>
        <w:t>身份证号码：附身份证复印件</w:t>
      </w:r>
    </w:p>
    <w:p w14:paraId="7B1BB3C6">
      <w:pPr>
        <w:spacing w:line="440" w:lineRule="exact"/>
        <w:rPr>
          <w:szCs w:val="21"/>
          <w:highlight w:val="none"/>
        </w:rPr>
      </w:pPr>
    </w:p>
    <w:p w14:paraId="274CAED1">
      <w:pPr>
        <w:spacing w:line="440" w:lineRule="exact"/>
        <w:rPr>
          <w:szCs w:val="21"/>
          <w:highlight w:val="none"/>
        </w:rPr>
      </w:pPr>
    </w:p>
    <w:p w14:paraId="168E2C4B">
      <w:pPr>
        <w:spacing w:line="560" w:lineRule="exact"/>
        <w:rPr>
          <w:rFonts w:ascii="楷体_GB2312" w:eastAsia="楷体_GB2312"/>
          <w:szCs w:val="21"/>
          <w:highlight w:val="none"/>
        </w:rPr>
      </w:pPr>
      <w:r>
        <w:rPr>
          <w:rFonts w:hint="eastAsia"/>
          <w:szCs w:val="21"/>
          <w:highlight w:val="none"/>
        </w:rPr>
        <w:t>年月日</w:t>
      </w:r>
    </w:p>
    <w:p w14:paraId="59E8E675">
      <w:pPr>
        <w:spacing w:line="560" w:lineRule="exact"/>
        <w:rPr>
          <w:rFonts w:ascii="楷体_GB2312" w:eastAsia="楷体_GB2312"/>
          <w:szCs w:val="21"/>
          <w:highlight w:val="none"/>
        </w:rPr>
      </w:pPr>
    </w:p>
    <w:p w14:paraId="37487EEF">
      <w:pPr>
        <w:spacing w:line="560" w:lineRule="exact"/>
        <w:jc w:val="center"/>
        <w:rPr>
          <w:rFonts w:ascii="楷体_GB2312" w:eastAsia="楷体_GB2312"/>
          <w:szCs w:val="21"/>
          <w:highlight w:val="none"/>
        </w:rPr>
      </w:pPr>
    </w:p>
    <w:p w14:paraId="3F4210A1">
      <w:pPr>
        <w:spacing w:line="560" w:lineRule="exact"/>
        <w:rPr>
          <w:rFonts w:ascii="楷体_GB2312" w:eastAsia="楷体_GB2312"/>
          <w:b/>
          <w:sz w:val="28"/>
          <w:szCs w:val="28"/>
          <w:highlight w:val="none"/>
        </w:rPr>
      </w:pPr>
      <w:r>
        <w:rPr>
          <w:rFonts w:hint="eastAsia" w:ascii="楷体_GB2312" w:eastAsia="楷体_GB2312"/>
          <w:b/>
          <w:sz w:val="28"/>
          <w:szCs w:val="28"/>
          <w:highlight w:val="none"/>
        </w:rPr>
        <w:t>三、证明软件的合格性和符合招标文件规定的文件</w:t>
      </w:r>
    </w:p>
    <w:p w14:paraId="1CF0BF17">
      <w:pPr>
        <w:spacing w:line="560" w:lineRule="exact"/>
        <w:rPr>
          <w:rFonts w:ascii="楷体_GB2312" w:eastAsia="楷体_GB2312"/>
          <w:sz w:val="28"/>
          <w:szCs w:val="28"/>
          <w:highlight w:val="none"/>
        </w:rPr>
      </w:pPr>
    </w:p>
    <w:p w14:paraId="4991130C">
      <w:pPr>
        <w:spacing w:line="560" w:lineRule="exact"/>
        <w:rPr>
          <w:rFonts w:ascii="楷体_GB2312" w:eastAsia="楷体_GB2312"/>
          <w:sz w:val="28"/>
          <w:szCs w:val="28"/>
          <w:highlight w:val="none"/>
        </w:rPr>
      </w:pPr>
    </w:p>
    <w:p w14:paraId="5FD0EB4A">
      <w:pPr>
        <w:spacing w:line="560" w:lineRule="exact"/>
        <w:rPr>
          <w:rFonts w:ascii="宋体" w:hAnsi="宋体"/>
          <w:b/>
          <w:sz w:val="28"/>
          <w:szCs w:val="28"/>
          <w:highlight w:val="none"/>
        </w:rPr>
      </w:pPr>
      <w:r>
        <w:rPr>
          <w:rFonts w:hint="eastAsia" w:ascii="黑体" w:eastAsia="黑体"/>
          <w:sz w:val="28"/>
          <w:szCs w:val="28"/>
          <w:highlight w:val="none"/>
        </w:rPr>
        <w:t>1.有关部门的检测报告</w:t>
      </w:r>
    </w:p>
    <w:p w14:paraId="2AF315AE">
      <w:pPr>
        <w:spacing w:line="560" w:lineRule="exact"/>
        <w:rPr>
          <w:rFonts w:ascii="宋体" w:hAnsi="宋体"/>
          <w:b/>
          <w:sz w:val="28"/>
          <w:szCs w:val="28"/>
          <w:highlight w:val="none"/>
        </w:rPr>
      </w:pPr>
    </w:p>
    <w:p w14:paraId="5410BA10">
      <w:pPr>
        <w:spacing w:line="560" w:lineRule="exact"/>
        <w:rPr>
          <w:rFonts w:ascii="黑体" w:eastAsia="黑体"/>
          <w:sz w:val="28"/>
          <w:szCs w:val="28"/>
          <w:highlight w:val="none"/>
        </w:rPr>
      </w:pPr>
      <w:r>
        <w:rPr>
          <w:rFonts w:hint="eastAsia" w:ascii="黑体" w:eastAsia="黑体"/>
          <w:sz w:val="28"/>
          <w:szCs w:val="28"/>
          <w:highlight w:val="none"/>
        </w:rPr>
        <w:t>2.制造商授权书</w:t>
      </w:r>
    </w:p>
    <w:p w14:paraId="60F22658">
      <w:pPr>
        <w:spacing w:line="720" w:lineRule="exact"/>
        <w:jc w:val="center"/>
        <w:rPr>
          <w:rFonts w:ascii="宋体" w:hAnsi="宋体"/>
          <w:b/>
          <w:szCs w:val="21"/>
          <w:highlight w:val="none"/>
        </w:rPr>
      </w:pPr>
    </w:p>
    <w:p w14:paraId="0FDCE21C">
      <w:pPr>
        <w:spacing w:line="560" w:lineRule="exact"/>
        <w:rPr>
          <w:rFonts w:ascii="宋体" w:hAnsi="宋体"/>
          <w:szCs w:val="21"/>
          <w:highlight w:val="none"/>
        </w:rPr>
      </w:pPr>
      <w:r>
        <w:rPr>
          <w:rFonts w:hint="eastAsia" w:ascii="宋体" w:hAnsi="宋体"/>
          <w:szCs w:val="21"/>
          <w:highlight w:val="none"/>
          <w:u w:val="single"/>
        </w:rPr>
        <w:t>江苏长江水务股份有限公司</w:t>
      </w:r>
      <w:r>
        <w:rPr>
          <w:rFonts w:hint="eastAsia" w:ascii="宋体" w:hAnsi="宋体"/>
          <w:szCs w:val="21"/>
          <w:highlight w:val="none"/>
        </w:rPr>
        <w:t>：</w:t>
      </w:r>
    </w:p>
    <w:p w14:paraId="407D3CED">
      <w:pPr>
        <w:spacing w:line="560" w:lineRule="exact"/>
        <w:rPr>
          <w:rFonts w:ascii="宋体" w:hAnsi="宋体"/>
          <w:szCs w:val="21"/>
          <w:highlight w:val="none"/>
        </w:rPr>
      </w:pPr>
    </w:p>
    <w:p w14:paraId="28662CAC">
      <w:pPr>
        <w:rPr>
          <w:rFonts w:ascii="宋体" w:hAnsi="宋体"/>
          <w:szCs w:val="21"/>
          <w:highlight w:val="none"/>
        </w:rPr>
      </w:pPr>
      <w:r>
        <w:rPr>
          <w:rFonts w:hint="eastAsia" w:ascii="宋体" w:hAnsi="宋体"/>
          <w:szCs w:val="21"/>
          <w:highlight w:val="none"/>
        </w:rPr>
        <w:t xml:space="preserve">    位于</w:t>
      </w:r>
      <w:r>
        <w:rPr>
          <w:rFonts w:hint="eastAsia" w:ascii="宋体" w:hAnsi="宋体"/>
          <w:szCs w:val="21"/>
          <w:highlight w:val="none"/>
          <w:u w:val="single"/>
        </w:rPr>
        <w:t>（制造厂家地址）</w:t>
      </w:r>
      <w:r>
        <w:rPr>
          <w:rFonts w:hint="eastAsia" w:ascii="宋体" w:hAnsi="宋体"/>
          <w:szCs w:val="21"/>
          <w:highlight w:val="none"/>
        </w:rPr>
        <w:t>的</w:t>
      </w:r>
      <w:r>
        <w:rPr>
          <w:rFonts w:hint="eastAsia" w:ascii="宋体" w:hAnsi="宋体"/>
          <w:szCs w:val="21"/>
          <w:highlight w:val="none"/>
          <w:u w:val="single"/>
        </w:rPr>
        <w:t>（制造厂家名称）</w:t>
      </w:r>
      <w:r>
        <w:rPr>
          <w:rFonts w:hint="eastAsia" w:ascii="宋体" w:hAnsi="宋体"/>
          <w:szCs w:val="21"/>
          <w:highlight w:val="none"/>
        </w:rPr>
        <w:t>是有声望的制造（货物名称和描述）的制造者，在此</w:t>
      </w:r>
      <w:r>
        <w:rPr>
          <w:rFonts w:hint="eastAsia" w:ascii="宋体" w:hAnsi="宋体"/>
          <w:szCs w:val="21"/>
          <w:highlight w:val="none"/>
          <w:u w:val="single"/>
        </w:rPr>
        <w:t>（投标公司名称及地址）</w:t>
      </w:r>
      <w:r>
        <w:rPr>
          <w:rFonts w:hint="eastAsia" w:ascii="宋体" w:hAnsi="宋体"/>
          <w:szCs w:val="21"/>
          <w:highlight w:val="none"/>
        </w:rPr>
        <w:t>用我厂制造的货物递交投标文件，并与买方进行后续合同谈判和签订合同。</w:t>
      </w:r>
    </w:p>
    <w:p w14:paraId="00BBD463">
      <w:pPr>
        <w:spacing w:line="560" w:lineRule="exact"/>
        <w:rPr>
          <w:rFonts w:ascii="宋体" w:hAnsi="宋体"/>
          <w:szCs w:val="21"/>
          <w:highlight w:val="none"/>
        </w:rPr>
      </w:pPr>
      <w:r>
        <w:rPr>
          <w:rFonts w:hint="eastAsia" w:ascii="宋体" w:hAnsi="宋体"/>
          <w:szCs w:val="21"/>
          <w:highlight w:val="none"/>
        </w:rPr>
        <w:t xml:space="preserve">    我方在此保证为上述公司响应本次招标项目提供的货物提供质量保证。</w:t>
      </w:r>
    </w:p>
    <w:p w14:paraId="7F42A263">
      <w:pPr>
        <w:spacing w:line="560" w:lineRule="exact"/>
        <w:rPr>
          <w:rFonts w:ascii="宋体" w:hAnsi="宋体"/>
          <w:szCs w:val="21"/>
          <w:highlight w:val="none"/>
        </w:rPr>
      </w:pPr>
      <w:r>
        <w:rPr>
          <w:rFonts w:ascii="Arial" w:hAnsi="Arial" w:cs="Arial"/>
          <w:szCs w:val="21"/>
          <w:highlight w:val="none"/>
        </w:rPr>
        <w:t>本授权书于</w:t>
      </w:r>
      <w:r>
        <w:rPr>
          <w:rFonts w:ascii="Arial" w:hAnsi="Arial" w:cs="Arial"/>
          <w:szCs w:val="21"/>
          <w:highlight w:val="none"/>
          <w:u w:val="single"/>
        </w:rPr>
        <w:t>20</w:t>
      </w:r>
      <w:r>
        <w:rPr>
          <w:rFonts w:hint="eastAsia" w:ascii="Arial" w:hAnsi="Arial" w:cs="Arial"/>
          <w:szCs w:val="21"/>
          <w:highlight w:val="none"/>
          <w:u w:val="single"/>
        </w:rPr>
        <w:t>24</w:t>
      </w:r>
      <w:r>
        <w:rPr>
          <w:rFonts w:ascii="Arial" w:hAnsi="Arial" w:cs="Arial"/>
          <w:szCs w:val="21"/>
          <w:highlight w:val="none"/>
        </w:rPr>
        <w:t>年月日签字生效，特此声明。</w:t>
      </w:r>
    </w:p>
    <w:p w14:paraId="6FEF7E8C">
      <w:pPr>
        <w:spacing w:line="560" w:lineRule="exact"/>
        <w:rPr>
          <w:rFonts w:ascii="宋体" w:hAnsi="宋体"/>
          <w:szCs w:val="21"/>
          <w:highlight w:val="none"/>
        </w:rPr>
      </w:pPr>
    </w:p>
    <w:p w14:paraId="3B758DD8">
      <w:pPr>
        <w:spacing w:line="560" w:lineRule="exact"/>
        <w:rPr>
          <w:rFonts w:ascii="宋体" w:hAnsi="宋体"/>
          <w:szCs w:val="21"/>
          <w:highlight w:val="none"/>
        </w:rPr>
      </w:pPr>
    </w:p>
    <w:p w14:paraId="5321B9EA">
      <w:pPr>
        <w:spacing w:line="560" w:lineRule="exact"/>
        <w:rPr>
          <w:rFonts w:ascii="宋体" w:hAnsi="宋体"/>
          <w:szCs w:val="21"/>
          <w:highlight w:val="none"/>
        </w:rPr>
      </w:pPr>
      <w:r>
        <w:rPr>
          <w:rFonts w:hint="eastAsia" w:ascii="宋体" w:hAnsi="宋体"/>
          <w:szCs w:val="21"/>
          <w:highlight w:val="none"/>
        </w:rPr>
        <w:t xml:space="preserve">                                         制造厂家：</w:t>
      </w:r>
    </w:p>
    <w:p w14:paraId="0E4CE16E">
      <w:pPr>
        <w:spacing w:line="560" w:lineRule="exact"/>
        <w:rPr>
          <w:rFonts w:ascii="宋体" w:hAnsi="宋体"/>
          <w:szCs w:val="21"/>
          <w:highlight w:val="none"/>
        </w:rPr>
      </w:pPr>
      <w:r>
        <w:rPr>
          <w:rFonts w:hint="eastAsia" w:ascii="宋体" w:hAnsi="宋体"/>
          <w:szCs w:val="21"/>
          <w:highlight w:val="none"/>
        </w:rPr>
        <w:t xml:space="preserve">                                     授权代表签字：</w:t>
      </w:r>
    </w:p>
    <w:p w14:paraId="2A676D65">
      <w:pPr>
        <w:spacing w:line="560" w:lineRule="exact"/>
        <w:rPr>
          <w:rFonts w:ascii="宋体" w:hAnsi="宋体"/>
          <w:szCs w:val="21"/>
          <w:highlight w:val="none"/>
        </w:rPr>
      </w:pPr>
      <w:r>
        <w:rPr>
          <w:rFonts w:hint="eastAsia" w:ascii="宋体" w:hAnsi="宋体"/>
          <w:szCs w:val="21"/>
          <w:highlight w:val="none"/>
        </w:rPr>
        <w:t xml:space="preserve">                                            职务：</w:t>
      </w:r>
    </w:p>
    <w:p w14:paraId="4463828A">
      <w:pPr>
        <w:spacing w:line="560" w:lineRule="exact"/>
        <w:jc w:val="center"/>
        <w:rPr>
          <w:rFonts w:ascii="宋体" w:hAnsi="宋体"/>
          <w:szCs w:val="21"/>
          <w:highlight w:val="none"/>
        </w:rPr>
      </w:pPr>
      <w:r>
        <w:rPr>
          <w:rFonts w:hint="eastAsia" w:ascii="宋体" w:hAnsi="宋体"/>
          <w:szCs w:val="21"/>
          <w:highlight w:val="none"/>
        </w:rPr>
        <w:t xml:space="preserve">              日期：</w:t>
      </w:r>
    </w:p>
    <w:p w14:paraId="68B0D3ED">
      <w:pPr>
        <w:rPr>
          <w:szCs w:val="21"/>
          <w:highlight w:val="none"/>
        </w:rPr>
      </w:pPr>
    </w:p>
    <w:p w14:paraId="11894F1F">
      <w:pPr>
        <w:spacing w:line="560" w:lineRule="exact"/>
        <w:rPr>
          <w:rFonts w:ascii="黑体" w:eastAsia="黑体"/>
          <w:szCs w:val="21"/>
          <w:highlight w:val="none"/>
        </w:rPr>
      </w:pPr>
    </w:p>
    <w:p w14:paraId="0A4C7188">
      <w:pPr>
        <w:spacing w:line="560" w:lineRule="exact"/>
        <w:rPr>
          <w:rFonts w:ascii="黑体" w:eastAsia="黑体"/>
          <w:szCs w:val="21"/>
          <w:highlight w:val="none"/>
        </w:rPr>
      </w:pPr>
    </w:p>
    <w:p w14:paraId="204A706D">
      <w:pPr>
        <w:spacing w:line="560" w:lineRule="exact"/>
        <w:rPr>
          <w:rFonts w:ascii="黑体" w:eastAsia="黑体"/>
          <w:sz w:val="28"/>
          <w:szCs w:val="28"/>
          <w:highlight w:val="none"/>
        </w:rPr>
      </w:pPr>
      <w:r>
        <w:rPr>
          <w:rFonts w:hint="eastAsia" w:ascii="黑体" w:eastAsia="黑体"/>
          <w:sz w:val="28"/>
          <w:szCs w:val="28"/>
          <w:highlight w:val="none"/>
        </w:rPr>
        <w:t>3.软件响应表格式</w:t>
      </w:r>
    </w:p>
    <w:p w14:paraId="4C950E59">
      <w:pPr>
        <w:spacing w:line="560" w:lineRule="exact"/>
        <w:jc w:val="center"/>
        <w:rPr>
          <w:rFonts w:ascii="宋体" w:hAnsi="宋体"/>
          <w:sz w:val="28"/>
          <w:szCs w:val="28"/>
          <w:highlight w:val="none"/>
        </w:rPr>
      </w:pPr>
      <w:r>
        <w:rPr>
          <w:rFonts w:hint="eastAsia" w:ascii="宋体" w:hAnsi="宋体"/>
          <w:sz w:val="28"/>
          <w:szCs w:val="28"/>
          <w:highlight w:val="none"/>
        </w:rPr>
        <w:t>软件技术要求响应表</w:t>
      </w:r>
    </w:p>
    <w:p w14:paraId="32A67A70">
      <w:pPr>
        <w:spacing w:line="560" w:lineRule="exact"/>
        <w:rPr>
          <w:rFonts w:ascii="宋体" w:hAnsi="宋体"/>
          <w:szCs w:val="21"/>
          <w:highlight w:val="none"/>
          <w:u w:val="single"/>
        </w:rPr>
      </w:pPr>
      <w:r>
        <w:rPr>
          <w:rFonts w:hint="eastAsia" w:ascii="宋体" w:hAnsi="宋体"/>
          <w:szCs w:val="21"/>
          <w:highlight w:val="none"/>
        </w:rPr>
        <w:t>投标人名称：   招标编号： 标段号：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2198"/>
        <w:gridCol w:w="2198"/>
        <w:gridCol w:w="1867"/>
        <w:gridCol w:w="2675"/>
      </w:tblGrid>
      <w:tr w14:paraId="7FEF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79" w:type="dxa"/>
            <w:tcBorders>
              <w:top w:val="single" w:color="auto" w:sz="4" w:space="0"/>
              <w:left w:val="single" w:color="auto" w:sz="4" w:space="0"/>
              <w:bottom w:val="single" w:color="auto" w:sz="4" w:space="0"/>
              <w:right w:val="single" w:color="auto" w:sz="4" w:space="0"/>
            </w:tcBorders>
          </w:tcPr>
          <w:p w14:paraId="40A6C47F">
            <w:pPr>
              <w:spacing w:line="560" w:lineRule="exact"/>
              <w:jc w:val="center"/>
              <w:rPr>
                <w:rFonts w:ascii="宋体" w:hAnsi="宋体"/>
                <w:szCs w:val="21"/>
                <w:highlight w:val="none"/>
              </w:rPr>
            </w:pPr>
            <w:r>
              <w:rPr>
                <w:rFonts w:hint="eastAsia" w:ascii="宋体" w:hAnsi="宋体"/>
                <w:szCs w:val="21"/>
                <w:highlight w:val="none"/>
              </w:rPr>
              <w:t>序号</w:t>
            </w:r>
          </w:p>
        </w:tc>
        <w:tc>
          <w:tcPr>
            <w:tcW w:w="2198" w:type="dxa"/>
            <w:tcBorders>
              <w:top w:val="single" w:color="auto" w:sz="4" w:space="0"/>
              <w:left w:val="single" w:color="auto" w:sz="4" w:space="0"/>
              <w:bottom w:val="single" w:color="auto" w:sz="4" w:space="0"/>
              <w:right w:val="single" w:color="auto" w:sz="4" w:space="0"/>
            </w:tcBorders>
          </w:tcPr>
          <w:p w14:paraId="38493EB2">
            <w:pPr>
              <w:spacing w:line="560" w:lineRule="exact"/>
              <w:jc w:val="center"/>
              <w:rPr>
                <w:rFonts w:ascii="宋体" w:hAnsi="宋体"/>
                <w:szCs w:val="21"/>
                <w:highlight w:val="none"/>
              </w:rPr>
            </w:pPr>
            <w:r>
              <w:rPr>
                <w:rFonts w:hint="eastAsia" w:ascii="宋体" w:hAnsi="宋体"/>
                <w:szCs w:val="21"/>
                <w:highlight w:val="none"/>
              </w:rPr>
              <w:t>标书技术要求</w:t>
            </w:r>
          </w:p>
        </w:tc>
        <w:tc>
          <w:tcPr>
            <w:tcW w:w="2198" w:type="dxa"/>
            <w:tcBorders>
              <w:top w:val="single" w:color="auto" w:sz="4" w:space="0"/>
              <w:left w:val="single" w:color="auto" w:sz="4" w:space="0"/>
              <w:bottom w:val="single" w:color="auto" w:sz="4" w:space="0"/>
              <w:right w:val="single" w:color="auto" w:sz="4" w:space="0"/>
            </w:tcBorders>
          </w:tcPr>
          <w:p w14:paraId="7F7F2007">
            <w:pPr>
              <w:spacing w:line="560" w:lineRule="exact"/>
              <w:jc w:val="center"/>
              <w:rPr>
                <w:rFonts w:ascii="宋体" w:hAnsi="宋体"/>
                <w:szCs w:val="21"/>
                <w:highlight w:val="none"/>
              </w:rPr>
            </w:pPr>
            <w:r>
              <w:rPr>
                <w:rFonts w:hint="eastAsia" w:ascii="宋体" w:hAnsi="宋体"/>
                <w:szCs w:val="21"/>
                <w:highlight w:val="none"/>
              </w:rPr>
              <w:t>投标技术要求</w:t>
            </w:r>
          </w:p>
        </w:tc>
        <w:tc>
          <w:tcPr>
            <w:tcW w:w="1867" w:type="dxa"/>
            <w:tcBorders>
              <w:top w:val="single" w:color="auto" w:sz="4" w:space="0"/>
              <w:left w:val="single" w:color="auto" w:sz="4" w:space="0"/>
              <w:bottom w:val="single" w:color="auto" w:sz="4" w:space="0"/>
              <w:right w:val="single" w:color="auto" w:sz="4" w:space="0"/>
            </w:tcBorders>
          </w:tcPr>
          <w:p w14:paraId="1B83164A">
            <w:pPr>
              <w:spacing w:line="560" w:lineRule="exact"/>
              <w:jc w:val="center"/>
              <w:rPr>
                <w:rFonts w:ascii="宋体" w:hAnsi="宋体"/>
                <w:szCs w:val="21"/>
                <w:highlight w:val="none"/>
              </w:rPr>
            </w:pPr>
            <w:r>
              <w:rPr>
                <w:rFonts w:hint="eastAsia" w:ascii="宋体" w:hAnsi="宋体"/>
                <w:szCs w:val="21"/>
                <w:highlight w:val="none"/>
              </w:rPr>
              <w:t>偏离与否</w:t>
            </w:r>
          </w:p>
        </w:tc>
        <w:tc>
          <w:tcPr>
            <w:tcW w:w="2675" w:type="dxa"/>
            <w:tcBorders>
              <w:top w:val="single" w:color="auto" w:sz="4" w:space="0"/>
              <w:left w:val="single" w:color="auto" w:sz="4" w:space="0"/>
              <w:bottom w:val="single" w:color="auto" w:sz="4" w:space="0"/>
              <w:right w:val="single" w:color="auto" w:sz="4" w:space="0"/>
            </w:tcBorders>
          </w:tcPr>
          <w:p w14:paraId="7D23648E">
            <w:pPr>
              <w:spacing w:line="560" w:lineRule="exact"/>
              <w:jc w:val="center"/>
              <w:rPr>
                <w:rFonts w:ascii="宋体" w:hAnsi="宋体"/>
                <w:szCs w:val="21"/>
                <w:highlight w:val="none"/>
              </w:rPr>
            </w:pPr>
            <w:r>
              <w:rPr>
                <w:rFonts w:hint="eastAsia" w:ascii="宋体" w:hAnsi="宋体"/>
                <w:szCs w:val="21"/>
                <w:highlight w:val="none"/>
              </w:rPr>
              <w:t>说 明</w:t>
            </w:r>
          </w:p>
        </w:tc>
      </w:tr>
      <w:tr w14:paraId="1EBD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8" w:hRule="atLeast"/>
        </w:trPr>
        <w:tc>
          <w:tcPr>
            <w:tcW w:w="979" w:type="dxa"/>
            <w:tcBorders>
              <w:top w:val="single" w:color="auto" w:sz="4" w:space="0"/>
              <w:left w:val="single" w:color="auto" w:sz="4" w:space="0"/>
              <w:bottom w:val="single" w:color="auto" w:sz="4" w:space="0"/>
              <w:right w:val="single" w:color="auto" w:sz="4" w:space="0"/>
            </w:tcBorders>
          </w:tcPr>
          <w:p w14:paraId="05DE3160">
            <w:pPr>
              <w:spacing w:line="560" w:lineRule="exact"/>
              <w:rPr>
                <w:rFonts w:ascii="宋体" w:hAnsi="宋体"/>
                <w:szCs w:val="21"/>
                <w:highlight w:val="none"/>
              </w:rPr>
            </w:pPr>
          </w:p>
        </w:tc>
        <w:tc>
          <w:tcPr>
            <w:tcW w:w="2198" w:type="dxa"/>
            <w:tcBorders>
              <w:top w:val="single" w:color="auto" w:sz="4" w:space="0"/>
              <w:left w:val="single" w:color="auto" w:sz="4" w:space="0"/>
              <w:bottom w:val="single" w:color="auto" w:sz="4" w:space="0"/>
              <w:right w:val="single" w:color="auto" w:sz="4" w:space="0"/>
            </w:tcBorders>
          </w:tcPr>
          <w:p w14:paraId="568F89C0">
            <w:pPr>
              <w:rPr>
                <w:szCs w:val="21"/>
                <w:highlight w:val="none"/>
              </w:rPr>
            </w:pPr>
          </w:p>
        </w:tc>
        <w:tc>
          <w:tcPr>
            <w:tcW w:w="2198" w:type="dxa"/>
            <w:tcBorders>
              <w:top w:val="single" w:color="auto" w:sz="4" w:space="0"/>
              <w:left w:val="single" w:color="auto" w:sz="4" w:space="0"/>
              <w:bottom w:val="single" w:color="auto" w:sz="4" w:space="0"/>
              <w:right w:val="single" w:color="auto" w:sz="4" w:space="0"/>
            </w:tcBorders>
          </w:tcPr>
          <w:p w14:paraId="450124BD">
            <w:pPr>
              <w:spacing w:line="560" w:lineRule="exact"/>
              <w:rPr>
                <w:rFonts w:ascii="宋体" w:hAnsi="宋体"/>
                <w:szCs w:val="21"/>
                <w:highlight w:val="none"/>
              </w:rPr>
            </w:pPr>
          </w:p>
        </w:tc>
        <w:tc>
          <w:tcPr>
            <w:tcW w:w="1867" w:type="dxa"/>
            <w:tcBorders>
              <w:top w:val="single" w:color="auto" w:sz="4" w:space="0"/>
              <w:left w:val="single" w:color="auto" w:sz="4" w:space="0"/>
              <w:bottom w:val="single" w:color="auto" w:sz="4" w:space="0"/>
              <w:right w:val="single" w:color="auto" w:sz="4" w:space="0"/>
            </w:tcBorders>
          </w:tcPr>
          <w:p w14:paraId="4293C502">
            <w:pPr>
              <w:spacing w:line="560" w:lineRule="exact"/>
              <w:rPr>
                <w:rFonts w:ascii="宋体" w:hAnsi="宋体"/>
                <w:szCs w:val="21"/>
                <w:highlight w:val="none"/>
              </w:rPr>
            </w:pPr>
          </w:p>
          <w:p w14:paraId="3A80DC4B">
            <w:pPr>
              <w:spacing w:line="560" w:lineRule="exact"/>
              <w:rPr>
                <w:rFonts w:ascii="宋体" w:hAnsi="宋体"/>
                <w:szCs w:val="21"/>
                <w:highlight w:val="none"/>
              </w:rPr>
            </w:pPr>
          </w:p>
          <w:p w14:paraId="5244E041">
            <w:pPr>
              <w:spacing w:line="560" w:lineRule="exact"/>
              <w:rPr>
                <w:rFonts w:ascii="宋体" w:hAnsi="宋体"/>
                <w:szCs w:val="21"/>
                <w:highlight w:val="none"/>
              </w:rPr>
            </w:pPr>
          </w:p>
          <w:p w14:paraId="4FB365D5">
            <w:pPr>
              <w:spacing w:line="560" w:lineRule="exact"/>
              <w:rPr>
                <w:rFonts w:ascii="宋体" w:hAnsi="宋体"/>
                <w:szCs w:val="21"/>
                <w:highlight w:val="none"/>
              </w:rPr>
            </w:pPr>
          </w:p>
          <w:p w14:paraId="1044CEDE">
            <w:pPr>
              <w:spacing w:line="560" w:lineRule="exact"/>
              <w:rPr>
                <w:rFonts w:ascii="宋体" w:hAnsi="宋体"/>
                <w:szCs w:val="21"/>
                <w:highlight w:val="none"/>
              </w:rPr>
            </w:pPr>
          </w:p>
          <w:p w14:paraId="0B2E52B5">
            <w:pPr>
              <w:spacing w:line="560" w:lineRule="exact"/>
              <w:rPr>
                <w:rFonts w:ascii="宋体" w:hAnsi="宋体"/>
                <w:szCs w:val="21"/>
                <w:highlight w:val="none"/>
              </w:rPr>
            </w:pPr>
          </w:p>
          <w:p w14:paraId="4DF6E3E7">
            <w:pPr>
              <w:spacing w:line="560" w:lineRule="exact"/>
              <w:rPr>
                <w:rFonts w:ascii="宋体" w:hAnsi="宋体"/>
                <w:szCs w:val="21"/>
                <w:highlight w:val="none"/>
              </w:rPr>
            </w:pPr>
          </w:p>
          <w:p w14:paraId="3307AF4E">
            <w:pPr>
              <w:spacing w:line="560" w:lineRule="exact"/>
              <w:rPr>
                <w:rFonts w:ascii="宋体" w:hAnsi="宋体"/>
                <w:szCs w:val="21"/>
                <w:highlight w:val="none"/>
              </w:rPr>
            </w:pPr>
          </w:p>
          <w:p w14:paraId="5E75E4B7">
            <w:pPr>
              <w:spacing w:line="560" w:lineRule="exact"/>
              <w:rPr>
                <w:rFonts w:ascii="宋体" w:hAnsi="宋体"/>
                <w:szCs w:val="21"/>
                <w:highlight w:val="none"/>
              </w:rPr>
            </w:pPr>
          </w:p>
          <w:p w14:paraId="4FCCA91F">
            <w:pPr>
              <w:spacing w:line="560" w:lineRule="exact"/>
              <w:rPr>
                <w:rFonts w:ascii="宋体" w:hAnsi="宋体"/>
                <w:szCs w:val="21"/>
                <w:highlight w:val="none"/>
              </w:rPr>
            </w:pPr>
          </w:p>
          <w:p w14:paraId="272CAAD8">
            <w:pPr>
              <w:spacing w:line="560" w:lineRule="exact"/>
              <w:rPr>
                <w:rFonts w:ascii="宋体" w:hAnsi="宋体"/>
                <w:szCs w:val="21"/>
                <w:highlight w:val="none"/>
              </w:rPr>
            </w:pPr>
          </w:p>
          <w:p w14:paraId="313E8974">
            <w:pPr>
              <w:spacing w:line="560" w:lineRule="exact"/>
              <w:rPr>
                <w:rFonts w:ascii="宋体" w:hAnsi="宋体"/>
                <w:szCs w:val="21"/>
                <w:highlight w:val="none"/>
              </w:rPr>
            </w:pPr>
          </w:p>
          <w:p w14:paraId="3ADDEC0C">
            <w:pPr>
              <w:spacing w:line="560" w:lineRule="exact"/>
              <w:rPr>
                <w:rFonts w:ascii="宋体" w:hAnsi="宋体"/>
                <w:szCs w:val="21"/>
                <w:highlight w:val="none"/>
              </w:rPr>
            </w:pPr>
          </w:p>
          <w:p w14:paraId="091652BD">
            <w:pPr>
              <w:spacing w:line="560" w:lineRule="exact"/>
              <w:rPr>
                <w:rFonts w:ascii="宋体" w:hAnsi="宋体"/>
                <w:szCs w:val="21"/>
                <w:highlight w:val="none"/>
              </w:rPr>
            </w:pPr>
          </w:p>
          <w:p w14:paraId="34ECE8C6">
            <w:pPr>
              <w:spacing w:line="560" w:lineRule="exact"/>
              <w:rPr>
                <w:rFonts w:ascii="宋体" w:hAnsi="宋体"/>
                <w:szCs w:val="21"/>
                <w:highlight w:val="none"/>
              </w:rPr>
            </w:pPr>
          </w:p>
          <w:p w14:paraId="3559D41C">
            <w:pPr>
              <w:spacing w:line="560" w:lineRule="exact"/>
              <w:rPr>
                <w:rFonts w:ascii="宋体" w:hAnsi="宋体"/>
                <w:szCs w:val="21"/>
                <w:highlight w:val="none"/>
              </w:rPr>
            </w:pPr>
          </w:p>
          <w:p w14:paraId="0213DBEE">
            <w:pPr>
              <w:spacing w:line="560" w:lineRule="exact"/>
              <w:rPr>
                <w:rFonts w:ascii="宋体" w:hAnsi="宋体"/>
                <w:szCs w:val="21"/>
                <w:highlight w:val="none"/>
              </w:rPr>
            </w:pPr>
          </w:p>
        </w:tc>
        <w:tc>
          <w:tcPr>
            <w:tcW w:w="2675" w:type="dxa"/>
            <w:tcBorders>
              <w:top w:val="single" w:color="auto" w:sz="4" w:space="0"/>
              <w:left w:val="single" w:color="auto" w:sz="4" w:space="0"/>
              <w:bottom w:val="single" w:color="auto" w:sz="4" w:space="0"/>
              <w:right w:val="single" w:color="auto" w:sz="4" w:space="0"/>
            </w:tcBorders>
          </w:tcPr>
          <w:p w14:paraId="7DA921C3">
            <w:pPr>
              <w:widowControl/>
              <w:jc w:val="left"/>
              <w:rPr>
                <w:rFonts w:ascii="宋体" w:hAnsi="宋体"/>
                <w:szCs w:val="21"/>
                <w:highlight w:val="none"/>
              </w:rPr>
            </w:pPr>
          </w:p>
          <w:p w14:paraId="221F9879">
            <w:pPr>
              <w:widowControl/>
              <w:jc w:val="left"/>
              <w:rPr>
                <w:rFonts w:ascii="宋体" w:hAnsi="宋体"/>
                <w:szCs w:val="21"/>
                <w:highlight w:val="none"/>
              </w:rPr>
            </w:pPr>
          </w:p>
          <w:p w14:paraId="356B4930">
            <w:pPr>
              <w:widowControl/>
              <w:jc w:val="left"/>
              <w:rPr>
                <w:rFonts w:ascii="宋体" w:hAnsi="宋体"/>
                <w:szCs w:val="21"/>
                <w:highlight w:val="none"/>
              </w:rPr>
            </w:pPr>
          </w:p>
          <w:p w14:paraId="7D2BF673">
            <w:pPr>
              <w:widowControl/>
              <w:jc w:val="left"/>
              <w:rPr>
                <w:rFonts w:ascii="宋体" w:hAnsi="宋体"/>
                <w:szCs w:val="21"/>
                <w:highlight w:val="none"/>
              </w:rPr>
            </w:pPr>
          </w:p>
          <w:p w14:paraId="1E3790B5">
            <w:pPr>
              <w:widowControl/>
              <w:jc w:val="left"/>
              <w:rPr>
                <w:rFonts w:ascii="宋体" w:hAnsi="宋体"/>
                <w:szCs w:val="21"/>
                <w:highlight w:val="none"/>
              </w:rPr>
            </w:pPr>
          </w:p>
          <w:p w14:paraId="259F994C">
            <w:pPr>
              <w:widowControl/>
              <w:jc w:val="left"/>
              <w:rPr>
                <w:rFonts w:ascii="宋体" w:hAnsi="宋体"/>
                <w:szCs w:val="21"/>
                <w:highlight w:val="none"/>
              </w:rPr>
            </w:pPr>
          </w:p>
          <w:p w14:paraId="4F5A3901">
            <w:pPr>
              <w:widowControl/>
              <w:jc w:val="left"/>
              <w:rPr>
                <w:rFonts w:ascii="宋体" w:hAnsi="宋体"/>
                <w:szCs w:val="21"/>
                <w:highlight w:val="none"/>
              </w:rPr>
            </w:pPr>
          </w:p>
          <w:p w14:paraId="4ADE013C">
            <w:pPr>
              <w:widowControl/>
              <w:jc w:val="left"/>
              <w:rPr>
                <w:rFonts w:ascii="宋体" w:hAnsi="宋体"/>
                <w:szCs w:val="21"/>
                <w:highlight w:val="none"/>
              </w:rPr>
            </w:pPr>
          </w:p>
          <w:p w14:paraId="3CB45DD7">
            <w:pPr>
              <w:widowControl/>
              <w:jc w:val="left"/>
              <w:rPr>
                <w:rFonts w:ascii="宋体" w:hAnsi="宋体"/>
                <w:szCs w:val="21"/>
                <w:highlight w:val="none"/>
              </w:rPr>
            </w:pPr>
          </w:p>
          <w:p w14:paraId="44F5CD2F">
            <w:pPr>
              <w:widowControl/>
              <w:jc w:val="left"/>
              <w:rPr>
                <w:rFonts w:ascii="宋体" w:hAnsi="宋体"/>
                <w:szCs w:val="21"/>
                <w:highlight w:val="none"/>
              </w:rPr>
            </w:pPr>
          </w:p>
          <w:p w14:paraId="6A96664D">
            <w:pPr>
              <w:widowControl/>
              <w:jc w:val="left"/>
              <w:rPr>
                <w:rFonts w:ascii="宋体" w:hAnsi="宋体"/>
                <w:szCs w:val="21"/>
                <w:highlight w:val="none"/>
              </w:rPr>
            </w:pPr>
          </w:p>
          <w:p w14:paraId="77A1FFE0">
            <w:pPr>
              <w:widowControl/>
              <w:jc w:val="left"/>
              <w:rPr>
                <w:rFonts w:ascii="宋体" w:hAnsi="宋体"/>
                <w:szCs w:val="21"/>
                <w:highlight w:val="none"/>
              </w:rPr>
            </w:pPr>
          </w:p>
          <w:p w14:paraId="6673AA44">
            <w:pPr>
              <w:widowControl/>
              <w:jc w:val="left"/>
              <w:rPr>
                <w:rFonts w:ascii="宋体" w:hAnsi="宋体"/>
                <w:szCs w:val="21"/>
                <w:highlight w:val="none"/>
              </w:rPr>
            </w:pPr>
          </w:p>
          <w:p w14:paraId="6E438766">
            <w:pPr>
              <w:widowControl/>
              <w:jc w:val="left"/>
              <w:rPr>
                <w:rFonts w:ascii="宋体" w:hAnsi="宋体"/>
                <w:szCs w:val="21"/>
                <w:highlight w:val="none"/>
              </w:rPr>
            </w:pPr>
          </w:p>
          <w:p w14:paraId="4C1E7FF4">
            <w:pPr>
              <w:widowControl/>
              <w:jc w:val="left"/>
              <w:rPr>
                <w:rFonts w:ascii="宋体" w:hAnsi="宋体"/>
                <w:szCs w:val="21"/>
                <w:highlight w:val="none"/>
              </w:rPr>
            </w:pPr>
          </w:p>
          <w:p w14:paraId="35C3F0D9">
            <w:pPr>
              <w:widowControl/>
              <w:jc w:val="left"/>
              <w:rPr>
                <w:rFonts w:ascii="宋体" w:hAnsi="宋体"/>
                <w:szCs w:val="21"/>
                <w:highlight w:val="none"/>
              </w:rPr>
            </w:pPr>
          </w:p>
          <w:p w14:paraId="3B06F76E">
            <w:pPr>
              <w:widowControl/>
              <w:jc w:val="left"/>
              <w:rPr>
                <w:rFonts w:ascii="宋体" w:hAnsi="宋体"/>
                <w:szCs w:val="21"/>
                <w:highlight w:val="none"/>
              </w:rPr>
            </w:pPr>
          </w:p>
          <w:p w14:paraId="79CA3D95">
            <w:pPr>
              <w:widowControl/>
              <w:jc w:val="left"/>
              <w:rPr>
                <w:rFonts w:ascii="宋体" w:hAnsi="宋体"/>
                <w:szCs w:val="21"/>
                <w:highlight w:val="none"/>
              </w:rPr>
            </w:pPr>
          </w:p>
          <w:p w14:paraId="0A0706EE">
            <w:pPr>
              <w:widowControl/>
              <w:jc w:val="left"/>
              <w:rPr>
                <w:rFonts w:ascii="宋体" w:hAnsi="宋体"/>
                <w:szCs w:val="21"/>
                <w:highlight w:val="none"/>
              </w:rPr>
            </w:pPr>
          </w:p>
          <w:p w14:paraId="4FF81244">
            <w:pPr>
              <w:spacing w:line="560" w:lineRule="exact"/>
              <w:rPr>
                <w:rFonts w:ascii="宋体" w:hAnsi="宋体"/>
                <w:szCs w:val="21"/>
                <w:highlight w:val="none"/>
              </w:rPr>
            </w:pPr>
          </w:p>
        </w:tc>
      </w:tr>
    </w:tbl>
    <w:p w14:paraId="0C235549">
      <w:pPr>
        <w:spacing w:line="560" w:lineRule="exact"/>
        <w:jc w:val="center"/>
        <w:rPr>
          <w:rFonts w:ascii="宋体" w:hAnsi="宋体"/>
          <w:szCs w:val="21"/>
          <w:highlight w:val="none"/>
        </w:rPr>
      </w:pPr>
    </w:p>
    <w:p w14:paraId="1A20E07C">
      <w:pPr>
        <w:spacing w:line="560" w:lineRule="exact"/>
        <w:rPr>
          <w:rFonts w:ascii="楷体_GB2312" w:eastAsia="楷体_GB2312"/>
          <w:szCs w:val="21"/>
          <w:highlight w:val="none"/>
          <w:u w:val="single"/>
        </w:rPr>
      </w:pPr>
      <w:r>
        <w:rPr>
          <w:rFonts w:hint="eastAsia" w:ascii="宋体" w:hAnsi="宋体"/>
          <w:szCs w:val="21"/>
          <w:highlight w:val="none"/>
        </w:rPr>
        <w:t>投标人代表签字：</w:t>
      </w:r>
    </w:p>
    <w:p w14:paraId="55C067D7">
      <w:pPr>
        <w:spacing w:line="560" w:lineRule="exact"/>
        <w:rPr>
          <w:rFonts w:ascii="黑体" w:eastAsia="黑体"/>
          <w:szCs w:val="21"/>
          <w:highlight w:val="none"/>
        </w:rPr>
      </w:pPr>
    </w:p>
    <w:p w14:paraId="00588E6A">
      <w:pPr>
        <w:spacing w:line="560" w:lineRule="exact"/>
        <w:rPr>
          <w:rFonts w:ascii="黑体" w:eastAsia="黑体"/>
          <w:szCs w:val="21"/>
          <w:highlight w:val="none"/>
        </w:rPr>
      </w:pPr>
    </w:p>
    <w:p w14:paraId="3FBBB777">
      <w:pPr>
        <w:spacing w:line="560" w:lineRule="exact"/>
        <w:rPr>
          <w:rFonts w:ascii="黑体" w:eastAsia="黑体"/>
          <w:sz w:val="28"/>
          <w:szCs w:val="28"/>
          <w:highlight w:val="none"/>
        </w:rPr>
      </w:pPr>
      <w:r>
        <w:rPr>
          <w:rFonts w:hint="eastAsia" w:ascii="黑体" w:eastAsia="黑体"/>
          <w:sz w:val="28"/>
          <w:szCs w:val="28"/>
          <w:highlight w:val="none"/>
        </w:rPr>
        <w:t>4.商务条款偏离表</w:t>
      </w:r>
    </w:p>
    <w:p w14:paraId="624BCFCA">
      <w:pPr>
        <w:spacing w:line="560" w:lineRule="exact"/>
        <w:rPr>
          <w:rFonts w:ascii="宋体" w:hAnsi="宋体"/>
          <w:szCs w:val="21"/>
          <w:highlight w:val="none"/>
          <w:u w:val="single"/>
        </w:rPr>
      </w:pPr>
      <w:r>
        <w:rPr>
          <w:rFonts w:hint="eastAsia" w:ascii="宋体" w:hAnsi="宋体"/>
          <w:szCs w:val="21"/>
          <w:highlight w:val="none"/>
        </w:rPr>
        <w:t>投标人名称：   招标编号：   标度号：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1960"/>
        <w:gridCol w:w="1960"/>
        <w:gridCol w:w="1960"/>
        <w:gridCol w:w="1960"/>
      </w:tblGrid>
      <w:tr w14:paraId="17286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60" w:type="dxa"/>
            <w:tcBorders>
              <w:top w:val="single" w:color="auto" w:sz="4" w:space="0"/>
              <w:left w:val="single" w:color="auto" w:sz="4" w:space="0"/>
              <w:bottom w:val="single" w:color="auto" w:sz="4" w:space="0"/>
              <w:right w:val="single" w:color="auto" w:sz="4" w:space="0"/>
            </w:tcBorders>
          </w:tcPr>
          <w:p w14:paraId="640E9B20">
            <w:pPr>
              <w:spacing w:line="560" w:lineRule="exact"/>
              <w:jc w:val="center"/>
              <w:rPr>
                <w:rFonts w:ascii="宋体" w:hAnsi="宋体"/>
                <w:szCs w:val="21"/>
                <w:highlight w:val="none"/>
              </w:rPr>
            </w:pPr>
            <w:r>
              <w:rPr>
                <w:rFonts w:hint="eastAsia" w:ascii="宋体" w:hAnsi="宋体"/>
                <w:szCs w:val="21"/>
                <w:highlight w:val="none"/>
              </w:rPr>
              <w:t>序  号</w:t>
            </w:r>
          </w:p>
        </w:tc>
        <w:tc>
          <w:tcPr>
            <w:tcW w:w="1960" w:type="dxa"/>
            <w:tcBorders>
              <w:top w:val="single" w:color="auto" w:sz="4" w:space="0"/>
              <w:left w:val="single" w:color="auto" w:sz="4" w:space="0"/>
              <w:bottom w:val="single" w:color="auto" w:sz="4" w:space="0"/>
              <w:right w:val="single" w:color="auto" w:sz="4" w:space="0"/>
            </w:tcBorders>
          </w:tcPr>
          <w:p w14:paraId="02C38487">
            <w:pPr>
              <w:spacing w:line="560" w:lineRule="exact"/>
              <w:jc w:val="center"/>
              <w:rPr>
                <w:rFonts w:ascii="宋体" w:hAnsi="宋体"/>
                <w:szCs w:val="21"/>
                <w:highlight w:val="none"/>
              </w:rPr>
            </w:pPr>
            <w:r>
              <w:rPr>
                <w:rFonts w:hint="eastAsia" w:ascii="宋体" w:hAnsi="宋体"/>
                <w:szCs w:val="21"/>
                <w:highlight w:val="none"/>
              </w:rPr>
              <w:t>标书要求的商务条款</w:t>
            </w:r>
          </w:p>
        </w:tc>
        <w:tc>
          <w:tcPr>
            <w:tcW w:w="1960" w:type="dxa"/>
            <w:tcBorders>
              <w:top w:val="single" w:color="auto" w:sz="4" w:space="0"/>
              <w:left w:val="single" w:color="auto" w:sz="4" w:space="0"/>
              <w:bottom w:val="single" w:color="auto" w:sz="4" w:space="0"/>
              <w:right w:val="single" w:color="auto" w:sz="4" w:space="0"/>
            </w:tcBorders>
          </w:tcPr>
          <w:p w14:paraId="595459CB">
            <w:pPr>
              <w:spacing w:line="560" w:lineRule="exact"/>
              <w:jc w:val="center"/>
              <w:rPr>
                <w:rFonts w:ascii="宋体" w:hAnsi="宋体"/>
                <w:szCs w:val="21"/>
                <w:highlight w:val="none"/>
              </w:rPr>
            </w:pPr>
            <w:r>
              <w:rPr>
                <w:rFonts w:hint="eastAsia" w:ascii="宋体" w:hAnsi="宋体"/>
                <w:szCs w:val="21"/>
                <w:highlight w:val="none"/>
              </w:rPr>
              <w:t>投标文件的商务条款</w:t>
            </w:r>
          </w:p>
        </w:tc>
        <w:tc>
          <w:tcPr>
            <w:tcW w:w="1960" w:type="dxa"/>
            <w:tcBorders>
              <w:top w:val="single" w:color="auto" w:sz="4" w:space="0"/>
              <w:left w:val="single" w:color="auto" w:sz="4" w:space="0"/>
              <w:bottom w:val="single" w:color="auto" w:sz="4" w:space="0"/>
              <w:right w:val="single" w:color="auto" w:sz="4" w:space="0"/>
            </w:tcBorders>
          </w:tcPr>
          <w:p w14:paraId="079AC79F">
            <w:pPr>
              <w:spacing w:line="560" w:lineRule="exact"/>
              <w:jc w:val="center"/>
              <w:rPr>
                <w:rFonts w:ascii="宋体" w:hAnsi="宋体"/>
                <w:szCs w:val="21"/>
                <w:highlight w:val="none"/>
              </w:rPr>
            </w:pPr>
            <w:r>
              <w:rPr>
                <w:rFonts w:hint="eastAsia" w:ascii="宋体" w:hAnsi="宋体"/>
                <w:szCs w:val="21"/>
                <w:highlight w:val="none"/>
              </w:rPr>
              <w:t>偏离与否</w:t>
            </w:r>
          </w:p>
        </w:tc>
        <w:tc>
          <w:tcPr>
            <w:tcW w:w="1960" w:type="dxa"/>
            <w:tcBorders>
              <w:top w:val="single" w:color="auto" w:sz="4" w:space="0"/>
              <w:left w:val="single" w:color="auto" w:sz="4" w:space="0"/>
              <w:bottom w:val="single" w:color="auto" w:sz="4" w:space="0"/>
              <w:right w:val="single" w:color="auto" w:sz="4" w:space="0"/>
            </w:tcBorders>
          </w:tcPr>
          <w:p w14:paraId="0AB85B9C">
            <w:pPr>
              <w:spacing w:line="560" w:lineRule="exact"/>
              <w:jc w:val="center"/>
              <w:rPr>
                <w:rFonts w:ascii="宋体" w:hAnsi="宋体"/>
                <w:szCs w:val="21"/>
                <w:highlight w:val="none"/>
              </w:rPr>
            </w:pPr>
            <w:r>
              <w:rPr>
                <w:rFonts w:hint="eastAsia" w:ascii="宋体" w:hAnsi="宋体"/>
                <w:szCs w:val="21"/>
                <w:highlight w:val="none"/>
              </w:rPr>
              <w:t>说 明</w:t>
            </w:r>
          </w:p>
        </w:tc>
      </w:tr>
      <w:tr w14:paraId="5B8B3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0CE9863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B68F6F3">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F0FB13B">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F16012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9A014CE">
            <w:pPr>
              <w:spacing w:line="560" w:lineRule="exact"/>
              <w:rPr>
                <w:rFonts w:ascii="宋体" w:hAnsi="宋体"/>
                <w:szCs w:val="21"/>
                <w:highlight w:val="none"/>
              </w:rPr>
            </w:pPr>
          </w:p>
        </w:tc>
      </w:tr>
      <w:tr w14:paraId="1663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11138124">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8C8822A">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5EEDA0BB">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6B488EF">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7EF6A6DD">
            <w:pPr>
              <w:spacing w:line="560" w:lineRule="exact"/>
              <w:rPr>
                <w:rFonts w:ascii="宋体" w:hAnsi="宋体"/>
                <w:szCs w:val="21"/>
                <w:highlight w:val="none"/>
              </w:rPr>
            </w:pPr>
          </w:p>
        </w:tc>
      </w:tr>
      <w:tr w14:paraId="24E1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457B08A4">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9803BFC">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F45B574">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C64D19A">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5DBA3C9">
            <w:pPr>
              <w:spacing w:line="560" w:lineRule="exact"/>
              <w:rPr>
                <w:rFonts w:ascii="宋体" w:hAnsi="宋体"/>
                <w:szCs w:val="21"/>
                <w:highlight w:val="none"/>
              </w:rPr>
            </w:pPr>
          </w:p>
        </w:tc>
      </w:tr>
      <w:tr w14:paraId="6496A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239A1011">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57A4DB83">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BD7371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7B234A8">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5BB4925">
            <w:pPr>
              <w:spacing w:line="560" w:lineRule="exact"/>
              <w:rPr>
                <w:rFonts w:ascii="宋体" w:hAnsi="宋体"/>
                <w:szCs w:val="21"/>
                <w:highlight w:val="none"/>
              </w:rPr>
            </w:pPr>
          </w:p>
        </w:tc>
      </w:tr>
      <w:tr w14:paraId="7A20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13F68403">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7A10F69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692C430">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E3B34A5">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8420F49">
            <w:pPr>
              <w:spacing w:line="560" w:lineRule="exact"/>
              <w:rPr>
                <w:rFonts w:ascii="宋体" w:hAnsi="宋体"/>
                <w:szCs w:val="21"/>
                <w:highlight w:val="none"/>
              </w:rPr>
            </w:pPr>
          </w:p>
        </w:tc>
      </w:tr>
      <w:tr w14:paraId="7C12F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57259A08">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2DA8BE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4AE1A3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CF6FB6E">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B16108F">
            <w:pPr>
              <w:spacing w:line="560" w:lineRule="exact"/>
              <w:rPr>
                <w:rFonts w:ascii="宋体" w:hAnsi="宋体"/>
                <w:szCs w:val="21"/>
                <w:highlight w:val="none"/>
              </w:rPr>
            </w:pPr>
          </w:p>
        </w:tc>
      </w:tr>
      <w:tr w14:paraId="65A2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0AE5374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13BAE2A0">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1359A7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5C6EDB0">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19894A75">
            <w:pPr>
              <w:spacing w:line="560" w:lineRule="exact"/>
              <w:rPr>
                <w:rFonts w:ascii="宋体" w:hAnsi="宋体"/>
                <w:szCs w:val="21"/>
                <w:highlight w:val="none"/>
              </w:rPr>
            </w:pPr>
          </w:p>
        </w:tc>
      </w:tr>
      <w:tr w14:paraId="3A8E3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1F8ACE4F">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1B687913">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1AD94B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64C0463">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C5A0506">
            <w:pPr>
              <w:spacing w:line="560" w:lineRule="exact"/>
              <w:rPr>
                <w:rFonts w:ascii="宋体" w:hAnsi="宋体"/>
                <w:szCs w:val="21"/>
                <w:highlight w:val="none"/>
              </w:rPr>
            </w:pPr>
          </w:p>
        </w:tc>
      </w:tr>
      <w:tr w14:paraId="59FCF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74BE4075">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C5CA21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EBC76EF">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13CF953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A9B2366">
            <w:pPr>
              <w:spacing w:line="560" w:lineRule="exact"/>
              <w:rPr>
                <w:rFonts w:ascii="宋体" w:hAnsi="宋体"/>
                <w:szCs w:val="21"/>
                <w:highlight w:val="none"/>
              </w:rPr>
            </w:pPr>
          </w:p>
        </w:tc>
      </w:tr>
      <w:tr w14:paraId="3CDF4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33AFB78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A5A0930">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2C1358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162752F">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1ACBDCA6">
            <w:pPr>
              <w:spacing w:line="560" w:lineRule="exact"/>
              <w:rPr>
                <w:rFonts w:ascii="宋体" w:hAnsi="宋体"/>
                <w:szCs w:val="21"/>
                <w:highlight w:val="none"/>
              </w:rPr>
            </w:pPr>
          </w:p>
        </w:tc>
      </w:tr>
      <w:tr w14:paraId="350DF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53222C65">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CC858F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744B11A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5DE3DF8">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DAA0B0A">
            <w:pPr>
              <w:spacing w:line="560" w:lineRule="exact"/>
              <w:rPr>
                <w:rFonts w:ascii="宋体" w:hAnsi="宋体"/>
                <w:szCs w:val="21"/>
                <w:highlight w:val="none"/>
              </w:rPr>
            </w:pPr>
          </w:p>
        </w:tc>
      </w:tr>
      <w:tr w14:paraId="2A9C2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729608C3">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D51209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050472E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2F9A5B7">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1AA60A2">
            <w:pPr>
              <w:spacing w:line="560" w:lineRule="exact"/>
              <w:rPr>
                <w:rFonts w:ascii="宋体" w:hAnsi="宋体"/>
                <w:szCs w:val="21"/>
                <w:highlight w:val="none"/>
              </w:rPr>
            </w:pPr>
          </w:p>
        </w:tc>
      </w:tr>
      <w:tr w14:paraId="07DD3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36C3DF3E">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81D2564">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1250677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5E367EE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ABA0A35">
            <w:pPr>
              <w:spacing w:line="560" w:lineRule="exact"/>
              <w:rPr>
                <w:rFonts w:ascii="宋体" w:hAnsi="宋体"/>
                <w:szCs w:val="21"/>
                <w:highlight w:val="none"/>
              </w:rPr>
            </w:pPr>
          </w:p>
        </w:tc>
      </w:tr>
      <w:tr w14:paraId="5121E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4B5E9D71">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ED91379">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57F27E42">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4E780FD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571D3905">
            <w:pPr>
              <w:spacing w:line="560" w:lineRule="exact"/>
              <w:rPr>
                <w:rFonts w:ascii="宋体" w:hAnsi="宋体"/>
                <w:szCs w:val="21"/>
                <w:highlight w:val="none"/>
              </w:rPr>
            </w:pPr>
          </w:p>
        </w:tc>
      </w:tr>
      <w:tr w14:paraId="04759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06B710BE">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80412FE">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77073394">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3C66B7CC">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99D4C96">
            <w:pPr>
              <w:spacing w:line="560" w:lineRule="exact"/>
              <w:rPr>
                <w:rFonts w:ascii="宋体" w:hAnsi="宋体"/>
                <w:szCs w:val="21"/>
                <w:highlight w:val="none"/>
              </w:rPr>
            </w:pPr>
          </w:p>
        </w:tc>
      </w:tr>
      <w:tr w14:paraId="7A350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960" w:type="dxa"/>
            <w:tcBorders>
              <w:top w:val="single" w:color="auto" w:sz="4" w:space="0"/>
              <w:left w:val="single" w:color="auto" w:sz="4" w:space="0"/>
              <w:bottom w:val="single" w:color="auto" w:sz="4" w:space="0"/>
              <w:right w:val="single" w:color="auto" w:sz="4" w:space="0"/>
            </w:tcBorders>
          </w:tcPr>
          <w:p w14:paraId="37F2440A">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7E150F08">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22644D1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5DA5A636">
            <w:pPr>
              <w:spacing w:line="560" w:lineRule="exact"/>
              <w:rPr>
                <w:rFonts w:ascii="宋体" w:hAnsi="宋体"/>
                <w:szCs w:val="21"/>
                <w:highlight w:val="none"/>
              </w:rPr>
            </w:pPr>
          </w:p>
        </w:tc>
        <w:tc>
          <w:tcPr>
            <w:tcW w:w="1960" w:type="dxa"/>
            <w:tcBorders>
              <w:top w:val="single" w:color="auto" w:sz="4" w:space="0"/>
              <w:left w:val="single" w:color="auto" w:sz="4" w:space="0"/>
              <w:bottom w:val="single" w:color="auto" w:sz="4" w:space="0"/>
              <w:right w:val="single" w:color="auto" w:sz="4" w:space="0"/>
            </w:tcBorders>
          </w:tcPr>
          <w:p w14:paraId="6B0C2741">
            <w:pPr>
              <w:spacing w:line="560" w:lineRule="exact"/>
              <w:rPr>
                <w:rFonts w:ascii="宋体" w:hAnsi="宋体"/>
                <w:szCs w:val="21"/>
                <w:highlight w:val="none"/>
              </w:rPr>
            </w:pPr>
          </w:p>
        </w:tc>
      </w:tr>
    </w:tbl>
    <w:p w14:paraId="089214AD">
      <w:pPr>
        <w:pStyle w:val="8"/>
        <w:rPr>
          <w:rFonts w:ascii="黑体" w:eastAsia="黑体"/>
          <w:sz w:val="21"/>
          <w:szCs w:val="21"/>
          <w:highlight w:val="none"/>
        </w:rPr>
      </w:pPr>
      <w:r>
        <w:rPr>
          <w:rFonts w:hint="eastAsia" w:ascii="宋体" w:hAnsi="宋体" w:eastAsia="宋体"/>
          <w:sz w:val="21"/>
          <w:szCs w:val="21"/>
          <w:highlight w:val="none"/>
        </w:rPr>
        <w:t>投标人名称：</w:t>
      </w:r>
      <w:r>
        <w:rPr>
          <w:rFonts w:hint="eastAsia" w:ascii="黑体" w:eastAsia="黑体"/>
          <w:sz w:val="21"/>
          <w:szCs w:val="21"/>
          <w:highlight w:val="none"/>
        </w:rPr>
        <w:br w:type="page"/>
      </w:r>
    </w:p>
    <w:p w14:paraId="0F2319DD">
      <w:pPr>
        <w:spacing w:line="560" w:lineRule="exact"/>
        <w:rPr>
          <w:rFonts w:ascii="黑体" w:eastAsia="黑体"/>
          <w:sz w:val="28"/>
          <w:szCs w:val="28"/>
          <w:highlight w:val="none"/>
        </w:rPr>
      </w:pPr>
      <w:r>
        <w:rPr>
          <w:rFonts w:hint="eastAsia" w:ascii="黑体" w:eastAsia="黑体"/>
          <w:sz w:val="28"/>
          <w:szCs w:val="28"/>
          <w:highlight w:val="none"/>
        </w:rPr>
        <w:t>5.服  务</w:t>
      </w:r>
    </w:p>
    <w:p w14:paraId="21715E25">
      <w:pPr>
        <w:spacing w:line="560" w:lineRule="exact"/>
        <w:rPr>
          <w:rFonts w:ascii="宋体" w:hAnsi="宋体"/>
          <w:szCs w:val="21"/>
          <w:highlight w:val="none"/>
        </w:rPr>
      </w:pPr>
      <w:r>
        <w:rPr>
          <w:rFonts w:hint="eastAsia" w:ascii="宋体" w:hAnsi="宋体"/>
          <w:szCs w:val="21"/>
          <w:highlight w:val="none"/>
        </w:rPr>
        <w:t>注：1、投标人可提供的培训、售后服务等技术服务情况。</w:t>
      </w:r>
    </w:p>
    <w:p w14:paraId="4CCD03EB">
      <w:pPr>
        <w:spacing w:line="560" w:lineRule="exact"/>
        <w:rPr>
          <w:rFonts w:ascii="宋体" w:hAnsi="宋体"/>
          <w:szCs w:val="21"/>
          <w:highlight w:val="none"/>
        </w:rPr>
      </w:pPr>
      <w:r>
        <w:rPr>
          <w:rFonts w:hint="eastAsia" w:ascii="宋体" w:hAnsi="宋体"/>
          <w:szCs w:val="21"/>
          <w:highlight w:val="none"/>
        </w:rPr>
        <w:t xml:space="preserve">    2、须提供培训、售后服务等详细计划，包括时间、人员等安排，及须买方预先做的准备工作等（如有）。</w:t>
      </w:r>
    </w:p>
    <w:p w14:paraId="2451C003">
      <w:pPr>
        <w:spacing w:line="440" w:lineRule="exact"/>
        <w:rPr>
          <w:rFonts w:ascii="仿宋_GB2312" w:hAnsi="宋体" w:eastAsia="仿宋_GB2312"/>
          <w:b/>
          <w:szCs w:val="21"/>
          <w:highlight w:val="none"/>
        </w:rPr>
      </w:pPr>
    </w:p>
    <w:p w14:paraId="68A8338F">
      <w:pPr>
        <w:spacing w:line="440" w:lineRule="exact"/>
        <w:ind w:firstLine="422" w:firstLineChars="200"/>
        <w:jc w:val="center"/>
        <w:rPr>
          <w:rFonts w:ascii="仿宋_GB2312" w:hAnsi="宋体" w:eastAsia="仿宋_GB2312"/>
          <w:b/>
          <w:szCs w:val="21"/>
          <w:highlight w:val="none"/>
        </w:rPr>
      </w:pPr>
    </w:p>
    <w:p w14:paraId="7390BF29">
      <w:pPr>
        <w:spacing w:line="440" w:lineRule="exact"/>
        <w:ind w:firstLine="422" w:firstLineChars="200"/>
        <w:jc w:val="center"/>
        <w:rPr>
          <w:rFonts w:ascii="仿宋_GB2312" w:hAnsi="宋体" w:eastAsia="仿宋_GB2312"/>
          <w:b/>
          <w:szCs w:val="21"/>
          <w:highlight w:val="none"/>
        </w:rPr>
      </w:pPr>
    </w:p>
    <w:p w14:paraId="530F178B">
      <w:pPr>
        <w:rPr>
          <w:highlight w:val="none"/>
        </w:rPr>
      </w:pPr>
    </w:p>
    <w:p w14:paraId="4EFA868D">
      <w:pPr>
        <w:rPr>
          <w:highlight w:val="none"/>
        </w:rPr>
      </w:pPr>
    </w:p>
    <w:bookmarkEnd w:id="99"/>
    <w:sectPr>
      <w:pgSz w:w="11906" w:h="16838"/>
      <w:pgMar w:top="1440" w:right="567" w:bottom="14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创艺简仿宋">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Neue">
    <w:altName w:val="Segoe UI"/>
    <w:panose1 w:val="00000000000000000000"/>
    <w:charset w:val="00"/>
    <w:family w:val="auto"/>
    <w:pitch w:val="default"/>
    <w:sig w:usb0="00000000" w:usb1="00000000" w:usb2="00000010" w:usb3="00000000" w:csb0="00000000" w:csb1="00000000"/>
  </w:font>
  <w:font w:name="Segoe UI">
    <w:panose1 w:val="020B0502040204020203"/>
    <w:charset w:val="00"/>
    <w:family w:val="auto"/>
    <w:pitch w:val="default"/>
    <w:sig w:usb0="E4002EFF" w:usb1="C000E47F" w:usb2="00000009" w:usb3="00000000" w:csb0="200001FF" w:csb1="00000000"/>
  </w:font>
  <w:font w:name="宋体-简">
    <w:altName w:val="宋体"/>
    <w:panose1 w:val="00000000000000000000"/>
    <w:charset w:val="86"/>
    <w:family w:val="auto"/>
    <w:pitch w:val="default"/>
    <w:sig w:usb0="00000000" w:usb1="00000000" w:usb2="00000010" w:usb3="00000000" w:csb0="0004009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C0B48">
    <w:pPr>
      <w:pStyle w:val="10"/>
    </w:pPr>
    <w:r>
      <w:pict>
        <v:shape id="_x0000_s2049" o:spid="_x0000_s2049" o:spt="202" type="#_x0000_t202" style="position:absolute;left:0pt;margin-top:0pt;height:20.7pt;width:8.7pt;mso-position-horizontal:center;mso-position-horizontal-relative:margin;mso-wrap-style:none;z-index:251660288;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TYZf9EAAAADAQAADwAAAAAAAAABACAAAAAiAAAAZHJzL2Rvd25yZXYu&#10;eG1sUEsBAhQAFAAAAAgAh07iQIQG+0bJAQAAmQMAAA4AAAAAAAAAAQAgAAAAIAEAAGRycy9lMm9E&#10;b2MueG1sUEsFBgAAAAAGAAYAWQEAAFsFAAAAAA==&#10;">
          <v:path/>
          <v:fill on="f" focussize="0,0"/>
          <v:stroke on="f" joinstyle="miter"/>
          <v:imagedata o:title=""/>
          <o:lock v:ext="edit"/>
          <v:textbox inset="0mm,0mm,0mm,0mm" style="mso-fit-shape-to-text:t;">
            <w:txbxContent>
              <w:p w14:paraId="166A38CD">
                <w:pPr>
                  <w:pStyle w:val="10"/>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06C06">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10AFF15C"/>
    <w:multiLevelType w:val="singleLevel"/>
    <w:tmpl w:val="10AFF15C"/>
    <w:lvl w:ilvl="0" w:tentative="0">
      <w:start w:val="1"/>
      <w:numFmt w:val="bullet"/>
      <w:pStyle w:val="9"/>
      <w:lvlText w:val=""/>
      <w:lvlJc w:val="left"/>
      <w:pPr>
        <w:tabs>
          <w:tab w:val="left" w:pos="780"/>
        </w:tabs>
        <w:ind w:left="780" w:hanging="360"/>
      </w:pPr>
      <w:rPr>
        <w:rFonts w:hint="default" w:ascii="Wingdings" w:hAnsi="Wingdings"/>
      </w:rPr>
    </w:lvl>
  </w:abstractNum>
  <w:abstractNum w:abstractNumId="2">
    <w:nsid w:val="2B5F13CB"/>
    <w:multiLevelType w:val="singleLevel"/>
    <w:tmpl w:val="2B5F13CB"/>
    <w:lvl w:ilvl="0" w:tentative="0">
      <w:start w:val="1"/>
      <w:numFmt w:val="decimal"/>
      <w:lvlText w:val="%1．"/>
      <w:lvlJc w:val="left"/>
      <w:pPr>
        <w:tabs>
          <w:tab w:val="left" w:pos="1080"/>
        </w:tabs>
        <w:ind w:left="1080" w:hanging="360"/>
      </w:pPr>
    </w:lvl>
  </w:abstractNum>
  <w:abstractNum w:abstractNumId="3">
    <w:nsid w:val="313C0FDC"/>
    <w:multiLevelType w:val="multilevel"/>
    <w:tmpl w:val="313C0FDC"/>
    <w:lvl w:ilvl="0" w:tentative="0">
      <w:start w:val="1"/>
      <w:numFmt w:val="japaneseCounting"/>
      <w:lvlText w:val="第%1条"/>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FE36C1B"/>
    <w:multiLevelType w:val="singleLevel"/>
    <w:tmpl w:val="5FE36C1B"/>
    <w:lvl w:ilvl="0" w:tentative="0">
      <w:start w:val="1"/>
      <w:numFmt w:val="decimal"/>
      <w:suff w:val="nothing"/>
      <w:lvlText w:val="%1．"/>
      <w:lvlJc w:val="left"/>
      <w:pPr>
        <w:ind w:left="0" w:firstLine="400"/>
      </w:pPr>
      <w:rPr>
        <w:rFonts w:hint="default"/>
      </w:rPr>
    </w:lvl>
  </w:abstractNum>
  <w:abstractNum w:abstractNumId="5">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6212BF2"/>
    <w:multiLevelType w:val="singleLevel"/>
    <w:tmpl w:val="66212BF2"/>
    <w:lvl w:ilvl="0" w:tentative="0">
      <w:start w:val="1"/>
      <w:numFmt w:val="decimal"/>
      <w:suff w:val="nothing"/>
      <w:lvlText w:val="%1、"/>
      <w:lvlJc w:val="left"/>
    </w:lvl>
  </w:abstractNum>
  <w:abstractNum w:abstractNumId="7">
    <w:nsid w:val="72F6062D"/>
    <w:multiLevelType w:val="singleLevel"/>
    <w:tmpl w:val="72F6062D"/>
    <w:lvl w:ilvl="0" w:tentative="0">
      <w:start w:val="3"/>
      <w:numFmt w:val="chineseCounting"/>
      <w:suff w:val="space"/>
      <w:lvlText w:val="第%1条"/>
      <w:lvlJc w:val="left"/>
      <w:rPr>
        <w:rFonts w:hint="eastAsia"/>
      </w:rPr>
    </w:lvl>
  </w:abstractNum>
  <w:num w:numId="1">
    <w:abstractNumId w:val="1"/>
  </w:num>
  <w:num w:numId="2">
    <w:abstractNumId w:val="5"/>
  </w:num>
  <w:num w:numId="3">
    <w:abstractNumId w:val="6"/>
  </w:num>
  <w:num w:numId="4">
    <w:abstractNumId w:val="7"/>
  </w:num>
  <w:num w:numId="5">
    <w:abstractNumId w:val="3"/>
  </w:num>
  <w:num w:numId="6">
    <w:abstractNumId w:val="4"/>
  </w:num>
  <w:num w:numId="7">
    <w:abstractNumId w:val="0"/>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E678F"/>
    <w:rsid w:val="001623B7"/>
    <w:rsid w:val="005C4BE8"/>
    <w:rsid w:val="006328F6"/>
    <w:rsid w:val="008E678F"/>
    <w:rsid w:val="00C21922"/>
    <w:rsid w:val="13157214"/>
    <w:rsid w:val="2FCA571B"/>
    <w:rsid w:val="37B03D36"/>
    <w:rsid w:val="3E5A3C30"/>
    <w:rsid w:val="3E8B13E9"/>
    <w:rsid w:val="406456B0"/>
    <w:rsid w:val="566615F9"/>
    <w:rsid w:val="5B4A38C3"/>
    <w:rsid w:val="6AE52B3F"/>
    <w:rsid w:val="756552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4"/>
    <w:next w:val="6"/>
    <w:qFormat/>
    <w:uiPriority w:val="9"/>
    <w:pPr>
      <w:spacing w:before="260" w:after="260" w:line="416" w:lineRule="auto"/>
      <w:outlineLvl w:val="1"/>
    </w:pPr>
    <w:rPr>
      <w:rFonts w:ascii="Arial" w:hAnsi="Arial" w:eastAsia="黑体"/>
      <w:sz w:val="28"/>
      <w:szCs w:val="32"/>
    </w:rPr>
  </w:style>
  <w:style w:type="paragraph" w:styleId="7">
    <w:name w:val="heading 3"/>
    <w:basedOn w:val="1"/>
    <w:next w:val="1"/>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line="520" w:lineRule="exact"/>
      <w:ind w:left="570"/>
    </w:pPr>
    <w:rPr>
      <w:rFonts w:ascii="方正仿宋简体" w:hAnsi="创艺简仿宋" w:eastAsia="方正仿宋简体"/>
      <w:sz w:val="24"/>
    </w:rPr>
  </w:style>
  <w:style w:type="paragraph" w:styleId="3">
    <w:name w:val="envelope return"/>
    <w:basedOn w:val="1"/>
    <w:qFormat/>
    <w:uiPriority w:val="0"/>
    <w:pPr>
      <w:snapToGrid w:val="0"/>
    </w:pPr>
    <w:rPr>
      <w:rFonts w:ascii="Arial" w:hAnsi="Arial" w:eastAsia="楷体_GB2312"/>
      <w:sz w:val="26"/>
    </w:rPr>
  </w:style>
  <w:style w:type="paragraph" w:styleId="6">
    <w:name w:val="Body Text First Indent 2"/>
    <w:basedOn w:val="2"/>
    <w:unhideWhenUsed/>
    <w:qFormat/>
    <w:uiPriority w:val="99"/>
    <w:pPr>
      <w:tabs>
        <w:tab w:val="left" w:pos="0"/>
        <w:tab w:val="left" w:pos="993"/>
        <w:tab w:val="left" w:pos="1134"/>
      </w:tabs>
      <w:jc w:val="left"/>
    </w:pPr>
    <w:rPr>
      <w:rFonts w:eastAsia="宋体"/>
    </w:rPr>
  </w:style>
  <w:style w:type="paragraph" w:styleId="8">
    <w:name w:val="Body Text"/>
    <w:basedOn w:val="1"/>
    <w:next w:val="1"/>
    <w:qFormat/>
    <w:uiPriority w:val="0"/>
    <w:rPr>
      <w:rFonts w:eastAsia="仿宋_GB2312"/>
      <w:sz w:val="30"/>
    </w:rPr>
  </w:style>
  <w:style w:type="paragraph" w:styleId="9">
    <w:name w:val="List Bullet 2"/>
    <w:basedOn w:val="1"/>
    <w:qFormat/>
    <w:uiPriority w:val="0"/>
    <w:pPr>
      <w:numPr>
        <w:ilvl w:val="0"/>
        <w:numId w:val="1"/>
      </w:numPr>
    </w:p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style>
  <w:style w:type="paragraph" w:styleId="13">
    <w:name w:val="Body Text First Indent"/>
    <w:basedOn w:val="8"/>
    <w:next w:val="6"/>
    <w:qFormat/>
    <w:uiPriority w:val="0"/>
    <w:pPr>
      <w:spacing w:before="100" w:after="100" w:line="360" w:lineRule="atLeast"/>
      <w:ind w:firstLine="425"/>
      <w:textAlignment w:val="baseline"/>
    </w:pPr>
    <w:rPr>
      <w:rFonts w:eastAsia="宋体"/>
    </w:rPr>
  </w:style>
  <w:style w:type="paragraph" w:customStyle="1" w:styleId="16">
    <w:name w:val="首行缩进"/>
    <w:basedOn w:val="1"/>
    <w:autoRedefine/>
    <w:qFormat/>
    <w:uiPriority w:val="99"/>
    <w:pPr>
      <w:spacing w:line="360" w:lineRule="auto"/>
      <w:ind w:firstLine="480"/>
      <w:jc w:val="left"/>
    </w:pPr>
    <w:rPr>
      <w:rFonts w:ascii="宋体" w:hAnsi="宋体"/>
      <w:sz w:val="24"/>
    </w:rPr>
  </w:style>
  <w:style w:type="paragraph" w:customStyle="1" w:styleId="17">
    <w:name w:val="正文1"/>
    <w:next w:val="2"/>
    <w:qFormat/>
    <w:uiPriority w:val="0"/>
    <w:pPr>
      <w:widowControl w:val="0"/>
      <w:jc w:val="both"/>
    </w:pPr>
    <w:rPr>
      <w:rFonts w:ascii="Times New Roman" w:hAnsi="Times New Roman" w:eastAsia="宋体" w:cs="Times New Roman"/>
      <w:kern w:val="2"/>
      <w:sz w:val="21"/>
      <w:lang w:val="en-US" w:eastAsia="zh-CN" w:bidi="ar-SA"/>
    </w:rPr>
  </w:style>
  <w:style w:type="paragraph" w:styleId="18">
    <w:name w:val="List Paragraph"/>
    <w:basedOn w:val="1"/>
    <w:autoRedefine/>
    <w:unhideWhenUsed/>
    <w:qFormat/>
    <w:uiPriority w:val="99"/>
    <w:pPr>
      <w:ind w:firstLine="420" w:firstLineChars="200"/>
    </w:pPr>
  </w:style>
  <w:style w:type="character" w:customStyle="1" w:styleId="19">
    <w:name w:val="标题 1 Char1"/>
    <w:qFormat/>
    <w:uiPriority w:val="0"/>
    <w:rPr>
      <w:rFonts w:ascii="Times New Roman" w:hAnsi="Times New Roman" w:eastAsia="楷体_GB2312" w:cs="Times New Roman"/>
      <w:b/>
      <w:kern w:val="44"/>
      <w:sz w:val="44"/>
      <w:szCs w:val="20"/>
    </w:rPr>
  </w:style>
  <w:style w:type="paragraph" w:customStyle="1" w:styleId="20">
    <w:name w:val="正文 A"/>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21">
    <w:name w:val="标题 21"/>
    <w:next w:val="20"/>
    <w:qFormat/>
    <w:uiPriority w:val="0"/>
    <w:pPr>
      <w:keepNext/>
      <w:keepLines/>
      <w:widowControl w:val="0"/>
      <w:spacing w:before="200" w:after="200"/>
      <w:jc w:val="both"/>
      <w:outlineLvl w:val="0"/>
    </w:pPr>
    <w:rPr>
      <w:rFonts w:ascii="Arial" w:hAnsi="Arial" w:eastAsia="Arial" w:cs="Arial"/>
      <w:b/>
      <w:bCs/>
      <w:color w:val="000000"/>
      <w:u w:color="000000"/>
      <w:lang w:val="en-US" w:eastAsia="zh-CN" w:bidi="ar-SA"/>
    </w:rPr>
  </w:style>
  <w:style w:type="paragraph" w:customStyle="1" w:styleId="22">
    <w:name w:val="p1"/>
    <w:basedOn w:val="1"/>
    <w:qFormat/>
    <w:uiPriority w:val="0"/>
    <w:pPr>
      <w:spacing w:line="380" w:lineRule="atLeast"/>
      <w:jc w:val="left"/>
    </w:pPr>
    <w:rPr>
      <w:rFonts w:ascii="Helvetica Neue" w:hAnsi="Helvetica Neue" w:eastAsia="Helvetica Neue"/>
      <w:kern w:val="0"/>
      <w:sz w:val="26"/>
      <w:szCs w:val="26"/>
    </w:rPr>
  </w:style>
  <w:style w:type="character" w:customStyle="1" w:styleId="23">
    <w:name w:val="font51"/>
    <w:basedOn w:val="15"/>
    <w:qFormat/>
    <w:uiPriority w:val="0"/>
    <w:rPr>
      <w:rFonts w:hint="eastAsia" w:ascii="宋体" w:hAnsi="宋体" w:eastAsia="宋体" w:cs="宋体"/>
      <w:color w:val="FF6600"/>
      <w:sz w:val="21"/>
      <w:szCs w:val="21"/>
      <w:u w:val="none"/>
    </w:rPr>
  </w:style>
  <w:style w:type="character" w:customStyle="1" w:styleId="24">
    <w:name w:val="font41"/>
    <w:basedOn w:val="1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14557</Words>
  <Characters>14963</Characters>
  <Lines>186</Lines>
  <Paragraphs>52</Paragraphs>
  <TotalTime>94</TotalTime>
  <ScaleCrop>false</ScaleCrop>
  <LinksUpToDate>false</LinksUpToDate>
  <CharactersWithSpaces>15244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2024-12-20T09:06:00Z</dcterms:created>
  <dc:creator>华卿</dc:creator>
  <cp:lastModifiedBy>华卿</cp:lastModifiedBy>
  <dcterms:modified xsi:type="dcterms:W3CDTF">2024-12-30T06:19:28Z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0B1852E028B549BE8F17590BB22F014E_11</vt:lpwstr>
  </property>
  <property fmtid="{D5CDD505-2E9C-101B-9397-08002B2CF9AE}" pid="4" name="KSOTemplateDocerSaveRecord">
    <vt:lpwstr>eyJoZGlkIjoiMTdmZjMyMDhiY2RkZTYxNmZmYTdjOWU1MjI2YzIzZTciLCJ1c2VySWQiOiIzMjk3NDAxODAifQ==</vt:lpwstr>
  </property>
</Properties>
</file>