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"/>
        <w:numPr>
          <w:ilvl w:val="0"/>
          <w:numId w:val="0"/>
        </w:numPr>
        <w:snapToGrid w:val="false"/>
        <w:spacing w:before="0" w:after="0" w:lineRule="auto" w:line="360"/>
        <w:ind w:left="57" w:leftChars="0"/>
        <w:jc w:val="center"/>
        <w:rPr>
          <w:rFonts w:ascii="宋体" w:hAnsi="宋体"/>
          <w:color w:val="auto"/>
          <w:sz w:val="28"/>
          <w:szCs w:val="16"/>
          <w:highlight w:val="none"/>
        </w:rPr>
      </w:pPr>
      <w:bookmarkStart w:id="0" w:name="_Toc27010"/>
      <w:r>
        <w:rPr>
          <w:rFonts w:ascii="宋体" w:hAnsi="宋体" w:hint="eastAsia"/>
          <w:color w:val="auto"/>
          <w:sz w:val="28"/>
          <w:szCs w:val="16"/>
          <w:highlight w:val="none"/>
        </w:rPr>
        <w:t>2023-2025年度二供泵房保洁服务采购项目</w:t>
      </w:r>
      <w:r>
        <w:rPr>
          <w:rFonts w:ascii="宋体" w:hAnsi="宋体" w:hint="eastAsia"/>
          <w:color w:val="auto"/>
          <w:sz w:val="28"/>
          <w:szCs w:val="16"/>
          <w:highlight w:val="none"/>
          <w:lang w:val="en-US" w:eastAsia="zh-CN"/>
        </w:rPr>
        <w:t>公开</w:t>
      </w:r>
      <w:r>
        <w:rPr>
          <w:rFonts w:ascii="宋体" w:hAnsi="宋体"/>
          <w:color w:val="auto"/>
          <w:sz w:val="28"/>
          <w:szCs w:val="16"/>
          <w:highlight w:val="none"/>
        </w:rPr>
        <w:t>招标公告</w:t>
      </w:r>
      <w:bookmarkStart w:id="1" w:name="_Toc497145840"/>
      <w:bookmarkEnd w:id="0"/>
    </w:p>
    <w:bookmarkEnd w:id="1"/>
    <w:p>
      <w:pPr>
        <w:pStyle w:val="style0"/>
        <w:spacing w:lineRule="auto" w:line="360"/>
        <w:ind w:firstLine="42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受江苏长江水务股份有限公司的委托，江苏恒泰建设工程咨询有限公司就</w:t>
      </w:r>
      <w:r>
        <w:rPr>
          <w:rFonts w:ascii="宋体" w:hAnsi="宋体" w:hint="eastAsia"/>
          <w:color w:val="auto"/>
          <w:highlight w:val="none"/>
        </w:rPr>
        <w:t>2023-2025</w:t>
      </w:r>
      <w:r>
        <w:rPr>
          <w:rFonts w:hint="eastAsia"/>
          <w:color w:val="auto"/>
          <w:highlight w:val="none"/>
        </w:rPr>
        <w:t>年度二供泵房保洁服务采购项目进行公开招标采购，欢迎符合条件的供应商投标。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pacing w:lineRule="auto" w:line="36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项目概况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</w:pBdr>
        <w:spacing w:lineRule="auto" w:line="360"/>
        <w:ind w:firstLine="420" w:firstLineChars="200"/>
        <w:rPr>
          <w:rFonts w:ascii="宋体" w:hAnsi="宋体"/>
          <w:color w:val="auto"/>
          <w:sz w:val="36"/>
          <w:szCs w:val="36"/>
          <w:highlight w:val="none"/>
        </w:rPr>
      </w:pPr>
      <w:r>
        <w:rPr>
          <w:rFonts w:ascii="宋体" w:hAnsi="宋体" w:hint="eastAsia"/>
          <w:bCs/>
          <w:color w:val="auto"/>
          <w:highlight w:val="none"/>
          <w:u w:val="single"/>
        </w:rPr>
        <w:t>2023-2025年度二供泵房保洁服务采购项目</w:t>
      </w:r>
      <w:r>
        <w:rPr>
          <w:rFonts w:ascii="宋体" w:hAnsi="宋体" w:hint="eastAsia"/>
          <w:color w:val="auto"/>
          <w:highlight w:val="none"/>
        </w:rPr>
        <w:t>的潜在供应商可在</w:t>
      </w:r>
      <w:r>
        <w:rPr>
          <w:rFonts w:ascii="宋体" w:hAnsi="宋体" w:hint="eastAsia"/>
          <w:color w:val="auto"/>
          <w:highlight w:val="none"/>
          <w:u w:val="single"/>
        </w:rPr>
        <w:t>江苏恒泰建设工程咨询有限公司代理部</w:t>
      </w:r>
      <w:r>
        <w:rPr>
          <w:rFonts w:ascii="宋体" w:hAnsi="宋体" w:hint="eastAsia"/>
          <w:color w:val="auto"/>
          <w:highlight w:val="none"/>
        </w:rPr>
        <w:t>获取</w:t>
      </w:r>
      <w:r>
        <w:rPr>
          <w:rFonts w:ascii="宋体" w:hAnsi="宋体" w:hint="eastAsia"/>
          <w:bCs/>
          <w:color w:val="auto"/>
          <w:highlight w:val="none"/>
        </w:rPr>
        <w:t>招标文件</w:t>
      </w:r>
      <w:r>
        <w:rPr>
          <w:rFonts w:ascii="宋体" w:hAnsi="宋体" w:hint="eastAsia"/>
          <w:color w:val="auto"/>
          <w:highlight w:val="none"/>
        </w:rPr>
        <w:t>，并于</w:t>
      </w:r>
      <w:r>
        <w:rPr>
          <w:rFonts w:ascii="宋体" w:hAnsi="宋体" w:hint="eastAsia"/>
          <w:bCs/>
          <w:color w:val="auto"/>
          <w:highlight w:val="none"/>
          <w:u w:val="single"/>
        </w:rPr>
        <w:t>2023年11月2</w:t>
      </w:r>
      <w:r>
        <w:rPr>
          <w:rFonts w:ascii="宋体" w:hAnsi="宋体" w:hint="eastAsia"/>
          <w:bCs/>
          <w:color w:val="auto"/>
          <w:highlight w:val="none"/>
          <w:u w:val="single"/>
          <w:lang w:val="en-US" w:eastAsia="zh-CN"/>
        </w:rPr>
        <w:t>2</w:t>
      </w:r>
      <w:r>
        <w:rPr>
          <w:rFonts w:ascii="宋体" w:hAnsi="宋体" w:hint="eastAsia"/>
          <w:bCs/>
          <w:color w:val="auto"/>
          <w:highlight w:val="none"/>
          <w:u w:val="single"/>
        </w:rPr>
        <w:t>日14点30分（北京时间）</w:t>
      </w:r>
      <w:r>
        <w:rPr>
          <w:rFonts w:ascii="宋体" w:hAnsi="宋体" w:hint="eastAsia"/>
          <w:bCs/>
          <w:color w:val="auto"/>
          <w:highlight w:val="none"/>
        </w:rPr>
        <w:t>前提交投标文件</w:t>
      </w:r>
      <w:r>
        <w:rPr>
          <w:rFonts w:ascii="宋体" w:hAnsi="宋体" w:hint="eastAsia"/>
          <w:color w:val="auto"/>
          <w:highlight w:val="none"/>
        </w:rPr>
        <w:t>。</w:t>
      </w:r>
    </w:p>
    <w:bookmarkStart w:id="2" w:name="_Toc28359089"/>
    <w:bookmarkStart w:id="3" w:name="_Toc35393798"/>
    <w:bookmarkStart w:id="4" w:name="_Toc35393629"/>
    <w:bookmarkStart w:id="5" w:name="_Toc28359012"/>
    <w:p>
      <w:pPr>
        <w:pStyle w:val="style0"/>
        <w:tabs>
          <w:tab w:val="left" w:leader="none" w:pos="900"/>
        </w:tabs>
        <w:snapToGrid w:val="false"/>
        <w:spacing w:lineRule="auto" w:line="360"/>
        <w:ind w:firstLine="422" w:firstLineChars="200"/>
        <w:rPr>
          <w:rFonts w:ascii="宋体" w:hAnsi="宋体"/>
          <w:b/>
          <w:bCs/>
          <w:color w:val="auto"/>
          <w:highlight w:val="none"/>
        </w:rPr>
      </w:pPr>
      <w:r>
        <w:rPr>
          <w:rFonts w:ascii="宋体" w:hAnsi="宋体" w:hint="eastAsia"/>
          <w:b/>
          <w:bCs/>
          <w:color w:val="auto"/>
          <w:highlight w:val="none"/>
        </w:rPr>
        <w:t>一、项目基本情况</w:t>
      </w:r>
      <w:bookmarkEnd w:id="2"/>
      <w:bookmarkEnd w:id="3"/>
      <w:bookmarkEnd w:id="4"/>
      <w:bookmarkEnd w:id="5"/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 w:hint="eastAsia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1.项目编号：【2023】-WG-1902号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2.项目名称：2023-2025年度二供泵房保洁服务采购项目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3.采购方式：公开招标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4.预算金额：本次二供泵房共计</w:t>
      </w:r>
      <w:r>
        <w:rPr>
          <w:rFonts w:ascii="宋体" w:hAnsi="宋体" w:hint="eastAsia"/>
          <w:color w:val="auto"/>
          <w:highlight w:val="none"/>
          <w:lang w:val="en-US" w:eastAsia="zh-CN"/>
        </w:rPr>
        <w:t>419</w:t>
      </w:r>
      <w:r>
        <w:rPr>
          <w:rFonts w:ascii="宋体" w:hAnsi="宋体" w:hint="eastAsia"/>
          <w:color w:val="auto"/>
          <w:highlight w:val="none"/>
        </w:rPr>
        <w:t>座，约60万元/年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5.最高限价：60万元/年，投标报价不得高于最高限价，否则作废标处理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6.采购需求：具体要求详见招标文件第四章项目需求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7.合同履行期限：2年</w:t>
      </w:r>
    </w:p>
    <w:bookmarkStart w:id="6" w:name="_Toc28359013"/>
    <w:bookmarkStart w:id="7" w:name="_Toc35393630"/>
    <w:bookmarkStart w:id="8" w:name="_Toc35393799"/>
    <w:bookmarkStart w:id="9" w:name="_Toc28359090"/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8.本项目</w:t>
      </w:r>
      <w:r>
        <w:rPr>
          <w:rFonts w:ascii="宋体" w:hAnsi="宋体" w:hint="eastAsia"/>
          <w:color w:val="auto"/>
          <w:highlight w:val="none"/>
          <w:u w:val="single"/>
        </w:rPr>
        <w:t>不接受</w:t>
      </w:r>
      <w:r>
        <w:rPr>
          <w:rFonts w:ascii="宋体" w:hAnsi="宋体" w:hint="eastAsia"/>
          <w:color w:val="auto"/>
          <w:highlight w:val="none"/>
        </w:rPr>
        <w:t>联合体投标。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2" w:firstLineChars="200"/>
        <w:rPr>
          <w:rFonts w:ascii="宋体" w:hAnsi="宋体"/>
          <w:b/>
          <w:bCs/>
          <w:color w:val="auto"/>
          <w:highlight w:val="none"/>
        </w:rPr>
      </w:pPr>
      <w:r>
        <w:rPr>
          <w:rFonts w:ascii="宋体" w:hAnsi="宋体" w:hint="eastAsia"/>
          <w:b/>
          <w:bCs/>
          <w:color w:val="auto"/>
          <w:highlight w:val="none"/>
        </w:rPr>
        <w:t>二、申请人的资格要求：</w:t>
      </w:r>
      <w:bookmarkEnd w:id="6"/>
      <w:bookmarkEnd w:id="7"/>
      <w:bookmarkEnd w:id="8"/>
      <w:bookmarkEnd w:id="9"/>
    </w:p>
    <w:bookmarkStart w:id="10" w:name="_Toc28359091"/>
    <w:bookmarkStart w:id="11" w:name="_Toc28359014"/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Times New Roman" w:hAnsi="Times New Roman" w:hint="eastAsia"/>
          <w:color w:val="auto"/>
          <w:highlight w:val="none"/>
        </w:rPr>
        <w:t>1</w:t>
      </w:r>
      <w:r>
        <w:rPr>
          <w:rFonts w:ascii="宋体" w:hAnsi="宋体" w:hint="eastAsia"/>
          <w:color w:val="auto"/>
          <w:highlight w:val="none"/>
        </w:rPr>
        <w:t>.</w:t>
      </w:r>
      <w:r>
        <w:rPr>
          <w:rFonts w:ascii="宋体" w:hAnsi="宋体" w:hint="eastAsia"/>
          <w:b/>
          <w:bCs/>
          <w:color w:val="auto"/>
          <w:highlight w:val="none"/>
        </w:rPr>
        <w:t>投标文件内须提供证明资格的文件包括（但不限于）：</w:t>
      </w:r>
    </w:p>
    <w:p>
      <w:pPr>
        <w:pStyle w:val="style0"/>
        <w:snapToGrid w:val="false"/>
        <w:spacing w:lineRule="auto" w:line="360"/>
        <w:ind w:firstLine="210" w:firstLineChars="100"/>
        <w:rPr>
          <w:rFonts w:ascii="宋体" w:hAnsi="宋体"/>
          <w:i/>
          <w:iCs/>
          <w:color w:val="auto"/>
          <w:highlight w:val="none"/>
          <w:u w:val="single"/>
        </w:rPr>
      </w:pP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（1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 投标函</w:t>
      </w:r>
      <w:r>
        <w:rPr>
          <w:rFonts w:ascii="宋体" w:hAnsi="宋体" w:hint="eastAsia"/>
          <w:b/>
          <w:i/>
          <w:iCs/>
          <w:color w:val="auto"/>
          <w:highlight w:val="none"/>
          <w:u w:val="single"/>
        </w:rPr>
        <w:t>(原件)</w:t>
      </w:r>
    </w:p>
    <w:p>
      <w:pPr>
        <w:pStyle w:val="style0"/>
        <w:snapToGrid w:val="false"/>
        <w:spacing w:lineRule="auto" w:line="360"/>
        <w:ind w:right="312" w:firstLine="210" w:firstLineChars="100"/>
        <w:rPr>
          <w:rFonts w:ascii="宋体" w:hAnsi="宋体"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2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）资格声明</w:t>
      </w:r>
      <w:r>
        <w:rPr>
          <w:rFonts w:ascii="宋体" w:hAnsi="宋体" w:hint="eastAsia"/>
          <w:b/>
          <w:i/>
          <w:iCs/>
          <w:color w:val="auto"/>
          <w:highlight w:val="none"/>
          <w:u w:val="single"/>
        </w:rPr>
        <w:t>(原件)</w:t>
      </w:r>
    </w:p>
    <w:p>
      <w:pPr>
        <w:pStyle w:val="style0"/>
        <w:snapToGrid w:val="false"/>
        <w:spacing w:lineRule="auto" w:line="360"/>
        <w:ind w:right="312" w:firstLine="210" w:firstLineChars="100"/>
        <w:rPr>
          <w:rFonts w:ascii="宋体" w:hAnsi="宋体"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3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）若法定代表人参加投标的，须提供本人身份证复印件并加盖投标人公章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>(原件核查)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；若授权代表参加的，须提供《法人授权书》原件、授权代表身份证复印件并加盖投标人公章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>（原件核查）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和法人身份证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>(复印件加盖投标人公章)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；</w:t>
      </w:r>
    </w:p>
    <w:p>
      <w:pPr>
        <w:pStyle w:val="style0"/>
        <w:snapToGrid w:val="false"/>
        <w:spacing w:lineRule="auto" w:line="360"/>
        <w:ind w:firstLine="210" w:firstLineChars="100"/>
        <w:rPr>
          <w:rFonts w:ascii="宋体" w:hAnsi="宋体"/>
          <w:b/>
          <w:bCs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4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）法人或者其他组织的营业执照等证明文件，自然人的身份证明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>(复印件加盖投标人公章)</w:t>
      </w:r>
    </w:p>
    <w:p>
      <w:pPr>
        <w:pStyle w:val="style0"/>
        <w:snapToGrid w:val="false"/>
        <w:spacing w:lineRule="auto" w:line="360"/>
        <w:ind w:right="312" w:firstLine="210" w:firstLineChars="100"/>
        <w:rPr>
          <w:rFonts w:ascii="宋体" w:hAnsi="宋体"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5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）依法缴纳职工社会保障资金的证明材料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>(复印件加盖投标人公章)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(税务、银行或社会保险基金管理部门出具的2023年08月至2023年10月三个月内任意一份缴纳职工社会保障资金的缴款凭证或缴款证明)</w:t>
      </w:r>
    </w:p>
    <w:p>
      <w:pPr>
        <w:pStyle w:val="style0"/>
        <w:snapToGrid w:val="false"/>
        <w:spacing w:lineRule="auto" w:line="360"/>
        <w:ind w:right="312" w:firstLine="210" w:firstLineChars="100"/>
        <w:rPr>
          <w:rFonts w:ascii="宋体" w:hAnsi="宋体"/>
          <w:b/>
          <w:bCs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6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）供应商2023年08月至2023年10月三个月内任意一份依法纳税的缴款凭证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>(复印件加盖投标人公章)</w:t>
      </w:r>
    </w:p>
    <w:p>
      <w:pPr>
        <w:pStyle w:val="style0"/>
        <w:snapToGrid w:val="false"/>
        <w:spacing w:lineRule="auto" w:line="360"/>
        <w:ind w:right="312" w:firstLine="420" w:firstLineChars="200"/>
        <w:rPr>
          <w:rFonts w:ascii="宋体" w:hAnsi="宋体"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7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）与第⑥条相对应的纳税申报表或经会计师事务所审计的2022年度财务报告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>(复印件加盖投标人公章)</w:t>
      </w:r>
    </w:p>
    <w:p>
      <w:pPr>
        <w:pStyle w:val="style0"/>
        <w:snapToGrid w:val="false"/>
        <w:spacing w:lineRule="auto" w:line="360"/>
        <w:ind w:right="312" w:firstLine="210" w:firstLineChars="100"/>
        <w:rPr>
          <w:rFonts w:ascii="宋体" w:hAnsi="宋体"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8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）供应商参加本次政府采购活动前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3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年内在经营活动中没有重大违法记录的书面声明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 xml:space="preserve">（原件） </w:t>
      </w:r>
    </w:p>
    <w:p>
      <w:pPr>
        <w:pStyle w:val="style0"/>
        <w:snapToGrid w:val="false"/>
        <w:spacing w:lineRule="auto" w:line="360"/>
        <w:ind w:right="312" w:firstLine="210" w:firstLineChars="100"/>
        <w:rPr>
          <w:rFonts w:ascii="宋体" w:hAnsi="宋体"/>
          <w:b/>
          <w:bCs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（9）未被“信用中国”网站（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www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.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creditchina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.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gov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.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cn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）、“中国政府采购网"(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www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.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ccgp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.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gov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.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cn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)列入失信被执行人、重大税收违法案件当事人名单、政府采购严重违法失信行为记录名单</w:t>
      </w:r>
      <w:r>
        <w:rPr>
          <w:rFonts w:ascii="宋体" w:hAnsi="宋体" w:hint="eastAsia"/>
          <w:b/>
          <w:bCs/>
          <w:i/>
          <w:iCs/>
          <w:color w:val="auto"/>
          <w:highlight w:val="none"/>
          <w:u w:val="single"/>
        </w:rPr>
        <w:t>（提供网页截图并加盖投标人公章）</w:t>
      </w:r>
    </w:p>
    <w:p>
      <w:pPr>
        <w:pStyle w:val="style0"/>
        <w:snapToGrid w:val="false"/>
        <w:spacing w:lineRule="auto" w:line="360"/>
        <w:ind w:right="312" w:firstLine="210" w:firstLineChars="100"/>
        <w:rPr>
          <w:color w:val="auto"/>
          <w:highlight w:val="non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（</w:t>
      </w:r>
      <w:r>
        <w:rPr>
          <w:rFonts w:ascii="Times New Roman" w:hAnsi="Times New Roman" w:hint="eastAsia"/>
          <w:i/>
          <w:iCs/>
          <w:color w:val="auto"/>
          <w:highlight w:val="none"/>
          <w:u w:val="single"/>
        </w:rPr>
        <w:t>10</w:t>
      </w:r>
      <w:r>
        <w:rPr>
          <w:rFonts w:ascii="宋体" w:hAnsi="宋体" w:hint="eastAsia"/>
          <w:i/>
          <w:iCs/>
          <w:color w:val="auto"/>
          <w:highlight w:val="none"/>
          <w:u w:val="single"/>
        </w:rPr>
        <w:t>）供应商信用承诺书原件并加盖投标人公章（格式详见第六章）</w:t>
      </w:r>
    </w:p>
    <w:bookmarkStart w:id="12" w:name="_Toc35393631"/>
    <w:bookmarkStart w:id="13" w:name="_Toc35393800"/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备注：（</w:t>
      </w:r>
      <w:r>
        <w:rPr>
          <w:rFonts w:ascii="Times New Roman" w:hAnsi="Times New Roman" w:hint="eastAsia"/>
          <w:color w:val="auto"/>
          <w:highlight w:val="none"/>
        </w:rPr>
        <w:t>1</w:t>
      </w:r>
      <w:r>
        <w:rPr>
          <w:rFonts w:ascii="宋体" w:hAnsi="宋体" w:hint="eastAsia"/>
          <w:color w:val="auto"/>
          <w:highlight w:val="none"/>
        </w:rPr>
        <w:t>）如参加本项目的供应商为非企业法人等，投标文件中第</w:t>
      </w:r>
      <w:r>
        <w:rPr>
          <w:rFonts w:ascii="Times New Roman" w:hAnsi="Times New Roman" w:hint="eastAsia"/>
          <w:color w:val="auto"/>
          <w:highlight w:val="none"/>
        </w:rPr>
        <w:t>5</w:t>
      </w:r>
      <w:r>
        <w:rPr>
          <w:rFonts w:ascii="宋体" w:hAnsi="宋体" w:hint="eastAsia"/>
          <w:color w:val="auto"/>
          <w:highlight w:val="none"/>
        </w:rPr>
        <w:t>、</w:t>
      </w:r>
      <w:r>
        <w:rPr>
          <w:rFonts w:ascii="Times New Roman" w:hAnsi="Times New Roman" w:hint="eastAsia"/>
          <w:color w:val="auto"/>
          <w:highlight w:val="none"/>
        </w:rPr>
        <w:t>6</w:t>
      </w:r>
      <w:r>
        <w:rPr>
          <w:rFonts w:ascii="宋体" w:hAnsi="宋体" w:hint="eastAsia"/>
          <w:color w:val="auto"/>
          <w:highlight w:val="none"/>
        </w:rPr>
        <w:t>、</w:t>
      </w:r>
      <w:r>
        <w:rPr>
          <w:rFonts w:ascii="Times New Roman" w:hAnsi="Times New Roman" w:hint="eastAsia"/>
          <w:color w:val="auto"/>
          <w:highlight w:val="none"/>
        </w:rPr>
        <w:t>7</w:t>
      </w:r>
      <w:r>
        <w:rPr>
          <w:rFonts w:ascii="宋体" w:hAnsi="宋体" w:hint="eastAsia"/>
          <w:color w:val="auto"/>
          <w:highlight w:val="none"/>
        </w:rPr>
        <w:t>项中证明材料等须用相应文件证明替代。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（</w:t>
      </w:r>
      <w:r>
        <w:rPr>
          <w:rFonts w:ascii="Times New Roman" w:hAnsi="Times New Roman" w:hint="eastAsia"/>
          <w:color w:val="auto"/>
          <w:highlight w:val="none"/>
        </w:rPr>
        <w:t>2</w:t>
      </w:r>
      <w:r>
        <w:rPr>
          <w:rFonts w:ascii="宋体" w:hAnsi="宋体" w:hint="eastAsia"/>
          <w:color w:val="auto"/>
          <w:highlight w:val="none"/>
        </w:rPr>
        <w:t>）投标人如有相关政策支持，延期缴纳或暂不缴纳职工社会保障资金、税收的，须提供相关证明材料。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Times New Roman" w:hAnsi="Times New Roman" w:hint="eastAsia"/>
          <w:color w:val="auto"/>
          <w:highlight w:val="none"/>
        </w:rPr>
        <w:t>2</w:t>
      </w:r>
      <w:r>
        <w:rPr>
          <w:rFonts w:ascii="宋体" w:hAnsi="宋体" w:hint="eastAsia"/>
          <w:color w:val="auto"/>
          <w:highlight w:val="none"/>
        </w:rPr>
        <w:t>.拒绝下述供应商参加本次采购活动：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（</w:t>
      </w:r>
      <w:r>
        <w:rPr>
          <w:rFonts w:ascii="Times New Roman" w:hAnsi="Times New Roman" w:hint="eastAsia"/>
          <w:color w:val="auto"/>
          <w:highlight w:val="none"/>
        </w:rPr>
        <w:t>1</w:t>
      </w:r>
      <w:r>
        <w:rPr>
          <w:rFonts w:ascii="宋体" w:hAnsi="宋体" w:hint="eastAsia"/>
          <w:color w:val="auto"/>
          <w:highlight w:val="none"/>
        </w:rPr>
        <w:t>）供应商单位负责人为同一人或者存在直接控股、管理关系的不同供应商，不得参加同一合同项下的采购活动。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（</w:t>
      </w:r>
      <w:r>
        <w:rPr>
          <w:rFonts w:ascii="Times New Roman" w:hAnsi="Times New Roman" w:hint="eastAsia"/>
          <w:color w:val="auto"/>
          <w:highlight w:val="none"/>
        </w:rPr>
        <w:t>2</w:t>
      </w:r>
      <w:r>
        <w:rPr>
          <w:rFonts w:ascii="宋体" w:hAnsi="宋体" w:hint="eastAsia"/>
          <w:color w:val="auto"/>
          <w:highlight w:val="none"/>
        </w:rPr>
        <w:t>）凡为采购项目提供整体设计、规范编制或者项目管理、监理、检测等服务的供应商，不得再参加该项目的其他采购活动。</w:t>
      </w:r>
    </w:p>
    <w:p>
      <w:pPr>
        <w:pStyle w:val="style94"/>
        <w:widowControl/>
        <w:shd w:val="clear" w:color="auto" w:fill="ffffff"/>
        <w:spacing w:lineRule="auto" w:line="360"/>
        <w:ind w:firstLine="420" w:firstLineChars="200"/>
        <w:rPr>
          <w:rFonts w:ascii="宋体" w:hAnsi="宋体"/>
          <w:i/>
          <w:iCs/>
          <w:color w:val="auto"/>
          <w:sz w:val="21"/>
          <w:highlight w:val="none"/>
          <w:u w:val="single"/>
        </w:rPr>
      </w:pPr>
      <w:r>
        <w:rPr>
          <w:rFonts w:ascii="Times New Roman" w:hAnsi="Times New Roman" w:hint="eastAsia"/>
          <w:color w:val="auto"/>
          <w:sz w:val="21"/>
          <w:szCs w:val="18"/>
          <w:highlight w:val="none"/>
        </w:rPr>
        <w:t>3</w:t>
      </w:r>
      <w:r>
        <w:rPr>
          <w:rFonts w:ascii="宋体" w:hAnsi="宋体" w:hint="eastAsia"/>
          <w:color w:val="auto"/>
          <w:sz w:val="21"/>
          <w:szCs w:val="18"/>
          <w:highlight w:val="none"/>
        </w:rPr>
        <w:t>.本项目的特定资格要求：</w:t>
      </w:r>
      <w:r>
        <w:rPr>
          <w:rFonts w:ascii="宋体" w:hAnsi="宋体" w:hint="eastAsia"/>
          <w:i/>
          <w:iCs/>
          <w:color w:val="auto"/>
          <w:sz w:val="21"/>
          <w:highlight w:val="none"/>
          <w:u w:val="single"/>
        </w:rPr>
        <w:t>无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2" w:firstLineChars="200"/>
        <w:rPr>
          <w:rFonts w:ascii="宋体" w:hAnsi="宋体"/>
          <w:b/>
          <w:bCs/>
          <w:color w:val="auto"/>
          <w:highlight w:val="none"/>
        </w:rPr>
      </w:pPr>
      <w:r>
        <w:rPr>
          <w:rFonts w:ascii="宋体" w:hAnsi="宋体" w:hint="eastAsia"/>
          <w:b/>
          <w:bCs/>
          <w:color w:val="auto"/>
          <w:highlight w:val="none"/>
        </w:rPr>
        <w:t>三、获取采购文件</w:t>
      </w:r>
      <w:bookmarkEnd w:id="10"/>
      <w:bookmarkEnd w:id="11"/>
      <w:bookmarkEnd w:id="12"/>
      <w:bookmarkEnd w:id="13"/>
    </w:p>
    <w:bookmarkStart w:id="14" w:name="_Toc28359015"/>
    <w:bookmarkStart w:id="15" w:name="_Toc35393801"/>
    <w:bookmarkStart w:id="16" w:name="_Toc35393632"/>
    <w:bookmarkStart w:id="17" w:name="_Toc28359092"/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时间：2023年11月0</w:t>
      </w:r>
      <w:r>
        <w:rPr>
          <w:rFonts w:ascii="宋体" w:hAnsi="宋体" w:hint="eastAsia"/>
          <w:color w:val="auto"/>
          <w:highlight w:val="none"/>
          <w:lang w:val="en-US" w:eastAsia="zh-CN"/>
        </w:rPr>
        <w:t>2</w:t>
      </w:r>
      <w:r>
        <w:rPr>
          <w:rFonts w:ascii="宋体" w:hAnsi="宋体" w:hint="eastAsia"/>
          <w:color w:val="auto"/>
          <w:highlight w:val="none"/>
        </w:rPr>
        <w:t>日至 2023年11月0</w:t>
      </w:r>
      <w:r>
        <w:rPr>
          <w:rFonts w:ascii="宋体" w:hAnsi="宋体" w:hint="default"/>
          <w:color w:val="auto"/>
          <w:highlight w:val="none"/>
          <w:lang w:val="en-US"/>
        </w:rPr>
        <w:t>9</w:t>
      </w:r>
      <w:r>
        <w:rPr>
          <w:rFonts w:ascii="宋体" w:hAnsi="宋体" w:hint="eastAsia"/>
          <w:color w:val="auto"/>
          <w:highlight w:val="none"/>
        </w:rPr>
        <w:t>日,每天上午9:00至11:30，下午2:00至5:00（北京时间，法定节假日除外）</w:t>
      </w:r>
    </w:p>
    <w:p>
      <w:pPr>
        <w:pStyle w:val="style0"/>
        <w:snapToGrid w:val="false"/>
        <w:spacing w:lineRule="auto" w:line="360"/>
        <w:ind w:firstLine="420" w:firstLineChars="200"/>
        <w:rPr>
          <w:rFonts w:ascii="宋体" w:cs="Times New Roman" w:hAnsi="宋体"/>
          <w:color w:val="auto"/>
          <w:highlight w:val="none"/>
        </w:rPr>
      </w:pPr>
      <w:r>
        <w:rPr>
          <w:rFonts w:ascii="宋体" w:cs="Times New Roman" w:hAnsi="宋体" w:hint="eastAsia"/>
          <w:color w:val="auto"/>
          <w:highlight w:val="none"/>
        </w:rPr>
        <w:t>地点：扬州市文昌西路10号紫金广场5楼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方式：凡有意参加投标的供应商，请于上述时间内携带营业执照复印件（加盖单位公章）、授权委托书原件、被授权人身份证复印件（加盖单位公章）现场报名登记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2" w:firstLineChars="200"/>
        <w:rPr>
          <w:rFonts w:ascii="宋体" w:hAnsi="宋体"/>
          <w:b/>
          <w:bCs/>
          <w:color w:val="auto"/>
          <w:highlight w:val="none"/>
        </w:rPr>
      </w:pPr>
      <w:r>
        <w:rPr>
          <w:rFonts w:ascii="宋体" w:hAnsi="宋体" w:hint="eastAsia"/>
          <w:b/>
          <w:bCs/>
          <w:color w:val="auto"/>
          <w:highlight w:val="none"/>
        </w:rPr>
        <w:t>四、响应文件提交</w:t>
      </w:r>
      <w:bookmarkEnd w:id="14"/>
      <w:bookmarkEnd w:id="15"/>
      <w:bookmarkEnd w:id="16"/>
      <w:bookmarkEnd w:id="17"/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投标文件接收开始时间：2023年11月2</w:t>
      </w:r>
      <w:r>
        <w:rPr>
          <w:rFonts w:ascii="宋体" w:hAnsi="宋体" w:hint="eastAsia"/>
          <w:color w:val="auto"/>
          <w:highlight w:val="none"/>
          <w:lang w:val="en-US" w:eastAsia="zh-CN"/>
        </w:rPr>
        <w:t>2</w:t>
      </w:r>
      <w:r>
        <w:rPr>
          <w:rFonts w:ascii="宋体" w:hAnsi="宋体" w:hint="eastAsia"/>
          <w:color w:val="auto"/>
          <w:highlight w:val="none"/>
        </w:rPr>
        <w:t>日 14点00分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投标文件接收截止时间：2023年11月2</w:t>
      </w:r>
      <w:r>
        <w:rPr>
          <w:rFonts w:ascii="宋体" w:hAnsi="宋体" w:hint="eastAsia"/>
          <w:color w:val="auto"/>
          <w:highlight w:val="none"/>
          <w:lang w:val="en-US" w:eastAsia="zh-CN"/>
        </w:rPr>
        <w:t>2</w:t>
      </w:r>
      <w:r>
        <w:rPr>
          <w:rFonts w:ascii="宋体" w:hAnsi="宋体" w:hint="eastAsia"/>
          <w:color w:val="auto"/>
          <w:highlight w:val="none"/>
        </w:rPr>
        <w:t>日 14点30分</w:t>
      </w:r>
    </w:p>
    <w:p>
      <w:pPr>
        <w:pStyle w:val="style0"/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投标文件接收地点：江苏恒泰建设工程咨询有限公司开标室（扬州市文昌西路</w:t>
      </w:r>
      <w:r>
        <w:rPr>
          <w:rFonts w:ascii="Times New Roman" w:hAnsi="Times New Roman" w:hint="eastAsia"/>
          <w:color w:val="auto"/>
          <w:highlight w:val="none"/>
        </w:rPr>
        <w:t>10</w:t>
      </w:r>
      <w:r>
        <w:rPr>
          <w:rFonts w:ascii="宋体" w:hAnsi="宋体" w:hint="eastAsia"/>
          <w:color w:val="auto"/>
          <w:highlight w:val="none"/>
        </w:rPr>
        <w:t>号紫金广场</w:t>
      </w:r>
      <w:r>
        <w:rPr>
          <w:rFonts w:ascii="Times New Roman" w:hAnsi="Times New Roman" w:hint="eastAsia"/>
          <w:color w:val="auto"/>
          <w:highlight w:val="none"/>
        </w:rPr>
        <w:t>5楼</w:t>
      </w:r>
      <w:r>
        <w:rPr>
          <w:rFonts w:ascii="宋体" w:hAnsi="宋体" w:hint="eastAsia"/>
          <w:color w:val="auto"/>
          <w:highlight w:val="none"/>
        </w:rPr>
        <w:t>）</w:t>
      </w:r>
    </w:p>
    <w:bookmarkStart w:id="18" w:name="_Toc28359094"/>
    <w:bookmarkStart w:id="19" w:name="_Toc35393634"/>
    <w:bookmarkStart w:id="20" w:name="_Toc28359017"/>
    <w:bookmarkStart w:id="21" w:name="_Toc35393803"/>
    <w:p>
      <w:pPr>
        <w:pStyle w:val="style0"/>
        <w:snapToGrid w:val="false"/>
        <w:spacing w:lineRule="auto" w:line="360"/>
        <w:ind w:firstLine="422" w:firstLineChars="200"/>
        <w:outlineLvl w:val="0"/>
        <w:rPr>
          <w:rFonts w:ascii="宋体" w:hAnsi="宋体"/>
          <w:b/>
          <w:color w:val="auto"/>
          <w:highlight w:val="none"/>
        </w:rPr>
      </w:pPr>
      <w:r>
        <w:rPr>
          <w:rFonts w:ascii="宋体" w:hAnsi="宋体" w:hint="eastAsia"/>
          <w:b/>
          <w:bCs/>
          <w:color w:val="auto"/>
          <w:highlight w:val="none"/>
        </w:rPr>
        <w:t>五</w:t>
      </w:r>
      <w:r>
        <w:rPr>
          <w:rFonts w:ascii="宋体" w:hAnsi="宋体" w:hint="eastAsia"/>
          <w:b/>
          <w:color w:val="auto"/>
          <w:highlight w:val="none"/>
        </w:rPr>
        <w:t>、开标时间和地点</w:t>
      </w:r>
    </w:p>
    <w:p>
      <w:pPr>
        <w:pStyle w:val="style0"/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开标时间：2023年11月2</w:t>
      </w:r>
      <w:r>
        <w:rPr>
          <w:rFonts w:ascii="宋体" w:hAnsi="宋体" w:hint="eastAsia"/>
          <w:color w:val="auto"/>
          <w:highlight w:val="none"/>
          <w:lang w:val="en-US" w:eastAsia="zh-CN"/>
        </w:rPr>
        <w:t>2</w:t>
      </w:r>
      <w:r>
        <w:rPr>
          <w:rFonts w:ascii="宋体" w:hAnsi="宋体" w:hint="eastAsia"/>
          <w:color w:val="auto"/>
          <w:highlight w:val="none"/>
        </w:rPr>
        <w:t>日14点30分</w:t>
      </w:r>
    </w:p>
    <w:p>
      <w:pPr>
        <w:pStyle w:val="style0"/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开标地点：江苏恒泰建设工程咨询有限公司开标室（扬州市文昌西路10号紫金广场5楼）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2" w:firstLineChars="200"/>
        <w:rPr>
          <w:rFonts w:ascii="宋体" w:hAnsi="宋体"/>
          <w:b/>
          <w:bCs/>
          <w:color w:val="auto"/>
          <w:highlight w:val="none"/>
        </w:rPr>
      </w:pPr>
      <w:r>
        <w:rPr>
          <w:rFonts w:ascii="宋体" w:hAnsi="宋体" w:hint="eastAsia"/>
          <w:b/>
          <w:bCs/>
          <w:color w:val="auto"/>
          <w:highlight w:val="none"/>
        </w:rPr>
        <w:t>六、公告期限</w:t>
      </w:r>
      <w:bookmarkEnd w:id="18"/>
      <w:bookmarkEnd w:id="19"/>
      <w:bookmarkEnd w:id="20"/>
      <w:bookmarkEnd w:id="21"/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自本公告发布之日起</w:t>
      </w:r>
      <w:r>
        <w:rPr>
          <w:rFonts w:ascii="Times New Roman" w:hAnsi="Times New Roman" w:hint="eastAsia"/>
          <w:color w:val="auto"/>
          <w:highlight w:val="none"/>
        </w:rPr>
        <w:t>5</w:t>
      </w:r>
      <w:r>
        <w:rPr>
          <w:rFonts w:ascii="宋体" w:hAnsi="宋体" w:hint="eastAsia"/>
          <w:color w:val="auto"/>
          <w:highlight w:val="none"/>
        </w:rPr>
        <w:t>个工作日。</w:t>
      </w:r>
    </w:p>
    <w:bookmarkStart w:id="22" w:name="_Toc35393804"/>
    <w:bookmarkStart w:id="23" w:name="_Toc35393635"/>
    <w:p>
      <w:pPr>
        <w:pStyle w:val="style0"/>
        <w:snapToGrid w:val="false"/>
        <w:spacing w:lineRule="auto" w:line="360"/>
        <w:ind w:firstLine="422" w:firstLineChars="200"/>
        <w:rPr>
          <w:rFonts w:ascii="宋体" w:hAnsi="宋体"/>
          <w:b/>
          <w:bCs/>
          <w:color w:val="auto"/>
          <w:highlight w:val="none"/>
        </w:rPr>
      </w:pPr>
      <w:r>
        <w:rPr>
          <w:rFonts w:ascii="宋体" w:hAnsi="宋体" w:hint="eastAsia"/>
          <w:b/>
          <w:bCs/>
          <w:color w:val="auto"/>
          <w:highlight w:val="none"/>
        </w:rPr>
        <w:t>七、其他补充事宜</w:t>
      </w:r>
      <w:bookmarkEnd w:id="22"/>
      <w:bookmarkEnd w:id="23"/>
      <w:r>
        <w:rPr>
          <w:rFonts w:ascii="宋体" w:hAnsi="宋体" w:hint="eastAsia"/>
          <w:b/>
          <w:bCs/>
          <w:color w:val="auto"/>
          <w:highlight w:val="none"/>
        </w:rPr>
        <w:t>:</w:t>
      </w:r>
      <w:bookmarkStart w:id="24" w:name="_Toc28359095"/>
      <w:bookmarkStart w:id="25" w:name="_Toc28359018"/>
      <w:bookmarkStart w:id="26" w:name="_Toc35393805"/>
      <w:bookmarkStart w:id="27" w:name="_Toc35393636"/>
    </w:p>
    <w:p>
      <w:pPr>
        <w:pStyle w:val="style0"/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Times New Roman" w:hAnsi="Times New Roman" w:hint="eastAsia"/>
          <w:color w:val="auto"/>
          <w:highlight w:val="none"/>
        </w:rPr>
        <w:t>1</w:t>
      </w:r>
      <w:r>
        <w:rPr>
          <w:rFonts w:ascii="宋体" w:hAnsi="宋体" w:hint="eastAsia"/>
          <w:color w:val="auto"/>
          <w:highlight w:val="none"/>
        </w:rPr>
        <w:t>、本次投标文件制作纸质份数要求</w:t>
      </w:r>
    </w:p>
    <w:p>
      <w:pPr>
        <w:pStyle w:val="style0"/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一式伍份（壹份正本、肆份副本）。每份投标文件须清楚标明“正本”或“副本”字样。一旦正本和副本不符，以正本为准。</w:t>
      </w:r>
    </w:p>
    <w:p>
      <w:pPr>
        <w:pStyle w:val="style0"/>
        <w:numPr>
          <w:ilvl w:val="0"/>
          <w:numId w:val="2"/>
        </w:numPr>
        <w:snapToGrid w:val="false"/>
        <w:spacing w:lineRule="auto" w:line="360"/>
        <w:ind w:firstLine="420" w:firstLineChars="200"/>
        <w:rPr>
          <w:rFonts w:ascii="宋体" w:hAnsi="宋体"/>
          <w:i/>
          <w:iCs/>
          <w:color w:val="auto"/>
          <w:highlight w:val="none"/>
          <w:u w:val="single"/>
        </w:rPr>
      </w:pPr>
      <w:r>
        <w:rPr>
          <w:rFonts w:ascii="宋体" w:hAnsi="宋体" w:hint="eastAsia"/>
          <w:i/>
          <w:iCs/>
          <w:color w:val="auto"/>
          <w:highlight w:val="none"/>
          <w:u w:val="single"/>
        </w:rPr>
        <w:t>本招标文件中斜体下划线部分为实质性响应条件，为必须遵守的条件，如不满足将作无效响应文件处理。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color w:val="auto"/>
          <w:highlight w:val="none"/>
        </w:rPr>
      </w:pPr>
      <w:r>
        <w:rPr>
          <w:rFonts w:ascii="宋体" w:cs="Arial" w:hAnsi="宋体" w:hint="eastAsia"/>
          <w:color w:val="auto"/>
          <w:highlight w:val="none"/>
        </w:rPr>
        <w:t>3、</w:t>
      </w:r>
      <w:r>
        <w:rPr>
          <w:rFonts w:ascii="宋体" w:hAnsi="宋体" w:hint="eastAsia"/>
          <w:color w:val="auto"/>
          <w:highlight w:val="none"/>
        </w:rPr>
        <w:t>有关本次招标的事项若存在变动或修改，敬请及时关注“扬州市公共资源交易中心-国企采购平台、扬州市城建国有资产控股（集团）有限责任公司网站、江苏长江水务股份有限公司网站”发布的信息或更正公告。</w:t>
      </w:r>
    </w:p>
    <w:bookmarkEnd w:id="24"/>
    <w:bookmarkEnd w:id="25"/>
    <w:bookmarkEnd w:id="26"/>
    <w:bookmarkEnd w:id="27"/>
    <w:p>
      <w:pPr>
        <w:pStyle w:val="style0"/>
        <w:snapToGrid w:val="false"/>
        <w:spacing w:lineRule="auto" w:line="360"/>
        <w:ind w:left="420" w:leftChars="200"/>
        <w:outlineLvl w:val="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4、集中考察或召开答疑会：投标人自行勘察现场，以充分了解本项目具体工作内容。</w:t>
      </w:r>
    </w:p>
    <w:p>
      <w:pPr>
        <w:pStyle w:val="style4099"/>
        <w:snapToGrid w:val="false"/>
        <w:spacing w:lineRule="auto" w:line="360"/>
        <w:ind w:left="420" w:leftChars="200" w:firstLine="0" w:firstLineChars="0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5、本项目</w:t>
      </w:r>
      <w:r>
        <w:rPr>
          <w:rFonts w:hint="eastAsia"/>
          <w:color w:val="auto"/>
          <w:sz w:val="21"/>
          <w:szCs w:val="21"/>
          <w:highlight w:val="none"/>
          <w:u w:val="single"/>
        </w:rPr>
        <w:t>不收取</w:t>
      </w:r>
      <w:r>
        <w:rPr>
          <w:rFonts w:hint="eastAsia"/>
          <w:color w:val="auto"/>
          <w:sz w:val="21"/>
          <w:szCs w:val="21"/>
          <w:highlight w:val="none"/>
        </w:rPr>
        <w:t>投标保证金。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2" w:firstLineChars="200"/>
        <w:rPr>
          <w:rFonts w:ascii="宋体" w:hAnsi="宋体"/>
          <w:b/>
          <w:bCs/>
          <w:color w:val="auto"/>
          <w:highlight w:val="none"/>
        </w:rPr>
      </w:pPr>
      <w:r>
        <w:rPr>
          <w:rFonts w:ascii="宋体" w:hAnsi="宋体" w:hint="eastAsia"/>
          <w:b/>
          <w:bCs/>
          <w:color w:val="auto"/>
          <w:highlight w:val="none"/>
        </w:rPr>
        <w:t>八、凡对本次采购提出询问，请按以下方式联系。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1.采购人信息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名    称：江苏长江水务股份有限公司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2.采购代理机构信息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名    称：江苏恒泰建设工程咨询有限公司　　　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地　　址：扬州市文昌西路10号紫金广场5楼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left="420" w:left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联系方式：18248717519、0514-82227928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left="420" w:leftChars="200"/>
        <w:rPr>
          <w:rFonts w:ascii="宋体" w:hAnsi="宋体"/>
          <w:color w:val="auto"/>
          <w:highlight w:val="none"/>
        </w:rPr>
      </w:pPr>
      <w:r>
        <w:rPr>
          <w:rFonts w:ascii="宋体" w:hAnsi="宋体" w:hint="eastAsia"/>
          <w:color w:val="auto"/>
          <w:highlight w:val="none"/>
        </w:rPr>
        <w:t>3.项目联系方式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  <w:u w:val="single"/>
        </w:rPr>
      </w:pPr>
      <w:r>
        <w:rPr>
          <w:rFonts w:ascii="宋体" w:hAnsi="宋体" w:hint="eastAsia"/>
          <w:color w:val="auto"/>
          <w:highlight w:val="none"/>
        </w:rPr>
        <w:t>项目联系人：</w:t>
      </w:r>
      <w:r>
        <w:rPr>
          <w:rFonts w:ascii="宋体" w:hAnsi="宋体" w:hint="eastAsia"/>
          <w:color w:val="auto"/>
          <w:highlight w:val="none"/>
          <w:u w:val="single"/>
        </w:rPr>
        <w:t>王露</w:t>
      </w:r>
    </w:p>
    <w:p>
      <w:pPr>
        <w:pStyle w:val="style0"/>
        <w:tabs>
          <w:tab w:val="left" w:leader="none" w:pos="900"/>
        </w:tabs>
        <w:snapToGrid w:val="false"/>
        <w:spacing w:lineRule="auto" w:line="360"/>
        <w:ind w:firstLine="420" w:firstLineChars="200"/>
        <w:rPr>
          <w:rFonts w:ascii="宋体" w:hAnsi="宋体"/>
          <w:color w:val="auto"/>
          <w:highlight w:val="none"/>
          <w:u w:val="single"/>
        </w:rPr>
      </w:pPr>
      <w:r>
        <w:rPr>
          <w:rFonts w:ascii="宋体" w:hAnsi="宋体" w:hint="eastAsia"/>
          <w:color w:val="auto"/>
          <w:highlight w:val="none"/>
        </w:rPr>
        <w:t>电　　 话：</w:t>
      </w:r>
      <w:r>
        <w:rPr>
          <w:rFonts w:ascii="宋体" w:hAnsi="宋体" w:hint="eastAsia"/>
          <w:color w:val="auto"/>
          <w:highlight w:val="none"/>
          <w:u w:val="single"/>
        </w:rPr>
        <w:t>18248717519、0514-82227928</w:t>
      </w:r>
    </w:p>
    <w:p>
      <w:pPr>
        <w:pStyle w:val="style4105"/>
        <w:spacing w:lineRule="auto" w:line="360"/>
        <w:rPr>
          <w:color w:val="auto"/>
          <w:highlight w:val="none"/>
        </w:rPr>
      </w:pPr>
    </w:p>
    <w:p>
      <w:pPr>
        <w:pStyle w:val="style0"/>
        <w:snapToGrid w:val="false"/>
        <w:spacing w:lineRule="auto" w:line="360"/>
        <w:jc w:val="right"/>
        <w:rPr>
          <w:rFonts w:ascii="宋体" w:hAnsi="宋体"/>
          <w:color w:val="auto"/>
          <w:szCs w:val="13"/>
          <w:highlight w:val="none"/>
        </w:rPr>
      </w:pPr>
      <w:r>
        <w:rPr>
          <w:rFonts w:ascii="宋体" w:hAnsi="宋体" w:hint="eastAsia"/>
          <w:color w:val="auto"/>
          <w:szCs w:val="13"/>
          <w:highlight w:val="none"/>
        </w:rPr>
        <w:t>2023年11月0</w:t>
      </w:r>
      <w:r>
        <w:rPr>
          <w:rFonts w:ascii="宋体" w:hAnsi="宋体" w:hint="eastAsia"/>
          <w:color w:val="auto"/>
          <w:szCs w:val="13"/>
          <w:highlight w:val="none"/>
          <w:lang w:val="en-US" w:eastAsia="zh-CN"/>
        </w:rPr>
        <w:t>2</w:t>
      </w:r>
      <w:bookmarkStart w:id="28" w:name="_GoBack"/>
      <w:bookmarkEnd w:id="28"/>
      <w:r>
        <w:rPr>
          <w:rFonts w:ascii="宋体" w:hAnsi="宋体" w:hint="eastAsia"/>
          <w:color w:val="auto"/>
          <w:szCs w:val="13"/>
          <w:highlight w:val="none"/>
        </w:rPr>
        <w:t>日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a2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7a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B64F72F0"/>
    <w:lvl w:ilvl="0">
      <w:start w:val="1"/>
      <w:numFmt w:val="decimal"/>
      <w:pStyle w:val="style1"/>
      <w:lvlText w:val="5.%1"/>
      <w:lvlJc w:val="left"/>
      <w:pPr>
        <w:tabs>
          <w:tab w:val="left" w:leader="none" w:pos="964"/>
        </w:tabs>
        <w:ind w:left="907" w:hanging="850"/>
      </w:pPr>
      <w:rPr>
        <w:rFonts w:hint="default"/>
      </w:rPr>
    </w:lvl>
    <w:lvl w:ilvl="1">
      <w:start w:val="1"/>
      <w:numFmt w:val="decimal"/>
      <w:pStyle w:val="style2"/>
      <w:lvlText w:val="%2)"/>
      <w:lvlJc w:val="left"/>
      <w:pPr>
        <w:tabs>
          <w:tab w:val="left" w:leader="none" w:pos="840"/>
        </w:tabs>
        <w:ind w:left="840" w:hanging="420"/>
      </w:pPr>
      <w:rPr>
        <w:rFonts w:hint="default"/>
      </w:rPr>
    </w:lvl>
    <w:lvl w:ilvl="2">
      <w:start w:val="1"/>
      <w:numFmt w:val="lowerRoman"/>
      <w:pStyle w:val="style3"/>
      <w:lvlText w:val="%3."/>
      <w:lvlJc w:val="right"/>
      <w:pPr>
        <w:tabs>
          <w:tab w:val="left" w:leader="none" w:pos="1260"/>
        </w:tabs>
        <w:ind w:left="1260" w:hanging="420"/>
      </w:pPr>
    </w:lvl>
    <w:lvl w:ilvl="3">
      <w:start w:val="1"/>
      <w:numFmt w:val="decimal"/>
      <w:pStyle w:val="style4"/>
      <w:lvlText w:val="%4."/>
      <w:lvlJc w:val="left"/>
      <w:pPr>
        <w:tabs>
          <w:tab w:val="left" w:leader="none" w:pos="1680"/>
        </w:tabs>
        <w:ind w:left="1680" w:hanging="420"/>
      </w:pPr>
    </w:lvl>
    <w:lvl w:ilvl="4">
      <w:start w:val="1"/>
      <w:numFmt w:val="lowerLetter"/>
      <w:pStyle w:val="style5"/>
      <w:lvlText w:val="%5)"/>
      <w:lvlJc w:val="left"/>
      <w:pPr>
        <w:tabs>
          <w:tab w:val="left" w:leader="none" w:pos="2100"/>
        </w:tabs>
        <w:ind w:left="2100" w:hanging="420"/>
      </w:pPr>
    </w:lvl>
    <w:lvl w:ilvl="5">
      <w:start w:val="1"/>
      <w:numFmt w:val="lowerRoman"/>
      <w:pStyle w:val="style6"/>
      <w:lvlText w:val="%6."/>
      <w:lvlJc w:val="right"/>
      <w:pPr>
        <w:tabs>
          <w:tab w:val="left" w:leader="none" w:pos="2520"/>
        </w:tabs>
        <w:ind w:left="2520" w:hanging="420"/>
      </w:pPr>
    </w:lvl>
    <w:lvl w:ilvl="6">
      <w:start w:val="1"/>
      <w:numFmt w:val="decimal"/>
      <w:pStyle w:val="style7"/>
      <w:lvlText w:val="%7."/>
      <w:lvlJc w:val="left"/>
      <w:pPr>
        <w:tabs>
          <w:tab w:val="left" w:leader="none" w:pos="2940"/>
        </w:tabs>
        <w:ind w:left="2940" w:hanging="420"/>
      </w:pPr>
    </w:lvl>
    <w:lvl w:ilvl="7">
      <w:start w:val="1"/>
      <w:numFmt w:val="lowerLetter"/>
      <w:pStyle w:val="style8"/>
      <w:lvlText w:val="%8)"/>
      <w:lvlJc w:val="left"/>
      <w:pPr>
        <w:tabs>
          <w:tab w:val="left" w:leader="none" w:pos="3360"/>
        </w:tabs>
        <w:ind w:left="3360" w:hanging="420"/>
      </w:pPr>
    </w:lvl>
    <w:lvl w:ilvl="8">
      <w:start w:val="1"/>
      <w:numFmt w:val="lowerRoman"/>
      <w:pStyle w:val="style9"/>
      <w:lvlText w:val="%9."/>
      <w:lvlJc w:val="right"/>
      <w:pPr>
        <w:tabs>
          <w:tab w:val="left" w:leader="none" w:pos="3780"/>
        </w:tabs>
        <w:ind w:left="3780" w:hanging="420"/>
      </w:pPr>
    </w:lvl>
  </w:abstractNum>
  <w:abstractNum w:abstractNumId="1">
    <w:nsid w:val="00000001"/>
    <w:multiLevelType w:val="singleLevel"/>
    <w:tmpl w:val="613D2768"/>
    <w:lvl w:ilvl="0">
      <w:start w:val="2"/>
      <w:numFmt w:val="decimal"/>
      <w:suff w:val="nothing"/>
      <w:lvlText w:val="%1、"/>
      <w:lvlJc w:val="left"/>
      <w:p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3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66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1"/>
      <w:lang w:val="en-US" w:bidi="ar-SA" w:eastAsia="zh-CN"/>
    </w:rPr>
  </w:style>
  <w:style w:type="paragraph" w:styleId="style1">
    <w:name w:val="heading 1"/>
    <w:basedOn w:val="style0"/>
    <w:next w:val="style0"/>
    <w:link w:val="style4097"/>
    <w:qFormat/>
    <w:uiPriority w:val="0"/>
    <w:pPr>
      <w:keepNext/>
      <w:keepLines/>
      <w:numPr>
        <w:ilvl w:val="0"/>
        <w:numId w:val="1"/>
      </w:numPr>
      <w:adjustRightInd w:val="false"/>
      <w:spacing w:lineRule="atLeast" w:line="360"/>
      <w:textAlignment w:val="baseline"/>
      <w:outlineLvl w:val="0"/>
    </w:pPr>
    <w:rPr>
      <w:rFonts w:ascii="Arial" w:eastAsia="宋体" w:hAnsi="Arial"/>
      <w:b/>
      <w:kern w:val="44"/>
      <w:sz w:val="36"/>
      <w:szCs w:val="20"/>
    </w:rPr>
  </w:style>
  <w:style w:type="paragraph" w:styleId="style2">
    <w:name w:val="heading 2"/>
    <w:basedOn w:val="style0"/>
    <w:next w:val="style0"/>
    <w:link w:val="style4098"/>
    <w:qFormat/>
    <w:uiPriority w:val="0"/>
    <w:pPr>
      <w:keepNext/>
      <w:keepLines/>
      <w:numPr>
        <w:ilvl w:val="1"/>
        <w:numId w:val="1"/>
      </w:numPr>
      <w:spacing w:beforeAutospacing="false" w:afterAutospacing="false" w:lineRule="auto" w:line="360"/>
      <w:ind w:left="840" w:hanging="420"/>
      <w:jc w:val="center"/>
      <w:outlineLvl w:val="1"/>
    </w:pPr>
    <w:rPr>
      <w:rFonts w:ascii="Arial" w:cs="Times New Roman" w:eastAsia="宋体" w:hAnsi="Arial"/>
      <w:b/>
      <w:kern w:val="2"/>
      <w:sz w:val="28"/>
      <w:szCs w:val="20"/>
    </w:rPr>
  </w:style>
  <w:style w:type="paragraph" w:styleId="style3">
    <w:name w:val="heading 3"/>
    <w:basedOn w:val="style0"/>
    <w:next w:val="style0"/>
    <w:qFormat/>
    <w:uiPriority w:val="0"/>
    <w:pPr>
      <w:keepNext/>
      <w:keepLines/>
      <w:numPr>
        <w:ilvl w:val="2"/>
        <w:numId w:val="1"/>
      </w:numPr>
      <w:spacing w:beforeAutospacing="false" w:afterAutospacing="false" w:lineRule="auto" w:line="240"/>
      <w:ind w:left="1260" w:hanging="420"/>
      <w:jc w:val="center"/>
      <w:outlineLvl w:val="2"/>
    </w:pPr>
    <w:rPr>
      <w:rFonts w:ascii="Times New Roman" w:cs="Times New Roman" w:eastAsia="宋体" w:hAnsi="Times New Roman"/>
      <w:b/>
      <w:kern w:val="2"/>
      <w:sz w:val="28"/>
      <w:szCs w:val="22"/>
    </w:rPr>
  </w:style>
  <w:style w:type="paragraph" w:styleId="style4">
    <w:name w:val="heading 4"/>
    <w:basedOn w:val="style0"/>
    <w:next w:val="style0"/>
    <w:qFormat/>
    <w:uiPriority w:val="0"/>
    <w:pPr>
      <w:keepNext/>
      <w:keepLines/>
      <w:numPr>
        <w:ilvl w:val="3"/>
        <w:numId w:val="1"/>
      </w:numPr>
      <w:spacing w:before="280" w:beforeAutospacing="false" w:after="290" w:afterAutospacing="false" w:lineRule="auto" w:line="372"/>
      <w:ind w:left="1680" w:hanging="420"/>
      <w:outlineLvl w:val="3"/>
    </w:pPr>
    <w:rPr>
      <w:rFonts w:ascii="Arial" w:cs="Times New Roman" w:eastAsia="黑体" w:hAnsi="Arial"/>
      <w:b/>
      <w:kern w:val="2"/>
      <w:sz w:val="28"/>
    </w:rPr>
  </w:style>
  <w:style w:type="paragraph" w:styleId="style5">
    <w:name w:val="heading 5"/>
    <w:basedOn w:val="style0"/>
    <w:next w:val="style0"/>
    <w:qFormat/>
    <w:uiPriority w:val="0"/>
    <w:pPr>
      <w:keepNext/>
      <w:keepLines/>
      <w:numPr>
        <w:ilvl w:val="4"/>
        <w:numId w:val="1"/>
      </w:numPr>
      <w:spacing w:before="280" w:beforeAutospacing="false" w:after="290" w:afterAutospacing="false" w:lineRule="auto" w:line="372"/>
      <w:ind w:left="2100" w:hanging="420"/>
      <w:outlineLvl w:val="4"/>
    </w:pPr>
    <w:rPr>
      <w:b/>
      <w:sz w:val="28"/>
    </w:rPr>
  </w:style>
  <w:style w:type="paragraph" w:styleId="style6">
    <w:name w:val="heading 6"/>
    <w:basedOn w:val="style0"/>
    <w:next w:val="style0"/>
    <w:qFormat/>
    <w:uiPriority w:val="0"/>
    <w:pPr>
      <w:keepNext/>
      <w:keepLines/>
      <w:numPr>
        <w:ilvl w:val="5"/>
        <w:numId w:val="1"/>
      </w:numPr>
      <w:spacing w:before="240" w:beforeAutospacing="false" w:after="64" w:afterAutospacing="false" w:lineRule="auto" w:line="317"/>
      <w:ind w:left="2520" w:hanging="420"/>
      <w:outlineLvl w:val="5"/>
    </w:pPr>
    <w:rPr>
      <w:rFonts w:ascii="Arial" w:eastAsia="黑体" w:hAnsi="Arial"/>
      <w:b/>
      <w:sz w:val="24"/>
    </w:rPr>
  </w:style>
  <w:style w:type="paragraph" w:styleId="style7">
    <w:name w:val="heading 7"/>
    <w:basedOn w:val="style0"/>
    <w:next w:val="style0"/>
    <w:qFormat/>
    <w:uiPriority w:val="0"/>
    <w:pPr>
      <w:keepNext/>
      <w:keepLines/>
      <w:numPr>
        <w:ilvl w:val="6"/>
        <w:numId w:val="1"/>
      </w:numPr>
      <w:spacing w:before="240" w:beforeAutospacing="false" w:after="64" w:afterAutospacing="false" w:lineRule="auto" w:line="317"/>
      <w:ind w:left="2940" w:hanging="420"/>
      <w:outlineLvl w:val="6"/>
    </w:pPr>
    <w:rPr>
      <w:b/>
      <w:sz w:val="24"/>
    </w:rPr>
  </w:style>
  <w:style w:type="paragraph" w:styleId="style8">
    <w:name w:val="heading 8"/>
    <w:basedOn w:val="style0"/>
    <w:next w:val="style0"/>
    <w:qFormat/>
    <w:uiPriority w:val="0"/>
    <w:pPr>
      <w:keepNext/>
      <w:keepLines/>
      <w:numPr>
        <w:ilvl w:val="7"/>
        <w:numId w:val="1"/>
      </w:numPr>
      <w:spacing w:before="240" w:beforeAutospacing="false" w:after="64" w:afterAutospacing="false" w:lineRule="auto" w:line="317"/>
      <w:ind w:left="3360" w:hanging="420"/>
      <w:outlineLvl w:val="7"/>
    </w:pPr>
    <w:rPr>
      <w:rFonts w:ascii="Arial" w:eastAsia="黑体" w:hAnsi="Arial"/>
      <w:sz w:val="24"/>
    </w:rPr>
  </w:style>
  <w:style w:type="paragraph" w:styleId="style9">
    <w:name w:val="heading 9"/>
    <w:basedOn w:val="style0"/>
    <w:next w:val="style0"/>
    <w:qFormat/>
    <w:uiPriority w:val="0"/>
    <w:pPr>
      <w:keepNext/>
      <w:keepLines/>
      <w:numPr>
        <w:ilvl w:val="8"/>
        <w:numId w:val="1"/>
      </w:numPr>
      <w:spacing w:before="240" w:beforeAutospacing="false" w:after="64" w:afterAutospacing="false" w:lineRule="auto" w:line="317"/>
      <w:ind w:left="3780" w:hanging="420"/>
      <w:outlineLvl w:val="8"/>
    </w:pPr>
    <w:rPr>
      <w:rFonts w:ascii="Arial" w:eastAsia="黑体" w:hAnsi="Arial"/>
      <w:sz w:val="21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80"/>
    <w:qFormat/>
    <w:uiPriority w:val="0"/>
    <w:pPr/>
    <w:rPr>
      <w:rFonts w:ascii="楷体_GB2312" w:eastAsia="楷体_GB2312" w:hAnsi="Arial"/>
      <w:kern w:val="0"/>
      <w:sz w:val="28"/>
      <w:szCs w:val="28"/>
    </w:rPr>
  </w:style>
  <w:style w:type="paragraph" w:styleId="style80">
    <w:name w:val="Body Text 2"/>
    <w:basedOn w:val="style0"/>
    <w:next w:val="style80"/>
    <w:qFormat/>
    <w:uiPriority w:val="0"/>
    <w:pPr>
      <w:spacing w:after="120" w:lineRule="auto" w:line="480"/>
    </w:pPr>
    <w:rPr/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kern w:val="0"/>
      <w:sz w:val="18"/>
      <w:szCs w:val="18"/>
    </w:rPr>
  </w:style>
  <w:style w:type="paragraph" w:styleId="style31">
    <w:name w:val="header"/>
    <w:basedOn w:val="style0"/>
    <w:next w:val="style31"/>
    <w:qFormat/>
    <w:uiPriority w:val="0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kern w:val="0"/>
      <w:sz w:val="18"/>
      <w:szCs w:val="18"/>
    </w:rPr>
  </w:style>
  <w:style w:type="paragraph" w:styleId="style94">
    <w:name w:val="Normal (Web)"/>
    <w:basedOn w:val="style0"/>
    <w:next w:val="style94"/>
    <w:qFormat/>
    <w:uiPriority w:val="99"/>
    <w:pPr/>
    <w:rPr>
      <w:sz w:val="24"/>
    </w:rPr>
  </w:style>
  <w:style w:type="character" w:customStyle="1" w:styleId="style4097">
    <w:name w:val="标题 1 Char"/>
    <w:next w:val="style4097"/>
    <w:link w:val="style1"/>
    <w:qFormat/>
    <w:uiPriority w:val="0"/>
    <w:rPr>
      <w:rFonts w:ascii="Arial" w:eastAsia="宋体" w:hAnsi="Arial"/>
      <w:b/>
      <w:kern w:val="44"/>
      <w:sz w:val="36"/>
      <w:szCs w:val="20"/>
    </w:rPr>
  </w:style>
  <w:style w:type="character" w:customStyle="1" w:styleId="style4098">
    <w:name w:val="标题 2 Char"/>
    <w:next w:val="style4098"/>
    <w:link w:val="style2"/>
    <w:qFormat/>
    <w:uiPriority w:val="0"/>
    <w:rPr>
      <w:rFonts w:ascii="Arial" w:cs="Times New Roman" w:eastAsia="宋体" w:hAnsi="Arial"/>
      <w:b/>
      <w:kern w:val="2"/>
      <w:sz w:val="28"/>
      <w:szCs w:val="20"/>
    </w:rPr>
  </w:style>
  <w:style w:type="paragraph" w:customStyle="1" w:styleId="style4099">
    <w:name w:val="段"/>
    <w:next w:val="style4100"/>
    <w:qFormat/>
    <w:uiPriority w:val="0"/>
    <w:pPr>
      <w:tabs>
        <w:tab w:val="center" w:leader="none" w:pos="4201"/>
        <w:tab w:val="right" w:leader="dot" w:pos="9298"/>
      </w:tabs>
      <w:autoSpaceDE w:val="false"/>
      <w:autoSpaceDN w:val="false"/>
      <w:ind w:firstLine="420" w:firstLineChars="200"/>
      <w:jc w:val="both"/>
    </w:pPr>
    <w:rPr>
      <w:rFonts w:ascii="宋体" w:cs="Times New Roman" w:eastAsia="宋体" w:hAnsi="Times New Roman"/>
      <w:lang w:val="en-US" w:bidi="ar-SA" w:eastAsia="zh-CN"/>
    </w:rPr>
  </w:style>
  <w:style w:type="paragraph" w:customStyle="1" w:styleId="style4100">
    <w:name w:val="正文11"/>
    <w:next w:val="style4101"/>
    <w:qFormat/>
    <w:uiPriority w:val="0"/>
    <w:pPr>
      <w:widowControl w:val="false"/>
      <w:jc w:val="both"/>
    </w:pPr>
    <w:rPr>
      <w:rFonts w:ascii="Calibri" w:cs="Times New Roman" w:eastAsia="宋体" w:hAnsi="Calibri"/>
      <w:sz w:val="21"/>
      <w:szCs w:val="22"/>
      <w:lang w:val="en-US" w:bidi="ar-SA" w:eastAsia="zh-CN"/>
    </w:rPr>
  </w:style>
  <w:style w:type="paragraph" w:customStyle="1" w:styleId="style4101">
    <w:name w:val="正文1"/>
    <w:next w:val="style4102"/>
    <w:qFormat/>
    <w:uiPriority w:val="0"/>
    <w:pPr>
      <w:widowControl w:val="false"/>
      <w:adjustRightInd w:val="false"/>
      <w:spacing w:lineRule="atLeast" w:line="312"/>
      <w:jc w:val="both"/>
      <w:textAlignment w:val="baseline"/>
    </w:pPr>
    <w:rPr>
      <w:rFonts w:ascii="宋体" w:cs="Times New Roman" w:eastAsia="宋体" w:hAnsi="Times New Roman"/>
      <w:sz w:val="28"/>
      <w:lang w:val="en-US" w:bidi="ar-SA" w:eastAsia="zh-CN"/>
    </w:rPr>
  </w:style>
  <w:style w:type="paragraph" w:customStyle="1" w:styleId="style4102">
    <w:name w:val="正文文本1"/>
    <w:basedOn w:val="style4101"/>
    <w:next w:val="style4103"/>
    <w:qFormat/>
    <w:uiPriority w:val="0"/>
    <w:pPr>
      <w:spacing w:after="120"/>
    </w:pPr>
    <w:rPr>
      <w:lang w:eastAsia="en-US"/>
    </w:rPr>
  </w:style>
  <w:style w:type="paragraph" w:customStyle="1" w:styleId="style4103">
    <w:name w:val="一级条标题"/>
    <w:basedOn w:val="style4104"/>
    <w:next w:val="style4099"/>
    <w:qFormat/>
    <w:uiPriority w:val="0"/>
    <w:pPr>
      <w:tabs>
        <w:tab w:val="left" w:leader="none" w:pos="810"/>
        <w:tab w:val="left" w:leader="none" w:pos="907"/>
        <w:tab w:val="left" w:leader="none" w:pos="1265"/>
      </w:tabs>
      <w:spacing w:before="0" w:after="0"/>
      <w:ind w:left="907" w:hanging="907"/>
      <w:outlineLvl w:val="2"/>
    </w:pPr>
    <w:rPr>
      <w:rFonts w:hAnsi="宋体"/>
      <w:sz w:val="20"/>
      <w:szCs w:val="20"/>
    </w:rPr>
  </w:style>
  <w:style w:type="paragraph" w:customStyle="1" w:styleId="style4104">
    <w:name w:val="章标题"/>
    <w:next w:val="style4100"/>
    <w:qFormat/>
    <w:uiPriority w:val="0"/>
    <w:pPr>
      <w:tabs>
        <w:tab w:val="left" w:leader="none" w:pos="810"/>
        <w:tab w:val="left" w:leader="none" w:pos="1265"/>
      </w:tabs>
      <w:spacing w:before="50" w:after="50"/>
      <w:ind w:left="810" w:hanging="810"/>
      <w:jc w:val="both"/>
      <w:outlineLvl w:val="1"/>
    </w:pPr>
    <w:rPr>
      <w:rFonts w:ascii="黑体" w:cs="Times New Roman" w:eastAsia="黑体" w:hAnsi="Calibri"/>
      <w:sz w:val="21"/>
      <w:szCs w:val="22"/>
      <w:lang w:val="en-US" w:bidi="ar-SA" w:eastAsia="zh-CN"/>
    </w:rPr>
  </w:style>
  <w:style w:type="paragraph" w:customStyle="1" w:styleId="style4105">
    <w:name w:val="首行缩进"/>
    <w:basedOn w:val="style0"/>
    <w:next w:val="style4105"/>
    <w:qFormat/>
    <w:uiPriority w:val="99"/>
    <w:pPr>
      <w:spacing w:lineRule="auto" w:line="360"/>
      <w:ind w:firstLine="480"/>
      <w:jc w:val="left"/>
    </w:pPr>
    <w:rPr>
      <w:rFonts w:ascii="宋体" w:hAnsi="宋体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Words>1808</Words>
  <Pages>1</Pages>
  <Characters>2031</Characters>
  <Application>WPS Office</Application>
  <DocSecurity>0</DocSecurity>
  <Paragraphs>64</Paragraphs>
  <ScaleCrop>false</ScaleCrop>
  <LinksUpToDate>false</LinksUpToDate>
  <CharactersWithSpaces>2052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2023-11-01T03:13:00Z</dcterms:created>
  <dc:creator>HMM</dc:creator>
  <lastModifiedBy>CET-AL00</lastModifiedBy>
  <dcterms:modified xsi:type="dcterms:W3CDTF">2023-11-01T07:07:38Z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8F778F43206247DC83F5709B2B149FA8_11</vt:lpwstr>
  </property>
</Properties>
</file>