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360" w:lineRule="auto"/>
        <w:ind w:left="840" w:leftChars="400" w:right="840" w:rightChars="400" w:firstLine="0" w:firstLineChars="0"/>
        <w:jc w:val="center"/>
        <w:rPr>
          <w:rFonts w:hint="eastAsia" w:ascii="宋体" w:hAnsi="宋体" w:cs="宋体"/>
          <w:bCs/>
          <w:kern w:val="0"/>
          <w:sz w:val="32"/>
          <w:szCs w:val="32"/>
        </w:rPr>
      </w:pPr>
      <w:r>
        <w:rPr>
          <w:rFonts w:hint="eastAsia" w:ascii="宋体" w:hAnsi="宋体" w:cs="宋体"/>
          <w:bCs/>
          <w:kern w:val="0"/>
          <w:sz w:val="32"/>
          <w:szCs w:val="32"/>
        </w:rPr>
        <w:t>江苏长江水务股份有限公司</w:t>
      </w:r>
    </w:p>
    <w:p>
      <w:pPr>
        <w:snapToGrid w:val="0"/>
        <w:spacing w:line="360" w:lineRule="auto"/>
        <w:ind w:left="840" w:leftChars="400" w:right="840" w:rightChars="400" w:firstLine="0" w:firstLineChars="0"/>
        <w:jc w:val="center"/>
        <w:rPr>
          <w:rFonts w:ascii="宋体" w:hAnsi="宋体" w:cs="宋体"/>
          <w:kern w:val="0"/>
          <w:sz w:val="32"/>
          <w:szCs w:val="32"/>
        </w:rPr>
      </w:pPr>
      <w:r>
        <w:rPr>
          <w:rFonts w:hint="eastAsia" w:ascii="宋体" w:hAnsi="宋体" w:cs="宋体"/>
          <w:bCs/>
          <w:kern w:val="0"/>
          <w:sz w:val="32"/>
          <w:szCs w:val="32"/>
          <w:lang w:eastAsia="zh-CN"/>
        </w:rPr>
        <w:t>双面埋弧焊螺旋缝钢管及管件、无缝钢管及管件年度入围招标项目</w:t>
      </w:r>
      <w:r>
        <w:rPr>
          <w:rFonts w:hint="eastAsia" w:ascii="宋体" w:hAnsi="宋体" w:cs="宋体"/>
          <w:bCs/>
          <w:kern w:val="0"/>
          <w:sz w:val="32"/>
          <w:szCs w:val="32"/>
        </w:rPr>
        <w:t>招标公告</w:t>
      </w:r>
    </w:p>
    <w:p>
      <w:pPr>
        <w:pStyle w:val="4"/>
        <w:snapToGrid w:val="0"/>
        <w:spacing w:before="0" w:after="0" w:line="360" w:lineRule="auto"/>
        <w:rPr>
          <w:rFonts w:cs="宋体"/>
          <w:sz w:val="21"/>
          <w:szCs w:val="21"/>
        </w:rPr>
      </w:pPr>
      <w:bookmarkStart w:id="0" w:name="_Toc6452"/>
      <w:bookmarkStart w:id="1" w:name="_Toc8943"/>
      <w:bookmarkStart w:id="2" w:name="_Toc17528"/>
      <w:bookmarkStart w:id="3" w:name="_Toc30307"/>
      <w:bookmarkStart w:id="4" w:name="_Toc6256"/>
      <w:r>
        <w:rPr>
          <w:rFonts w:hint="eastAsia" w:cs="宋体"/>
          <w:sz w:val="21"/>
          <w:szCs w:val="21"/>
        </w:rPr>
        <w:t>一、招标条件</w:t>
      </w:r>
      <w:bookmarkEnd w:id="0"/>
    </w:p>
    <w:p>
      <w:pPr>
        <w:pStyle w:val="8"/>
        <w:shd w:val="clear" w:color="auto" w:fill="FFFFFF"/>
        <w:snapToGrid w:val="0"/>
        <w:spacing w:before="0" w:beforeAutospacing="0" w:after="0" w:afterAutospacing="0" w:line="360" w:lineRule="auto"/>
        <w:jc w:val="both"/>
        <w:rPr>
          <w:rFonts w:cs="宋体"/>
          <w:sz w:val="21"/>
          <w:szCs w:val="21"/>
        </w:rPr>
      </w:pPr>
      <w:r>
        <w:rPr>
          <w:rFonts w:hint="eastAsia" w:cs="宋体"/>
          <w:sz w:val="21"/>
          <w:szCs w:val="21"/>
        </w:rPr>
        <w:t>本</w:t>
      </w:r>
      <w:r>
        <w:rPr>
          <w:rFonts w:hint="eastAsia" w:cs="宋体"/>
          <w:bCs/>
          <w:sz w:val="21"/>
          <w:szCs w:val="21"/>
        </w:rPr>
        <w:t>江苏长江水务股份有限公司</w:t>
      </w:r>
      <w:r>
        <w:rPr>
          <w:rFonts w:hint="eastAsia" w:cs="宋体"/>
          <w:bCs/>
          <w:sz w:val="21"/>
          <w:szCs w:val="21"/>
          <w:lang w:eastAsia="zh-CN"/>
        </w:rPr>
        <w:t>双面埋弧焊螺旋缝钢管及管件、无缝钢管及管件年度入围招标项目</w:t>
      </w:r>
      <w:r>
        <w:rPr>
          <w:rFonts w:hint="eastAsia" w:cs="宋体"/>
          <w:sz w:val="21"/>
          <w:szCs w:val="21"/>
        </w:rPr>
        <w:t>已由项目审批/核准/备案机关批准，项目资金来源为自筹，招标人为江苏长江水务股份有限公司。本项目已具备招标条件，现招标方式为公开招标。</w:t>
      </w:r>
    </w:p>
    <w:bookmarkEnd w:id="1"/>
    <w:bookmarkEnd w:id="2"/>
    <w:bookmarkEnd w:id="3"/>
    <w:bookmarkEnd w:id="4"/>
    <w:p>
      <w:pPr>
        <w:wordWrap w:val="0"/>
        <w:snapToGrid w:val="0"/>
        <w:spacing w:line="360" w:lineRule="auto"/>
        <w:ind w:firstLine="0" w:firstLineChars="0"/>
        <w:outlineLvl w:val="1"/>
        <w:rPr>
          <w:rFonts w:ascii="宋体" w:hAnsi="宋体" w:cs="宋体"/>
          <w:b/>
          <w:bCs/>
          <w:kern w:val="0"/>
          <w:szCs w:val="21"/>
        </w:rPr>
      </w:pPr>
      <w:bookmarkStart w:id="5" w:name="_Toc3401"/>
      <w:bookmarkStart w:id="6" w:name="_Toc2838"/>
      <w:bookmarkStart w:id="7" w:name="_Toc32526"/>
      <w:bookmarkStart w:id="8" w:name="_Toc19285"/>
      <w:bookmarkStart w:id="9" w:name="_Toc5504"/>
      <w:bookmarkStart w:id="10" w:name="_Toc26095"/>
      <w:r>
        <w:rPr>
          <w:rFonts w:hint="eastAsia" w:ascii="宋体" w:hAnsi="宋体" w:cs="宋体"/>
          <w:b/>
          <w:bCs/>
          <w:kern w:val="0"/>
          <w:szCs w:val="21"/>
        </w:rPr>
        <w:t>二、项目概况和招标范围</w:t>
      </w:r>
      <w:bookmarkEnd w:id="5"/>
      <w:bookmarkEnd w:id="6"/>
      <w:bookmarkEnd w:id="7"/>
      <w:bookmarkEnd w:id="8"/>
      <w:bookmarkEnd w:id="9"/>
      <w:bookmarkEnd w:id="10"/>
    </w:p>
    <w:p>
      <w:pPr>
        <w:wordWrap w:val="0"/>
        <w:overflowPunct w:val="0"/>
        <w:topLinePunct/>
        <w:snapToGrid w:val="0"/>
        <w:spacing w:line="360" w:lineRule="auto"/>
        <w:jc w:val="left"/>
        <w:textAlignment w:val="top"/>
        <w:rPr>
          <w:rFonts w:ascii="宋体" w:hAnsi="宋体" w:cs="宋体"/>
          <w:kern w:val="0"/>
          <w:szCs w:val="21"/>
        </w:rPr>
      </w:pPr>
      <w:bookmarkStart w:id="11" w:name="_Toc20834"/>
      <w:bookmarkStart w:id="12" w:name="_Toc4602"/>
      <w:bookmarkStart w:id="13" w:name="_Toc19700"/>
      <w:bookmarkStart w:id="14" w:name="_Toc19212"/>
      <w:bookmarkStart w:id="15" w:name="_Toc4437"/>
      <w:r>
        <w:rPr>
          <w:rFonts w:hint="eastAsia" w:ascii="宋体" w:hAnsi="宋体" w:cs="宋体"/>
          <w:kern w:val="0"/>
          <w:szCs w:val="21"/>
        </w:rPr>
        <w:t>项目名称：江苏长江水务股份有限公司</w:t>
      </w:r>
      <w:r>
        <w:rPr>
          <w:rFonts w:hint="eastAsia" w:ascii="宋体" w:hAnsi="宋体" w:cs="宋体"/>
          <w:kern w:val="0"/>
          <w:szCs w:val="21"/>
          <w:lang w:eastAsia="zh-CN"/>
        </w:rPr>
        <w:t>双面埋弧焊螺旋缝钢管及管件、无缝钢管及管件年度入围招标项目</w:t>
      </w:r>
      <w:r>
        <w:rPr>
          <w:rFonts w:hint="eastAsia" w:ascii="宋体" w:hAnsi="宋体" w:cs="宋体"/>
          <w:kern w:val="0"/>
          <w:szCs w:val="21"/>
        </w:rPr>
        <w:t>。</w:t>
      </w:r>
    </w:p>
    <w:p>
      <w:pPr>
        <w:snapToGrid w:val="0"/>
        <w:spacing w:line="360" w:lineRule="auto"/>
        <w:jc w:val="left"/>
        <w:rPr>
          <w:rFonts w:ascii="宋体" w:hAnsi="宋体" w:cs="宋体"/>
          <w:bCs/>
          <w:szCs w:val="21"/>
        </w:rPr>
      </w:pPr>
      <w:r>
        <w:rPr>
          <w:rFonts w:hint="eastAsia" w:ascii="宋体" w:hAnsi="宋体" w:cs="宋体"/>
          <w:bCs/>
          <w:kern w:val="0"/>
          <w:szCs w:val="21"/>
        </w:rPr>
        <w:t>项目简要说明：</w:t>
      </w:r>
      <w:r>
        <w:rPr>
          <w:rFonts w:hint="eastAsia" w:ascii="宋体" w:hAnsi="宋体" w:cs="宋体"/>
          <w:bCs/>
          <w:szCs w:val="21"/>
        </w:rPr>
        <w:t>本次招标的是</w:t>
      </w:r>
      <w:r>
        <w:rPr>
          <w:rFonts w:hint="eastAsia" w:ascii="宋体" w:hAnsi="宋体" w:cs="宋体"/>
          <w:kern w:val="0"/>
          <w:szCs w:val="21"/>
        </w:rPr>
        <w:t>江苏长江水务股份有限公司</w:t>
      </w:r>
      <w:r>
        <w:rPr>
          <w:rFonts w:hint="eastAsia" w:ascii="宋体" w:hAnsi="宋体" w:cs="宋体"/>
          <w:bCs/>
          <w:szCs w:val="21"/>
        </w:rPr>
        <w:t>所需</w:t>
      </w:r>
      <w:r>
        <w:rPr>
          <w:rFonts w:hint="eastAsia" w:ascii="宋体" w:hAnsi="宋体" w:cs="宋体"/>
          <w:kern w:val="0"/>
          <w:szCs w:val="21"/>
        </w:rPr>
        <w:t>双面埋弧焊螺旋缝钢管及管件、无缝钢管及管件年度入围招标项目</w:t>
      </w:r>
      <w:r>
        <w:rPr>
          <w:rFonts w:hint="eastAsia" w:ascii="宋体" w:hAnsi="宋体" w:cs="宋体"/>
          <w:bCs/>
          <w:szCs w:val="21"/>
        </w:rPr>
        <w:t>。</w:t>
      </w:r>
    </w:p>
    <w:p>
      <w:pPr>
        <w:wordWrap w:val="0"/>
        <w:overflowPunct w:val="0"/>
        <w:topLinePunct/>
        <w:snapToGrid w:val="0"/>
        <w:spacing w:line="360" w:lineRule="auto"/>
        <w:jc w:val="left"/>
        <w:textAlignment w:val="top"/>
        <w:rPr>
          <w:rFonts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招标内容：江苏长江水务股份有限公司</w:t>
      </w:r>
      <w:r>
        <w:rPr>
          <w:rFonts w:hint="eastAsia" w:ascii="宋体" w:hAnsi="宋体" w:cs="宋体"/>
          <w:kern w:val="0"/>
          <w:szCs w:val="21"/>
          <w:lang w:eastAsia="zh-CN"/>
        </w:rPr>
        <w:t>双面埋弧焊螺旋缝钢管及管件、无缝钢管及管件年度入围招标项目</w:t>
      </w:r>
      <w:r>
        <w:rPr>
          <w:rFonts w:hint="eastAsia" w:ascii="宋体" w:hAnsi="宋体" w:cs="宋体"/>
          <w:kern w:val="0"/>
          <w:szCs w:val="21"/>
        </w:rPr>
        <w:t xml:space="preserve">。  </w:t>
      </w:r>
    </w:p>
    <w:p>
      <w:pPr>
        <w:wordWrap w:val="0"/>
        <w:overflowPunct w:val="0"/>
        <w:topLinePunct/>
        <w:snapToGrid w:val="0"/>
        <w:spacing w:line="360" w:lineRule="auto"/>
        <w:jc w:val="left"/>
        <w:textAlignment w:val="top"/>
        <w:rPr>
          <w:rFonts w:ascii="宋体" w:hAnsi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  <w:bookmarkStart w:id="16" w:name="_Toc6854"/>
      <w:r>
        <w:rPr>
          <w:rFonts w:hint="eastAsia" w:ascii="宋体" w:hAnsi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标包划分：1个标包。</w:t>
      </w:r>
    </w:p>
    <w:p>
      <w:pPr>
        <w:snapToGrid w:val="0"/>
        <w:spacing w:line="360" w:lineRule="auto"/>
        <w:jc w:val="left"/>
        <w:rPr>
          <w:rFonts w:hint="eastAsia" w:ascii="宋体" w:hAnsi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招标控制价：本次招标为年度采购单价招标，单价合计控制价为262841元，投标报价单价和总价超过者按否决投标处理。</w:t>
      </w:r>
    </w:p>
    <w:p>
      <w:pPr>
        <w:snapToGrid w:val="0"/>
        <w:spacing w:line="360" w:lineRule="auto"/>
        <w:jc w:val="left"/>
        <w:rPr>
          <w:rFonts w:ascii="宋体" w:hAnsi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kern w:val="0"/>
          <w:szCs w:val="21"/>
        </w:rPr>
        <w:t>工期/交货期：</w:t>
      </w:r>
      <w:r>
        <w:rPr>
          <w:rFonts w:hint="eastAsia" w:ascii="宋体" w:hAnsi="宋体"/>
          <w:kern w:val="0"/>
          <w:szCs w:val="21"/>
        </w:rPr>
        <w:t>合同签订生效后，供方自收到需方电话通知或传真后</w:t>
      </w:r>
      <w:r>
        <w:rPr>
          <w:rFonts w:hint="eastAsia" w:ascii="宋体" w:hAnsi="宋体" w:cs="宋体"/>
          <w:szCs w:val="21"/>
        </w:rPr>
        <w:t>15个日历天</w:t>
      </w:r>
      <w:r>
        <w:rPr>
          <w:rFonts w:hint="eastAsia" w:ascii="宋体" w:hAnsi="宋体"/>
          <w:kern w:val="0"/>
          <w:szCs w:val="21"/>
        </w:rPr>
        <w:t>内设备、材料全部运抵需方指定的使用现场，并按需方要求负责安装、调试指导工作，直至供、需双方共同验收合格，交付使用</w:t>
      </w:r>
      <w:r>
        <w:rPr>
          <w:rFonts w:hint="eastAsia" w:ascii="宋体" w:hAnsi="宋体" w:cs="宋体"/>
          <w:kern w:val="0"/>
          <w:szCs w:val="21"/>
        </w:rPr>
        <w:t>。</w:t>
      </w:r>
    </w:p>
    <w:p>
      <w:pPr>
        <w:snapToGrid w:val="0"/>
        <w:spacing w:line="360" w:lineRule="auto"/>
        <w:ind w:firstLine="0" w:firstLineChars="0"/>
        <w:outlineLvl w:val="1"/>
        <w:rPr>
          <w:rFonts w:ascii="宋体" w:hAnsi="宋体" w:cs="宋体"/>
          <w:b/>
          <w:bCs/>
          <w:kern w:val="0"/>
          <w:szCs w:val="21"/>
        </w:rPr>
      </w:pPr>
      <w:r>
        <w:rPr>
          <w:rFonts w:hint="eastAsia" w:ascii="宋体" w:hAnsi="宋体" w:cs="宋体"/>
          <w:b/>
          <w:bCs/>
          <w:kern w:val="0"/>
          <w:szCs w:val="21"/>
        </w:rPr>
        <w:t>三、投标人资格</w:t>
      </w:r>
      <w:bookmarkEnd w:id="11"/>
      <w:bookmarkEnd w:id="12"/>
      <w:bookmarkEnd w:id="13"/>
      <w:bookmarkEnd w:id="14"/>
      <w:bookmarkEnd w:id="15"/>
      <w:r>
        <w:rPr>
          <w:rFonts w:hint="eastAsia" w:ascii="宋体" w:hAnsi="宋体" w:cs="宋体"/>
          <w:b/>
          <w:bCs/>
          <w:kern w:val="0"/>
          <w:szCs w:val="21"/>
        </w:rPr>
        <w:t>条件</w:t>
      </w:r>
      <w:bookmarkEnd w:id="16"/>
    </w:p>
    <w:p>
      <w:pPr>
        <w:snapToGrid w:val="0"/>
        <w:spacing w:line="360" w:lineRule="auto"/>
        <w:rPr>
          <w:rFonts w:ascii="宋体" w:hAnsi="宋体" w:cs="宋体"/>
          <w:kern w:val="0"/>
          <w:szCs w:val="21"/>
        </w:rPr>
      </w:pPr>
      <w:bookmarkStart w:id="17" w:name="_Toc6754"/>
      <w:bookmarkStart w:id="18" w:name="_Toc17838"/>
      <w:bookmarkStart w:id="19" w:name="_Toc24942"/>
      <w:bookmarkStart w:id="20" w:name="_Toc4109"/>
      <w:bookmarkStart w:id="21" w:name="_Toc24742"/>
      <w:bookmarkStart w:id="22" w:name="_Toc32549"/>
      <w:bookmarkStart w:id="23" w:name="_Toc14264"/>
      <w:bookmarkStart w:id="24" w:name="_Toc1129"/>
      <w:bookmarkStart w:id="25" w:name="_Toc12495"/>
      <w:bookmarkStart w:id="26" w:name="_Toc28011"/>
      <w:bookmarkStart w:id="27" w:name="_Toc25418"/>
      <w:bookmarkStart w:id="28" w:name="_Toc7022"/>
      <w:r>
        <w:rPr>
          <w:rFonts w:hint="eastAsia" w:ascii="宋体" w:hAnsi="宋体" w:cs="宋体"/>
          <w:kern w:val="0"/>
          <w:szCs w:val="21"/>
        </w:rPr>
        <w:t>本项目的投标人资格要求：</w:t>
      </w:r>
    </w:p>
    <w:p>
      <w:pPr>
        <w:snapToGrid w:val="0"/>
        <w:spacing w:line="360" w:lineRule="auto"/>
        <w:rPr>
          <w:rFonts w:ascii="宋体" w:hAnsi="宋体" w:cs="宋体"/>
          <w:bCs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（一）</w:t>
      </w:r>
      <w:r>
        <w:rPr>
          <w:rFonts w:hint="eastAsia" w:ascii="宋体" w:hAnsi="宋体" w:cs="宋体"/>
          <w:bCs/>
          <w:kern w:val="0"/>
          <w:szCs w:val="21"/>
        </w:rPr>
        <w:t>投标人必须是中华人民共和国境内注册的企业法人（营业执照复印件装订于投标文件中）；若投标人为代理商，则必须有产品销售授权，代理人具有针对本次投标的投标人法人授权委托书原件。</w:t>
      </w:r>
    </w:p>
    <w:p>
      <w:pPr>
        <w:snapToGrid w:val="0"/>
        <w:spacing w:line="360" w:lineRule="auto"/>
        <w:rPr>
          <w:rFonts w:ascii="宋体" w:hAnsi="宋体" w:cs="宋体"/>
          <w:bCs/>
          <w:color w:val="auto"/>
          <w:kern w:val="0"/>
          <w:szCs w:val="21"/>
          <w:highlight w:val="none"/>
        </w:rPr>
      </w:pPr>
      <w:r>
        <w:rPr>
          <w:rFonts w:hint="eastAsia" w:ascii="宋体" w:hAnsi="宋体" w:cs="宋体"/>
          <w:color w:val="auto"/>
          <w:kern w:val="0"/>
          <w:szCs w:val="21"/>
          <w:highlight w:val="none"/>
        </w:rPr>
        <w:t>（二）</w:t>
      </w:r>
      <w:r>
        <w:rPr>
          <w:rFonts w:ascii="宋体" w:hAnsi="宋体" w:cs="宋体"/>
          <w:color w:val="auto"/>
          <w:szCs w:val="21"/>
          <w:highlight w:val="none"/>
        </w:rPr>
        <w:t>防腐涂料</w:t>
      </w:r>
      <w:r>
        <w:rPr>
          <w:rFonts w:hint="eastAsia" w:ascii="宋体" w:hAnsi="宋体" w:cs="宋体"/>
          <w:color w:val="auto"/>
          <w:szCs w:val="21"/>
          <w:highlight w:val="none"/>
        </w:rPr>
        <w:t>I</w:t>
      </w:r>
      <w:r>
        <w:rPr>
          <w:rFonts w:ascii="宋体" w:hAnsi="宋体" w:cs="宋体"/>
          <w:color w:val="auto"/>
          <w:szCs w:val="21"/>
          <w:highlight w:val="none"/>
        </w:rPr>
        <w:t>PN8710</w:t>
      </w:r>
      <w:r>
        <w:rPr>
          <w:rFonts w:hint="eastAsia" w:ascii="宋体" w:hAnsi="宋体" w:cs="宋体"/>
          <w:color w:val="auto"/>
          <w:szCs w:val="21"/>
          <w:highlight w:val="none"/>
        </w:rPr>
        <w:t>（</w:t>
      </w:r>
      <w:r>
        <w:rPr>
          <w:rFonts w:ascii="宋体" w:hAnsi="宋体" w:cs="宋体"/>
          <w:color w:val="auto"/>
          <w:szCs w:val="21"/>
          <w:highlight w:val="none"/>
        </w:rPr>
        <w:t>钢管内</w:t>
      </w:r>
      <w:r>
        <w:rPr>
          <w:rFonts w:hint="eastAsia" w:ascii="宋体" w:hAnsi="宋体" w:cs="宋体"/>
          <w:color w:val="auto"/>
          <w:szCs w:val="21"/>
          <w:highlight w:val="none"/>
        </w:rPr>
        <w:t>用）、环氧粉末涂塑复合钢管</w:t>
      </w:r>
      <w:r>
        <w:rPr>
          <w:rFonts w:ascii="宋体" w:hAnsi="宋体" w:cs="宋体"/>
          <w:color w:val="auto"/>
          <w:szCs w:val="21"/>
          <w:highlight w:val="none"/>
        </w:rPr>
        <w:t>须</w:t>
      </w:r>
      <w:r>
        <w:rPr>
          <w:rFonts w:hint="eastAsia" w:ascii="宋体" w:hAnsi="宋体" w:cs="宋体"/>
          <w:color w:val="auto"/>
          <w:szCs w:val="21"/>
          <w:highlight w:val="none"/>
        </w:rPr>
        <w:t>具有有效的符合饮用水卫生证明文件（涉及饮用水卫生安全产品卫生许可批件（复印件加盖公章装订于投标文件中</w:t>
      </w:r>
      <w:r>
        <w:rPr>
          <w:rFonts w:hint="eastAsia" w:ascii="宋体" w:hAnsi="宋体"/>
          <w:color w:val="auto"/>
          <w:szCs w:val="21"/>
          <w:highlight w:val="none"/>
        </w:rPr>
        <w:t>，原件核查，</w:t>
      </w:r>
      <w:r>
        <w:rPr>
          <w:rFonts w:hint="eastAsia" w:ascii="宋体" w:hAnsi="宋体"/>
          <w:b/>
          <w:bCs/>
          <w:color w:val="auto"/>
          <w:szCs w:val="21"/>
          <w:highlight w:val="none"/>
        </w:rPr>
        <w:t>如无</w:t>
      </w:r>
      <w:r>
        <w:rPr>
          <w:rFonts w:hint="eastAsia" w:ascii="宋体" w:hAnsi="宋体" w:cs="宋体"/>
          <w:b/>
          <w:bCs/>
          <w:color w:val="auto"/>
          <w:szCs w:val="21"/>
          <w:highlight w:val="none"/>
        </w:rPr>
        <w:t>饮用水卫生证明文件</w:t>
      </w:r>
      <w:r>
        <w:rPr>
          <w:rFonts w:hint="eastAsia" w:ascii="宋体" w:hAnsi="宋体"/>
          <w:b/>
          <w:bCs/>
          <w:color w:val="auto"/>
          <w:szCs w:val="21"/>
          <w:highlight w:val="none"/>
        </w:rPr>
        <w:t>则按废标处理。</w:t>
      </w:r>
      <w:r>
        <w:rPr>
          <w:rFonts w:hint="eastAsia" w:ascii="宋体" w:hAnsi="宋体" w:cs="宋体"/>
          <w:color w:val="auto"/>
          <w:szCs w:val="21"/>
          <w:highlight w:val="none"/>
        </w:rPr>
        <w:t>）</w:t>
      </w:r>
      <w:r>
        <w:rPr>
          <w:rFonts w:hint="eastAsia" w:ascii="宋体" w:hAnsi="宋体" w:cs="宋体"/>
          <w:bCs/>
          <w:color w:val="auto"/>
          <w:kern w:val="0"/>
          <w:szCs w:val="21"/>
          <w:highlight w:val="none"/>
        </w:rPr>
        <w:t>；</w:t>
      </w:r>
    </w:p>
    <w:p>
      <w:pPr>
        <w:snapToGrid w:val="0"/>
        <w:spacing w:line="360" w:lineRule="auto"/>
        <w:rPr>
          <w:rFonts w:ascii="宋体" w:hAnsi="宋体" w:cs="宋体"/>
          <w:bCs/>
          <w:color w:val="auto"/>
          <w:kern w:val="0"/>
          <w:szCs w:val="21"/>
          <w:highlight w:val="none"/>
        </w:rPr>
      </w:pPr>
      <w:r>
        <w:rPr>
          <w:rFonts w:hint="eastAsia" w:ascii="宋体" w:hAnsi="宋体" w:cs="宋体"/>
          <w:color w:val="auto"/>
          <w:kern w:val="0"/>
          <w:szCs w:val="21"/>
          <w:highlight w:val="none"/>
        </w:rPr>
        <w:t>（三）提供生产制造商自2020年1月1日起</w:t>
      </w:r>
      <w:r>
        <w:rPr>
          <w:rFonts w:hint="eastAsia" w:cs="宋体"/>
          <w:bCs/>
          <w:color w:val="auto"/>
          <w:szCs w:val="21"/>
          <w:highlight w:val="none"/>
        </w:rPr>
        <w:t>招标同类货物</w:t>
      </w:r>
      <w:r>
        <w:rPr>
          <w:rFonts w:hint="eastAsia" w:ascii="宋体" w:hAnsi="宋体" w:cs="宋体"/>
          <w:color w:val="auto"/>
          <w:kern w:val="0"/>
          <w:szCs w:val="21"/>
          <w:highlight w:val="none"/>
        </w:rPr>
        <w:t>供货合同且金额大于等于500万元的业绩（提供合同复印件并加盖公章,原件备查）；若为单价合同，没有供货总金额，则提供合同期供货发票或供水企业的供货证明（金额满足要求即可），时间以签定合同时间为准。</w:t>
      </w:r>
    </w:p>
    <w:p>
      <w:pPr>
        <w:snapToGrid w:val="0"/>
        <w:spacing w:line="360" w:lineRule="auto"/>
        <w:rPr>
          <w:rFonts w:ascii="宋体" w:hAnsi="宋体" w:cs="宋体"/>
          <w:bCs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（四）制造商须具有质量管理体系认证、环境管理体系认证和职业健康安全管理体系认证证书，（提供认证证书复印件加盖公章。）</w:t>
      </w:r>
    </w:p>
    <w:p>
      <w:pPr>
        <w:snapToGrid w:val="0"/>
        <w:spacing w:line="360" w:lineRule="auto"/>
        <w:rPr>
          <w:rFonts w:ascii="宋体" w:hAnsi="宋体" w:cs="宋体"/>
          <w:bCs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（五）</w:t>
      </w:r>
      <w:r>
        <w:rPr>
          <w:rFonts w:hint="eastAsia" w:ascii="宋体" w:hAnsi="宋体" w:cs="宋体"/>
          <w:bCs/>
          <w:kern w:val="0"/>
          <w:szCs w:val="21"/>
        </w:rPr>
        <w:t>投标人企业财务和经营状况良好，具备履行合同能力，近三年内无不良经营行为；</w:t>
      </w:r>
    </w:p>
    <w:p>
      <w:pPr>
        <w:snapToGrid w:val="0"/>
        <w:spacing w:line="360" w:lineRule="auto"/>
        <w:rPr>
          <w:rFonts w:ascii="宋体" w:hAnsi="宋体" w:cs="宋体"/>
          <w:bCs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（六）</w:t>
      </w:r>
      <w:r>
        <w:rPr>
          <w:rFonts w:hint="eastAsia" w:ascii="宋体" w:hAnsi="宋体" w:cs="宋体"/>
          <w:bCs/>
          <w:kern w:val="0"/>
          <w:szCs w:val="21"/>
        </w:rPr>
        <w:t>本次招标不接受联合体投标；</w:t>
      </w:r>
    </w:p>
    <w:p>
      <w:pPr>
        <w:snapToGrid w:val="0"/>
        <w:spacing w:line="360" w:lineRule="auto"/>
        <w:ind w:left="420" w:leftChars="200" w:firstLine="0" w:firstLineChars="0"/>
        <w:outlineLvl w:val="1"/>
        <w:rPr>
          <w:rFonts w:ascii="宋体" w:hAnsi="宋体" w:cs="宋体"/>
          <w:b/>
          <w:bCs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（七）</w:t>
      </w:r>
      <w:r>
        <w:rPr>
          <w:rFonts w:hint="eastAsia" w:ascii="宋体" w:hAnsi="宋体" w:cs="宋体"/>
          <w:bCs/>
          <w:kern w:val="0"/>
          <w:szCs w:val="21"/>
        </w:rPr>
        <w:t>本次招标实行资格后审，资格后审不合格的投标人投标文件将按否决投标处理。</w:t>
      </w:r>
      <w:r>
        <w:rPr>
          <w:rFonts w:hint="eastAsia" w:ascii="宋体" w:hAnsi="宋体" w:cs="宋体"/>
          <w:b/>
          <w:bCs/>
          <w:kern w:val="0"/>
          <w:szCs w:val="21"/>
        </w:rPr>
        <w:t>四、招标文件</w:t>
      </w:r>
      <w:bookmarkEnd w:id="17"/>
      <w:bookmarkEnd w:id="18"/>
      <w:bookmarkEnd w:id="19"/>
      <w:bookmarkEnd w:id="20"/>
      <w:bookmarkEnd w:id="21"/>
      <w:bookmarkEnd w:id="22"/>
      <w:r>
        <w:rPr>
          <w:rFonts w:hint="eastAsia" w:ascii="宋体" w:hAnsi="宋体" w:cs="宋体"/>
          <w:b/>
          <w:bCs/>
          <w:kern w:val="0"/>
          <w:szCs w:val="21"/>
        </w:rPr>
        <w:t>提供信息</w:t>
      </w:r>
      <w:bookmarkEnd w:id="23"/>
    </w:p>
    <w:p>
      <w:pPr>
        <w:snapToGrid w:val="0"/>
        <w:spacing w:line="360" w:lineRule="auto"/>
        <w:rPr>
          <w:rFonts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获取时间：</w:t>
      </w:r>
      <w:r>
        <w:rPr>
          <w:rFonts w:hint="eastAsia" w:ascii="宋体" w:hAnsi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从2023年</w:t>
      </w:r>
      <w:r>
        <w:rPr>
          <w:rFonts w:hint="eastAsia" w:ascii="宋体" w:hAnsi="宋体"/>
          <w:color w:val="000000" w:themeColor="text1"/>
          <w:kern w:val="0"/>
          <w:szCs w:val="21"/>
          <w:lang w:val="en-US" w:eastAsia="zh-CN"/>
          <w14:textFill>
            <w14:solidFill>
              <w14:schemeClr w14:val="tx1"/>
            </w14:solidFill>
          </w14:textFill>
        </w:rPr>
        <w:t>8</w:t>
      </w:r>
      <w:r>
        <w:rPr>
          <w:rFonts w:hint="eastAsia" w:ascii="宋体" w:hAnsi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宋体" w:hAnsi="宋体"/>
          <w:color w:val="000000" w:themeColor="text1"/>
          <w:kern w:val="0"/>
          <w:szCs w:val="21"/>
          <w:lang w:val="en-US" w:eastAsia="zh-CN"/>
          <w14:textFill>
            <w14:solidFill>
              <w14:schemeClr w14:val="tx1"/>
            </w14:solidFill>
          </w14:textFill>
        </w:rPr>
        <w:t>18</w:t>
      </w:r>
      <w:r>
        <w:rPr>
          <w:rFonts w:hint="eastAsia" w:ascii="宋体" w:hAnsi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日</w:t>
      </w:r>
      <w:r>
        <w:rPr>
          <w:rFonts w:hint="eastAsia" w:ascii="宋体" w:hAnsi="宋体" w:cs="宋体"/>
          <w:kern w:val="0"/>
          <w:szCs w:val="21"/>
        </w:rPr>
        <w:t>09：00</w:t>
      </w:r>
      <w:r>
        <w:rPr>
          <w:rFonts w:hint="eastAsia" w:ascii="宋体" w:hAnsi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到2023年</w:t>
      </w:r>
      <w:r>
        <w:rPr>
          <w:rFonts w:hint="eastAsia" w:ascii="宋体" w:hAnsi="宋体"/>
          <w:color w:val="000000" w:themeColor="text1"/>
          <w:kern w:val="0"/>
          <w:szCs w:val="21"/>
          <w:lang w:val="en-US" w:eastAsia="zh-CN"/>
          <w14:textFill>
            <w14:solidFill>
              <w14:schemeClr w14:val="tx1"/>
            </w14:solidFill>
          </w14:textFill>
        </w:rPr>
        <w:t>8</w:t>
      </w:r>
      <w:r>
        <w:rPr>
          <w:rFonts w:hint="eastAsia" w:ascii="宋体" w:hAnsi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宋体" w:hAnsi="宋体"/>
          <w:color w:val="000000" w:themeColor="text1"/>
          <w:kern w:val="0"/>
          <w:szCs w:val="21"/>
          <w:lang w:val="en-US" w:eastAsia="zh-CN"/>
          <w14:textFill>
            <w14:solidFill>
              <w14:schemeClr w14:val="tx1"/>
            </w14:solidFill>
          </w14:textFill>
        </w:rPr>
        <w:t>24</w:t>
      </w:r>
      <w:bookmarkStart w:id="57" w:name="_GoBack"/>
      <w:bookmarkEnd w:id="57"/>
      <w:r>
        <w:rPr>
          <w:rFonts w:hint="eastAsia" w:ascii="宋体" w:hAnsi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日</w:t>
      </w:r>
      <w:r>
        <w:rPr>
          <w:rFonts w:hint="eastAsia" w:ascii="宋体" w:hAnsi="宋体" w:cs="宋体"/>
          <w:kern w:val="0"/>
          <w:szCs w:val="21"/>
        </w:rPr>
        <w:t>17：00</w:t>
      </w:r>
    </w:p>
    <w:p>
      <w:pPr>
        <w:snapToGrid w:val="0"/>
        <w:spacing w:line="360" w:lineRule="auto"/>
        <w:rPr>
          <w:rFonts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 xml:space="preserve">获取方式： </w:t>
      </w:r>
    </w:p>
    <w:p>
      <w:pPr>
        <w:snapToGrid w:val="0"/>
        <w:spacing w:line="360" w:lineRule="auto"/>
        <w:rPr>
          <w:rFonts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（一）</w:t>
      </w:r>
      <w:r>
        <w:rPr>
          <w:rFonts w:hint="eastAsia"/>
          <w:sz w:val="21"/>
          <w:szCs w:val="21"/>
          <w:lang w:eastAsia="zh-CN"/>
        </w:rPr>
        <w:t>凡有意参加投标者，请于获取时间内登陆 e 交易平台（http://www.ejy365.com）按照要求进行实名会员注册、完善相关信息及选择项目报名、下载招标文件，</w:t>
      </w:r>
      <w:r>
        <w:rPr>
          <w:rFonts w:hint="eastAsia" w:ascii="宋体" w:hAnsi="宋体" w:cs="宋体"/>
          <w:szCs w:val="21"/>
        </w:rPr>
        <w:t>招标文件服务费0元，下载后不退</w:t>
      </w:r>
      <w:r>
        <w:rPr>
          <w:rFonts w:hint="eastAsia" w:ascii="宋体" w:hAnsi="宋体" w:cs="宋体"/>
          <w:kern w:val="0"/>
          <w:szCs w:val="21"/>
        </w:rPr>
        <w:t>。</w:t>
      </w:r>
    </w:p>
    <w:p>
      <w:pPr>
        <w:snapToGrid w:val="0"/>
        <w:spacing w:line="360" w:lineRule="auto"/>
        <w:rPr>
          <w:rFonts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（二）</w:t>
      </w:r>
      <w:r>
        <w:rPr>
          <w:rFonts w:hint="eastAsia"/>
          <w:sz w:val="21"/>
          <w:szCs w:val="21"/>
        </w:rPr>
        <w:t>平台网址为：http://www.ejy365.com。</w:t>
      </w:r>
      <w:r>
        <w:rPr>
          <w:rFonts w:hint="eastAsia"/>
          <w:sz w:val="21"/>
          <w:szCs w:val="21"/>
          <w:lang w:eastAsia="zh-CN"/>
        </w:rPr>
        <w:t>下载者首次登陆平台前，须前往平台免费注册，注册成功且完善相关信息后，可以及时参与平台上所有发布的项目。</w:t>
      </w:r>
    </w:p>
    <w:p>
      <w:pPr>
        <w:snapToGrid w:val="0"/>
        <w:spacing w:line="360" w:lineRule="auto"/>
        <w:rPr>
          <w:rFonts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（三） 下载者应充分考虑平台注册、信息检查、资料上传、购标确认、费用支付所需时间，下载者必须在获取时间内完成支付，否则将无法保证获取电子招标文件。</w:t>
      </w:r>
      <w:r>
        <w:rPr>
          <w:rFonts w:hint="eastAsia" w:ascii="宋体" w:hAnsi="宋体" w:cs="宋体"/>
          <w:b/>
          <w:bCs/>
          <w:kern w:val="0"/>
          <w:szCs w:val="21"/>
        </w:rPr>
        <w:t>未按照本公告要求获得本项目招标文件的，招标代理机构不予接收其投标文件。</w:t>
      </w:r>
    </w:p>
    <w:p>
      <w:pPr>
        <w:snapToGrid w:val="0"/>
        <w:spacing w:line="360" w:lineRule="auto"/>
        <w:rPr>
          <w:rFonts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（四）</w:t>
      </w:r>
      <w:r>
        <w:rPr>
          <w:rFonts w:hint="eastAsia"/>
          <w:sz w:val="21"/>
          <w:szCs w:val="21"/>
          <w:lang w:eastAsia="zh-CN"/>
        </w:rPr>
        <w:t>下载者需要发票的，须通过平台“资金管理”模块进行操作。招标文件服务费发票由招标 代理机构开具；下载者选择开具增值税普通发票的，可在”资金管理--标书费电子发票”下载增 值税电子普通发票；选择开具增值税专用发票的，可在”资金管理--专用发票申请”中填写相关 信息；平台服务费发票由江苏易交易信息科技有限公司开具。非因招标代理机构或平台原因，发票一经开具不予退换。</w:t>
      </w:r>
    </w:p>
    <w:p>
      <w:pPr>
        <w:spacing w:after="0" w:line="360" w:lineRule="auto"/>
        <w:ind w:firstLine="420" w:firstLineChars="200"/>
        <w:rPr>
          <w:sz w:val="21"/>
          <w:szCs w:val="21"/>
          <w:lang w:eastAsia="zh-CN"/>
        </w:rPr>
      </w:pPr>
      <w:r>
        <w:rPr>
          <w:rFonts w:hint="eastAsia" w:ascii="宋体" w:hAnsi="宋体" w:cs="宋体"/>
          <w:kern w:val="0"/>
          <w:szCs w:val="21"/>
        </w:rPr>
        <w:t>（五）</w:t>
      </w:r>
      <w:r>
        <w:rPr>
          <w:rFonts w:hint="eastAsia"/>
          <w:sz w:val="21"/>
          <w:szCs w:val="21"/>
          <w:lang w:eastAsia="zh-CN"/>
        </w:rPr>
        <w:t>平台网站首页“帮助中心”提供操作手册，下载者可以下载并根据操作手册提示进行注 册、登录等操作。易交易平台技术支持联系方式 供应商技术支持热线：400-828-0799（工作时间：9:00-11:30,13:30-19:00） 供应商项目参与操作说明：https://www.ejy365.com/upload/link/2022/08/30/48e1dd12-5050-4bbf-bfc9-a0d7a037ba1c.pdf 。 技术支持服务态度不满意投诉热线：400-828-0799 转0。</w:t>
      </w:r>
    </w:p>
    <w:p>
      <w:pPr>
        <w:snapToGrid w:val="0"/>
        <w:spacing w:line="360" w:lineRule="auto"/>
        <w:rPr>
          <w:rFonts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（</w:t>
      </w:r>
      <w:r>
        <w:rPr>
          <w:rFonts w:hint="eastAsia" w:ascii="宋体" w:hAnsi="宋体" w:cs="宋体"/>
          <w:kern w:val="0"/>
          <w:szCs w:val="21"/>
          <w:lang w:val="en-US" w:eastAsia="zh-CN"/>
        </w:rPr>
        <w:t>六</w:t>
      </w:r>
      <w:r>
        <w:rPr>
          <w:rFonts w:hint="eastAsia" w:ascii="宋体" w:hAnsi="宋体" w:cs="宋体"/>
          <w:kern w:val="0"/>
          <w:szCs w:val="21"/>
        </w:rPr>
        <w:t>）联合体投标（如允许）的，联合体各方应当指定牵头人，并授权其以自身名义在平台办理注册、</w:t>
      </w:r>
      <w:r>
        <w:rPr>
          <w:rFonts w:hint="eastAsia" w:ascii="宋体" w:hAnsi="宋体" w:cs="宋体"/>
          <w:szCs w:val="21"/>
        </w:rPr>
        <w:t>下载文件</w:t>
      </w:r>
      <w:r>
        <w:rPr>
          <w:rFonts w:hint="eastAsia" w:ascii="宋体" w:hAnsi="宋体" w:cs="宋体"/>
          <w:kern w:val="0"/>
          <w:szCs w:val="21"/>
        </w:rPr>
        <w:t>、缴纳保证金等手续，其在平台的办理行为，对联合体各方均具有约束力。</w:t>
      </w:r>
    </w:p>
    <w:bookmarkEnd w:id="24"/>
    <w:bookmarkEnd w:id="25"/>
    <w:bookmarkEnd w:id="26"/>
    <w:bookmarkEnd w:id="27"/>
    <w:bookmarkEnd w:id="28"/>
    <w:p>
      <w:pPr>
        <w:snapToGrid w:val="0"/>
        <w:spacing w:line="360" w:lineRule="auto"/>
        <w:ind w:firstLine="0" w:firstLineChars="0"/>
        <w:outlineLvl w:val="1"/>
        <w:rPr>
          <w:rFonts w:ascii="宋体" w:hAnsi="宋体" w:cs="宋体"/>
          <w:b/>
          <w:bCs/>
          <w:kern w:val="0"/>
          <w:szCs w:val="21"/>
        </w:rPr>
      </w:pPr>
      <w:bookmarkStart w:id="29" w:name="_Toc26269"/>
      <w:bookmarkStart w:id="30" w:name="_Toc29325"/>
      <w:r>
        <w:rPr>
          <w:rFonts w:hint="eastAsia" w:ascii="宋体" w:hAnsi="宋体" w:cs="宋体"/>
          <w:b/>
          <w:bCs/>
          <w:kern w:val="0"/>
          <w:szCs w:val="21"/>
        </w:rPr>
        <w:t>五、投标文件</w:t>
      </w:r>
      <w:bookmarkEnd w:id="29"/>
      <w:r>
        <w:rPr>
          <w:rFonts w:hint="eastAsia" w:ascii="宋体" w:hAnsi="宋体" w:cs="宋体"/>
          <w:b/>
          <w:bCs/>
          <w:kern w:val="0"/>
          <w:szCs w:val="21"/>
        </w:rPr>
        <w:t>接收信息</w:t>
      </w:r>
      <w:bookmarkEnd w:id="30"/>
    </w:p>
    <w:p>
      <w:pPr>
        <w:snapToGrid w:val="0"/>
        <w:spacing w:line="360" w:lineRule="auto"/>
        <w:rPr>
          <w:rFonts w:hint="default" w:ascii="宋体" w:hAnsi="宋体" w:eastAsia="宋体" w:cs="宋体"/>
          <w:kern w:val="0"/>
          <w:szCs w:val="21"/>
          <w:lang w:val="en-US" w:eastAsia="zh-CN"/>
        </w:rPr>
      </w:pPr>
      <w:r>
        <w:rPr>
          <w:rFonts w:hint="eastAsia" w:ascii="宋体" w:hAnsi="宋体" w:cs="宋体"/>
          <w:kern w:val="0"/>
          <w:szCs w:val="21"/>
        </w:rPr>
        <w:t>递交开始时间：2023年</w:t>
      </w:r>
      <w:r>
        <w:rPr>
          <w:rFonts w:hint="eastAsia" w:ascii="宋体" w:hAnsi="宋体" w:cs="宋体"/>
          <w:kern w:val="0"/>
          <w:szCs w:val="21"/>
          <w:lang w:val="en-US" w:eastAsia="zh-CN"/>
        </w:rPr>
        <w:t>9</w:t>
      </w:r>
      <w:r>
        <w:rPr>
          <w:rFonts w:hint="eastAsia" w:ascii="宋体" w:hAnsi="宋体" w:cs="宋体"/>
          <w:kern w:val="0"/>
          <w:szCs w:val="21"/>
        </w:rPr>
        <w:t>月</w:t>
      </w:r>
      <w:r>
        <w:rPr>
          <w:rFonts w:hint="eastAsia" w:ascii="宋体" w:hAnsi="宋体" w:cs="宋体"/>
          <w:kern w:val="0"/>
          <w:szCs w:val="21"/>
          <w:lang w:val="en-US" w:eastAsia="zh-CN"/>
        </w:rPr>
        <w:t>8</w:t>
      </w:r>
      <w:r>
        <w:rPr>
          <w:rFonts w:hint="eastAsia" w:ascii="宋体" w:hAnsi="宋体" w:cs="宋体"/>
          <w:kern w:val="0"/>
          <w:szCs w:val="21"/>
        </w:rPr>
        <w:t>日</w:t>
      </w:r>
      <w:r>
        <w:rPr>
          <w:rFonts w:ascii="宋体" w:hAnsi="宋体" w:cs="宋体"/>
          <w:kern w:val="0"/>
          <w:szCs w:val="21"/>
        </w:rPr>
        <w:t>09</w:t>
      </w:r>
      <w:r>
        <w:rPr>
          <w:rFonts w:hint="eastAsia" w:ascii="宋体" w:hAnsi="宋体" w:cs="宋体"/>
          <w:kern w:val="0"/>
          <w:szCs w:val="21"/>
        </w:rPr>
        <w:t>：</w:t>
      </w:r>
      <w:r>
        <w:rPr>
          <w:rFonts w:hint="eastAsia" w:ascii="宋体" w:hAnsi="宋体" w:cs="宋体"/>
          <w:kern w:val="0"/>
          <w:szCs w:val="21"/>
          <w:lang w:val="en-US" w:eastAsia="zh-CN"/>
        </w:rPr>
        <w:t>30</w:t>
      </w:r>
    </w:p>
    <w:p>
      <w:pPr>
        <w:snapToGrid w:val="0"/>
        <w:spacing w:line="360" w:lineRule="auto"/>
        <w:rPr>
          <w:rFonts w:hint="default" w:ascii="宋体" w:hAnsi="宋体" w:eastAsia="宋体" w:cs="宋体"/>
          <w:kern w:val="0"/>
          <w:szCs w:val="21"/>
          <w:lang w:val="en-US" w:eastAsia="zh-CN"/>
        </w:rPr>
      </w:pPr>
      <w:r>
        <w:rPr>
          <w:rFonts w:hint="eastAsia" w:ascii="宋体" w:hAnsi="宋体" w:cs="宋体"/>
          <w:kern w:val="0"/>
          <w:szCs w:val="21"/>
        </w:rPr>
        <w:t>递交截止时间：2023年</w:t>
      </w:r>
      <w:r>
        <w:rPr>
          <w:rFonts w:hint="eastAsia" w:ascii="宋体" w:hAnsi="宋体" w:cs="宋体"/>
          <w:kern w:val="0"/>
          <w:szCs w:val="21"/>
          <w:lang w:val="en-US" w:eastAsia="zh-CN"/>
        </w:rPr>
        <w:t>9</w:t>
      </w:r>
      <w:r>
        <w:rPr>
          <w:rFonts w:hint="eastAsia" w:ascii="宋体" w:hAnsi="宋体" w:cs="宋体"/>
          <w:kern w:val="0"/>
          <w:szCs w:val="21"/>
        </w:rPr>
        <w:t>月</w:t>
      </w:r>
      <w:r>
        <w:rPr>
          <w:rFonts w:hint="eastAsia" w:ascii="宋体" w:hAnsi="宋体" w:cs="宋体"/>
          <w:kern w:val="0"/>
          <w:szCs w:val="21"/>
          <w:lang w:val="en-US" w:eastAsia="zh-CN"/>
        </w:rPr>
        <w:t>8</w:t>
      </w:r>
      <w:r>
        <w:rPr>
          <w:rFonts w:hint="eastAsia" w:ascii="宋体" w:hAnsi="宋体" w:cs="宋体"/>
          <w:kern w:val="0"/>
          <w:szCs w:val="21"/>
        </w:rPr>
        <w:t>日</w:t>
      </w:r>
      <w:r>
        <w:rPr>
          <w:rFonts w:hint="eastAsia" w:ascii="宋体" w:hAnsi="宋体" w:cs="宋体"/>
          <w:kern w:val="0"/>
          <w:szCs w:val="21"/>
          <w:lang w:val="en-US" w:eastAsia="zh-CN"/>
        </w:rPr>
        <w:t>10：00</w:t>
      </w:r>
    </w:p>
    <w:p>
      <w:pPr>
        <w:snapToGrid w:val="0"/>
        <w:spacing w:line="360" w:lineRule="auto"/>
        <w:ind w:firstLine="422"/>
        <w:rPr>
          <w:rFonts w:hint="eastAsia" w:ascii="宋体" w:hAnsi="宋体"/>
          <w:b/>
          <w:bCs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bCs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纸质及电子版投标文件递交地点：南京市清江南路18号鼓楼创新广场D栋11楼开标室1，说明：投标文件无须上传至平台。</w:t>
      </w:r>
    </w:p>
    <w:p>
      <w:pPr>
        <w:snapToGrid w:val="0"/>
        <w:spacing w:line="360" w:lineRule="auto"/>
        <w:ind w:firstLine="0" w:firstLineChars="0"/>
        <w:outlineLvl w:val="1"/>
        <w:rPr>
          <w:rFonts w:ascii="宋体" w:hAnsi="宋体" w:cs="宋体"/>
          <w:b/>
          <w:bCs/>
          <w:kern w:val="0"/>
          <w:szCs w:val="21"/>
        </w:rPr>
      </w:pPr>
      <w:bookmarkStart w:id="31" w:name="_Toc10779"/>
      <w:bookmarkStart w:id="32" w:name="_Toc4268"/>
      <w:bookmarkStart w:id="33" w:name="_Toc27646"/>
      <w:bookmarkStart w:id="34" w:name="_Toc24988"/>
      <w:bookmarkStart w:id="35" w:name="_Toc31495"/>
      <w:bookmarkStart w:id="36" w:name="_Toc2832"/>
      <w:bookmarkStart w:id="37" w:name="_Toc24520"/>
      <w:r>
        <w:rPr>
          <w:rFonts w:hint="eastAsia" w:ascii="宋体" w:hAnsi="宋体" w:cs="宋体"/>
          <w:b/>
          <w:bCs/>
          <w:kern w:val="0"/>
          <w:szCs w:val="21"/>
        </w:rPr>
        <w:t>六、开标时间及地点</w:t>
      </w:r>
      <w:bookmarkEnd w:id="31"/>
      <w:bookmarkEnd w:id="32"/>
      <w:bookmarkEnd w:id="33"/>
      <w:bookmarkEnd w:id="34"/>
      <w:bookmarkEnd w:id="35"/>
      <w:bookmarkEnd w:id="36"/>
      <w:bookmarkEnd w:id="37"/>
    </w:p>
    <w:p>
      <w:pPr>
        <w:snapToGrid w:val="0"/>
        <w:spacing w:line="360" w:lineRule="auto"/>
        <w:rPr>
          <w:rFonts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开标时间：2023年</w:t>
      </w:r>
      <w:r>
        <w:rPr>
          <w:rFonts w:hint="eastAsia" w:ascii="宋体" w:hAnsi="宋体" w:cs="宋体"/>
          <w:kern w:val="0"/>
          <w:szCs w:val="21"/>
          <w:lang w:val="en-US" w:eastAsia="zh-CN"/>
        </w:rPr>
        <w:t>9</w:t>
      </w:r>
      <w:r>
        <w:rPr>
          <w:rFonts w:hint="eastAsia" w:ascii="宋体" w:hAnsi="宋体" w:cs="宋体"/>
          <w:kern w:val="0"/>
          <w:szCs w:val="21"/>
        </w:rPr>
        <w:t>月</w:t>
      </w:r>
      <w:r>
        <w:rPr>
          <w:rFonts w:hint="eastAsia" w:ascii="宋体" w:hAnsi="宋体" w:cs="宋体"/>
          <w:kern w:val="0"/>
          <w:szCs w:val="21"/>
          <w:lang w:val="en-US" w:eastAsia="zh-CN"/>
        </w:rPr>
        <w:t>8</w:t>
      </w:r>
      <w:r>
        <w:rPr>
          <w:rFonts w:hint="eastAsia" w:ascii="宋体" w:hAnsi="宋体" w:cs="宋体"/>
          <w:kern w:val="0"/>
          <w:szCs w:val="21"/>
        </w:rPr>
        <w:t>日</w:t>
      </w:r>
      <w:r>
        <w:rPr>
          <w:rFonts w:hint="eastAsia" w:ascii="宋体" w:hAnsi="宋体" w:cs="宋体"/>
          <w:kern w:val="0"/>
          <w:szCs w:val="21"/>
          <w:lang w:val="en-US" w:eastAsia="zh-CN"/>
        </w:rPr>
        <w:t>10：00</w:t>
      </w:r>
    </w:p>
    <w:p>
      <w:pPr>
        <w:snapToGrid w:val="0"/>
        <w:spacing w:line="360" w:lineRule="auto"/>
        <w:rPr>
          <w:rFonts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开标地点：南京市鼓楼区清江南路18号鼓楼创新广场D栋11楼开标室1</w:t>
      </w:r>
    </w:p>
    <w:p>
      <w:pPr>
        <w:snapToGrid w:val="0"/>
        <w:spacing w:line="360" w:lineRule="auto"/>
        <w:outlineLvl w:val="1"/>
        <w:rPr>
          <w:rFonts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开标方式：现场开标</w:t>
      </w:r>
    </w:p>
    <w:p>
      <w:pPr>
        <w:snapToGrid w:val="0"/>
        <w:spacing w:line="360" w:lineRule="auto"/>
        <w:ind w:firstLine="0" w:firstLineChars="0"/>
        <w:outlineLvl w:val="1"/>
        <w:rPr>
          <w:rFonts w:ascii="宋体" w:hAnsi="宋体" w:cs="宋体"/>
          <w:b/>
          <w:bCs/>
          <w:kern w:val="0"/>
          <w:szCs w:val="21"/>
        </w:rPr>
      </w:pPr>
      <w:bookmarkStart w:id="38" w:name="_Toc9486"/>
      <w:bookmarkStart w:id="39" w:name="_Toc28913"/>
      <w:bookmarkStart w:id="40" w:name="_Toc686"/>
      <w:bookmarkStart w:id="41" w:name="_Toc432"/>
      <w:bookmarkStart w:id="42" w:name="_Toc26368"/>
      <w:bookmarkStart w:id="43" w:name="_Toc5327"/>
      <w:bookmarkStart w:id="44" w:name="_Toc21849"/>
      <w:r>
        <w:rPr>
          <w:rFonts w:hint="eastAsia" w:ascii="宋体" w:hAnsi="宋体" w:cs="宋体"/>
          <w:b/>
          <w:bCs/>
          <w:kern w:val="0"/>
          <w:szCs w:val="21"/>
        </w:rPr>
        <w:t>七、其他</w:t>
      </w:r>
      <w:bookmarkEnd w:id="38"/>
      <w:bookmarkEnd w:id="39"/>
      <w:bookmarkEnd w:id="40"/>
      <w:bookmarkEnd w:id="41"/>
      <w:bookmarkEnd w:id="42"/>
      <w:bookmarkEnd w:id="43"/>
      <w:bookmarkEnd w:id="44"/>
    </w:p>
    <w:p>
      <w:pPr>
        <w:snapToGrid w:val="0"/>
        <w:spacing w:line="360" w:lineRule="auto"/>
        <w:rPr>
          <w:rFonts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（一）本项目允许投标人同时中标的最多标包数为1个。</w:t>
      </w:r>
    </w:p>
    <w:p>
      <w:pPr>
        <w:snapToGrid w:val="0"/>
        <w:spacing w:line="360" w:lineRule="auto"/>
        <w:rPr>
          <w:rFonts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（二）本项目的潜在投标人/投标人须按包获取招标文件，按包编制、密封、提交投标文件（含投标保证金），本项目按包开标、评标。</w:t>
      </w:r>
    </w:p>
    <w:p>
      <w:pPr>
        <w:snapToGrid w:val="0"/>
        <w:spacing w:line="360" w:lineRule="auto"/>
        <w:rPr>
          <w:rFonts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（三）逾期送达的、未送达指定地点的或者不按照招标文件要求密封的投标文件，招标人将予以拒收。</w:t>
      </w:r>
    </w:p>
    <w:p>
      <w:pPr>
        <w:snapToGrid w:val="0"/>
        <w:spacing w:line="360" w:lineRule="auto"/>
        <w:rPr>
          <w:rFonts w:hint="eastAsia" w:ascii="宋体" w:hAnsi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kern w:val="0"/>
          <w:szCs w:val="21"/>
        </w:rPr>
        <w:t>（四）发布公告的媒介：</w:t>
      </w:r>
      <w:r>
        <w:rPr>
          <w:rFonts w:hint="eastAsia"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江苏省招标投标公共服务平台（自动链接到中国招标投标公共服务平台）</w:t>
      </w:r>
      <w:r>
        <w:rPr>
          <w:rFonts w:hint="eastAsia" w:ascii="宋体" w:hAnsi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、</w:t>
      </w:r>
      <w:r>
        <w:rPr>
          <w:rFonts w:hint="eastAsia"/>
          <w:sz w:val="21"/>
          <w:szCs w:val="21"/>
          <w:lang w:eastAsia="zh-CN"/>
        </w:rPr>
        <w:t>e 交易平台</w:t>
      </w:r>
      <w:r>
        <w:rPr>
          <w:rFonts w:hint="eastAsia" w:ascii="宋体" w:hAnsi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、扬州市公共资源交易服务平台、扬州市城建国有资产控股（集团）有限责任公司网站、江苏长江水务股份有限公司网站。</w:t>
      </w:r>
    </w:p>
    <w:p>
      <w:pPr>
        <w:snapToGrid w:val="0"/>
        <w:spacing w:line="360" w:lineRule="auto"/>
        <w:ind w:firstLine="0" w:firstLineChars="0"/>
        <w:outlineLvl w:val="1"/>
        <w:rPr>
          <w:rFonts w:ascii="宋体" w:hAnsi="宋体" w:cs="宋体"/>
          <w:b/>
          <w:bCs/>
          <w:kern w:val="0"/>
          <w:szCs w:val="21"/>
        </w:rPr>
      </w:pPr>
      <w:bookmarkStart w:id="45" w:name="_Toc29082"/>
      <w:bookmarkStart w:id="46" w:name="_Toc13220"/>
      <w:bookmarkStart w:id="47" w:name="_Toc23914"/>
      <w:bookmarkStart w:id="48" w:name="_Toc22115"/>
      <w:bookmarkStart w:id="49" w:name="_Toc20675"/>
      <w:bookmarkStart w:id="50" w:name="_Toc11757"/>
      <w:bookmarkStart w:id="51" w:name="_Toc24613"/>
      <w:r>
        <w:rPr>
          <w:rFonts w:hint="eastAsia" w:ascii="宋体" w:hAnsi="宋体" w:cs="宋体"/>
          <w:b/>
          <w:bCs/>
          <w:kern w:val="0"/>
          <w:szCs w:val="21"/>
        </w:rPr>
        <w:t>八、</w:t>
      </w:r>
      <w:bookmarkEnd w:id="45"/>
      <w:bookmarkEnd w:id="46"/>
      <w:bookmarkEnd w:id="47"/>
      <w:bookmarkEnd w:id="48"/>
      <w:bookmarkEnd w:id="49"/>
      <w:bookmarkEnd w:id="50"/>
      <w:bookmarkStart w:id="52" w:name="_Toc7054"/>
      <w:bookmarkStart w:id="53" w:name="_Toc32063"/>
      <w:bookmarkStart w:id="54" w:name="_Toc1410"/>
      <w:bookmarkStart w:id="55" w:name="_Toc32615"/>
      <w:bookmarkStart w:id="56" w:name="_Toc7753"/>
      <w:r>
        <w:rPr>
          <w:rFonts w:hint="eastAsia" w:ascii="宋体" w:hAnsi="宋体" w:cs="宋体"/>
          <w:b/>
          <w:bCs/>
          <w:kern w:val="0"/>
          <w:szCs w:val="21"/>
        </w:rPr>
        <w:t>联系方式</w:t>
      </w:r>
      <w:bookmarkEnd w:id="51"/>
      <w:bookmarkEnd w:id="52"/>
      <w:bookmarkEnd w:id="53"/>
      <w:bookmarkEnd w:id="54"/>
      <w:bookmarkEnd w:id="55"/>
      <w:bookmarkEnd w:id="56"/>
    </w:p>
    <w:p>
      <w:pPr>
        <w:snapToGrid w:val="0"/>
        <w:spacing w:line="360" w:lineRule="auto"/>
        <w:ind w:firstLine="422"/>
        <w:rPr>
          <w:rFonts w:ascii="宋体" w:hAnsi="宋体" w:cs="宋体"/>
          <w:b/>
          <w:bCs/>
          <w:kern w:val="0"/>
          <w:szCs w:val="21"/>
        </w:rPr>
      </w:pPr>
      <w:r>
        <w:rPr>
          <w:rFonts w:hint="eastAsia" w:ascii="宋体" w:hAnsi="宋体" w:cs="宋体"/>
          <w:b/>
          <w:bCs/>
          <w:kern w:val="0"/>
          <w:szCs w:val="21"/>
        </w:rPr>
        <w:t>招标人：</w:t>
      </w:r>
      <w:r>
        <w:rPr>
          <w:rFonts w:hint="eastAsia" w:ascii="宋体" w:hAnsi="宋体" w:cs="宋体"/>
          <w:b/>
          <w:bCs/>
          <w:kern w:val="0"/>
          <w:szCs w:val="21"/>
          <w:shd w:val="clear" w:color="auto" w:fill="FFFFFF"/>
        </w:rPr>
        <w:t>江苏长江水务股份有限公司</w:t>
      </w:r>
    </w:p>
    <w:p>
      <w:pPr>
        <w:snapToGrid w:val="0"/>
        <w:spacing w:line="360" w:lineRule="auto"/>
        <w:rPr>
          <w:rFonts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地址：扬州文汇东路249号</w:t>
      </w:r>
    </w:p>
    <w:p>
      <w:pPr>
        <w:snapToGrid w:val="0"/>
        <w:spacing w:line="360" w:lineRule="auto"/>
        <w:rPr>
          <w:rFonts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联系人：</w:t>
      </w:r>
      <w:r>
        <w:rPr>
          <w:rFonts w:hint="eastAsia" w:ascii="宋体" w:hAnsi="宋体" w:cs="宋体"/>
          <w:szCs w:val="21"/>
        </w:rPr>
        <w:t>邵煜明</w:t>
      </w:r>
    </w:p>
    <w:p>
      <w:pPr>
        <w:snapToGrid w:val="0"/>
        <w:spacing w:line="360" w:lineRule="auto"/>
        <w:rPr>
          <w:rFonts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电  话：</w:t>
      </w:r>
      <w:r>
        <w:rPr>
          <w:rFonts w:ascii="宋体" w:hAnsi="宋体"/>
          <w:kern w:val="0"/>
          <w:szCs w:val="21"/>
        </w:rPr>
        <w:t>0514-82980069</w:t>
      </w:r>
    </w:p>
    <w:p>
      <w:pPr>
        <w:snapToGrid w:val="0"/>
        <w:spacing w:line="360" w:lineRule="auto"/>
        <w:ind w:firstLine="422"/>
        <w:rPr>
          <w:rFonts w:ascii="宋体" w:hAnsi="宋体" w:cs="宋体"/>
          <w:b/>
          <w:bCs/>
          <w:kern w:val="0"/>
          <w:szCs w:val="21"/>
        </w:rPr>
      </w:pPr>
      <w:r>
        <w:rPr>
          <w:rFonts w:hint="eastAsia" w:ascii="宋体" w:hAnsi="宋体" w:cs="宋体"/>
          <w:b/>
          <w:bCs/>
          <w:kern w:val="0"/>
          <w:szCs w:val="21"/>
        </w:rPr>
        <w:t>招标代理机构：江苏省设备成套股份有限公司</w:t>
      </w:r>
    </w:p>
    <w:p>
      <w:pPr>
        <w:snapToGrid w:val="0"/>
        <w:spacing w:line="360" w:lineRule="auto"/>
        <w:rPr>
          <w:rFonts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地址：江苏省南京市鼓楼区清江南路18号鼓楼创新广场10楼1004室</w:t>
      </w:r>
    </w:p>
    <w:p>
      <w:pPr>
        <w:snapToGrid w:val="0"/>
        <w:spacing w:line="360" w:lineRule="auto"/>
        <w:rPr>
          <w:rFonts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  <w:lang w:val="zh-CN"/>
        </w:rPr>
        <w:t>电话：</w:t>
      </w:r>
      <w:r>
        <w:rPr>
          <w:rFonts w:hint="eastAsia" w:ascii="宋体" w:hAnsi="宋体" w:cs="宋体"/>
          <w:kern w:val="0"/>
          <w:szCs w:val="21"/>
        </w:rPr>
        <w:t>025-86632670，1</w:t>
      </w:r>
      <w:r>
        <w:rPr>
          <w:rFonts w:ascii="宋体" w:hAnsi="宋体" w:cs="宋体"/>
          <w:kern w:val="0"/>
          <w:szCs w:val="21"/>
        </w:rPr>
        <w:t>8851901395</w:t>
      </w:r>
      <w:r>
        <w:rPr>
          <w:rFonts w:hint="eastAsia" w:ascii="宋体" w:hAnsi="宋体" w:cs="宋体"/>
          <w:kern w:val="0"/>
          <w:szCs w:val="21"/>
        </w:rPr>
        <w:t>，18651875676</w:t>
      </w:r>
    </w:p>
    <w:p>
      <w:pPr>
        <w:snapToGrid w:val="0"/>
        <w:spacing w:line="360" w:lineRule="auto"/>
        <w:rPr>
          <w:rFonts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联系人：车家畅、李晓燕</w:t>
      </w:r>
    </w:p>
    <w:p>
      <w:pPr>
        <w:snapToGrid w:val="0"/>
        <w:spacing w:line="360" w:lineRule="auto"/>
        <w:rPr>
          <w:rFonts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电子邮件：1137392225@qq.com</w:t>
      </w:r>
    </w:p>
    <w:p/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ind w:firstLine="420"/>
      </w:pPr>
      <w:r>
        <w:separator/>
      </w:r>
    </w:p>
  </w:endnote>
  <w:endnote w:type="continuationSeparator" w:id="1">
    <w:p>
      <w:pPr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ind w:firstLine="420"/>
      </w:pPr>
      <w:r>
        <w:separator/>
      </w:r>
    </w:p>
  </w:footnote>
  <w:footnote w:type="continuationSeparator" w:id="1">
    <w:p>
      <w:pPr>
        <w:ind w:firstLine="42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EBB3C91"/>
    <w:multiLevelType w:val="multilevel"/>
    <w:tmpl w:val="3EBB3C91"/>
    <w:lvl w:ilvl="0" w:tentative="0">
      <w:start w:val="1"/>
      <w:numFmt w:val="chineseCountingThousand"/>
      <w:suff w:val="space"/>
      <w:lvlText w:val="%1. "/>
      <w:lvlJc w:val="left"/>
      <w:pPr>
        <w:ind w:left="907" w:hanging="907"/>
      </w:pPr>
      <w:rPr>
        <w:rFonts w:hint="eastAsia"/>
      </w:rPr>
    </w:lvl>
    <w:lvl w:ilvl="1" w:tentative="0">
      <w:start w:val="1"/>
      <w:numFmt w:val="decimal"/>
      <w:isLgl/>
      <w:suff w:val="space"/>
      <w:lvlText w:val="%1.%2 "/>
      <w:lvlJc w:val="left"/>
      <w:pPr>
        <w:ind w:left="794" w:hanging="794"/>
      </w:pPr>
    </w:lvl>
    <w:lvl w:ilvl="2" w:tentative="0">
      <w:start w:val="0"/>
      <w:numFmt w:val="none"/>
      <w:lvlText w:val=""/>
      <w:lvlJc w:val="left"/>
      <w:pPr>
        <w:tabs>
          <w:tab w:val="left" w:pos="360"/>
        </w:tabs>
      </w:pPr>
      <w:rPr>
        <w:rFonts w:cs="Times New Roman"/>
      </w:rPr>
    </w:lvl>
    <w:lvl w:ilvl="3" w:tentative="0">
      <w:start w:val="0"/>
      <w:numFmt w:val="none"/>
      <w:lvlText w:val=""/>
      <w:lvlJc w:val="left"/>
      <w:pPr>
        <w:tabs>
          <w:tab w:val="left" w:pos="360"/>
        </w:tabs>
      </w:pPr>
      <w:rPr>
        <w:rFonts w:cs="Times New Roman"/>
      </w:rPr>
    </w:lvl>
    <w:lvl w:ilvl="4" w:tentative="0">
      <w:start w:val="0"/>
      <w:numFmt w:val="decimal"/>
      <w:pStyle w:val="17"/>
      <w:lvlText w:val=""/>
      <w:lvlJc w:val="left"/>
      <w:rPr>
        <w:rFonts w:cs="Times New Roman"/>
      </w:rPr>
    </w:lvl>
    <w:lvl w:ilvl="5" w:tentative="0">
      <w:start w:val="0"/>
      <w:numFmt w:val="decimal"/>
      <w:lvlText w:val=""/>
      <w:lvlJc w:val="left"/>
      <w:rPr>
        <w:rFonts w:cs="Times New Roman"/>
      </w:rPr>
    </w:lvl>
    <w:lvl w:ilvl="6" w:tentative="0">
      <w:start w:val="0"/>
      <w:numFmt w:val="decimal"/>
      <w:lvlText w:val=""/>
      <w:lvlJc w:val="left"/>
      <w:rPr>
        <w:rFonts w:cs="Times New Roman"/>
      </w:rPr>
    </w:lvl>
    <w:lvl w:ilvl="7" w:tentative="0">
      <w:start w:val="0"/>
      <w:numFmt w:val="decimal"/>
      <w:lvlText w:val=""/>
      <w:lvlJc w:val="left"/>
      <w:rPr>
        <w:rFonts w:cs="Times New Roman"/>
      </w:rPr>
    </w:lvl>
    <w:lvl w:ilvl="8" w:tentative="0">
      <w:start w:val="0"/>
      <w:numFmt w:val="decimal"/>
      <w:lvlText w:val="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dmZjMyMDhiY2RkZTYxNmZmYTdjOWU1MjI2YzIzZTcifQ=="/>
  </w:docVars>
  <w:rsids>
    <w:rsidRoot w:val="004E33A7"/>
    <w:rsid w:val="0022009F"/>
    <w:rsid w:val="0030487D"/>
    <w:rsid w:val="00492EE6"/>
    <w:rsid w:val="00494AAE"/>
    <w:rsid w:val="004E33A7"/>
    <w:rsid w:val="006327F5"/>
    <w:rsid w:val="006B076C"/>
    <w:rsid w:val="00714C42"/>
    <w:rsid w:val="00991A1A"/>
    <w:rsid w:val="00AF50DC"/>
    <w:rsid w:val="00CB7678"/>
    <w:rsid w:val="00F3265F"/>
    <w:rsid w:val="00F441E6"/>
    <w:rsid w:val="00FA7BAE"/>
    <w:rsid w:val="012927B0"/>
    <w:rsid w:val="0F7554C5"/>
    <w:rsid w:val="10594DE6"/>
    <w:rsid w:val="18E7690D"/>
    <w:rsid w:val="217373FD"/>
    <w:rsid w:val="23E4628E"/>
    <w:rsid w:val="25B77EA2"/>
    <w:rsid w:val="296C4748"/>
    <w:rsid w:val="2BA07FB9"/>
    <w:rsid w:val="344A579F"/>
    <w:rsid w:val="3B424545"/>
    <w:rsid w:val="3F4F7231"/>
    <w:rsid w:val="586160EE"/>
    <w:rsid w:val="5DC664B8"/>
    <w:rsid w:val="5EF75BCF"/>
    <w:rsid w:val="615A3AE7"/>
    <w:rsid w:val="61F11680"/>
    <w:rsid w:val="65B7779C"/>
    <w:rsid w:val="6A462E6B"/>
    <w:rsid w:val="6A8136D1"/>
    <w:rsid w:val="70D25448"/>
    <w:rsid w:val="72674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iPriority="0" w:name="heading 2"/>
    <w:lsdException w:qFormat="1" w:unhideWhenUsed="0" w:uiPriority="9" w:semiHidden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ind w:firstLine="420" w:firstLineChars="20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qFormat/>
    <w:uiPriority w:val="99"/>
    <w:pPr>
      <w:keepNext/>
      <w:keepLines/>
      <w:spacing w:before="340" w:after="330"/>
      <w:ind w:firstLine="0" w:firstLineChars="0"/>
      <w:jc w:val="center"/>
      <w:outlineLvl w:val="0"/>
    </w:pPr>
    <w:rPr>
      <w:rFonts w:ascii="宋体" w:hAnsi="宋体"/>
      <w:b/>
      <w:bCs/>
      <w:kern w:val="44"/>
      <w:sz w:val="44"/>
      <w:szCs w:val="44"/>
    </w:rPr>
  </w:style>
  <w:style w:type="paragraph" w:styleId="2">
    <w:name w:val="heading 3"/>
    <w:basedOn w:val="1"/>
    <w:next w:val="1"/>
    <w:qFormat/>
    <w:uiPriority w:val="9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  <w:lang w:bidi="ar-SA"/>
    </w:rPr>
  </w:style>
  <w:style w:type="paragraph" w:styleId="4">
    <w:name w:val="heading 4"/>
    <w:basedOn w:val="1"/>
    <w:next w:val="1"/>
    <w:qFormat/>
    <w:uiPriority w:val="99"/>
    <w:pPr>
      <w:keepNext/>
      <w:keepLines/>
      <w:spacing w:before="280" w:after="290"/>
      <w:ind w:firstLine="0" w:firstLineChars="0"/>
      <w:outlineLvl w:val="3"/>
    </w:pPr>
    <w:rPr>
      <w:rFonts w:ascii="宋体" w:hAnsi="宋体"/>
      <w:b/>
      <w:bCs/>
      <w:sz w:val="24"/>
      <w:szCs w:val="24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ody Text"/>
    <w:basedOn w:val="1"/>
    <w:next w:val="1"/>
    <w:qFormat/>
    <w:uiPriority w:val="0"/>
    <w:pPr>
      <w:ind w:left="100" w:firstLine="0" w:firstLineChars="0"/>
      <w:jc w:val="left"/>
    </w:pPr>
    <w:rPr>
      <w:rFonts w:ascii="宋体" w:hAnsi="宋体"/>
      <w:kern w:val="0"/>
      <w:szCs w:val="21"/>
      <w:lang w:eastAsia="en-US"/>
    </w:rPr>
  </w:style>
  <w:style w:type="paragraph" w:styleId="6">
    <w:name w:val="footer"/>
    <w:basedOn w:val="1"/>
    <w:link w:val="16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5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/>
      <w:color w:val="000000"/>
      <w:kern w:val="0"/>
      <w:sz w:val="24"/>
      <w:szCs w:val="24"/>
    </w:rPr>
  </w:style>
  <w:style w:type="character" w:styleId="11">
    <w:name w:val="Emphasis"/>
    <w:basedOn w:val="10"/>
    <w:qFormat/>
    <w:uiPriority w:val="0"/>
    <w:rPr>
      <w:i/>
    </w:rPr>
  </w:style>
  <w:style w:type="paragraph" w:customStyle="1" w:styleId="12">
    <w:name w:val="首行缩进"/>
    <w:basedOn w:val="1"/>
    <w:qFormat/>
    <w:uiPriority w:val="99"/>
    <w:pPr>
      <w:spacing w:line="360" w:lineRule="auto"/>
      <w:ind w:firstLine="480"/>
      <w:jc w:val="left"/>
    </w:pPr>
    <w:rPr>
      <w:rFonts w:ascii="宋体" w:hAnsi="宋体"/>
      <w:sz w:val="24"/>
    </w:rPr>
  </w:style>
  <w:style w:type="paragraph" w:customStyle="1" w:styleId="13">
    <w:name w:val="普通(网站)_0"/>
    <w:basedOn w:val="14"/>
    <w:qFormat/>
    <w:uiPriority w:val="99"/>
    <w:pPr>
      <w:spacing w:before="100" w:beforeAutospacing="1" w:after="100" w:afterAutospacing="1"/>
      <w:jc w:val="left"/>
    </w:pPr>
  </w:style>
  <w:style w:type="paragraph" w:customStyle="1" w:styleId="14">
    <w:name w:val="正文_1"/>
    <w:qFormat/>
    <w:uiPriority w:val="99"/>
    <w:pPr>
      <w:widowControl w:val="0"/>
      <w:jc w:val="both"/>
    </w:pPr>
    <w:rPr>
      <w:rFonts w:ascii="Calibri" w:hAnsi="Calibri" w:eastAsia="宋体" w:cs="Times New Roman"/>
      <w:sz w:val="24"/>
      <w:lang w:val="en-US" w:eastAsia="zh-CN" w:bidi="ar-SA"/>
    </w:rPr>
  </w:style>
  <w:style w:type="character" w:customStyle="1" w:styleId="15">
    <w:name w:val="页眉 字符"/>
    <w:basedOn w:val="10"/>
    <w:link w:val="7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16">
    <w:name w:val="页脚 字符"/>
    <w:basedOn w:val="10"/>
    <w:link w:val="6"/>
    <w:qFormat/>
    <w:uiPriority w:val="0"/>
    <w:rPr>
      <w:rFonts w:ascii="Calibri" w:hAnsi="Calibri"/>
      <w:kern w:val="2"/>
      <w:sz w:val="18"/>
      <w:szCs w:val="18"/>
    </w:rPr>
  </w:style>
  <w:style w:type="paragraph" w:customStyle="1" w:styleId="17">
    <w:name w:val="标题 5（有编号）（绿盟科技）"/>
    <w:basedOn w:val="1"/>
    <w:next w:val="18"/>
    <w:qFormat/>
    <w:uiPriority w:val="0"/>
    <w:pPr>
      <w:keepNext/>
      <w:keepLines/>
      <w:numPr>
        <w:ilvl w:val="4"/>
        <w:numId w:val="1"/>
      </w:numPr>
      <w:spacing w:before="280" w:after="156" w:line="377" w:lineRule="auto"/>
      <w:jc w:val="left"/>
      <w:outlineLvl w:val="4"/>
    </w:pPr>
    <w:rPr>
      <w:rFonts w:ascii="Arial" w:hAnsi="Arial" w:eastAsia="黑体"/>
      <w:b/>
      <w:sz w:val="24"/>
      <w:szCs w:val="28"/>
    </w:rPr>
  </w:style>
  <w:style w:type="paragraph" w:customStyle="1" w:styleId="18">
    <w:name w:val="正文（绿盟科技）"/>
    <w:qFormat/>
    <w:uiPriority w:val="0"/>
    <w:pPr>
      <w:spacing w:line="300" w:lineRule="auto"/>
    </w:pPr>
    <w:rPr>
      <w:rFonts w:ascii="Arial" w:hAnsi="Arial" w:eastAsia="宋体" w:cs="黑体"/>
      <w:sz w:val="21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numbering" Target="numbering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2131</Words>
  <Characters>2415</Characters>
  <Lines>17</Lines>
  <Paragraphs>4</Paragraphs>
  <TotalTime>0</TotalTime>
  <ScaleCrop>false</ScaleCrop>
  <LinksUpToDate>false</LinksUpToDate>
  <CharactersWithSpaces>2433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2021-12-09T07:40:00Z</dcterms:created>
  <dc:creator>Lenovo</dc:creator>
  <cp:lastModifiedBy>华卿</cp:lastModifiedBy>
  <dcterms:modified xsi:type="dcterms:W3CDTF">2023-08-15T07:30:12Z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CD7B3D83CC974442BBB293F34590F5E4_13</vt:lpwstr>
  </property>
</Properties>
</file>