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关于润元公司办公楼办公设施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  <w:t>招标的疑点解答</w:t>
      </w:r>
      <w:bookmarkStart w:id="0" w:name="_GoBack"/>
      <w:bookmarkEnd w:id="0"/>
    </w:p>
    <w:p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</w:pP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开标一览表依据附件2.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关于附件1数量待核定的产品按照附件2数量报价。最终根据实际使用数量进行结算。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如标书中需要但未给出的格式各投标单位可以自制格式。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FE480"/>
    <w:multiLevelType w:val="singleLevel"/>
    <w:tmpl w:val="CE5FE4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A284F"/>
    <w:rsid w:val="499A284F"/>
    <w:rsid w:val="675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2021-07-21T01:05:00Z</dcterms:created>
  <dc:creator>一念执着</dc:creator>
  <cp:lastModifiedBy>一念执着</cp:lastModifiedBy>
  <cp:lastPrinted>2021-07-21T01:17:49Z</cp:lastPrinted>
  <dcterms:modified xsi:type="dcterms:W3CDTF">2021-07-21T01:17:55Z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B8BA52636D3445D39683798803E0860E</vt:lpwstr>
  </property>
</Properties>
</file>