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cs="宋体"/>
          <w:b/>
          <w:color w:val="FF0000"/>
          <w:spacing w:val="28"/>
          <w:sz w:val="32"/>
          <w:szCs w:val="32"/>
        </w:rPr>
      </w:pPr>
      <w:r>
        <w:rPr>
          <w:rFonts w:hint="eastAsia" w:ascii="宋体" w:hAnsi="宋体" w:cs="宋体"/>
          <w:b/>
          <w:spacing w:val="28"/>
          <w:sz w:val="32"/>
          <w:szCs w:val="32"/>
        </w:rPr>
        <w:t xml:space="preserve">                 </w:t>
      </w:r>
      <w:r>
        <w:rPr>
          <w:rFonts w:hint="eastAsia" w:ascii="宋体" w:hAnsi="宋体" w:cs="宋体"/>
          <w:b/>
          <w:color w:val="FF0000"/>
          <w:spacing w:val="28"/>
          <w:sz w:val="32"/>
          <w:szCs w:val="32"/>
        </w:rPr>
        <w:t>【2023】-WG-1788</w:t>
      </w:r>
    </w:p>
    <w:p>
      <w:pPr>
        <w:adjustRightInd w:val="0"/>
        <w:snapToGrid w:val="0"/>
        <w:spacing w:line="360" w:lineRule="auto"/>
        <w:jc w:val="center"/>
        <w:rPr>
          <w:rFonts w:ascii="宋体" w:hAnsi="宋体" w:cs="宋体"/>
          <w:b/>
          <w:spacing w:val="28"/>
          <w:sz w:val="44"/>
          <w:szCs w:val="44"/>
        </w:rPr>
      </w:pPr>
      <w:r>
        <w:rPr>
          <w:rFonts w:hint="eastAsia" w:ascii="宋体" w:hAnsi="宋体" w:cs="宋体"/>
          <w:b/>
          <w:spacing w:val="28"/>
          <w:sz w:val="44"/>
          <w:szCs w:val="44"/>
        </w:rPr>
        <w:t>江苏长江水务股份有限公司</w:t>
      </w:r>
    </w:p>
    <w:p>
      <w:pPr>
        <w:adjustRightInd w:val="0"/>
        <w:snapToGrid w:val="0"/>
        <w:spacing w:line="360" w:lineRule="auto"/>
        <w:jc w:val="center"/>
        <w:rPr>
          <w:rFonts w:ascii="宋体" w:hAnsi="宋体" w:cs="宋体"/>
          <w:b/>
          <w:spacing w:val="28"/>
          <w:sz w:val="44"/>
          <w:szCs w:val="44"/>
        </w:rPr>
      </w:pPr>
      <w:r>
        <w:rPr>
          <w:rFonts w:hint="eastAsia" w:ascii="宋体" w:hAnsi="宋体" w:cs="宋体"/>
          <w:b/>
          <w:spacing w:val="28"/>
          <w:sz w:val="44"/>
          <w:szCs w:val="44"/>
        </w:rPr>
        <w:t>长江塑管公司生产车间废气吸附装置采购</w:t>
      </w:r>
    </w:p>
    <w:p>
      <w:pPr>
        <w:adjustRightInd w:val="0"/>
        <w:snapToGrid w:val="0"/>
        <w:spacing w:line="360" w:lineRule="auto"/>
        <w:jc w:val="center"/>
        <w:rPr>
          <w:rFonts w:ascii="宋体" w:hAnsi="宋体" w:cs="宋体"/>
          <w:b/>
          <w:snapToGrid w:val="0"/>
          <w:sz w:val="44"/>
          <w:szCs w:val="44"/>
        </w:rPr>
      </w:pPr>
      <w:r>
        <w:rPr>
          <w:rFonts w:hint="eastAsia" w:ascii="宋体" w:hAnsi="宋体" w:cs="宋体"/>
          <w:b/>
          <w:snapToGrid w:val="0"/>
          <w:sz w:val="44"/>
          <w:szCs w:val="44"/>
        </w:rPr>
        <w:t>招标文件</w:t>
      </w:r>
    </w:p>
    <w:p>
      <w:pPr>
        <w:adjustRightInd w:val="0"/>
        <w:snapToGrid w:val="0"/>
        <w:spacing w:line="360" w:lineRule="auto"/>
        <w:ind w:firstLine="1446" w:firstLineChars="200"/>
        <w:jc w:val="center"/>
        <w:rPr>
          <w:rFonts w:ascii="仿宋_GB2312" w:hAnsi="宋体" w:eastAsia="仿宋_GB2312"/>
          <w:b/>
          <w:snapToGrid w:val="0"/>
          <w:sz w:val="72"/>
        </w:rPr>
      </w:pPr>
    </w:p>
    <w:p>
      <w:pPr>
        <w:pStyle w:val="3"/>
        <w:rPr>
          <w:rFonts w:ascii="仿宋_GB2312" w:hAnsi="宋体" w:eastAsia="仿宋_GB2312"/>
          <w:snapToGrid w:val="0"/>
          <w:sz w:val="72"/>
        </w:rPr>
      </w:pPr>
    </w:p>
    <w:p>
      <w:pPr>
        <w:rPr>
          <w:rFonts w:ascii="仿宋_GB2312" w:hAnsi="宋体" w:eastAsia="仿宋_GB2312"/>
          <w:b/>
          <w:snapToGrid w:val="0"/>
          <w:sz w:val="72"/>
        </w:rPr>
      </w:pPr>
    </w:p>
    <w:p>
      <w:pPr>
        <w:pStyle w:val="3"/>
        <w:rPr>
          <w:rFonts w:ascii="仿宋_GB2312" w:hAnsi="宋体" w:eastAsia="仿宋_GB2312"/>
          <w:snapToGrid w:val="0"/>
          <w:sz w:val="72"/>
        </w:rPr>
      </w:pPr>
    </w:p>
    <w:p>
      <w:pPr>
        <w:rPr>
          <w:rFonts w:ascii="仿宋_GB2312" w:hAnsi="宋体" w:eastAsia="仿宋_GB2312"/>
          <w:b/>
          <w:snapToGrid w:val="0"/>
          <w:sz w:val="72"/>
        </w:rPr>
      </w:pPr>
    </w:p>
    <w:p>
      <w:pPr>
        <w:pStyle w:val="3"/>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w:t>
      </w:r>
      <w:r>
        <w:rPr>
          <w:rFonts w:ascii="宋体" w:hAnsi="宋体" w:cs="宋体"/>
          <w:b/>
          <w:bCs/>
          <w:snapToGrid w:val="0"/>
          <w:sz w:val="32"/>
          <w:szCs w:val="32"/>
          <w:u w:val="single"/>
        </w:rPr>
        <w:t>3</w:t>
      </w:r>
      <w:r>
        <w:rPr>
          <w:rFonts w:hint="eastAsia" w:ascii="宋体" w:hAnsi="宋体" w:cs="宋体"/>
          <w:b/>
          <w:bCs/>
          <w:snapToGrid w:val="0"/>
          <w:sz w:val="32"/>
          <w:szCs w:val="32"/>
        </w:rPr>
        <w:t>年</w:t>
      </w:r>
      <w:r>
        <w:rPr>
          <w:rFonts w:hint="eastAsia" w:ascii="宋体" w:hAnsi="宋体" w:cs="宋体"/>
          <w:b/>
          <w:bCs/>
          <w:snapToGrid w:val="0"/>
          <w:sz w:val="32"/>
          <w:szCs w:val="32"/>
          <w:lang w:val="en-US" w:eastAsia="zh-CN"/>
        </w:rPr>
        <w:t xml:space="preserve"> </w:t>
      </w:r>
      <w:r>
        <w:rPr>
          <w:rFonts w:hint="eastAsia" w:ascii="宋体" w:hAnsi="宋体" w:cs="宋体"/>
          <w:b/>
          <w:bCs/>
          <w:snapToGrid w:val="0"/>
          <w:sz w:val="32"/>
          <w:szCs w:val="32"/>
          <w:u w:val="single"/>
          <w:lang w:val="en-US" w:eastAsia="zh-CN"/>
        </w:rPr>
        <w:t>10</w:t>
      </w:r>
      <w:r>
        <w:rPr>
          <w:rFonts w:hint="eastAsia" w:ascii="宋体" w:hAnsi="宋体" w:cs="宋体"/>
          <w:b/>
          <w:bCs/>
          <w:snapToGrid w:val="0"/>
          <w:sz w:val="32"/>
          <w:szCs w:val="32"/>
        </w:rPr>
        <w:t>月</w:t>
      </w:r>
      <w:r>
        <w:rPr>
          <w:rFonts w:hint="eastAsia" w:ascii="宋体" w:hAnsi="宋体" w:cs="宋体"/>
          <w:b/>
          <w:bCs/>
          <w:snapToGrid w:val="0"/>
          <w:sz w:val="32"/>
          <w:szCs w:val="32"/>
          <w:u w:val="single"/>
          <w:lang w:val="en-US" w:eastAsia="zh-CN"/>
        </w:rPr>
        <w:t>10</w:t>
      </w:r>
      <w:r>
        <w:rPr>
          <w:rFonts w:hint="eastAsia" w:ascii="宋体" w:hAnsi="宋体" w:cs="宋体"/>
          <w:b/>
          <w:bCs/>
          <w:snapToGrid w:val="0"/>
          <w:sz w:val="32"/>
          <w:szCs w:val="32"/>
        </w:rPr>
        <w:t>日</w:t>
      </w:r>
    </w:p>
    <w:p>
      <w:pPr>
        <w:spacing w:line="460" w:lineRule="exact"/>
        <w:rPr>
          <w:rFonts w:eastAsia="仿宋_GB2312"/>
          <w:sz w:val="30"/>
          <w:u w:val="single"/>
        </w:rPr>
      </w:pPr>
    </w:p>
    <w:p>
      <w:pPr>
        <w:rPr>
          <w:rFonts w:ascii="宋体" w:hAnsi="宋体"/>
          <w:b/>
          <w:sz w:val="36"/>
          <w:szCs w:val="36"/>
        </w:rPr>
      </w:pPr>
      <w:r>
        <w:rPr>
          <w:rFonts w:ascii="宋体" w:hAnsi="宋体"/>
          <w:b/>
          <w:sz w:val="36"/>
          <w:szCs w:val="36"/>
        </w:rPr>
        <w:br w:type="page"/>
      </w:r>
    </w:p>
    <w:p>
      <w:pPr>
        <w:widowControl/>
        <w:ind w:firstLine="3614" w:firstLineChars="1000"/>
        <w:jc w:val="left"/>
        <w:rPr>
          <w:rFonts w:ascii="宋体" w:hAnsi="宋体"/>
          <w:b/>
          <w:sz w:val="36"/>
          <w:szCs w:val="36"/>
        </w:rPr>
      </w:pPr>
      <w:r>
        <w:rPr>
          <w:rFonts w:hint="eastAsia" w:ascii="宋体" w:hAnsi="宋体"/>
          <w:b/>
          <w:sz w:val="36"/>
          <w:szCs w:val="36"/>
        </w:rPr>
        <w:t>前  附  表</w:t>
      </w:r>
    </w:p>
    <w:tbl>
      <w:tblPr>
        <w:tblStyle w:val="12"/>
        <w:tblW w:w="9879"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144"/>
        <w:gridCol w:w="6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51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项目名称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江苏长江水务股份有限公司长江塑管公司生产车间废气吸附装置采购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长江塑管公司生产车间废气吸附装置采购及相关配套服务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最高限价</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11</w:t>
            </w:r>
            <w:r>
              <w:rPr>
                <w:rFonts w:hint="eastAsia" w:ascii="宋体" w:hAnsi="宋体"/>
                <w:szCs w:val="21"/>
                <w:lang w:val="en-US" w:eastAsia="zh-CN"/>
              </w:rPr>
              <w:t>.5</w:t>
            </w:r>
            <w:r>
              <w:rPr>
                <w:rFonts w:hint="eastAsia" w:ascii="宋体" w:hAnsi="宋体"/>
                <w:szCs w:val="21"/>
              </w:rPr>
              <w:t>万元人民币（本项目为交钥匙工程），投标报价超过最高限价的为无效报价，按照无效响应处理。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交货期</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中标签订合同</w:t>
            </w:r>
            <w:r>
              <w:rPr>
                <w:rFonts w:hint="eastAsia" w:ascii="宋体" w:hAnsi="宋体"/>
                <w:color w:val="000000" w:themeColor="text1"/>
                <w:szCs w:val="21"/>
                <w14:textFill>
                  <w14:solidFill>
                    <w14:schemeClr w14:val="tx1"/>
                  </w14:solidFill>
                </w14:textFill>
              </w:rPr>
              <w:t>并生效</w:t>
            </w:r>
            <w:r>
              <w:rPr>
                <w:rFonts w:hint="eastAsia" w:ascii="宋体" w:hAnsi="宋体"/>
                <w:szCs w:val="21"/>
              </w:rPr>
              <w:t>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服务内容/服务承诺</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服务地点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招标方指定的地点（长江塑管公司内）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招标单位</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投标文件份数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投标报价有效期</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澄清和答疑时间</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投标截止日前三天</w:t>
            </w:r>
            <w:bookmarkStart w:id="12" w:name="_GoBack"/>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13</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投标截止/开标时间</w:t>
            </w:r>
          </w:p>
        </w:tc>
        <w:tc>
          <w:tcPr>
            <w:tcW w:w="6514" w:type="dxa"/>
            <w:tcBorders>
              <w:top w:val="single" w:color="auto" w:sz="4" w:space="0"/>
              <w:left w:val="single" w:color="auto" w:sz="4" w:space="0"/>
              <w:bottom w:val="single" w:color="auto" w:sz="4" w:space="0"/>
              <w:right w:val="single" w:color="auto" w:sz="4" w:space="0"/>
            </w:tcBorders>
            <w:vAlign w:val="center"/>
          </w:tcPr>
          <w:p>
            <w:pPr>
              <w:ind w:firstLine="735" w:firstLineChars="350"/>
              <w:rPr>
                <w:rFonts w:ascii="宋体" w:hAnsi="宋体"/>
                <w:szCs w:val="21"/>
              </w:rPr>
            </w:pPr>
            <w:r>
              <w:rPr>
                <w:rFonts w:hint="eastAsia" w:ascii="宋体" w:hAnsi="宋体"/>
                <w:szCs w:val="21"/>
              </w:rPr>
              <w:t>202</w:t>
            </w:r>
            <w:r>
              <w:rPr>
                <w:rFonts w:ascii="宋体" w:hAnsi="宋体"/>
                <w:szCs w:val="21"/>
              </w:rPr>
              <w:t>3</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w:t>
            </w:r>
            <w:r>
              <w:rPr>
                <w:rFonts w:hint="eastAsia" w:ascii="宋体" w:hAnsi="宋体"/>
                <w:szCs w:val="21"/>
                <w:lang w:val="en-US" w:eastAsia="zh-CN"/>
              </w:rPr>
              <w:t>25</w:t>
            </w:r>
            <w:r>
              <w:rPr>
                <w:rFonts w:hint="eastAsia" w:ascii="宋体" w:hAnsi="宋体"/>
                <w:szCs w:val="21"/>
              </w:rPr>
              <w:t xml:space="preserve">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221" w:type="dxa"/>
            <w:tcBorders>
              <w:top w:val="single" w:color="auto" w:sz="4" w:space="0"/>
              <w:left w:val="single" w:color="auto" w:sz="4" w:space="0"/>
              <w:bottom w:val="nil"/>
              <w:right w:val="single" w:color="auto" w:sz="4" w:space="0"/>
            </w:tcBorders>
            <w:vAlign w:val="center"/>
          </w:tcPr>
          <w:p>
            <w:pPr>
              <w:jc w:val="center"/>
              <w:rPr>
                <w:rFonts w:ascii="宋体" w:hAnsi="宋体"/>
                <w:szCs w:val="21"/>
              </w:rPr>
            </w:pPr>
            <w:r>
              <w:rPr>
                <w:rFonts w:hint="eastAsia" w:ascii="宋体" w:hAnsi="宋体"/>
                <w:szCs w:val="21"/>
              </w:rPr>
              <w:t>15</w:t>
            </w:r>
          </w:p>
        </w:tc>
        <w:tc>
          <w:tcPr>
            <w:tcW w:w="214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w:t>
            </w:r>
          </w:p>
          <w:p>
            <w:pPr>
              <w:jc w:val="center"/>
              <w:rPr>
                <w:rFonts w:ascii="宋体" w:hAnsi="宋体"/>
                <w:szCs w:val="21"/>
              </w:rPr>
            </w:pPr>
            <w:r>
              <w:rPr>
                <w:rFonts w:hint="eastAsia" w:ascii="宋体" w:hAnsi="宋体"/>
                <w:szCs w:val="21"/>
              </w:rPr>
              <w:t>递交地址</w:t>
            </w:r>
          </w:p>
        </w:tc>
        <w:tc>
          <w:tcPr>
            <w:tcW w:w="6514" w:type="dxa"/>
            <w:tcBorders>
              <w:top w:val="single" w:color="auto" w:sz="4" w:space="0"/>
              <w:left w:val="single" w:color="auto" w:sz="4" w:space="0"/>
              <w:bottom w:val="single" w:color="auto" w:sz="4" w:space="0"/>
              <w:right w:val="single" w:color="auto" w:sz="8" w:space="0"/>
            </w:tcBorders>
            <w:vAlign w:val="center"/>
          </w:tcPr>
          <w:p>
            <w:pPr>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标书装订</w:t>
            </w:r>
          </w:p>
          <w:p>
            <w:pPr>
              <w:jc w:val="center"/>
              <w:rPr>
                <w:rFonts w:ascii="宋体" w:hAnsi="宋体"/>
                <w:szCs w:val="21"/>
              </w:rPr>
            </w:pPr>
            <w:r>
              <w:rPr>
                <w:rFonts w:hint="eastAsia" w:ascii="宋体" w:hAnsi="宋体"/>
                <w:szCs w:val="21"/>
              </w:rPr>
              <w:t>及密封要求</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xml:space="preserve"> 所有封袋上应写明招标人名称、投标项目名称及投标人的名称。</w:t>
            </w:r>
          </w:p>
          <w:p>
            <w:pPr>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其他</w:t>
            </w:r>
          </w:p>
        </w:tc>
        <w:tc>
          <w:tcPr>
            <w:tcW w:w="6514" w:type="dxa"/>
            <w:tcBorders>
              <w:top w:val="single" w:color="auto" w:sz="4" w:space="0"/>
              <w:left w:val="single" w:color="auto" w:sz="4" w:space="0"/>
              <w:bottom w:val="single" w:color="auto" w:sz="4" w:space="0"/>
              <w:right w:val="single" w:color="auto" w:sz="4" w:space="0"/>
            </w:tcBorders>
            <w:vAlign w:val="center"/>
          </w:tcPr>
          <w:p>
            <w:pPr>
              <w:numPr>
                <w:ilvl w:val="0"/>
                <w:numId w:val="1"/>
              </w:numPr>
              <w:rPr>
                <w:rFonts w:ascii="宋体" w:hAnsi="宋体"/>
                <w:szCs w:val="21"/>
              </w:rPr>
            </w:pPr>
            <w:r>
              <w:rPr>
                <w:rFonts w:hint="eastAsia" w:ascii="宋体" w:hAnsi="宋体"/>
                <w:szCs w:val="21"/>
              </w:rPr>
              <w:t>下文中与“前附表”内容不一致的，以“前附表”为准；</w:t>
            </w:r>
          </w:p>
          <w:p>
            <w:pPr>
              <w:numPr>
                <w:ilvl w:val="0"/>
                <w:numId w:val="1"/>
              </w:numPr>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联系方式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招标人：江苏长江水务股份有限公司</w:t>
            </w:r>
          </w:p>
          <w:p>
            <w:pPr>
              <w:rPr>
                <w:rFonts w:ascii="宋体" w:hAnsi="宋体"/>
                <w:szCs w:val="21"/>
              </w:rPr>
            </w:pPr>
            <w:r>
              <w:rPr>
                <w:rFonts w:hint="eastAsia" w:ascii="宋体" w:hAnsi="宋体"/>
                <w:szCs w:val="21"/>
              </w:rPr>
              <w:t>地  址：扬州文汇东路249号</w:t>
            </w:r>
          </w:p>
          <w:p>
            <w:pPr>
              <w:rPr>
                <w:rFonts w:ascii="宋体" w:hAnsi="宋体"/>
                <w:szCs w:val="21"/>
              </w:rPr>
            </w:pPr>
            <w:r>
              <w:rPr>
                <w:rFonts w:hint="eastAsia" w:ascii="宋体" w:hAnsi="宋体"/>
                <w:szCs w:val="21"/>
              </w:rPr>
              <w:t>电  话：0514-82980012</w:t>
            </w:r>
          </w:p>
          <w:p>
            <w:pPr>
              <w:rPr>
                <w:rFonts w:ascii="宋体" w:hAnsi="宋体"/>
                <w:szCs w:val="21"/>
              </w:rPr>
            </w:pPr>
            <w:r>
              <w:rPr>
                <w:rFonts w:hint="eastAsia" w:ascii="宋体" w:hAnsi="宋体"/>
                <w:szCs w:val="21"/>
              </w:rPr>
              <w:t>联系人：王彪</w:t>
            </w:r>
          </w:p>
        </w:tc>
      </w:tr>
    </w:tbl>
    <w:p>
      <w:pPr>
        <w:rPr>
          <w:rFonts w:ascii="宋体" w:hAnsi="宋体"/>
          <w:b/>
          <w:bCs/>
          <w:szCs w:val="21"/>
        </w:rPr>
      </w:pPr>
      <w:r>
        <w:rPr>
          <w:rFonts w:hint="eastAsia" w:ascii="宋体" w:hAnsi="宋体"/>
          <w:b/>
          <w:bCs/>
          <w:szCs w:val="21"/>
        </w:rPr>
        <w:br w:type="page"/>
      </w:r>
    </w:p>
    <w:p>
      <w:pPr>
        <w:autoSpaceDE w:val="0"/>
        <w:autoSpaceDN w:val="0"/>
        <w:adjustRightInd w:val="0"/>
        <w:snapToGrid w:val="0"/>
        <w:spacing w:line="480" w:lineRule="exact"/>
        <w:ind w:firstLine="632" w:firstLineChars="300"/>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autoSpaceDE w:val="0"/>
        <w:autoSpaceDN w:val="0"/>
        <w:adjustRightInd w:val="0"/>
        <w:snapToGrid w:val="0"/>
        <w:spacing w:line="480" w:lineRule="exact"/>
        <w:ind w:firstLine="561"/>
        <w:rPr>
          <w:rFonts w:ascii="宋体" w:hAnsi="宋体" w:cs="宋体"/>
          <w:szCs w:val="21"/>
        </w:rPr>
      </w:pPr>
      <w:r>
        <w:rPr>
          <w:rFonts w:hint="eastAsia" w:ascii="宋体" w:hAnsi="宋体"/>
          <w:szCs w:val="21"/>
        </w:rPr>
        <w:t>1.1  因我公司使用原料生产过程中有挥发性有机废气产生，拟在生产车间及东侧造粒车间共新增两套吸附装置。本招标项目已具备招标条件，现对本项目进行招标。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本项目名称：江苏长江水务股份有限公司长江塑管公司生产车间废气吸附装置采购。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本项目最高限价为人民币：</w:t>
      </w:r>
      <w:r>
        <w:rPr>
          <w:rFonts w:hint="eastAsia" w:ascii="宋体" w:hAnsi="宋体"/>
          <w:szCs w:val="21"/>
          <w:u w:val="single"/>
        </w:rPr>
        <w:t>壹拾壹万</w:t>
      </w:r>
      <w:r>
        <w:rPr>
          <w:rFonts w:hint="eastAsia" w:ascii="宋体" w:hAnsi="宋体"/>
          <w:szCs w:val="21"/>
          <w:u w:val="single"/>
          <w:lang w:eastAsia="zh-CN"/>
        </w:rPr>
        <w:t>伍仟</w:t>
      </w:r>
      <w:r>
        <w:rPr>
          <w:rFonts w:hint="eastAsia" w:ascii="宋体" w:hAnsi="宋体"/>
          <w:szCs w:val="21"/>
          <w:u w:val="single"/>
        </w:rPr>
        <w:t>元整</w:t>
      </w:r>
      <w:r>
        <w:rPr>
          <w:rFonts w:hint="eastAsia" w:ascii="宋体" w:hAnsi="宋体"/>
          <w:szCs w:val="21"/>
        </w:rPr>
        <w:t>（￥：</w:t>
      </w:r>
      <w:r>
        <w:rPr>
          <w:rFonts w:hint="eastAsia" w:ascii="宋体" w:hAnsi="宋体"/>
          <w:szCs w:val="21"/>
          <w:u w:val="single"/>
        </w:rPr>
        <w:t>11</w:t>
      </w:r>
      <w:r>
        <w:rPr>
          <w:rFonts w:hint="eastAsia" w:ascii="宋体" w:hAnsi="宋体"/>
          <w:szCs w:val="21"/>
          <w:u w:val="single"/>
          <w:lang w:val="en-US" w:eastAsia="zh-CN"/>
        </w:rPr>
        <w:t>.5</w:t>
      </w:r>
      <w:r>
        <w:rPr>
          <w:rFonts w:hint="eastAsia" w:ascii="宋体" w:hAnsi="宋体"/>
          <w:szCs w:val="21"/>
          <w:u w:val="single"/>
        </w:rPr>
        <w:t>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的施工及质保期内的相关工作。本项目为交钥匙工程，投标人需现场查勘情况（费用自负，查勘联系电话：朱小兵  18952758586）。</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 交货期：合同签订生效后30天内货到用户指定地点。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交付地点：扬州（长江塑管公司内）。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质保期：不少于12个月（自联动调试验收合格之日算起）。 </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bCs/>
          <w:szCs w:val="21"/>
        </w:rPr>
        <w:t>。</w:t>
      </w:r>
    </w:p>
    <w:p>
      <w:pPr>
        <w:spacing w:line="360" w:lineRule="auto"/>
        <w:ind w:firstLine="422" w:firstLineChars="200"/>
        <w:rPr>
          <w:rFonts w:ascii="宋体" w:hAnsi="宋体" w:cs="宋体"/>
          <w:b/>
          <w:bCs/>
          <w:szCs w:val="21"/>
        </w:rPr>
      </w:pPr>
    </w:p>
    <w:p>
      <w:pPr>
        <w:spacing w:line="360" w:lineRule="auto"/>
        <w:ind w:firstLine="422" w:firstLineChars="200"/>
        <w:rPr>
          <w:rFonts w:ascii="宋体" w:hAnsi="宋体" w:cs="宋体"/>
          <w:b/>
          <w:bCs/>
          <w:szCs w:val="21"/>
        </w:rPr>
      </w:pPr>
      <w:r>
        <w:rPr>
          <w:rFonts w:hint="eastAsia" w:ascii="宋体" w:hAnsi="宋体" w:cs="宋体"/>
          <w:b/>
          <w:bCs/>
          <w:szCs w:val="21"/>
        </w:rPr>
        <w:t>二、招标内容及技术要求：</w:t>
      </w:r>
    </w:p>
    <w:bookmarkEnd w:id="0"/>
    <w:p>
      <w:pPr>
        <w:spacing w:line="360" w:lineRule="auto"/>
        <w:ind w:firstLine="632" w:firstLineChars="300"/>
        <w:rPr>
          <w:rFonts w:ascii="宋体" w:hAnsi="宋体" w:cs="宋体"/>
          <w:b/>
          <w:bCs/>
          <w:szCs w:val="21"/>
        </w:rPr>
      </w:pPr>
      <w:r>
        <w:rPr>
          <w:rFonts w:hint="eastAsia" w:ascii="宋体" w:hAnsi="宋体" w:cs="宋体"/>
          <w:b/>
          <w:bCs/>
          <w:szCs w:val="21"/>
        </w:rPr>
        <w:t>1、技术要求</w:t>
      </w:r>
    </w:p>
    <w:p>
      <w:pPr>
        <w:spacing w:line="360" w:lineRule="auto"/>
        <w:ind w:firstLine="560"/>
        <w:rPr>
          <w:rFonts w:ascii="宋体" w:hAnsi="宋体" w:cs="宋体"/>
          <w:szCs w:val="21"/>
        </w:rPr>
      </w:pPr>
      <w:r>
        <w:rPr>
          <w:rFonts w:hint="eastAsia" w:ascii="宋体" w:hAnsi="宋体" w:cs="宋体"/>
          <w:szCs w:val="21"/>
        </w:rPr>
        <w:t>1.1按照技术合理性、经济性、达标安全性的原则设计和建设。项目完成和投产后，达到国家《合成树脂工业污染物排放标准》( GB 31572—2015 )和《大气污染物综合排放标准》（DB32/4041-2021）。</w:t>
      </w:r>
    </w:p>
    <w:p>
      <w:pPr>
        <w:spacing w:line="360" w:lineRule="auto"/>
        <w:ind w:firstLine="560"/>
        <w:rPr>
          <w:rFonts w:ascii="宋体" w:hAnsi="宋体" w:cs="宋体"/>
          <w:szCs w:val="21"/>
        </w:rPr>
      </w:pPr>
      <w:r>
        <w:rPr>
          <w:rFonts w:hint="eastAsia" w:ascii="宋体" w:hAnsi="宋体" w:cs="宋体"/>
          <w:szCs w:val="21"/>
        </w:rPr>
        <w:t>1.2技术合理性：项目的设计方案，在充分考虑现有各种现行标准、规范的同时，也应充分兼顾到废气处理装置的操作管理、维护巡检的安全和便利，处理工艺应具备充分的技术合理性。</w:t>
      </w:r>
    </w:p>
    <w:p>
      <w:pPr>
        <w:spacing w:line="360" w:lineRule="auto"/>
        <w:ind w:firstLine="560"/>
        <w:rPr>
          <w:rFonts w:ascii="宋体" w:hAnsi="宋体" w:cs="宋体"/>
          <w:szCs w:val="21"/>
        </w:rPr>
      </w:pPr>
      <w:r>
        <w:rPr>
          <w:rFonts w:hint="eastAsia" w:ascii="宋体" w:hAnsi="宋体" w:cs="宋体"/>
          <w:szCs w:val="21"/>
        </w:rPr>
        <w:t>1.3经济性：在项目设计时，应充分考虑到项目的实用性、可操作性、易维护性等方面的因素，本着合理、科学、实用和为业主节约造价、运行成本的原则，满足项目要求。</w:t>
      </w:r>
    </w:p>
    <w:p>
      <w:pPr>
        <w:spacing w:line="360" w:lineRule="auto"/>
        <w:ind w:firstLine="560"/>
        <w:rPr>
          <w:rFonts w:ascii="宋体" w:hAnsi="宋体" w:cs="宋体"/>
          <w:szCs w:val="21"/>
        </w:rPr>
      </w:pPr>
      <w:r>
        <w:rPr>
          <w:rFonts w:hint="eastAsia" w:ascii="宋体" w:hAnsi="宋体" w:cs="宋体"/>
          <w:szCs w:val="21"/>
        </w:rPr>
        <w:t>1.4达标安全性：废气治理工程应确保达到整体设计目标中的排放标准，还应针对废气的分散点源和季节性浓度变化的特点，有充分的应对措施，确保恶劣条件下的稳定达标。</w:t>
      </w:r>
    </w:p>
    <w:p>
      <w:pPr>
        <w:spacing w:line="360" w:lineRule="auto"/>
        <w:ind w:firstLine="560"/>
        <w:rPr>
          <w:rFonts w:ascii="宋体" w:hAnsi="宋体" w:cs="宋体"/>
          <w:szCs w:val="21"/>
        </w:rPr>
      </w:pPr>
      <w:r>
        <w:rPr>
          <w:rFonts w:hint="eastAsia" w:ascii="宋体" w:hAnsi="宋体" w:cs="宋体"/>
          <w:szCs w:val="21"/>
        </w:rPr>
        <w:t>1.5严格贯彻执行国家环境保护的有关规定，确保治理后各项指标达到设计要求，达到或优于排放标准。</w:t>
      </w:r>
    </w:p>
    <w:p>
      <w:pPr>
        <w:spacing w:line="360" w:lineRule="auto"/>
        <w:ind w:firstLine="560"/>
        <w:rPr>
          <w:rFonts w:ascii="宋体" w:hAnsi="宋体" w:cs="宋体"/>
          <w:szCs w:val="21"/>
        </w:rPr>
      </w:pPr>
      <w:r>
        <w:rPr>
          <w:rFonts w:hint="eastAsia" w:ascii="宋体" w:hAnsi="宋体" w:cs="宋体"/>
          <w:szCs w:val="21"/>
        </w:rPr>
        <w:t>1.6结合工程条件和排放标准，谨慎合理选择工程设计方案，并尽量采用先进技术、新材料、新布局，以减少运行费用，确保处理系统长期运行安全可靠。</w:t>
      </w:r>
    </w:p>
    <w:p>
      <w:pPr>
        <w:spacing w:line="360" w:lineRule="auto"/>
        <w:ind w:firstLine="560"/>
        <w:rPr>
          <w:rFonts w:ascii="宋体" w:hAnsi="宋体" w:cs="宋体"/>
          <w:szCs w:val="21"/>
        </w:rPr>
      </w:pPr>
      <w:r>
        <w:rPr>
          <w:rFonts w:hint="eastAsia" w:ascii="宋体" w:hAnsi="宋体" w:cs="宋体"/>
          <w:szCs w:val="21"/>
        </w:rPr>
        <w:t>1.7选择先进的技术，避免二次污染；选用的设备、配件、材料等均要求质量可靠、通用性强、运行稳定、便于维修；尽量保持原有的治理系统进行处理或改造。</w:t>
      </w:r>
    </w:p>
    <w:p>
      <w:pPr>
        <w:pStyle w:val="2"/>
        <w:spacing w:before="62" w:after="62" w:line="360" w:lineRule="auto"/>
        <w:ind w:firstLine="422" w:firstLineChars="200"/>
        <w:rPr>
          <w:rFonts w:ascii="宋体" w:hAnsi="宋体" w:cs="宋体"/>
          <w:b/>
          <w:bCs w:val="0"/>
          <w:sz w:val="21"/>
          <w:szCs w:val="21"/>
        </w:rPr>
      </w:pPr>
      <w:bookmarkStart w:id="1" w:name="_Toc520795133"/>
      <w:r>
        <w:rPr>
          <w:rFonts w:hint="eastAsia" w:ascii="宋体" w:hAnsi="宋体" w:cs="宋体"/>
          <w:b/>
          <w:bCs w:val="0"/>
          <w:sz w:val="21"/>
          <w:szCs w:val="21"/>
        </w:rPr>
        <w:t>2、</w:t>
      </w:r>
      <w:bookmarkEnd w:id="1"/>
      <w:r>
        <w:rPr>
          <w:rFonts w:hint="eastAsia" w:ascii="宋体" w:hAnsi="宋体" w:cs="宋体"/>
          <w:b/>
          <w:bCs w:val="0"/>
          <w:sz w:val="21"/>
          <w:szCs w:val="21"/>
        </w:rPr>
        <w:t>技术参数</w:t>
      </w:r>
    </w:p>
    <w:p>
      <w:pPr>
        <w:spacing w:line="360" w:lineRule="auto"/>
        <w:ind w:firstLine="420" w:firstLineChars="200"/>
        <w:rPr>
          <w:rFonts w:ascii="宋体" w:hAnsi="宋体" w:cs="宋体"/>
          <w:szCs w:val="21"/>
        </w:rPr>
      </w:pPr>
      <w:r>
        <w:rPr>
          <w:rFonts w:hint="eastAsia" w:ascii="宋体" w:hAnsi="宋体" w:cs="宋体"/>
          <w:szCs w:val="21"/>
        </w:rPr>
        <w:t>2.1造粒车间：造粒机共1台，</w:t>
      </w:r>
      <w:bookmarkStart w:id="2" w:name="_Hlk116233580"/>
      <w:r>
        <w:rPr>
          <w:rFonts w:hint="eastAsia" w:ascii="宋体" w:hAnsi="宋体" w:cs="宋体"/>
          <w:szCs w:val="21"/>
        </w:rPr>
        <w:t>设备设计风量7500 m</w:t>
      </w:r>
      <w:r>
        <w:rPr>
          <w:rFonts w:hint="eastAsia" w:ascii="宋体" w:hAnsi="宋体" w:cs="宋体"/>
          <w:szCs w:val="21"/>
          <w:vertAlign w:val="superscript"/>
        </w:rPr>
        <w:t>3</w:t>
      </w:r>
      <w:r>
        <w:rPr>
          <w:rFonts w:hint="eastAsia" w:ascii="宋体" w:hAnsi="宋体" w:cs="宋体"/>
          <w:szCs w:val="21"/>
        </w:rPr>
        <w:t xml:space="preserve"> /h。      </w:t>
      </w:r>
    </w:p>
    <w:bookmarkEnd w:id="2"/>
    <w:p>
      <w:pPr>
        <w:spacing w:line="360" w:lineRule="auto"/>
        <w:ind w:firstLine="420" w:firstLineChars="200"/>
        <w:rPr>
          <w:rFonts w:ascii="宋体" w:hAnsi="宋体" w:cs="宋体"/>
          <w:szCs w:val="21"/>
        </w:rPr>
      </w:pPr>
      <w:r>
        <w:rPr>
          <w:rFonts w:hint="eastAsia" w:ascii="宋体" w:hAnsi="宋体" w:cs="宋体"/>
          <w:szCs w:val="21"/>
        </w:rPr>
        <w:t>2.2挤出铸管车间：挤出铸管机头共3台，每台设备设计风量6000 m</w:t>
      </w:r>
      <w:r>
        <w:rPr>
          <w:rFonts w:hint="eastAsia" w:ascii="宋体" w:hAnsi="宋体" w:cs="宋体"/>
          <w:szCs w:val="21"/>
          <w:vertAlign w:val="superscript"/>
        </w:rPr>
        <w:t>3</w:t>
      </w:r>
      <w:r>
        <w:rPr>
          <w:rFonts w:hint="eastAsia" w:ascii="宋体" w:hAnsi="宋体" w:cs="宋体"/>
          <w:szCs w:val="21"/>
        </w:rPr>
        <w:t xml:space="preserve"> /h，3台机风量为18000 m</w:t>
      </w:r>
      <w:r>
        <w:rPr>
          <w:rFonts w:hint="eastAsia" w:ascii="宋体" w:hAnsi="宋体" w:cs="宋体"/>
          <w:szCs w:val="21"/>
          <w:vertAlign w:val="superscript"/>
        </w:rPr>
        <w:t>3</w:t>
      </w:r>
      <w:r>
        <w:rPr>
          <w:rFonts w:hint="eastAsia" w:ascii="宋体" w:hAnsi="宋体" w:cs="宋体"/>
          <w:szCs w:val="21"/>
        </w:rPr>
        <w:t xml:space="preserve"> /h。</w:t>
      </w:r>
    </w:p>
    <w:p>
      <w:pPr>
        <w:spacing w:line="360" w:lineRule="auto"/>
        <w:ind w:firstLine="420" w:firstLineChars="200"/>
        <w:rPr>
          <w:rFonts w:ascii="宋体" w:hAnsi="宋体" w:cs="宋体"/>
          <w:kern w:val="44"/>
          <w:szCs w:val="21"/>
        </w:rPr>
      </w:pPr>
      <w:r>
        <w:rPr>
          <w:rFonts w:hint="eastAsia" w:ascii="宋体" w:hAnsi="宋体" w:cs="宋体"/>
          <w:szCs w:val="21"/>
        </w:rPr>
        <w:t>消耗风量为15%，即总风量20000 m</w:t>
      </w:r>
      <w:r>
        <w:rPr>
          <w:rFonts w:hint="eastAsia" w:ascii="宋体" w:hAnsi="宋体" w:cs="宋体"/>
          <w:szCs w:val="21"/>
          <w:vertAlign w:val="superscript"/>
        </w:rPr>
        <w:t>3</w:t>
      </w:r>
      <w:r>
        <w:rPr>
          <w:rFonts w:hint="eastAsia" w:ascii="宋体" w:hAnsi="宋体" w:cs="宋体"/>
          <w:szCs w:val="21"/>
        </w:rPr>
        <w:t xml:space="preserve"> /h左右。集气方式采用管道固定支管带吸附罩，吸口风速0.3m /s以上。每台吸附罩φ200的预留口。</w:t>
      </w:r>
    </w:p>
    <w:p>
      <w:pPr>
        <w:spacing w:line="360" w:lineRule="auto"/>
        <w:ind w:firstLine="560"/>
        <w:rPr>
          <w:rFonts w:ascii="宋体" w:hAnsi="宋体" w:cs="宋体"/>
          <w:szCs w:val="21"/>
        </w:rPr>
      </w:pPr>
      <w:r>
        <w:rPr>
          <w:rFonts w:hint="eastAsia" w:ascii="宋体" w:hAnsi="宋体" w:cs="宋体"/>
          <w:szCs w:val="21"/>
        </w:rPr>
        <w:t>造粒机及挤出铸管机在生产过程中产生的污染物主要为VOCs（以非甲烷总烃表征），废气治理后VOCs可达到国家排放标准《合成树脂工业污染物排放标准》(GB 31572-2015)和《大气污染物综合排放标准》（DB 32/4041-2021）。</w:t>
      </w:r>
    </w:p>
    <w:p>
      <w:pPr>
        <w:pStyle w:val="2"/>
        <w:spacing w:before="62" w:after="62" w:line="360" w:lineRule="auto"/>
        <w:ind w:firstLine="420" w:firstLineChars="200"/>
        <w:rPr>
          <w:rFonts w:ascii="宋体" w:hAnsi="宋体" w:cs="宋体"/>
          <w:sz w:val="21"/>
          <w:szCs w:val="21"/>
        </w:rPr>
      </w:pPr>
      <w:bookmarkStart w:id="3" w:name="_Toc520795137"/>
      <w:r>
        <w:rPr>
          <w:rFonts w:hint="eastAsia" w:ascii="宋体" w:hAnsi="宋体" w:cs="宋体"/>
          <w:sz w:val="21"/>
          <w:szCs w:val="21"/>
        </w:rPr>
        <w:t>2.3造粒机及挤出铸管机废气处理工艺流程</w:t>
      </w:r>
      <w:bookmarkEnd w:id="3"/>
    </w:p>
    <w:p>
      <w:pPr>
        <w:rPr>
          <w:rFonts w:ascii="宋体" w:hAnsi="宋体" w:cs="宋体"/>
          <w:szCs w:val="21"/>
        </w:rPr>
      </w:pPr>
      <w:r>
        <w:rPr>
          <w:rFonts w:ascii="宋体" w:hAnsi="宋体" w:cs="宋体"/>
          <w:szCs w:val="21"/>
        </w:rPr>
        <mc:AlternateContent>
          <mc:Choice Requires="wps">
            <w:drawing>
              <wp:anchor distT="0" distB="0" distL="114300" distR="114300" simplePos="0" relativeHeight="251666432" behindDoc="0" locked="0" layoutInCell="1" allowOverlap="1">
                <wp:simplePos x="0" y="0"/>
                <wp:positionH relativeFrom="column">
                  <wp:posOffset>2465705</wp:posOffset>
                </wp:positionH>
                <wp:positionV relativeFrom="paragraph">
                  <wp:posOffset>158115</wp:posOffset>
                </wp:positionV>
                <wp:extent cx="842645" cy="626745"/>
                <wp:effectExtent l="4445" t="4445" r="10160" b="1651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842645" cy="626745"/>
                        </a:xfrm>
                        <a:prstGeom prst="rect">
                          <a:avLst/>
                        </a:prstGeom>
                        <a:solidFill>
                          <a:srgbClr val="FFFFFF"/>
                        </a:solidFill>
                        <a:ln w="9525">
                          <a:solidFill>
                            <a:srgbClr val="000000"/>
                          </a:solidFill>
                          <a:miter lim="800000"/>
                        </a:ln>
                        <a:effectLst/>
                      </wps:spPr>
                      <wps:txbx>
                        <w:txbxContent>
                          <w:p>
                            <w:pPr>
                              <w:pStyle w:val="10"/>
                              <w:spacing w:beforeAutospacing="0" w:afterAutospacing="0"/>
                            </w:pPr>
                            <w:r>
                              <w:rPr>
                                <w:rFonts w:hint="eastAsia"/>
                              </w:rPr>
                              <w:t>二级活性炭吸附箱</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194.15pt;margin-top:12.45pt;height:49.35pt;width:66.35pt;z-index:251666432;v-text-anchor:middle;mso-width-relative:page;mso-height-relative:page;" fillcolor="#FFFFFF" filled="t" stroked="t" coordsize="21600,21600" o:gfxdata="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ufDbzdoAAAAKAQAADwAAAAAAAAABACAAAAAiAAAAZHJz&#10;L2Rvd25yZXYueG1sUEsBAhQAFAAAAAgAh07iQMvlCu47AgAAiQQAAA4AAAAAAAAAAQAgAAAAKQEA&#10;AGRycy9lMm9Eb2MueG1sUEsFBgAAAAAGAAYAWQEAANYFAAAAAA==&#10;">
                <v:fill on="t" focussize="0,0"/>
                <v:stroke color="#000000" miterlimit="8" joinstyle="miter"/>
                <v:imagedata o:title=""/>
                <o:lock v:ext="edit" aspectratio="f"/>
                <v:textbox>
                  <w:txbxContent>
                    <w:p>
                      <w:pPr>
                        <w:pStyle w:val="10"/>
                        <w:spacing w:beforeAutospacing="0" w:afterAutospacing="0"/>
                      </w:pPr>
                      <w:r>
                        <w:rPr>
                          <w:rFonts w:hint="eastAsia"/>
                        </w:rPr>
                        <w:t>二级活性炭吸附箱</w:t>
                      </w:r>
                    </w:p>
                  </w:txbxContent>
                </v:textbox>
              </v:rect>
            </w:pict>
          </mc:Fallback>
        </mc:AlternateContent>
      </w:r>
    </w:p>
    <w:p>
      <w:pPr>
        <w:pStyle w:val="3"/>
        <w:rPr>
          <w:rFonts w:ascii="宋体" w:hAnsi="宋体" w:cs="宋体"/>
          <w:sz w:val="21"/>
          <w:szCs w:val="21"/>
        </w:rPr>
      </w:pPr>
      <w:r>
        <w:rPr>
          <w:rFonts w:ascii="宋体" w:hAnsi="宋体" w:cs="宋体"/>
          <w:sz w:val="21"/>
          <w:szCs w:val="21"/>
        </w:rPr>
        <mc:AlternateContent>
          <mc:Choice Requires="wps">
            <w:drawing>
              <wp:anchor distT="0" distB="0" distL="114300" distR="114300" simplePos="0" relativeHeight="251662336" behindDoc="0" locked="0" layoutInCell="1" allowOverlap="1">
                <wp:simplePos x="0" y="0"/>
                <wp:positionH relativeFrom="column">
                  <wp:posOffset>2144395</wp:posOffset>
                </wp:positionH>
                <wp:positionV relativeFrom="paragraph">
                  <wp:posOffset>252095</wp:posOffset>
                </wp:positionV>
                <wp:extent cx="303530" cy="0"/>
                <wp:effectExtent l="0" t="38100" r="1270" b="3810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straightConnector1">
                          <a:avLst/>
                        </a:prstGeom>
                        <a:noFill/>
                        <a:ln w="6350">
                          <a:solidFill>
                            <a:srgbClr val="000000"/>
                          </a:solidFill>
                          <a:miter lim="800000"/>
                          <a:tailEnd type="triangle" w="med" len="med"/>
                        </a:ln>
                        <a:effectLst/>
                      </wps:spPr>
                      <wps:bodyPr/>
                    </wps:wsp>
                  </a:graphicData>
                </a:graphic>
              </wp:anchor>
            </w:drawing>
          </mc:Choice>
          <mc:Fallback>
            <w:pict>
              <v:shape id="_x0000_s1026" o:spid="_x0000_s1026" o:spt="32" type="#_x0000_t32" style="position:absolute;left:0pt;margin-left:168.85pt;margin-top:19.85pt;height:0pt;width:23.9pt;z-index:251662336;mso-width-relative:page;mso-height-relative:page;" filled="f" stroked="t" coordsize="21600,21600" o:gfxdata="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sEzpM1QAAAAkBAAAPAAAA&#10;AAAAAAEAIAAAACIAAABkcnMvZG93bnJldi54bWxQSwECFAAUAAAACACHTuJAhOlSTRgCAAAGBAAA&#10;DgAAAAAAAAABACAAAAAkAQAAZHJzL2Uyb0RvYy54bWxQSwUGAAAAAAYABgBZAQAArgUAAAAA&#10;">
                <v:fill on="f" focussize="0,0"/>
                <v:stroke weight="0.5pt" color="#000000" miterlimit="8" joinstyle="miter" endarrow="block"/>
                <v:imagedata o:title=""/>
                <o:lock v:ext="edit" aspectratio="f"/>
              </v:shape>
            </w:pict>
          </mc:Fallback>
        </mc:AlternateContent>
      </w:r>
      <w:r>
        <w:rPr>
          <w:rFonts w:ascii="宋体" w:hAnsi="宋体" w:cs="宋体"/>
          <w:sz w:val="21"/>
          <w:szCs w:val="21"/>
        </w:rPr>
        <mc:AlternateContent>
          <mc:Choice Requires="wps">
            <w:drawing>
              <wp:anchor distT="0" distB="0" distL="114300" distR="114300" simplePos="0" relativeHeight="251660288" behindDoc="0" locked="0" layoutInCell="1" allowOverlap="1">
                <wp:simplePos x="0" y="0"/>
                <wp:positionH relativeFrom="column">
                  <wp:posOffset>1337310</wp:posOffset>
                </wp:positionH>
                <wp:positionV relativeFrom="paragraph">
                  <wp:posOffset>251460</wp:posOffset>
                </wp:positionV>
                <wp:extent cx="303530" cy="0"/>
                <wp:effectExtent l="0" t="38100" r="1270" b="38100"/>
                <wp:wrapNone/>
                <wp:docPr id="8" name="直接箭头连接符 8"/>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straightConnector1">
                          <a:avLst/>
                        </a:prstGeom>
                        <a:noFill/>
                        <a:ln w="6350">
                          <a:solidFill>
                            <a:srgbClr val="000000"/>
                          </a:solidFill>
                          <a:miter lim="800000"/>
                          <a:tailEnd type="triangle" w="med" len="med"/>
                        </a:ln>
                        <a:effectLst/>
                      </wps:spPr>
                      <wps:bodyPr/>
                    </wps:wsp>
                  </a:graphicData>
                </a:graphic>
              </wp:anchor>
            </w:drawing>
          </mc:Choice>
          <mc:Fallback>
            <w:pict>
              <v:shape id="_x0000_s1026" o:spid="_x0000_s1026" o:spt="32" type="#_x0000_t32" style="position:absolute;left:0pt;margin-left:105.3pt;margin-top:19.8pt;height:0pt;width:23.9pt;z-index:251660288;mso-width-relative:page;mso-height-relative:page;" filled="f" stroked="t" coordsize="21600,21600" o:gfxdata="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fH+rNYAAAAJAQAADwAA&#10;AAAAAAABACAAAAAiAAAAZHJzL2Rvd25yZXYueG1sUEsBAhQAFAAAAAgAh07iQHFgDmAYAgAABgQA&#10;AA4AAAAAAAAAAQAgAAAAJQEAAGRycy9lMm9Eb2MueG1sUEsFBgAAAAAGAAYAWQEAAK8FAAAAAA==&#10;">
                <v:fill on="f" focussize="0,0"/>
                <v:stroke weight="0.5pt" color="#000000" miterlimit="8" joinstyle="miter" endarrow="block"/>
                <v:imagedata o:title=""/>
                <o:lock v:ext="edit" aspectratio="f"/>
              </v:shape>
            </w:pict>
          </mc:Fallback>
        </mc:AlternateContent>
      </w:r>
      <w:r>
        <w:rPr>
          <w:rFonts w:ascii="宋体" w:hAnsi="宋体" w:cs="宋体"/>
          <w:sz w:val="21"/>
          <w:szCs w:val="21"/>
        </w:rPr>
        <mc:AlternateContent>
          <mc:Choice Requires="wps">
            <w:drawing>
              <wp:anchor distT="0" distB="0" distL="114300" distR="114300" simplePos="0" relativeHeight="251663360" behindDoc="0" locked="0" layoutInCell="1" allowOverlap="1">
                <wp:simplePos x="0" y="0"/>
                <wp:positionH relativeFrom="column">
                  <wp:posOffset>4106545</wp:posOffset>
                </wp:positionH>
                <wp:positionV relativeFrom="paragraph">
                  <wp:posOffset>246380</wp:posOffset>
                </wp:positionV>
                <wp:extent cx="303530" cy="0"/>
                <wp:effectExtent l="0" t="38100" r="1270" b="38100"/>
                <wp:wrapNone/>
                <wp:docPr id="7"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straightConnector1">
                          <a:avLst/>
                        </a:prstGeom>
                        <a:noFill/>
                        <a:ln w="6350">
                          <a:solidFill>
                            <a:srgbClr val="000000"/>
                          </a:solidFill>
                          <a:miter lim="800000"/>
                          <a:tailEnd type="triangle" w="med" len="med"/>
                        </a:ln>
                        <a:effectLst/>
                      </wps:spPr>
                      <wps:bodyPr/>
                    </wps:wsp>
                  </a:graphicData>
                </a:graphic>
              </wp:anchor>
            </w:drawing>
          </mc:Choice>
          <mc:Fallback>
            <w:pict>
              <v:shape id="_x0000_s1026" o:spid="_x0000_s1026" o:spt="32" type="#_x0000_t32" style="position:absolute;left:0pt;margin-left:323.35pt;margin-top:19.4pt;height:0pt;width:23.9pt;z-index:251663360;mso-width-relative:page;mso-height-relative:page;" filled="f" stroked="t" coordsize="21600,21600" o:gfxdata="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m8BHnWAAAACQEAAA8A&#10;AAAAAAAAAQAgAAAAIgAAAGRycy9kb3ducmV2LnhtbFBLAQIUABQAAAAIAIdO4kABH0UtGQIAAAYE&#10;AAAOAAAAAAAAAAEAIAAAACUBAABkcnMvZTJvRG9jLnhtbFBLBQYAAAAABgAGAFkBAACwBQAAAAA=&#10;">
                <v:fill on="f" focussize="0,0"/>
                <v:stroke weight="0.5pt" color="#000000" miterlimit="8" joinstyle="miter" endarrow="block"/>
                <v:imagedata o:title=""/>
                <o:lock v:ext="edit" aspectratio="f"/>
              </v:shape>
            </w:pict>
          </mc:Fallback>
        </mc:AlternateContent>
      </w:r>
      <w:r>
        <w:rPr>
          <w:rFonts w:ascii="宋体" w:hAnsi="宋体" w:cs="宋体"/>
          <w:sz w:val="21"/>
          <w:szCs w:val="21"/>
        </w:rPr>
        <mc:AlternateContent>
          <mc:Choice Requires="wps">
            <w:drawing>
              <wp:anchor distT="0" distB="0" distL="114300" distR="114300" simplePos="0" relativeHeight="251667456" behindDoc="0" locked="0" layoutInCell="1" allowOverlap="1">
                <wp:simplePos x="0" y="0"/>
                <wp:positionH relativeFrom="column">
                  <wp:posOffset>3304540</wp:posOffset>
                </wp:positionH>
                <wp:positionV relativeFrom="paragraph">
                  <wp:posOffset>252095</wp:posOffset>
                </wp:positionV>
                <wp:extent cx="303530" cy="0"/>
                <wp:effectExtent l="0" t="38100" r="1270" b="38100"/>
                <wp:wrapNone/>
                <wp:docPr id="9" name="直接箭头连接符 9"/>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straightConnector1">
                          <a:avLst/>
                        </a:prstGeom>
                        <a:noFill/>
                        <a:ln w="6350">
                          <a:solidFill>
                            <a:srgbClr val="000000"/>
                          </a:solidFill>
                          <a:miter lim="800000"/>
                          <a:tailEnd type="triangle" w="med" len="med"/>
                        </a:ln>
                        <a:effectLst/>
                      </wps:spPr>
                      <wps:bodyPr/>
                    </wps:wsp>
                  </a:graphicData>
                </a:graphic>
              </wp:anchor>
            </w:drawing>
          </mc:Choice>
          <mc:Fallback>
            <w:pict>
              <v:shape id="_x0000_s1026" o:spid="_x0000_s1026" o:spt="32" type="#_x0000_t32" style="position:absolute;left:0pt;margin-left:260.2pt;margin-top:19.85pt;height:0pt;width:23.9pt;z-index:251667456;mso-width-relative:page;mso-height-relative:page;" filled="f" stroked="t" coordsize="21600,21600" o:gfxdata="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zQC1PWAAAACQEAAA8A&#10;AAAAAAAAAQAgAAAAIgAAAGRycy9kb3ducmV2LnhtbFBLAQIUABQAAAAIAIdO4kD0lhkAGQIAAAYE&#10;AAAOAAAAAAAAAAEAIAAAACUBAABkcnMvZTJvRG9jLnhtbFBLBQYAAAAABgAGAFkBAACwBQAAAAA=&#10;">
                <v:fill on="f" focussize="0,0"/>
                <v:stroke weight="0.5pt" color="#000000" miterlimit="8" joinstyle="miter" endarrow="block"/>
                <v:imagedata o:title=""/>
                <o:lock v:ext="edit" aspectratio="f"/>
              </v:shape>
            </w:pict>
          </mc:Fallback>
        </mc:AlternateContent>
      </w:r>
      <w:r>
        <w:rPr>
          <w:rFonts w:ascii="宋体" w:hAnsi="宋体" w:cs="宋体"/>
          <w:sz w:val="21"/>
          <w:szCs w:val="21"/>
        </w:rPr>
        <mc:AlternateContent>
          <mc:Choice Requires="wps">
            <w:drawing>
              <wp:anchor distT="0" distB="0" distL="114300" distR="114300" simplePos="0" relativeHeight="251665408" behindDoc="0" locked="0" layoutInCell="1" allowOverlap="1">
                <wp:simplePos x="0" y="0"/>
                <wp:positionH relativeFrom="column">
                  <wp:posOffset>4410075</wp:posOffset>
                </wp:positionH>
                <wp:positionV relativeFrom="paragraph">
                  <wp:posOffset>17145</wp:posOffset>
                </wp:positionV>
                <wp:extent cx="503555" cy="469900"/>
                <wp:effectExtent l="4445" t="4445" r="6350" b="20955"/>
                <wp:wrapNone/>
                <wp:docPr id="10" name="矩形 10"/>
                <wp:cNvGraphicFramePr/>
                <a:graphic xmlns:a="http://schemas.openxmlformats.org/drawingml/2006/main">
                  <a:graphicData uri="http://schemas.microsoft.com/office/word/2010/wordprocessingShape">
                    <wps:wsp>
                      <wps:cNvSpPr>
                        <a:spLocks noChangeArrowheads="1"/>
                      </wps:cNvSpPr>
                      <wps:spPr bwMode="auto">
                        <a:xfrm>
                          <a:off x="0" y="0"/>
                          <a:ext cx="503555" cy="469900"/>
                        </a:xfrm>
                        <a:prstGeom prst="rect">
                          <a:avLst/>
                        </a:prstGeom>
                        <a:solidFill>
                          <a:srgbClr val="FFFFFF"/>
                        </a:solidFill>
                        <a:ln w="9525">
                          <a:solidFill>
                            <a:srgbClr val="000000"/>
                          </a:solidFill>
                          <a:miter lim="800000"/>
                        </a:ln>
                        <a:effectLst/>
                      </wps:spPr>
                      <wps:txbx>
                        <w:txbxContent>
                          <w:p>
                            <w:pPr>
                              <w:pStyle w:val="10"/>
                              <w:spacing w:beforeAutospacing="0" w:afterAutospacing="0"/>
                            </w:pPr>
                            <w:r>
                              <w:rPr>
                                <w:rFonts w:hint="eastAsia"/>
                              </w:rPr>
                              <w:t>排放</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347.25pt;margin-top:1.35pt;height:37pt;width:39.65pt;z-index:251665408;v-text-anchor:middle;mso-width-relative:page;mso-height-relative:page;" fillcolor="#FFFFFF" filled="t" stroked="t" coordsize="21600,21600" o:gfxdata="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Ie4SutkAAAAIAQAADwAAAAAAAAABACAAAAAiAAAA&#10;ZHJzL2Rvd25yZXYueG1sUEsBAhQAFAAAAAgAh07iQOjPQyM/AgAAiwQAAA4AAAAAAAAAAQAgAAAA&#10;KAEAAGRycy9lMm9Eb2MueG1sUEsFBgAAAAAGAAYAWQEAANkFAAAAAA==&#10;">
                <v:fill on="t" focussize="0,0"/>
                <v:stroke color="#000000" miterlimit="8" joinstyle="miter"/>
                <v:imagedata o:title=""/>
                <o:lock v:ext="edit" aspectratio="f"/>
                <v:textbox>
                  <w:txbxContent>
                    <w:p>
                      <w:pPr>
                        <w:pStyle w:val="10"/>
                        <w:spacing w:beforeAutospacing="0" w:afterAutospacing="0"/>
                      </w:pPr>
                      <w:r>
                        <w:rPr>
                          <w:rFonts w:hint="eastAsia"/>
                        </w:rPr>
                        <w:t>排放</w:t>
                      </w:r>
                    </w:p>
                  </w:txbxContent>
                </v:textbox>
              </v:rect>
            </w:pict>
          </mc:Fallback>
        </mc:AlternateContent>
      </w:r>
      <w:r>
        <w:rPr>
          <w:rFonts w:ascii="宋体" w:hAnsi="宋体" w:cs="宋体"/>
          <w:sz w:val="21"/>
          <w:szCs w:val="21"/>
        </w:rPr>
        <mc:AlternateContent>
          <mc:Choice Requires="wps">
            <w:drawing>
              <wp:anchor distT="0" distB="0" distL="114300" distR="114300" simplePos="0" relativeHeight="251664384" behindDoc="0" locked="0" layoutInCell="1" allowOverlap="1">
                <wp:simplePos x="0" y="0"/>
                <wp:positionH relativeFrom="column">
                  <wp:posOffset>3602990</wp:posOffset>
                </wp:positionH>
                <wp:positionV relativeFrom="paragraph">
                  <wp:posOffset>17145</wp:posOffset>
                </wp:positionV>
                <wp:extent cx="503555" cy="469900"/>
                <wp:effectExtent l="4445" t="4445" r="6350" b="20955"/>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503555" cy="469900"/>
                        </a:xfrm>
                        <a:prstGeom prst="rect">
                          <a:avLst/>
                        </a:prstGeom>
                        <a:solidFill>
                          <a:srgbClr val="FFFFFF"/>
                        </a:solidFill>
                        <a:ln w="9525">
                          <a:solidFill>
                            <a:srgbClr val="000000"/>
                          </a:solidFill>
                          <a:miter lim="800000"/>
                        </a:ln>
                        <a:effectLst/>
                      </wps:spPr>
                      <wps:txbx>
                        <w:txbxContent>
                          <w:p>
                            <w:pPr>
                              <w:pStyle w:val="10"/>
                              <w:spacing w:beforeAutospacing="0" w:afterAutospacing="0"/>
                            </w:pPr>
                            <w:r>
                              <w:rPr>
                                <w:rFonts w:hint="eastAsia"/>
                              </w:rPr>
                              <w:t>风机</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283.7pt;margin-top:1.35pt;height:37pt;width:39.65pt;z-index:251664384;v-text-anchor:middle;mso-width-relative:page;mso-height-relative:page;" fillcolor="#FFFFFF" filled="t" stroked="t" coordsize="21600,21600" o:gfxdata="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CWmYTdgAAAAIAQAADwAAAAAAAAABACAAAAAiAAAA&#10;ZHJzL2Rvd25yZXYueG1sUEsBAhQAFAAAAAgAh07iQGjOHdhAAgAAiwQAAA4AAAAAAAAAAQAgAAAA&#10;JwEAAGRycy9lMm9Eb2MueG1sUEsFBgAAAAAGAAYAWQEAANkFAAAAAA==&#10;">
                <v:fill on="t" focussize="0,0"/>
                <v:stroke color="#000000" miterlimit="8" joinstyle="miter"/>
                <v:imagedata o:title=""/>
                <o:lock v:ext="edit" aspectratio="f"/>
                <v:textbox>
                  <w:txbxContent>
                    <w:p>
                      <w:pPr>
                        <w:pStyle w:val="10"/>
                        <w:spacing w:beforeAutospacing="0" w:afterAutospacing="0"/>
                      </w:pPr>
                      <w:r>
                        <w:rPr>
                          <w:rFonts w:hint="eastAsia"/>
                        </w:rPr>
                        <w:t>风机</w:t>
                      </w:r>
                    </w:p>
                  </w:txbxContent>
                </v:textbox>
              </v:rect>
            </w:pict>
          </mc:Fallback>
        </mc:AlternateContent>
      </w:r>
      <w:r>
        <w:rPr>
          <w:rFonts w:ascii="宋体" w:hAnsi="宋体" w:cs="宋体"/>
          <w:sz w:val="21"/>
          <w:szCs w:val="21"/>
        </w:rPr>
        <mc:AlternateContent>
          <mc:Choice Requires="wps">
            <w:drawing>
              <wp:anchor distT="0" distB="0" distL="114300" distR="114300" simplePos="0" relativeHeight="251661312" behindDoc="0" locked="0" layoutInCell="1" allowOverlap="1">
                <wp:simplePos x="0" y="0"/>
                <wp:positionH relativeFrom="column">
                  <wp:posOffset>1640840</wp:posOffset>
                </wp:positionH>
                <wp:positionV relativeFrom="paragraph">
                  <wp:posOffset>22860</wp:posOffset>
                </wp:positionV>
                <wp:extent cx="503555" cy="464185"/>
                <wp:effectExtent l="4445" t="4445" r="6350" b="7620"/>
                <wp:wrapNone/>
                <wp:docPr id="12" name="矩形 12"/>
                <wp:cNvGraphicFramePr/>
                <a:graphic xmlns:a="http://schemas.openxmlformats.org/drawingml/2006/main">
                  <a:graphicData uri="http://schemas.microsoft.com/office/word/2010/wordprocessingShape">
                    <wps:wsp>
                      <wps:cNvSpPr>
                        <a:spLocks noChangeArrowheads="1"/>
                      </wps:cNvSpPr>
                      <wps:spPr bwMode="auto">
                        <a:xfrm>
                          <a:off x="0" y="0"/>
                          <a:ext cx="503555" cy="464185"/>
                        </a:xfrm>
                        <a:prstGeom prst="rect">
                          <a:avLst/>
                        </a:prstGeom>
                        <a:solidFill>
                          <a:srgbClr val="FFFFFF"/>
                        </a:solidFill>
                        <a:ln w="9525">
                          <a:solidFill>
                            <a:srgbClr val="000000"/>
                          </a:solidFill>
                          <a:miter lim="800000"/>
                        </a:ln>
                        <a:effectLst/>
                      </wps:spPr>
                      <wps:txbx>
                        <w:txbxContent>
                          <w:p>
                            <w:pPr>
                              <w:pStyle w:val="10"/>
                              <w:spacing w:beforeAutospacing="0" w:afterAutospacing="0"/>
                            </w:pPr>
                            <w:r>
                              <w:rPr>
                                <w:rFonts w:hint="eastAsia"/>
                              </w:rPr>
                              <w:t>管道</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129.2pt;margin-top:1.8pt;height:36.55pt;width:39.65pt;z-index:251661312;v-text-anchor:middle;mso-width-relative:page;mso-height-relative:page;" fillcolor="#FFFFFF" filled="t" stroked="t" coordsize="21600,21600" o:gfxdata="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WecGodkAAAAIAQAADwAAAAAAAAABACAAAAAiAAAA&#10;ZHJzL2Rvd25yZXYueG1sUEsBAhQAFAAAAAgAh07iQIKjyyE/AgAAiwQAAA4AAAAAAAAAAQAgAAAA&#10;KAEAAGRycy9lMm9Eb2MueG1sUEsFBgAAAAAGAAYAWQEAANkFAAAAAA==&#10;">
                <v:fill on="t" focussize="0,0"/>
                <v:stroke color="#000000" miterlimit="8" joinstyle="miter"/>
                <v:imagedata o:title=""/>
                <o:lock v:ext="edit" aspectratio="f"/>
                <v:textbox>
                  <w:txbxContent>
                    <w:p>
                      <w:pPr>
                        <w:pStyle w:val="10"/>
                        <w:spacing w:beforeAutospacing="0" w:afterAutospacing="0"/>
                      </w:pPr>
                      <w:r>
                        <w:rPr>
                          <w:rFonts w:hint="eastAsia"/>
                        </w:rPr>
                        <w:t>管道</w:t>
                      </w:r>
                    </w:p>
                  </w:txbxContent>
                </v:textbox>
              </v:rect>
            </w:pict>
          </mc:Fallback>
        </mc:AlternateContent>
      </w:r>
      <w:r>
        <w:rPr>
          <w:rFonts w:ascii="宋体" w:hAnsi="宋体" w:cs="宋体"/>
          <w:sz w:val="21"/>
          <w:szCs w:val="21"/>
        </w:rPr>
        <mc:AlternateContent>
          <mc:Choice Requires="wps">
            <w:drawing>
              <wp:anchor distT="0" distB="0" distL="114300" distR="114300" simplePos="0" relativeHeight="251659264" behindDoc="0" locked="0" layoutInCell="1" allowOverlap="1">
                <wp:simplePos x="0" y="0"/>
                <wp:positionH relativeFrom="column">
                  <wp:posOffset>441325</wp:posOffset>
                </wp:positionH>
                <wp:positionV relativeFrom="paragraph">
                  <wp:posOffset>22860</wp:posOffset>
                </wp:positionV>
                <wp:extent cx="895985" cy="464185"/>
                <wp:effectExtent l="4445" t="4445" r="13970" b="7620"/>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895985" cy="464185"/>
                        </a:xfrm>
                        <a:prstGeom prst="rect">
                          <a:avLst/>
                        </a:prstGeom>
                        <a:solidFill>
                          <a:srgbClr val="FFFFFF"/>
                        </a:solidFill>
                        <a:ln w="9525">
                          <a:solidFill>
                            <a:srgbClr val="000000"/>
                          </a:solidFill>
                          <a:miter lim="800000"/>
                        </a:ln>
                        <a:effectLst/>
                      </wps:spPr>
                      <wps:txbx>
                        <w:txbxContent>
                          <w:p>
                            <w:pPr>
                              <w:pStyle w:val="10"/>
                              <w:spacing w:beforeAutospacing="0" w:afterAutospacing="0"/>
                            </w:pPr>
                            <w:r>
                              <w:rPr>
                                <w:rFonts w:hint="eastAsia"/>
                              </w:rPr>
                              <w:t>有机废气</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34.75pt;margin-top:1.8pt;height:36.55pt;width:70.55pt;z-index:251659264;v-text-anchor:middle;mso-width-relative:page;mso-height-relative:page;" fillcolor="#FFFFFF" filled="t" stroked="t" coordsize="21600,21600" o:gfxdata="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IYGX9NcAAAAHAQAADwAAAAAAAAABACAAAAAiAAAAZHJzL2Rv&#10;d25yZXYueG1sUEsBAhQAFAAAAAgAh07iQIibuYE7AgAAiQQAAA4AAAAAAAAAAQAgAAAAJgEAAGRy&#10;cy9lMm9Eb2MueG1sUEsFBgAAAAAGAAYAWQEAANMFAAAAAA==&#10;">
                <v:fill on="t" focussize="0,0"/>
                <v:stroke color="#000000" miterlimit="8" joinstyle="miter"/>
                <v:imagedata o:title=""/>
                <o:lock v:ext="edit" aspectratio="f"/>
                <v:textbox>
                  <w:txbxContent>
                    <w:p>
                      <w:pPr>
                        <w:pStyle w:val="10"/>
                        <w:spacing w:beforeAutospacing="0" w:afterAutospacing="0"/>
                      </w:pPr>
                      <w:r>
                        <w:rPr>
                          <w:rFonts w:hint="eastAsia"/>
                        </w:rPr>
                        <w:t>有机废气</w:t>
                      </w:r>
                    </w:p>
                  </w:txbxContent>
                </v:textbox>
              </v:rect>
            </w:pict>
          </mc:Fallback>
        </mc:AlternateContent>
      </w:r>
    </w:p>
    <w:p>
      <w:pPr>
        <w:ind w:left="420" w:firstLine="52" w:firstLineChars="25"/>
        <w:jc w:val="center"/>
        <w:rPr>
          <w:rFonts w:ascii="宋体" w:hAnsi="宋体" w:cs="宋体"/>
          <w:szCs w:val="21"/>
        </w:rPr>
      </w:pPr>
    </w:p>
    <w:p>
      <w:pPr>
        <w:jc w:val="left"/>
        <w:rPr>
          <w:rFonts w:ascii="宋体" w:hAnsi="宋体" w:cs="宋体"/>
          <w:szCs w:val="21"/>
        </w:rPr>
      </w:pPr>
    </w:p>
    <w:p>
      <w:pPr>
        <w:pStyle w:val="2"/>
        <w:spacing w:before="62" w:after="62"/>
        <w:ind w:firstLine="422" w:firstLineChars="200"/>
        <w:rPr>
          <w:rFonts w:ascii="宋体" w:hAnsi="宋体" w:cs="宋体"/>
          <w:b/>
          <w:bCs w:val="0"/>
          <w:sz w:val="21"/>
          <w:szCs w:val="21"/>
        </w:rPr>
      </w:pPr>
      <w:bookmarkStart w:id="4" w:name="_Toc520795145"/>
      <w:bookmarkStart w:id="5" w:name="_Toc29755"/>
      <w:bookmarkStart w:id="6" w:name="_Toc26135"/>
      <w:r>
        <w:rPr>
          <w:rFonts w:hint="eastAsia" w:ascii="宋体" w:hAnsi="宋体" w:cs="宋体"/>
          <w:b/>
          <w:bCs w:val="0"/>
          <w:sz w:val="21"/>
          <w:szCs w:val="21"/>
        </w:rPr>
        <w:t>3、主要设备及参数</w:t>
      </w:r>
      <w:bookmarkEnd w:id="4"/>
    </w:p>
    <w:p>
      <w:pPr>
        <w:ind w:firstLine="420" w:firstLineChars="200"/>
        <w:rPr>
          <w:rFonts w:ascii="宋体" w:hAnsi="宋体" w:cs="宋体"/>
          <w:szCs w:val="21"/>
        </w:rPr>
      </w:pPr>
      <w:r>
        <w:rPr>
          <w:rFonts w:hint="eastAsia" w:ascii="宋体" w:hAnsi="宋体" w:cs="宋体"/>
          <w:szCs w:val="21"/>
        </w:rPr>
        <w:t>挤出生产车间废气处理设备</w:t>
      </w:r>
      <w:r>
        <w:rPr>
          <w:rFonts w:hint="eastAsia" w:ascii="宋体" w:hAnsi="宋体" w:cs="宋体"/>
          <w:color w:val="000000" w:themeColor="text1"/>
          <w:szCs w:val="21"/>
          <w14:textFill>
            <w14:solidFill>
              <w14:schemeClr w14:val="tx1"/>
            </w14:solidFill>
          </w14:textFill>
        </w:rPr>
        <w:t>单台参数</w:t>
      </w:r>
      <w:r>
        <w:rPr>
          <w:rFonts w:hint="eastAsia" w:ascii="宋体" w:hAnsi="宋体" w:cs="宋体"/>
          <w:szCs w:val="21"/>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412"/>
        <w:gridCol w:w="2982"/>
        <w:gridCol w:w="141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位置</w:t>
            </w:r>
          </w:p>
        </w:tc>
        <w:tc>
          <w:tcPr>
            <w:tcW w:w="14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设备名称</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设备配置</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外形尺寸</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重量（Kg）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生产车间</w:t>
            </w:r>
          </w:p>
        </w:tc>
        <w:tc>
          <w:tcPr>
            <w:tcW w:w="14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挤出铸管机 </w:t>
            </w:r>
          </w:p>
        </w:tc>
        <w:tc>
          <w:tcPr>
            <w:tcW w:w="2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活性炭箱用镀锌钢板制作，活性炭：两层活性炭做吸附材料，蜂窝活性炭尺寸100mm*100mm*100mm，共310块碳砖，吸附面积2.95㎡</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2000*1200*1300</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300</w:t>
            </w:r>
          </w:p>
        </w:tc>
      </w:tr>
    </w:tbl>
    <w:p>
      <w:pPr>
        <w:ind w:firstLine="420" w:firstLineChars="200"/>
        <w:rPr>
          <w:rFonts w:ascii="宋体" w:hAnsi="宋体" w:cs="宋体"/>
          <w:szCs w:val="21"/>
        </w:rPr>
      </w:pPr>
      <w:r>
        <w:rPr>
          <w:rFonts w:hint="eastAsia" w:ascii="宋体" w:hAnsi="宋体" w:cs="宋体"/>
          <w:szCs w:val="21"/>
        </w:rPr>
        <w:t>造粒生产车间废气处理设备</w:t>
      </w:r>
      <w:r>
        <w:rPr>
          <w:rFonts w:hint="eastAsia" w:ascii="宋体" w:hAnsi="宋体" w:cs="宋体"/>
          <w:color w:val="000000" w:themeColor="text1"/>
          <w:szCs w:val="21"/>
          <w14:textFill>
            <w14:solidFill>
              <w14:schemeClr w14:val="tx1"/>
            </w14:solidFill>
          </w14:textFill>
        </w:rPr>
        <w:t>单台参数</w:t>
      </w:r>
      <w:r>
        <w:rPr>
          <w:rFonts w:hint="eastAsia" w:ascii="宋体" w:hAnsi="宋体" w:cs="宋体"/>
          <w:szCs w:val="21"/>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412"/>
        <w:gridCol w:w="2982"/>
        <w:gridCol w:w="141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560" w:type="dxa"/>
            <w:vAlign w:val="center"/>
          </w:tcPr>
          <w:p>
            <w:pPr>
              <w:jc w:val="center"/>
              <w:rPr>
                <w:rFonts w:ascii="宋体" w:hAnsi="宋体" w:cs="宋体"/>
                <w:szCs w:val="21"/>
              </w:rPr>
            </w:pPr>
            <w:r>
              <w:rPr>
                <w:rFonts w:hint="eastAsia" w:ascii="宋体" w:hAnsi="宋体" w:cs="宋体"/>
                <w:szCs w:val="21"/>
              </w:rPr>
              <w:t>位置</w:t>
            </w:r>
          </w:p>
        </w:tc>
        <w:tc>
          <w:tcPr>
            <w:tcW w:w="1412" w:type="dxa"/>
            <w:vAlign w:val="center"/>
          </w:tcPr>
          <w:p>
            <w:pPr>
              <w:jc w:val="center"/>
              <w:rPr>
                <w:rFonts w:ascii="宋体" w:hAnsi="宋体" w:cs="宋体"/>
                <w:szCs w:val="21"/>
              </w:rPr>
            </w:pPr>
            <w:r>
              <w:rPr>
                <w:rFonts w:hint="eastAsia" w:ascii="宋体" w:hAnsi="宋体" w:cs="宋体"/>
                <w:szCs w:val="21"/>
              </w:rPr>
              <w:t>设备名称</w:t>
            </w:r>
          </w:p>
        </w:tc>
        <w:tc>
          <w:tcPr>
            <w:tcW w:w="2982" w:type="dxa"/>
            <w:vAlign w:val="center"/>
          </w:tcPr>
          <w:p>
            <w:pPr>
              <w:jc w:val="center"/>
              <w:rPr>
                <w:rFonts w:ascii="宋体" w:hAnsi="宋体" w:cs="宋体"/>
                <w:szCs w:val="21"/>
              </w:rPr>
            </w:pPr>
            <w:r>
              <w:rPr>
                <w:rFonts w:hint="eastAsia" w:ascii="宋体" w:hAnsi="宋体" w:cs="宋体"/>
                <w:szCs w:val="21"/>
              </w:rPr>
              <w:t>设备配置</w:t>
            </w:r>
          </w:p>
        </w:tc>
        <w:tc>
          <w:tcPr>
            <w:tcW w:w="1417" w:type="dxa"/>
            <w:vAlign w:val="center"/>
          </w:tcPr>
          <w:p>
            <w:pPr>
              <w:jc w:val="center"/>
              <w:rPr>
                <w:rFonts w:ascii="宋体" w:hAnsi="宋体" w:cs="宋体"/>
                <w:szCs w:val="21"/>
              </w:rPr>
            </w:pPr>
            <w:r>
              <w:rPr>
                <w:rFonts w:hint="eastAsia" w:ascii="宋体" w:hAnsi="宋体" w:cs="宋体"/>
                <w:szCs w:val="21"/>
              </w:rPr>
              <w:t>外形尺寸</w:t>
            </w:r>
          </w:p>
        </w:tc>
        <w:tc>
          <w:tcPr>
            <w:tcW w:w="851" w:type="dxa"/>
            <w:vAlign w:val="center"/>
          </w:tcPr>
          <w:p>
            <w:pPr>
              <w:jc w:val="center"/>
              <w:rPr>
                <w:rFonts w:ascii="宋体" w:hAnsi="宋体" w:cs="宋体"/>
                <w:szCs w:val="21"/>
              </w:rPr>
            </w:pPr>
            <w:r>
              <w:rPr>
                <w:rFonts w:hint="eastAsia" w:ascii="宋体" w:hAnsi="宋体" w:cs="宋体"/>
                <w:szCs w:val="21"/>
              </w:rPr>
              <w:t>重量（Kg）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560" w:type="dxa"/>
            <w:vAlign w:val="center"/>
          </w:tcPr>
          <w:p>
            <w:pPr>
              <w:jc w:val="center"/>
              <w:rPr>
                <w:rFonts w:ascii="宋体" w:hAnsi="宋体" w:cs="宋体"/>
                <w:szCs w:val="21"/>
              </w:rPr>
            </w:pPr>
            <w:r>
              <w:rPr>
                <w:rFonts w:hint="eastAsia" w:ascii="宋体" w:hAnsi="宋体" w:cs="宋体"/>
                <w:szCs w:val="21"/>
              </w:rPr>
              <w:t>生产车间</w:t>
            </w:r>
          </w:p>
        </w:tc>
        <w:tc>
          <w:tcPr>
            <w:tcW w:w="1412"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造粒机</w:t>
            </w:r>
          </w:p>
          <w:p>
            <w:pPr>
              <w:jc w:val="center"/>
              <w:rPr>
                <w:rFonts w:ascii="宋体" w:hAnsi="宋体" w:cs="宋体"/>
                <w:szCs w:val="21"/>
              </w:rPr>
            </w:pPr>
          </w:p>
        </w:tc>
        <w:tc>
          <w:tcPr>
            <w:tcW w:w="2982" w:type="dxa"/>
            <w:vAlign w:val="center"/>
          </w:tcPr>
          <w:p>
            <w:pPr>
              <w:jc w:val="center"/>
              <w:rPr>
                <w:rFonts w:ascii="宋体" w:hAnsi="宋体" w:cs="宋体"/>
                <w:szCs w:val="21"/>
              </w:rPr>
            </w:pPr>
            <w:r>
              <w:rPr>
                <w:rFonts w:hint="eastAsia" w:ascii="宋体" w:hAnsi="宋体" w:cs="宋体"/>
                <w:szCs w:val="21"/>
              </w:rPr>
              <w:t>活性炭用镀锌钢板制作，活性炭：两层活性炭做吸附材料，蜂窝活性炭尺寸100mm*100mm*100mm，共200块碳砖，吸附面积1.87㎡</w:t>
            </w:r>
          </w:p>
        </w:tc>
        <w:tc>
          <w:tcPr>
            <w:tcW w:w="1417" w:type="dxa"/>
            <w:vAlign w:val="center"/>
          </w:tcPr>
          <w:p>
            <w:pPr>
              <w:jc w:val="center"/>
              <w:rPr>
                <w:rFonts w:ascii="宋体" w:hAnsi="宋体" w:cs="宋体"/>
                <w:szCs w:val="21"/>
              </w:rPr>
            </w:pPr>
            <w:r>
              <w:rPr>
                <w:rFonts w:hint="eastAsia" w:ascii="宋体" w:hAnsi="宋体" w:cs="宋体"/>
                <w:szCs w:val="21"/>
              </w:rPr>
              <w:t>1200*1200*1300</w:t>
            </w:r>
          </w:p>
        </w:tc>
        <w:tc>
          <w:tcPr>
            <w:tcW w:w="851" w:type="dxa"/>
            <w:vAlign w:val="center"/>
          </w:tcPr>
          <w:p>
            <w:pPr>
              <w:jc w:val="center"/>
              <w:rPr>
                <w:rFonts w:ascii="宋体" w:hAnsi="宋体" w:cs="宋体"/>
                <w:szCs w:val="21"/>
              </w:rPr>
            </w:pPr>
            <w:r>
              <w:rPr>
                <w:rFonts w:hint="eastAsia" w:ascii="宋体" w:hAnsi="宋体" w:cs="宋体"/>
                <w:szCs w:val="21"/>
              </w:rPr>
              <w:t>200</w:t>
            </w:r>
          </w:p>
        </w:tc>
      </w:tr>
    </w:tbl>
    <w:p>
      <w:pPr>
        <w:rPr>
          <w:rFonts w:ascii="宋体" w:hAnsi="宋体" w:cs="宋体"/>
          <w:szCs w:val="21"/>
        </w:rPr>
      </w:pPr>
    </w:p>
    <w:p>
      <w:pPr>
        <w:spacing w:line="360" w:lineRule="auto"/>
        <w:rPr>
          <w:rFonts w:ascii="宋体" w:hAnsi="宋体" w:cs="宋体"/>
          <w:szCs w:val="21"/>
        </w:rPr>
      </w:pPr>
      <w:r>
        <w:rPr>
          <w:rFonts w:hint="eastAsia" w:ascii="宋体" w:hAnsi="宋体" w:cs="宋体"/>
          <w:szCs w:val="21"/>
        </w:rPr>
        <w:t>注：</w:t>
      </w:r>
      <w:bookmarkStart w:id="7" w:name="_Hlk146472800"/>
      <w:r>
        <w:rPr>
          <w:rFonts w:hint="eastAsia" w:ascii="宋体" w:hAnsi="宋体" w:cs="宋体"/>
          <w:szCs w:val="21"/>
        </w:rPr>
        <w:t>1.挤出设备废气处理设施为二级活性炭，两台活性炭吸附箱串联，共用一台主风机11KW，总风机风量为：18000 m</w:t>
      </w:r>
      <w:r>
        <w:rPr>
          <w:rFonts w:hint="eastAsia" w:ascii="宋体" w:hAnsi="宋体" w:cs="宋体"/>
          <w:szCs w:val="21"/>
          <w:vertAlign w:val="superscript"/>
        </w:rPr>
        <w:t>3</w:t>
      </w:r>
      <w:r>
        <w:rPr>
          <w:rFonts w:hint="eastAsia" w:ascii="宋体" w:hAnsi="宋体" w:cs="宋体"/>
          <w:szCs w:val="21"/>
        </w:rPr>
        <w:t xml:space="preserve"> /h，集中吸附3个废气口，烟囱排气筒高度不低于15米。</w:t>
      </w:r>
      <w:bookmarkEnd w:id="7"/>
    </w:p>
    <w:p>
      <w:pPr>
        <w:spacing w:line="360" w:lineRule="auto"/>
        <w:rPr>
          <w:rFonts w:ascii="宋体" w:hAnsi="宋体" w:cs="宋体"/>
          <w:szCs w:val="21"/>
        </w:rPr>
      </w:pPr>
      <w:bookmarkStart w:id="8" w:name="_Hlk146472813"/>
      <w:r>
        <w:rPr>
          <w:rFonts w:hint="eastAsia" w:ascii="宋体" w:hAnsi="宋体" w:cs="宋体"/>
          <w:szCs w:val="21"/>
        </w:rPr>
        <w:t>2.造粒设备废气处理设施为二级活性炭，两台活性炭吸附箱串联，共用一台主风机5.5KW，总风机风量为：7500 m</w:t>
      </w:r>
      <w:r>
        <w:rPr>
          <w:rFonts w:hint="eastAsia" w:ascii="宋体" w:hAnsi="宋体" w:cs="宋体"/>
          <w:szCs w:val="21"/>
          <w:vertAlign w:val="superscript"/>
        </w:rPr>
        <w:t>3</w:t>
      </w:r>
      <w:r>
        <w:rPr>
          <w:rFonts w:hint="eastAsia" w:ascii="宋体" w:hAnsi="宋体" w:cs="宋体"/>
          <w:szCs w:val="21"/>
        </w:rPr>
        <w:t xml:space="preserve"> /h，集中吸附1个废气口，烟囱排气筒高度不低于15米。</w:t>
      </w:r>
      <w:bookmarkEnd w:id="8"/>
    </w:p>
    <w:p>
      <w:pPr>
        <w:spacing w:line="360" w:lineRule="auto"/>
        <w:ind w:firstLine="420" w:firstLineChars="200"/>
        <w:rPr>
          <w:rFonts w:ascii="宋体" w:hAnsi="宋体" w:cs="宋体"/>
          <w:szCs w:val="21"/>
        </w:rPr>
      </w:pPr>
      <w:r>
        <w:rPr>
          <w:rFonts w:hint="eastAsia" w:ascii="宋体" w:hAnsi="宋体" w:cs="宋体"/>
          <w:szCs w:val="21"/>
        </w:rPr>
        <w:t>3.主管道用φ400镀锌管，机器吸口与主管道相连部分用</w:t>
      </w:r>
      <w:bookmarkStart w:id="9" w:name="_Hlk116234398"/>
      <w:r>
        <w:rPr>
          <w:rFonts w:hint="eastAsia" w:ascii="宋体" w:hAnsi="宋体" w:cs="宋体"/>
          <w:szCs w:val="21"/>
        </w:rPr>
        <w:t>φ300/φ200</w:t>
      </w:r>
      <w:bookmarkEnd w:id="9"/>
      <w:r>
        <w:rPr>
          <w:rFonts w:hint="eastAsia" w:ascii="宋体" w:hAnsi="宋体" w:cs="宋体"/>
          <w:szCs w:val="21"/>
        </w:rPr>
        <w:t>/φ150镀锌管连接。</w:t>
      </w:r>
    </w:p>
    <w:bookmarkEnd w:id="5"/>
    <w:bookmarkEnd w:id="6"/>
    <w:p>
      <w:pPr>
        <w:pStyle w:val="2"/>
        <w:spacing w:before="62" w:after="62" w:line="360" w:lineRule="auto"/>
        <w:rPr>
          <w:rFonts w:ascii="宋体" w:hAnsi="宋体"/>
          <w:b/>
          <w:szCs w:val="21"/>
        </w:rPr>
      </w:pPr>
      <w:r>
        <w:rPr>
          <w:rFonts w:hint="eastAsia" w:ascii="宋体" w:hAnsi="宋体" w:cs="宋体"/>
          <w:sz w:val="21"/>
          <w:szCs w:val="21"/>
        </w:rPr>
        <w:t>注：投标商现场勘察后可根据自已产品的特点给予优化方案。经过治理后，须达到国家相关的排放标准以及环保部门的要求。废气治理国家排放标准《合成树脂工业污染物排放标准》( GB 31572—2015 )和《大气污染物综合排放标准》（DB32/4041-2021）。</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6"/>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1.1  投标函(原件)</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1.2  资格声明(原件)</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1.3  若法定代表人参加投标的，须提供本人身份证复印件并加盖公章(原件备查)；若授权代表参加的，须提供《法人授权书》原件和授权代表身份证复印件并加盖公章（原件备查）</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1.5  投标人依法缴纳职工社会保障资金的证明材料(复印件并加盖公章)(税务、银行或社会保险基金管理部门出具的近三个月内任意一份缴纳职工社会保障资金的缴款凭证或缴款证明)</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1.6  投标人近三个月内任意一份依法纳税的缴款凭证(复印件并加盖公章)</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1.7  投标人参加本次采购活动前3年内在经营活动中没有重大违法记录的书面声明（原件）</w:t>
      </w:r>
    </w:p>
    <w:p>
      <w:pPr>
        <w:pStyle w:val="6"/>
        <w:spacing w:line="360" w:lineRule="auto"/>
        <w:ind w:firstLine="475"/>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1.8  未被“信用中国”、“中国政府采购"列入失信被执行人、重大税收违法案件当事人名单、政府采购严重违法失信行为记录名单（提供网页截图加盖投标人公章）</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w:t>
      </w:r>
      <w:r>
        <w:rPr>
          <w:rFonts w:hint="eastAsia" w:ascii="宋体" w:hAnsi="宋体" w:cs="宋体"/>
          <w:b/>
          <w:color w:val="000000" w:themeColor="text1"/>
          <w:szCs w:val="21"/>
          <w14:textFill>
            <w14:solidFill>
              <w14:schemeClr w14:val="tx1"/>
            </w14:solidFill>
          </w14:textFill>
        </w:rPr>
        <w:t>本项目</w:t>
      </w:r>
      <w:r>
        <w:rPr>
          <w:rFonts w:hint="eastAsia" w:ascii="宋体" w:hAnsi="宋体"/>
          <w:b/>
          <w:color w:val="000000" w:themeColor="text1"/>
          <w:szCs w:val="21"/>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4、为保证设备的完整性及正常运行，所投标货物技术参数须不低于本招标文件中技术参数要求。★部分（如有）技术要求必须满足，如不满足为废标。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5、包装要求：</w:t>
      </w:r>
    </w:p>
    <w:p>
      <w:pPr>
        <w:autoSpaceDE w:val="0"/>
        <w:autoSpaceDN w:val="0"/>
        <w:adjustRightInd w:val="0"/>
        <w:snapToGrid w:val="0"/>
        <w:spacing w:line="400" w:lineRule="exact"/>
        <w:ind w:firstLine="56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5.1</w:t>
      </w:r>
      <w:r>
        <w:rPr>
          <w:rFonts w:hint="eastAsia" w:ascii="宋体" w:hAnsi="宋体"/>
          <w:color w:val="000000" w:themeColor="text1"/>
          <w:szCs w:val="21"/>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w:t>
      </w:r>
      <w:r>
        <w:rPr>
          <w:rFonts w:hint="eastAsia" w:ascii="宋体" w:hAnsi="宋体"/>
          <w:color w:val="000000" w:themeColor="text1"/>
          <w:szCs w:val="21"/>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5.3</w:t>
      </w:r>
      <w:r>
        <w:rPr>
          <w:rFonts w:hint="eastAsia" w:ascii="宋体" w:hAnsi="宋体"/>
          <w:color w:val="000000" w:themeColor="text1"/>
          <w:szCs w:val="21"/>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5.4</w:t>
      </w:r>
      <w:r>
        <w:rPr>
          <w:rFonts w:hint="eastAsia" w:ascii="宋体" w:hAnsi="宋体"/>
          <w:color w:val="000000" w:themeColor="text1"/>
          <w:szCs w:val="21"/>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5.5</w:t>
      </w:r>
      <w:r>
        <w:rPr>
          <w:rFonts w:hint="eastAsia" w:ascii="宋体" w:hAnsi="宋体"/>
          <w:color w:val="000000" w:themeColor="text1"/>
          <w:szCs w:val="21"/>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5.6</w:t>
      </w:r>
      <w:r>
        <w:rPr>
          <w:rFonts w:hint="eastAsia" w:ascii="宋体" w:hAnsi="宋体"/>
          <w:color w:val="000000" w:themeColor="text1"/>
          <w:szCs w:val="21"/>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pPr>
        <w:pStyle w:val="4"/>
        <w:rPr>
          <w:color w:val="000000"/>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szCs w:val="21"/>
        </w:rPr>
        <w:t>本次评标按百分制评分，</w:t>
      </w:r>
      <w:r>
        <w:rPr>
          <w:rFonts w:hint="eastAsia" w:ascii="宋体" w:hAnsi="宋体"/>
          <w:color w:val="000000" w:themeColor="text1"/>
          <w:szCs w:val="21"/>
          <w14:textFill>
            <w14:solidFill>
              <w14:schemeClr w14:val="tx1"/>
            </w14:solidFill>
          </w14:textFill>
        </w:rPr>
        <w:t>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总则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&lt;一&gt;、商务评审得分（满分70分）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不足1%按插入法计算（保留两位小数）。                                           （满分50分）</w:t>
      </w:r>
    </w:p>
    <w:p>
      <w:pPr>
        <w:autoSpaceDE w:val="0"/>
        <w:autoSpaceDN w:val="0"/>
        <w:adjustRightInd w:val="0"/>
        <w:spacing w:line="480" w:lineRule="exact"/>
        <w:ind w:firstLine="632" w:firstLineChars="3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szCs w:val="21"/>
        </w:rPr>
      </w:pPr>
      <w:r>
        <w:rPr>
          <w:rFonts w:hint="eastAsia" w:ascii="宋体" w:hAnsi="宋体"/>
          <w:b/>
          <w:szCs w:val="21"/>
        </w:rPr>
        <w:t>3、同类货物业绩得分（满分10分）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根据投标人或设备制造商2020年1月以来同类货物供货业绩情况进行评审，单份合同金额≥5万元人民币，有一份得2分；满分10分。（投标文件中提供合同或用户证明复印件，原件备查）。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&lt;二&gt;、技术评审得分（满分30分）</w:t>
      </w:r>
    </w:p>
    <w:p>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（1）有技术参数响应表，得1分，没有不得分。（1分）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3分，其中有条款优于招标文件要求的每项加1分（投标文件中有明显标注），满分5分；如不完全满足招标文件要求酌情打分且不高于2分。（5分）</w:t>
      </w:r>
    </w:p>
    <w:p>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（满分16分）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（3）货物的备品备件是否合理充足、合理（2分）</w:t>
      </w:r>
    </w:p>
    <w:p>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（4）货物的运营成本、寿命、可靠性、实用性等（3分）</w:t>
      </w:r>
    </w:p>
    <w:p>
      <w:pPr>
        <w:pStyle w:val="4"/>
        <w:spacing w:line="360" w:lineRule="auto"/>
        <w:rPr>
          <w:rFonts w:ascii="宋体" w:hAnsi="宋体" w:eastAsia="宋体"/>
          <w:color w:val="000000"/>
          <w:sz w:val="21"/>
          <w:szCs w:val="21"/>
        </w:rPr>
      </w:pPr>
      <w:r>
        <w:rPr>
          <w:rFonts w:hint="eastAsia" w:ascii="宋体" w:hAnsi="宋体" w:eastAsia="宋体"/>
          <w:color w:val="000000"/>
          <w:sz w:val="21"/>
          <w:szCs w:val="21"/>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（6）关键设备及零部件的材质性能质量品牌档次（2分）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（满分8分）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（1）由评标委员会根据投标人的保修期进行打分。少于</w:t>
      </w:r>
      <w:r>
        <w:rPr>
          <w:rFonts w:hint="eastAsia" w:ascii="宋体" w:hAnsi="宋体"/>
          <w:b/>
          <w:bCs/>
          <w:szCs w:val="21"/>
        </w:rPr>
        <w:t>12个月</w:t>
      </w:r>
      <w:r>
        <w:rPr>
          <w:rFonts w:hint="eastAsia" w:ascii="宋体" w:hAnsi="宋体"/>
          <w:szCs w:val="21"/>
        </w:rPr>
        <w:t>的按否决投标处理，承诺保修期每延长半年加1分，最多加2分。（提供承诺书）</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szCs w:val="21"/>
        </w:rPr>
      </w:pPr>
      <w:r>
        <w:rPr>
          <w:rFonts w:hint="eastAsia" w:ascii="宋体" w:hAnsi="宋体"/>
          <w:szCs w:val="21"/>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cs="宋体"/>
          <w:b/>
          <w:sz w:val="30"/>
          <w:szCs w:val="30"/>
        </w:rPr>
      </w:pPr>
    </w:p>
    <w:p>
      <w:pPr>
        <w:rPr>
          <w:rFonts w:ascii="宋体" w:hAnsi="宋体"/>
          <w:bCs/>
          <w:sz w:val="36"/>
          <w:szCs w:val="36"/>
        </w:rPr>
      </w:pPr>
      <w:r>
        <w:rPr>
          <w:rFonts w:hint="eastAsia" w:ascii="宋体" w:hAnsi="宋体"/>
          <w:bCs/>
          <w:sz w:val="36"/>
          <w:szCs w:val="36"/>
        </w:rPr>
        <w:br w:type="page"/>
      </w:r>
    </w:p>
    <w:p>
      <w:pPr>
        <w:rPr>
          <w:rFonts w:ascii="宋体" w:hAnsi="宋体"/>
          <w:b/>
          <w:szCs w:val="21"/>
        </w:rPr>
      </w:pPr>
      <w:r>
        <w:rPr>
          <w:rFonts w:hint="eastAsia" w:ascii="宋体" w:hAnsi="宋体"/>
          <w:b/>
          <w:szCs w:val="21"/>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2"/>
        </w:numPr>
        <w:spacing w:line="460" w:lineRule="exact"/>
        <w:rPr>
          <w:rFonts w:ascii="宋体" w:hAnsi="宋体"/>
          <w:bCs/>
          <w:sz w:val="24"/>
        </w:rPr>
      </w:pPr>
      <w:r>
        <w:rPr>
          <w:rFonts w:hint="eastAsia" w:ascii="宋体" w:hAnsi="宋体"/>
          <w:bCs/>
          <w:sz w:val="24"/>
        </w:rPr>
        <w:t>质量保证书</w:t>
      </w:r>
    </w:p>
    <w:p>
      <w:pPr>
        <w:numPr>
          <w:ilvl w:val="0"/>
          <w:numId w:val="2"/>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pStyle w:val="15"/>
        <w:rPr>
          <w:rFonts w:ascii="楷体_GB2312" w:eastAsia="楷体_GB2312"/>
          <w:bCs/>
        </w:rPr>
      </w:pPr>
    </w:p>
    <w:p>
      <w:pPr>
        <w:pStyle w:val="15"/>
        <w:rPr>
          <w:rFonts w:ascii="楷体_GB2312" w:eastAsia="楷体_GB2312"/>
          <w:bCs/>
        </w:rPr>
      </w:pPr>
    </w:p>
    <w:p>
      <w:pPr>
        <w:numPr>
          <w:ilvl w:val="0"/>
          <w:numId w:val="3"/>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4"/>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2.如果我们中标，我们将在之后的天内交货。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rPr>
      </w:pPr>
      <w:r>
        <w:rPr>
          <w:rFonts w:hint="eastAsia" w:ascii="宋体" w:hAnsi="宋体"/>
          <w:bCs/>
          <w:szCs w:val="21"/>
        </w:rPr>
        <w:t>2、该报价含增值税、运保杂费、安装调试以及与此项目相关的辅助工程（旧设备的拆除）的费用；（运保杂费、安装调试以及与此项目相关的辅助工程&lt;含线缆敷设&gt;的费用均不单立报价）。运输、卸货、安装调试过程中产生的安全责任均由中标方负责，须签定安全协议。</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黑体" w:eastAsia="黑体"/>
          <w:bCs/>
          <w:sz w:val="36"/>
        </w:rPr>
      </w:pPr>
      <w:r>
        <w:rPr>
          <w:rFonts w:hint="eastAsia" w:ascii="黑体" w:eastAsia="黑体"/>
          <w:bCs/>
          <w:sz w:val="36"/>
        </w:rPr>
        <w:t>3、投标产品配置及分项报价表</w:t>
      </w:r>
    </w:p>
    <w:p>
      <w:pPr>
        <w:spacing w:line="360" w:lineRule="auto"/>
        <w:jc w:val="center"/>
        <w:rPr>
          <w:rFonts w:ascii="宋体" w:hAnsi="宋体"/>
          <w:b/>
          <w:szCs w:val="21"/>
        </w:rPr>
      </w:pPr>
      <w:r>
        <w:rPr>
          <w:rFonts w:hint="eastAsia" w:ascii="宋体" w:hAnsi="宋体"/>
          <w:b/>
          <w:szCs w:val="21"/>
        </w:rPr>
        <w:t xml:space="preserve"> (按采购清单报价)</w:t>
      </w:r>
    </w:p>
    <w:p>
      <w:pPr>
        <w:spacing w:line="360" w:lineRule="auto"/>
        <w:rPr>
          <w:rFonts w:ascii="宋体" w:hAnsi="宋体"/>
          <w:szCs w:val="21"/>
        </w:rPr>
      </w:pPr>
      <w:r>
        <w:rPr>
          <w:rFonts w:hint="eastAsia" w:ascii="宋体" w:hAnsi="宋体"/>
          <w:szCs w:val="21"/>
        </w:rPr>
        <w:t>投标人全称（加盖公章）：</w:t>
      </w:r>
    </w:p>
    <w:p>
      <w:pPr>
        <w:spacing w:line="360" w:lineRule="auto"/>
        <w:rPr>
          <w:rFonts w:ascii="宋体" w:hAnsi="宋体"/>
          <w:szCs w:val="21"/>
        </w:rPr>
      </w:pPr>
      <w:r>
        <w:rPr>
          <w:rFonts w:hint="eastAsia" w:ascii="宋体" w:hAnsi="宋体"/>
          <w:szCs w:val="21"/>
        </w:rPr>
        <w:t>项目名称：</w:t>
      </w:r>
    </w:p>
    <w:p>
      <w:pPr>
        <w:spacing w:line="360" w:lineRule="auto"/>
        <w:rPr>
          <w:rFonts w:ascii="宋体" w:hAnsi="宋体"/>
          <w:szCs w:val="21"/>
        </w:rPr>
      </w:pPr>
      <w:r>
        <w:rPr>
          <w:rFonts w:hint="eastAsia" w:ascii="宋体" w:hAnsi="宋体"/>
          <w:szCs w:val="21"/>
        </w:rPr>
        <w:t>项目编号：</w:t>
      </w:r>
    </w:p>
    <w:tbl>
      <w:tblPr>
        <w:tblStyle w:val="1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34"/>
        <w:gridCol w:w="1559"/>
        <w:gridCol w:w="881"/>
        <w:gridCol w:w="1071"/>
        <w:gridCol w:w="1071"/>
        <w:gridCol w:w="1071"/>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序号</w:t>
            </w: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产品名称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主要技术参数</w:t>
            </w: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数量</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单位</w:t>
            </w:r>
          </w:p>
          <w:p>
            <w:pPr>
              <w:adjustRightInd w:val="0"/>
              <w:snapToGrid w:val="0"/>
              <w:spacing w:line="280" w:lineRule="exac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单价</w:t>
            </w:r>
          </w:p>
          <w:p>
            <w:pPr>
              <w:adjustRightInd w:val="0"/>
              <w:snapToGrid w:val="0"/>
              <w:spacing w:line="280" w:lineRule="exac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总价</w:t>
            </w:r>
          </w:p>
          <w:p>
            <w:pPr>
              <w:adjustRightInd w:val="0"/>
              <w:snapToGrid w:val="0"/>
              <w:spacing w:line="220" w:lineRule="atLeas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品牌</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5716"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szCs w:val="21"/>
              </w:rPr>
            </w:pPr>
            <w:r>
              <w:rPr>
                <w:rFonts w:hint="eastAsia" w:ascii="宋体" w:hAnsi="宋体"/>
                <w:szCs w:val="21"/>
              </w:rPr>
              <w:t>汇总总价：</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bl>
    <w:p>
      <w:pPr>
        <w:rPr>
          <w:rFonts w:ascii="宋体" w:hAnsi="宋体"/>
          <w:szCs w:val="21"/>
        </w:rPr>
      </w:pPr>
    </w:p>
    <w:p>
      <w:pPr>
        <w:rPr>
          <w:rFonts w:ascii="宋体" w:hAnsi="宋体"/>
          <w:szCs w:val="21"/>
        </w:rPr>
      </w:pPr>
      <w:r>
        <w:rPr>
          <w:rFonts w:hint="eastAsia" w:ascii="宋体" w:hAnsi="宋体"/>
          <w:szCs w:val="21"/>
        </w:rPr>
        <w:t>法定代表人或授权代表签字：</w:t>
      </w:r>
    </w:p>
    <w:p>
      <w:pPr>
        <w:rPr>
          <w:rFonts w:ascii="宋体" w:hAnsi="宋体"/>
          <w:szCs w:val="21"/>
        </w:rPr>
      </w:pPr>
    </w:p>
    <w:p>
      <w:pPr>
        <w:rPr>
          <w:rFonts w:ascii="宋体" w:hAnsi="宋体"/>
          <w:szCs w:val="21"/>
        </w:rPr>
      </w:pPr>
      <w:r>
        <w:rPr>
          <w:rFonts w:hint="eastAsia" w:ascii="宋体" w:hAnsi="宋体"/>
          <w:szCs w:val="21"/>
        </w:rPr>
        <w:t>日期：年月日</w:t>
      </w:r>
    </w:p>
    <w:p>
      <w:pPr>
        <w:rPr>
          <w:rFonts w:ascii="宋体" w:hAnsi="宋体"/>
          <w:szCs w:val="21"/>
        </w:rPr>
      </w:pPr>
    </w:p>
    <w:p>
      <w:pPr>
        <w:rPr>
          <w:rFonts w:ascii="宋体" w:hAnsi="宋体"/>
          <w:szCs w:val="21"/>
        </w:rPr>
      </w:pPr>
    </w:p>
    <w:p>
      <w:pPr>
        <w:rPr>
          <w:rFonts w:ascii="宋体" w:hAnsi="宋体"/>
          <w:kern w:val="0"/>
          <w:szCs w:val="21"/>
        </w:rPr>
      </w:pPr>
      <w:r>
        <w:rPr>
          <w:rFonts w:hint="eastAsia" w:ascii="宋体" w:hAnsi="宋体"/>
          <w:kern w:val="0"/>
          <w:szCs w:val="21"/>
        </w:rPr>
        <w:t>备注：</w:t>
      </w:r>
    </w:p>
    <w:p>
      <w:pPr>
        <w:rPr>
          <w:rFonts w:ascii="宋体" w:hAnsi="宋体"/>
          <w:kern w:val="0"/>
          <w:szCs w:val="21"/>
        </w:rPr>
      </w:pPr>
      <w:r>
        <w:rPr>
          <w:rFonts w:hint="eastAsia" w:ascii="宋体" w:hAnsi="宋体"/>
          <w:kern w:val="0"/>
          <w:szCs w:val="21"/>
        </w:rPr>
        <w:t>1、各供应商可以根据实际情况、采购清单合理安排，对上述项目适当予以调整，确保设备完整和系统流畅运行。</w:t>
      </w:r>
    </w:p>
    <w:p>
      <w:pPr>
        <w:rPr>
          <w:rFonts w:ascii="宋体" w:hAnsi="宋体"/>
          <w:kern w:val="0"/>
          <w:szCs w:val="21"/>
        </w:rPr>
      </w:pPr>
      <w:r>
        <w:rPr>
          <w:rFonts w:hint="eastAsia" w:ascii="宋体" w:hAnsi="宋体"/>
          <w:kern w:val="0"/>
          <w:szCs w:val="21"/>
        </w:rPr>
        <w:t>2、所有报价（含各分项报价）必须符合国家法律法规及本次招标文件要求。</w:t>
      </w:r>
    </w:p>
    <w:p>
      <w:pPr>
        <w:rPr>
          <w:rFonts w:ascii="楷体_GB2312" w:eastAsia="楷体_GB2312"/>
          <w:bCs/>
          <w:sz w:val="44"/>
        </w:rPr>
      </w:pPr>
      <w:r>
        <w:rPr>
          <w:rFonts w:hint="eastAsia" w:ascii="楷体_GB2312" w:eastAsia="楷体_GB2312"/>
          <w:bCs/>
          <w:sz w:val="44"/>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本人（姓名）系（投标人名称）的法定代表人，现委托</w:t>
      </w:r>
    </w:p>
    <w:p>
      <w:pPr>
        <w:topLinePunct/>
        <w:spacing w:line="360" w:lineRule="auto"/>
        <w:rPr>
          <w:bCs/>
          <w:sz w:val="24"/>
        </w:rPr>
      </w:pPr>
      <w:r>
        <w:rPr>
          <w:rFonts w:hint="eastAsia"/>
          <w:bCs/>
          <w:sz w:val="24"/>
        </w:rPr>
        <w:t>（姓名）为我方代理人。代理人根据授权，以我方名义签署、澄清、说明、补正、递交、撤回、修改</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投标人：（盖单位章）</w:t>
      </w:r>
    </w:p>
    <w:p>
      <w:pPr>
        <w:spacing w:line="440" w:lineRule="exact"/>
        <w:rPr>
          <w:bCs/>
          <w:sz w:val="24"/>
        </w:rPr>
      </w:pPr>
    </w:p>
    <w:p>
      <w:pPr>
        <w:spacing w:line="440" w:lineRule="exact"/>
        <w:rPr>
          <w:bCs/>
          <w:sz w:val="24"/>
        </w:rPr>
      </w:pPr>
      <w:r>
        <w:rPr>
          <w:rFonts w:hint="eastAsia"/>
          <w:bCs/>
          <w:sz w:val="24"/>
        </w:rPr>
        <w:t>法定代表人：（签字）</w:t>
      </w:r>
    </w:p>
    <w:p>
      <w:pPr>
        <w:spacing w:line="440" w:lineRule="exact"/>
        <w:rPr>
          <w:bCs/>
          <w:sz w:val="24"/>
        </w:rPr>
      </w:pPr>
    </w:p>
    <w:p>
      <w:pPr>
        <w:spacing w:line="440" w:lineRule="exact"/>
        <w:rPr>
          <w:bCs/>
          <w:sz w:val="24"/>
        </w:rPr>
      </w:pPr>
      <w:r>
        <w:rPr>
          <w:rFonts w:hint="eastAsia"/>
          <w:bCs/>
          <w:sz w:val="24"/>
        </w:rPr>
        <w:t>身份证号码：</w:t>
      </w:r>
    </w:p>
    <w:p>
      <w:pPr>
        <w:spacing w:line="440" w:lineRule="exact"/>
        <w:rPr>
          <w:bCs/>
          <w:sz w:val="24"/>
        </w:rPr>
      </w:pPr>
    </w:p>
    <w:p>
      <w:pPr>
        <w:spacing w:line="440" w:lineRule="exact"/>
        <w:rPr>
          <w:bCs/>
          <w:sz w:val="24"/>
        </w:rPr>
      </w:pPr>
      <w:r>
        <w:rPr>
          <w:rFonts w:hint="eastAsia"/>
          <w:bCs/>
          <w:sz w:val="24"/>
        </w:rPr>
        <w:t>委托代理人：（签字）</w:t>
      </w:r>
    </w:p>
    <w:p>
      <w:pPr>
        <w:spacing w:line="440" w:lineRule="exact"/>
        <w:rPr>
          <w:bCs/>
          <w:sz w:val="24"/>
        </w:rPr>
      </w:pPr>
    </w:p>
    <w:p>
      <w:pPr>
        <w:spacing w:line="440" w:lineRule="exact"/>
        <w:rPr>
          <w:bCs/>
          <w:sz w:val="24"/>
        </w:rPr>
      </w:pPr>
      <w:r>
        <w:rPr>
          <w:rFonts w:hint="eastAsia"/>
          <w:bCs/>
          <w:sz w:val="24"/>
        </w:rPr>
        <w:t>身份证号码：附身份证复印件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rFonts w:hint="eastAsia"/>
          <w:bCs/>
          <w:sz w:val="24"/>
        </w:rPr>
        <w:t>年月日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   招标编号： 标段号：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   招标编号：   标度号：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4"/>
        <w:rPr>
          <w:rFonts w:ascii="黑体" w:eastAsia="黑体"/>
          <w:bCs/>
          <w:sz w:val="36"/>
        </w:rPr>
      </w:pPr>
      <w:r>
        <w:rPr>
          <w:rFonts w:hint="eastAsia" w:ascii="宋体" w:hAnsi="宋体" w:eastAsia="宋体"/>
          <w:bCs/>
        </w:rPr>
        <w:t>投标人名称：</w:t>
      </w:r>
      <w:r>
        <w:rPr>
          <w:rFonts w:hint="eastAsia" w:ascii="黑体" w:eastAsia="黑体"/>
          <w:bCs/>
          <w:sz w:val="36"/>
        </w:rPr>
        <w:br w:type="page"/>
      </w:r>
    </w:p>
    <w:p>
      <w:pPr>
        <w:pStyle w:val="4"/>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（注：投标人或设备制造商销售业绩，提供2020年1月以来同类货物的规模及销售情况，以及在用户名单、联系方法、合同复印件等。）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left"/>
        <w:rPr>
          <w:rFonts w:ascii="楷体_GB2312" w:eastAsia="楷体_GB2312"/>
          <w:bCs/>
          <w:szCs w:val="21"/>
        </w:rPr>
      </w:pPr>
      <w:r>
        <w:rPr>
          <w:rFonts w:hint="eastAsia" w:ascii="黑体" w:eastAsia="黑体"/>
          <w:bCs/>
          <w:szCs w:val="21"/>
        </w:rPr>
        <w:t>九、</w:t>
      </w:r>
      <w:r>
        <w:rPr>
          <w:rFonts w:ascii="黑体" w:eastAsia="黑体"/>
          <w:bCs/>
          <w:szCs w:val="21"/>
        </w:rPr>
        <w:t xml:space="preserve"> 合同主要条款</w:t>
      </w:r>
    </w:p>
    <w:p>
      <w:pPr>
        <w:spacing w:line="440" w:lineRule="exact"/>
        <w:ind w:left="360" w:hanging="360"/>
        <w:jc w:val="center"/>
        <w:rPr>
          <w:rFonts w:ascii="黑体" w:eastAsia="黑体"/>
          <w:bCs/>
          <w:sz w:val="32"/>
          <w:szCs w:val="32"/>
        </w:rPr>
      </w:pPr>
    </w:p>
    <w:p>
      <w:pPr>
        <w:adjustRightInd w:val="0"/>
        <w:snapToGrid w:val="0"/>
        <w:spacing w:line="360" w:lineRule="auto"/>
        <w:jc w:val="center"/>
        <w:rPr>
          <w:rFonts w:ascii="宋体" w:hAnsi="宋体" w:cs="宋体"/>
          <w:kern w:val="0"/>
          <w:szCs w:val="21"/>
        </w:rPr>
      </w:pPr>
      <w:r>
        <w:rPr>
          <w:rFonts w:hint="eastAsia" w:ascii="黑体" w:hAnsi="黑体" w:eastAsia="黑体" w:cs="黑体"/>
          <w:sz w:val="32"/>
          <w:szCs w:val="32"/>
        </w:rPr>
        <w:t>江苏长江水务股份有限公司采购合同书</w:t>
      </w:r>
    </w:p>
    <w:p>
      <w:pPr>
        <w:pStyle w:val="11"/>
        <w:tabs>
          <w:tab w:val="left" w:pos="0"/>
        </w:tabs>
        <w:spacing w:before="0" w:after="0" w:line="360" w:lineRule="auto"/>
        <w:jc w:val="left"/>
        <w:rPr>
          <w:rFonts w:ascii="宋体" w:hAnsi="宋体" w:eastAsia="宋体" w:cs="宋体"/>
          <w:b w:val="0"/>
          <w:bCs/>
          <w:kern w:val="0"/>
          <w:sz w:val="21"/>
          <w:szCs w:val="21"/>
        </w:rPr>
      </w:pPr>
    </w:p>
    <w:p>
      <w:pPr>
        <w:pStyle w:val="11"/>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 xml:space="preserve">买方：江苏长江水务股份有限公司          </w:t>
      </w:r>
    </w:p>
    <w:p>
      <w:pPr>
        <w:pStyle w:val="11"/>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卖方：</w:t>
      </w:r>
    </w:p>
    <w:p>
      <w:pPr>
        <w:spacing w:line="360" w:lineRule="auto"/>
        <w:ind w:firstLine="420" w:firstLineChars="200"/>
        <w:outlineLvl w:val="0"/>
        <w:rPr>
          <w:rFonts w:ascii="宋体" w:hAnsi="宋体" w:cs="宋体"/>
          <w:bCs/>
          <w:szCs w:val="21"/>
        </w:rPr>
      </w:pPr>
    </w:p>
    <w:p>
      <w:pPr>
        <w:spacing w:line="360" w:lineRule="auto"/>
        <w:ind w:firstLine="420" w:firstLineChars="200"/>
        <w:rPr>
          <w:rFonts w:ascii="宋体" w:hAnsi="宋体" w:cs="宋体"/>
          <w:bCs/>
          <w:szCs w:val="21"/>
        </w:rPr>
      </w:pPr>
      <w:r>
        <w:rPr>
          <w:rFonts w:hint="eastAsia" w:ascii="宋体" w:hAnsi="宋体" w:cs="宋体"/>
          <w:bCs/>
          <w:szCs w:val="21"/>
        </w:rPr>
        <w:t>买方、卖方就江苏长江水务股份有限公</w:t>
      </w:r>
      <w:r>
        <w:rPr>
          <w:rFonts w:hint="eastAsia" w:ascii="宋体" w:hAnsi="宋体" w:cs="宋体"/>
          <w:bCs/>
          <w:color w:val="000000" w:themeColor="text1"/>
          <w:szCs w:val="21"/>
          <w14:textFill>
            <w14:solidFill>
              <w14:schemeClr w14:val="tx1"/>
            </w14:solidFill>
          </w14:textFill>
        </w:rPr>
        <w:t>司就</w:t>
      </w:r>
      <w:r>
        <w:rPr>
          <w:rFonts w:hint="eastAsia" w:ascii="宋体" w:hAnsi="宋体" w:cs="宋体"/>
          <w:bCs/>
          <w:color w:val="FF0000"/>
          <w:szCs w:val="21"/>
        </w:rPr>
        <w:t>其所属长江塑管公司生产车间废气吸附装置</w:t>
      </w:r>
      <w:r>
        <w:rPr>
          <w:rFonts w:hint="eastAsia" w:ascii="宋体" w:hAnsi="宋体" w:cs="宋体"/>
          <w:bCs/>
          <w:color w:val="000000" w:themeColor="text1"/>
          <w:szCs w:val="21"/>
          <w14:textFill>
            <w14:solidFill>
              <w14:schemeClr w14:val="tx1"/>
            </w14:solidFill>
          </w14:textFill>
        </w:rPr>
        <w:t>采购项目</w:t>
      </w:r>
      <w:r>
        <w:rPr>
          <w:rFonts w:hint="eastAsia" w:ascii="宋体" w:hAnsi="宋体" w:cs="宋体"/>
          <w:bCs/>
          <w:szCs w:val="21"/>
        </w:rPr>
        <w:t>，经招标、投标</w:t>
      </w:r>
      <w:r>
        <w:rPr>
          <w:rFonts w:hint="eastAsia" w:ascii="宋体" w:hAnsi="宋体" w:cs="宋体"/>
          <w:bCs/>
          <w:color w:val="000000" w:themeColor="text1"/>
          <w:szCs w:val="21"/>
          <w14:textFill>
            <w14:solidFill>
              <w14:schemeClr w14:val="tx1"/>
            </w14:solidFill>
          </w14:textFill>
        </w:rPr>
        <w:t>程序</w:t>
      </w:r>
      <w:r>
        <w:rPr>
          <w:rFonts w:hint="eastAsia" w:ascii="宋体" w:hAnsi="宋体" w:cs="宋体"/>
          <w:bCs/>
          <w:szCs w:val="21"/>
        </w:rPr>
        <w:t>并协商一致，在遵循平等、自愿、公平和诚实信用原则的基础上，签订本合同。</w:t>
      </w:r>
    </w:p>
    <w:p>
      <w:pPr>
        <w:spacing w:line="360" w:lineRule="auto"/>
        <w:ind w:firstLine="422" w:firstLineChars="200"/>
        <w:rPr>
          <w:rFonts w:ascii="宋体" w:hAnsi="宋体" w:cs="宋体"/>
          <w:b/>
          <w:szCs w:val="21"/>
        </w:rPr>
      </w:pPr>
      <w:r>
        <w:rPr>
          <w:rFonts w:hint="eastAsia" w:ascii="宋体" w:hAnsi="宋体" w:cs="宋体"/>
          <w:b/>
          <w:szCs w:val="21"/>
        </w:rPr>
        <w:t>一、购销内容</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1、供货清单及价格</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（详见中标单位投标文件中开标一览表及分项报价表）</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2、合同供货范围包括了设备运抵买方工地现场，验收合格，直至投运交付买方使用。本项目合同价包括以下内容：设备、材料、随机提供的备品配件、专用工具、包装费、运杂费、运输费、装卸费、保险费、各种税费、安装调试费</w:t>
      </w:r>
      <w:r>
        <w:rPr>
          <w:rFonts w:hint="eastAsia" w:ascii="宋体" w:hAnsi="宋体" w:cs="宋体"/>
          <w:szCs w:val="21"/>
          <w:u w:val="single"/>
        </w:rPr>
        <w:t>及与本项目有关的相关辅助工程</w:t>
      </w:r>
      <w:r>
        <w:rPr>
          <w:rFonts w:hint="eastAsia" w:ascii="宋体" w:hAnsi="宋体" w:cs="宋体"/>
          <w:bCs/>
          <w:szCs w:val="21"/>
        </w:rPr>
        <w:t>、设备投运、质保、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360" w:lineRule="auto"/>
        <w:ind w:firstLine="422" w:firstLineChars="200"/>
        <w:rPr>
          <w:rFonts w:ascii="宋体" w:hAnsi="宋体" w:cs="宋体"/>
          <w:bCs/>
          <w:szCs w:val="21"/>
        </w:rPr>
      </w:pPr>
      <w:r>
        <w:rPr>
          <w:rFonts w:hint="eastAsia" w:ascii="宋体" w:hAnsi="宋体" w:cs="宋体"/>
          <w:b/>
          <w:szCs w:val="21"/>
        </w:rPr>
        <w:t>二、下列文件为本合同不可分割部分</w:t>
      </w:r>
    </w:p>
    <w:p>
      <w:pPr>
        <w:spacing w:line="360" w:lineRule="auto"/>
        <w:ind w:firstLine="420" w:firstLineChars="200"/>
        <w:rPr>
          <w:rFonts w:ascii="宋体" w:hAnsi="宋体" w:cs="宋体"/>
          <w:bCs/>
          <w:szCs w:val="21"/>
        </w:rPr>
      </w:pPr>
      <w:r>
        <w:rPr>
          <w:rFonts w:hint="eastAsia" w:ascii="宋体" w:hAnsi="宋体" w:cs="宋体"/>
          <w:bCs/>
          <w:szCs w:val="21"/>
        </w:rPr>
        <w:t>（一）招标文件及补充通知；</w:t>
      </w:r>
    </w:p>
    <w:p>
      <w:pPr>
        <w:spacing w:line="360" w:lineRule="auto"/>
        <w:ind w:firstLine="420" w:firstLineChars="200"/>
        <w:rPr>
          <w:rFonts w:ascii="宋体" w:hAnsi="宋体" w:cs="宋体"/>
          <w:bCs/>
          <w:szCs w:val="21"/>
        </w:rPr>
      </w:pPr>
      <w:r>
        <w:rPr>
          <w:rFonts w:hint="eastAsia" w:ascii="宋体" w:hAnsi="宋体" w:cs="宋体"/>
          <w:bCs/>
          <w:szCs w:val="21"/>
        </w:rPr>
        <w:t>（二）中标文件和其它承诺、书面澄清等；</w:t>
      </w:r>
    </w:p>
    <w:p>
      <w:pPr>
        <w:spacing w:line="360" w:lineRule="auto"/>
        <w:ind w:firstLine="420" w:firstLineChars="200"/>
        <w:rPr>
          <w:rFonts w:ascii="宋体" w:hAnsi="宋体" w:cs="宋体"/>
          <w:bCs/>
          <w:szCs w:val="21"/>
        </w:rPr>
      </w:pPr>
      <w:r>
        <w:rPr>
          <w:rFonts w:hint="eastAsia" w:ascii="宋体" w:hAnsi="宋体" w:cs="宋体"/>
          <w:bCs/>
          <w:szCs w:val="21"/>
        </w:rPr>
        <w:t>（三）其他约定文件等；</w:t>
      </w:r>
    </w:p>
    <w:p>
      <w:pPr>
        <w:spacing w:line="360" w:lineRule="auto"/>
        <w:ind w:firstLine="420" w:firstLineChars="200"/>
        <w:rPr>
          <w:rFonts w:ascii="宋体" w:hAnsi="宋体" w:cs="宋体"/>
          <w:bCs/>
          <w:szCs w:val="21"/>
        </w:rPr>
      </w:pPr>
      <w:r>
        <w:rPr>
          <w:rFonts w:hint="eastAsia" w:ascii="宋体" w:hAnsi="宋体" w:cs="宋体"/>
          <w:bCs/>
          <w:szCs w:val="21"/>
        </w:rPr>
        <w:t>（四）中标通知书。</w:t>
      </w:r>
    </w:p>
    <w:p>
      <w:pPr>
        <w:spacing w:line="360" w:lineRule="auto"/>
        <w:ind w:firstLine="422" w:firstLineChars="200"/>
        <w:rPr>
          <w:rFonts w:ascii="宋体" w:hAnsi="宋体" w:cs="宋体"/>
          <w:b/>
          <w:szCs w:val="21"/>
        </w:rPr>
      </w:pPr>
      <w:r>
        <w:rPr>
          <w:rFonts w:hint="eastAsia" w:ascii="宋体" w:hAnsi="宋体" w:cs="宋体"/>
          <w:b/>
          <w:szCs w:val="21"/>
        </w:rPr>
        <w:t>三、合同价格与支付</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（一）本合同价格按人民币结算，合同价格为元（大写：）。具体明细清单附后。</w:t>
      </w:r>
    </w:p>
    <w:p>
      <w:pPr>
        <w:spacing w:line="360" w:lineRule="auto"/>
        <w:ind w:firstLine="420" w:firstLineChars="200"/>
        <w:rPr>
          <w:rFonts w:ascii="宋体" w:hAnsi="宋体" w:cs="宋体"/>
          <w:szCs w:val="21"/>
        </w:rPr>
      </w:pPr>
      <w:r>
        <w:rPr>
          <w:rFonts w:hint="eastAsia" w:ascii="宋体" w:hAnsi="宋体" w:cs="宋体"/>
          <w:szCs w:val="21"/>
        </w:rPr>
        <w:t>（二）本合同价格组成：已包括所有货物的供货、运输、检验、发货、送货、保险、装卸、仓储、保管、安装调试、投运、技术服务、技术培训、技术资料、各种税费、专利技术、质保、售后服务及其他伴随服务等一切必须费用。</w:t>
      </w:r>
    </w:p>
    <w:p>
      <w:pPr>
        <w:spacing w:line="360" w:lineRule="auto"/>
        <w:ind w:firstLine="420" w:firstLineChars="200"/>
        <w:rPr>
          <w:rFonts w:ascii="宋体" w:hAnsi="宋体" w:cs="宋体"/>
          <w:szCs w:val="21"/>
        </w:rPr>
      </w:pPr>
      <w:r>
        <w:rPr>
          <w:rFonts w:hint="eastAsia" w:ascii="宋体" w:hAnsi="宋体" w:cs="宋体"/>
          <w:szCs w:val="21"/>
        </w:rPr>
        <w:t>（三）税费：</w:t>
      </w:r>
    </w:p>
    <w:p>
      <w:pPr>
        <w:spacing w:line="360" w:lineRule="auto"/>
        <w:ind w:firstLine="420" w:firstLineChars="200"/>
        <w:rPr>
          <w:rFonts w:ascii="宋体" w:hAnsi="宋体" w:cs="宋体"/>
          <w:szCs w:val="21"/>
        </w:rPr>
      </w:pPr>
      <w:r>
        <w:rPr>
          <w:rFonts w:hint="eastAsia" w:ascii="宋体" w:hAnsi="宋体" w:cs="宋体"/>
          <w:szCs w:val="21"/>
        </w:rPr>
        <w:t>1、根据国家有关税务法律、法规和规定，卖方应该交纳的与本合同有关的所有税费均由卖方承担。</w:t>
      </w:r>
    </w:p>
    <w:p>
      <w:pPr>
        <w:spacing w:line="360" w:lineRule="auto"/>
        <w:ind w:firstLine="420" w:firstLineChars="200"/>
        <w:rPr>
          <w:rFonts w:ascii="宋体" w:hAnsi="宋体" w:cs="宋体"/>
          <w:szCs w:val="21"/>
        </w:rPr>
      </w:pPr>
      <w:r>
        <w:rPr>
          <w:rFonts w:hint="eastAsia" w:ascii="宋体" w:hAnsi="宋体" w:cs="宋体"/>
          <w:szCs w:val="21"/>
        </w:rPr>
        <w:t>2、本合同价格为含税价。卖方提供的所有货物、技术资料、技术服务、进口设备/部件等所有税费，已全部包含在合同价格内，由卖方承担。</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（四）付款步骤：</w:t>
      </w:r>
    </w:p>
    <w:p>
      <w:pPr>
        <w:pStyle w:val="16"/>
        <w:spacing w:line="360" w:lineRule="auto"/>
        <w:ind w:firstLineChars="0"/>
        <w:rPr>
          <w:rFonts w:ascii="宋体" w:hAnsi="宋体" w:cs="宋体"/>
          <w:bCs/>
          <w:szCs w:val="21"/>
        </w:rPr>
      </w:pPr>
      <w:r>
        <w:rPr>
          <w:rFonts w:hint="eastAsia" w:ascii="宋体" w:hAnsi="宋体" w:cs="宋体"/>
          <w:bCs/>
          <w:szCs w:val="21"/>
        </w:rPr>
        <w:t>（1）标的设备到达现场，安装调试完成且试运行一个月无任何质量问题后，买方组织设备成套系统竣工验收，经验收合格后，卖方向买方开具合同总金额的增值税全额发票（税率13%），买方</w:t>
      </w:r>
      <w:r>
        <w:rPr>
          <w:rFonts w:hint="eastAsia" w:ascii="宋体" w:hAnsi="宋体" w:cs="宋体"/>
          <w:bCs/>
          <w:color w:val="FF0000"/>
          <w:szCs w:val="21"/>
        </w:rPr>
        <w:t>收讫后</w:t>
      </w:r>
      <w:r>
        <w:rPr>
          <w:rFonts w:hint="eastAsia" w:ascii="宋体" w:hAnsi="宋体" w:cs="宋体"/>
          <w:bCs/>
          <w:szCs w:val="21"/>
        </w:rPr>
        <w:t>在三个月内付至发票金额的95%，余款5%作为质保金，在合同约定的质保期满且标的设备无质量问题后根据卖方书面申请一个月内无息付清。</w:t>
      </w:r>
    </w:p>
    <w:p>
      <w:pPr>
        <w:pStyle w:val="16"/>
        <w:spacing w:line="360" w:lineRule="auto"/>
        <w:rPr>
          <w:rFonts w:ascii="宋体" w:hAnsi="宋体" w:cs="宋体"/>
          <w:bCs/>
          <w:szCs w:val="21"/>
        </w:rPr>
      </w:pPr>
      <w:r>
        <w:rPr>
          <w:rFonts w:hint="eastAsia" w:ascii="宋体" w:hAnsi="宋体" w:cs="宋体"/>
          <w:bCs/>
          <w:szCs w:val="21"/>
        </w:rPr>
        <w:t>（2）本合同约定质量保证期为供货设备投产运行验收合格起</w:t>
      </w:r>
      <w:r>
        <w:rPr>
          <w:rFonts w:hint="eastAsia" w:ascii="宋体" w:hAnsi="宋体" w:cs="宋体"/>
          <w:bCs/>
          <w:szCs w:val="21"/>
          <w:u w:val="single"/>
        </w:rPr>
        <w:t>个月</w:t>
      </w:r>
      <w:r>
        <w:rPr>
          <w:rFonts w:hint="eastAsia" w:ascii="宋体" w:hAnsi="宋体" w:cs="宋体"/>
          <w:bCs/>
          <w:szCs w:val="21"/>
        </w:rPr>
        <w:t>（最终按中标人承诺的质保期为准）。本合同的质量保证期从成套系统竣工综合验收合格之日算起。</w:t>
      </w:r>
    </w:p>
    <w:p>
      <w:pPr>
        <w:spacing w:line="360" w:lineRule="auto"/>
        <w:ind w:firstLine="420" w:firstLineChars="200"/>
        <w:rPr>
          <w:rFonts w:ascii="宋体" w:hAnsi="宋体" w:cs="宋体"/>
          <w:bCs/>
          <w:szCs w:val="21"/>
        </w:rPr>
      </w:pPr>
      <w:r>
        <w:rPr>
          <w:rFonts w:hint="eastAsia" w:ascii="宋体" w:hAnsi="宋体" w:cs="宋体"/>
          <w:bCs/>
          <w:szCs w:val="21"/>
        </w:rPr>
        <w:t>（五）付款方式：银行转帐。</w:t>
      </w:r>
    </w:p>
    <w:p>
      <w:pPr>
        <w:spacing w:line="360" w:lineRule="auto"/>
        <w:ind w:firstLine="422" w:firstLineChars="200"/>
        <w:rPr>
          <w:rFonts w:ascii="宋体" w:hAnsi="宋体" w:cs="宋体"/>
          <w:b/>
          <w:szCs w:val="21"/>
        </w:rPr>
      </w:pPr>
      <w:r>
        <w:rPr>
          <w:rFonts w:hint="eastAsia" w:ascii="宋体" w:hAnsi="宋体" w:cs="宋体"/>
          <w:b/>
          <w:szCs w:val="21"/>
        </w:rPr>
        <w:t>四、交货条件</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（一）交付方式：所有合同设备均由卖方装运至买方指定地点，所有设备的包装、运输等费用及运输安全均由卖方负责。</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（二）交货时间：合同签定后</w:t>
      </w:r>
      <w:r>
        <w:rPr>
          <w:rFonts w:hint="eastAsia" w:ascii="宋体" w:hAnsi="宋体" w:cs="宋体"/>
          <w:bCs/>
          <w:szCs w:val="21"/>
          <w:u w:val="single"/>
        </w:rPr>
        <w:t>（</w:t>
      </w:r>
      <w:r>
        <w:rPr>
          <w:rFonts w:hint="eastAsia" w:ascii="宋体" w:hAnsi="宋体" w:cs="宋体"/>
          <w:bCs/>
          <w:szCs w:val="21"/>
        </w:rPr>
        <w:t>按卖方投标时承诺）个工作日内。</w:t>
      </w:r>
    </w:p>
    <w:p>
      <w:pPr>
        <w:spacing w:line="360" w:lineRule="auto"/>
        <w:ind w:firstLine="420" w:firstLineChars="200"/>
        <w:rPr>
          <w:rFonts w:ascii="宋体" w:hAnsi="宋体" w:cs="宋体"/>
          <w:bCs/>
          <w:szCs w:val="21"/>
        </w:rPr>
      </w:pPr>
      <w:r>
        <w:rPr>
          <w:rFonts w:hint="eastAsia" w:ascii="宋体" w:hAnsi="宋体" w:cs="宋体"/>
          <w:bCs/>
          <w:szCs w:val="21"/>
        </w:rPr>
        <w:t>（三）交货地点：招标人指定地点。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（四）发货通知：卖方发货到指定地点现场前，应以函、电的形式正式通告买方。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（五）所有设备的外观、包装、运输应按国家规定或部颁标准执行。任何由于卖方包装及保护措施不足或不当以及其它原因造成的损坏或丢失，均由卖方负责修复或补缺。</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（六）设备交货时，包装须完整无破损，卖方还必须提供以下材料：</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 xml:space="preserve">A、设备装箱清单                  B、质量检验合格文件 （若产品需要）               </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C、中文技术资料                  D、使用维修保养中文说明书</w:t>
      </w:r>
    </w:p>
    <w:p>
      <w:pPr>
        <w:spacing w:line="360" w:lineRule="auto"/>
        <w:ind w:firstLine="422" w:firstLineChars="200"/>
        <w:rPr>
          <w:rFonts w:ascii="宋体" w:hAnsi="宋体" w:cs="宋体"/>
          <w:bCs/>
          <w:szCs w:val="21"/>
        </w:rPr>
      </w:pPr>
      <w:r>
        <w:rPr>
          <w:rFonts w:hint="eastAsia" w:ascii="宋体" w:hAnsi="宋体" w:cs="宋体"/>
          <w:b/>
          <w:szCs w:val="21"/>
        </w:rPr>
        <w:t>五、履约保证</w:t>
      </w:r>
    </w:p>
    <w:p>
      <w:pPr>
        <w:spacing w:line="360" w:lineRule="auto"/>
        <w:ind w:firstLine="420" w:firstLineChars="200"/>
        <w:rPr>
          <w:rFonts w:ascii="宋体" w:hAnsi="宋体" w:cs="宋体"/>
          <w:bCs/>
          <w:szCs w:val="21"/>
        </w:rPr>
      </w:pPr>
      <w:r>
        <w:rPr>
          <w:rFonts w:hint="eastAsia" w:ascii="宋体" w:hAnsi="宋体" w:cs="宋体"/>
          <w:bCs/>
          <w:szCs w:val="21"/>
        </w:rPr>
        <w:t>1.投标人中标后，在收到招标方中标通知书后10日内，须与招标人签订合同，如逾期招标人可以取消其中标资格。</w:t>
      </w:r>
    </w:p>
    <w:p>
      <w:pPr>
        <w:pStyle w:val="16"/>
        <w:spacing w:line="360" w:lineRule="auto"/>
        <w:ind w:firstLineChars="0"/>
        <w:rPr>
          <w:rFonts w:ascii="宋体" w:hAnsi="宋体" w:cs="宋体"/>
          <w:bCs/>
          <w:szCs w:val="21"/>
        </w:rPr>
      </w:pPr>
      <w:r>
        <w:rPr>
          <w:rFonts w:hint="eastAsia" w:ascii="宋体" w:hAnsi="宋体" w:cs="宋体"/>
          <w:bCs/>
          <w:szCs w:val="21"/>
        </w:rPr>
        <w:t>2、在合同履行过程中，如卖方出现未能按合同规定履行其义务或存在质量问题等情况，买方有权要求卖方限期进行整改，逾期未能整改按照要求进行赔偿或扣除合同中相应部分金额。</w:t>
      </w:r>
    </w:p>
    <w:p>
      <w:pPr>
        <w:spacing w:line="360" w:lineRule="auto"/>
        <w:ind w:firstLine="422" w:firstLineChars="200"/>
        <w:rPr>
          <w:rFonts w:ascii="宋体" w:hAnsi="宋体" w:cs="宋体"/>
          <w:b/>
          <w:szCs w:val="21"/>
        </w:rPr>
      </w:pPr>
      <w:r>
        <w:rPr>
          <w:rFonts w:hint="eastAsia" w:ascii="宋体" w:hAnsi="宋体" w:cs="宋体"/>
          <w:b/>
          <w:szCs w:val="21"/>
        </w:rPr>
        <w:t>六、质量标准</w:t>
      </w:r>
    </w:p>
    <w:p>
      <w:pPr>
        <w:numPr>
          <w:ilvl w:val="0"/>
          <w:numId w:val="6"/>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所有合同货物的制作与安装均必须与招标文件要求相一致，但并不只限于满足上述所列全部技术规范及功能要求。</w:t>
      </w:r>
    </w:p>
    <w:p>
      <w:pPr>
        <w:numPr>
          <w:ilvl w:val="0"/>
          <w:numId w:val="6"/>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卖方和制造商应严格按照图纸、技术协议书、买方的技术条款和有关标准生产和检验，确保产品的质量。同时卖方保证合同货物是先进的、采用最</w:t>
      </w:r>
      <w:r>
        <w:rPr>
          <w:rFonts w:hint="eastAsia" w:ascii="宋体" w:hAnsi="宋体" w:cs="宋体"/>
          <w:bCs/>
          <w:szCs w:val="21"/>
        </w:rPr>
        <w:t>好的材料和工艺制成的，并且是全新的、未曾使用过的，</w:t>
      </w:r>
      <w:r>
        <w:rPr>
          <w:rFonts w:hint="eastAsia" w:ascii="宋体" w:hAnsi="宋体" w:cs="宋体"/>
          <w:bCs/>
          <w:szCs w:val="21"/>
          <w:lang w:val="zh-CN"/>
        </w:rPr>
        <w:t>完全能符合合同规定的质量、规格和性能的要求。</w:t>
      </w:r>
    </w:p>
    <w:p>
      <w:pPr>
        <w:numPr>
          <w:ilvl w:val="0"/>
          <w:numId w:val="6"/>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卖方保证合同</w:t>
      </w:r>
      <w:r>
        <w:rPr>
          <w:rFonts w:hint="eastAsia" w:ascii="宋体" w:hAnsi="宋体" w:cs="宋体"/>
          <w:bCs/>
          <w:szCs w:val="21"/>
          <w:lang w:val="zh-CN"/>
        </w:rPr>
        <w:t>货物</w:t>
      </w:r>
      <w:r>
        <w:rPr>
          <w:rFonts w:hint="eastAsia" w:ascii="宋体" w:hAnsi="宋体" w:cs="宋体"/>
          <w:bCs/>
          <w:szCs w:val="21"/>
        </w:rPr>
        <w:t>经正确安装、合理操作和维护保养，在其使用寿命期内能运转良好，具有满意的性能。</w:t>
      </w:r>
    </w:p>
    <w:p>
      <w:pPr>
        <w:numPr>
          <w:ilvl w:val="0"/>
          <w:numId w:val="6"/>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对合同</w:t>
      </w:r>
      <w:r>
        <w:rPr>
          <w:rFonts w:hint="eastAsia" w:ascii="宋体" w:hAnsi="宋体" w:cs="宋体"/>
          <w:bCs/>
          <w:szCs w:val="21"/>
          <w:lang w:val="zh-CN"/>
        </w:rPr>
        <w:t>货物</w:t>
      </w:r>
      <w:r>
        <w:rPr>
          <w:rFonts w:hint="eastAsia" w:ascii="宋体" w:hAnsi="宋体" w:cs="宋体"/>
          <w:bCs/>
          <w:szCs w:val="21"/>
        </w:rPr>
        <w:t>的质量应按照技术协议书和</w:t>
      </w:r>
      <w:r>
        <w:rPr>
          <w:rFonts w:hint="eastAsia" w:ascii="宋体" w:hAnsi="宋体" w:cs="宋体"/>
          <w:bCs/>
          <w:szCs w:val="21"/>
          <w:lang w:val="zh-CN"/>
        </w:rPr>
        <w:t>有关质量标准或验收规范进行验收。卖方负责提供相应的质量标准和验收规范供买方参考。合同货物送达现场后，卖方应及时进行安装调试，协助买方进行试运行工作，并参加买方单位组织的最终验收工作。</w:t>
      </w:r>
    </w:p>
    <w:p>
      <w:pPr>
        <w:numPr>
          <w:ilvl w:val="0"/>
          <w:numId w:val="6"/>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在合同货物验收合格后的质量保修期内，如因买方使用不当和保管不善造成的问题，卖方应积极配合解决，但费用由买方负担。</w:t>
      </w:r>
    </w:p>
    <w:p>
      <w:pPr>
        <w:pStyle w:val="4"/>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七、检验、安装、调试、试运行和验收</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买方有权就卖方送至的标的物根据国家相关质量标准或验收规范进行检测。</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标的物运达指定地点后，如因包装不当造成货物质量下降或破损、缺件等，卖方承担全部责任。如运输部门造成的破损、缺件等事故，由卖方负责处理解决。</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标的物由卖方根据技术资料、检验标准、图纸、现场情况及说明书进行安装。在安装调试阶段，卖方应按买方要求自</w:t>
      </w:r>
      <w:r>
        <w:rPr>
          <w:rFonts w:hint="eastAsia" w:ascii="宋体" w:hAnsi="宋体" w:cs="宋体"/>
          <w:bCs/>
          <w:szCs w:val="21"/>
        </w:rPr>
        <w:t>货到现场之日起一周内完成设备安装调试工作，在所有货物安装完毕且调试验收合格前，由卖方承担所有货物缺失、损坏以及安装调试期间安全的责任及风险。</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7"/>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如两次设备检验和验收结果不合格，买方有权进行退货处理，由此造成的各种费用和责任均由卖方承担。</w:t>
      </w:r>
    </w:p>
    <w:p>
      <w:pPr>
        <w:spacing w:line="360" w:lineRule="auto"/>
        <w:ind w:firstLine="422" w:firstLineChars="200"/>
        <w:rPr>
          <w:rFonts w:ascii="宋体" w:hAnsi="宋体" w:cs="宋体"/>
          <w:b/>
          <w:szCs w:val="21"/>
        </w:rPr>
      </w:pPr>
      <w:r>
        <w:rPr>
          <w:rFonts w:hint="eastAsia" w:ascii="宋体" w:hAnsi="宋体" w:cs="宋体"/>
          <w:b/>
          <w:szCs w:val="21"/>
        </w:rPr>
        <w:t>八、技术资料的提供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在合同货物安装调试完成试运行满一个月且通过竣工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360" w:lineRule="auto"/>
        <w:ind w:firstLine="422" w:firstLineChars="200"/>
        <w:rPr>
          <w:rFonts w:ascii="宋体" w:hAnsi="宋体" w:cs="宋体"/>
          <w:b/>
          <w:szCs w:val="21"/>
        </w:rPr>
      </w:pPr>
      <w:r>
        <w:rPr>
          <w:rFonts w:hint="eastAsia" w:ascii="宋体" w:hAnsi="宋体" w:cs="宋体"/>
          <w:b/>
          <w:szCs w:val="21"/>
        </w:rPr>
        <w:t>九、包装与标记</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3、每件包装箱内，应附有包括分件名称、数量、机组号、图号的详细装箱单、合格证。外购件包装箱内应有产品出厂质量合格证明书、技术说明各一份。</w:t>
      </w:r>
      <w:bookmarkStart w:id="10" w:name="OLE_LINK8"/>
      <w:bookmarkStart w:id="11" w:name="_Toc67586612"/>
    </w:p>
    <w:p>
      <w:pPr>
        <w:tabs>
          <w:tab w:val="left" w:pos="900"/>
        </w:tabs>
        <w:spacing w:line="360" w:lineRule="auto"/>
        <w:ind w:firstLine="422" w:firstLineChars="200"/>
        <w:rPr>
          <w:rFonts w:ascii="宋体" w:hAnsi="宋体" w:cs="宋体"/>
          <w:b/>
          <w:szCs w:val="21"/>
        </w:rPr>
      </w:pPr>
      <w:r>
        <w:rPr>
          <w:rFonts w:hint="eastAsia" w:ascii="宋体" w:hAnsi="宋体" w:cs="宋体"/>
          <w:b/>
          <w:szCs w:val="21"/>
        </w:rPr>
        <w:t>十、安装施工安全约定</w:t>
      </w:r>
      <w:bookmarkEnd w:id="10"/>
      <w:r>
        <w:rPr>
          <w:rFonts w:hint="eastAsia" w:ascii="宋体" w:hAnsi="宋体" w:cs="宋体"/>
          <w:b/>
          <w:szCs w:val="21"/>
        </w:rPr>
        <w:t> </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2、卖方在施工生产过程发生安全事故的，卖方应立即向买方及相关部门报告，并采取相应的应对措施。事故的一切责任及损失均由卖方承担。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4、卖方在施工过程中必须按规定严格执行买方制定的工作票制度。对买方规定可以不使用工作票的工作，开工前应得到买方负责人的同意。</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7、复杂的和危险性较大的作业，卖方应制订并采取有效的施工安全技术措施。施工现场必须具有相关的安全标志牌。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12、因本工程施工造成买方或第三方人身财产损失的，卖方承担全部赔偿责任。</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17、买方对施工现场的安全监督检查意见（包括施工人员违章及处罚情况、安全隐患情况等），以书面形式通知卖方，作为安全考核依据。</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18、买方对卖方施工的安全监督，属于买方依自身管理需要的监管行为，其行为不构成责任主体行为，买方无需对本工程施工中的安全事故承担任何责任。</w:t>
      </w:r>
    </w:p>
    <w:p>
      <w:pPr>
        <w:spacing w:line="360" w:lineRule="auto"/>
        <w:ind w:firstLine="422" w:firstLineChars="200"/>
        <w:rPr>
          <w:rFonts w:ascii="宋体" w:hAnsi="宋体" w:cs="宋体"/>
          <w:bCs/>
          <w:szCs w:val="21"/>
        </w:rPr>
      </w:pPr>
      <w:r>
        <w:rPr>
          <w:rFonts w:hint="eastAsia" w:ascii="宋体" w:hAnsi="宋体" w:cs="宋体"/>
          <w:b/>
          <w:szCs w:val="21"/>
        </w:rPr>
        <w:t>十一、技术服务、培训和联络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1、卖方应及时提供与本合同</w:t>
      </w:r>
      <w:r>
        <w:rPr>
          <w:rFonts w:hint="eastAsia" w:ascii="宋体" w:hAnsi="宋体" w:cs="宋体"/>
          <w:bCs/>
          <w:szCs w:val="21"/>
          <w:lang w:val="zh-CN"/>
        </w:rPr>
        <w:t>货物</w:t>
      </w:r>
      <w:r>
        <w:rPr>
          <w:rFonts w:hint="eastAsia" w:ascii="宋体" w:hAnsi="宋体" w:cs="宋体"/>
          <w:bCs/>
          <w:szCs w:val="21"/>
        </w:rPr>
        <w:t>有关的工程设计、监造、检验、土建、安装、调试、验收、性能验收试验、运行、检修等相应的技术指导、技术配合等全过程的服务。此类服务不发生合同外费用。</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2、卖方负责工地现场的技术服务、安装、调试和试运行，并负责解决合同</w:t>
      </w:r>
      <w:r>
        <w:rPr>
          <w:rFonts w:hint="eastAsia" w:ascii="宋体" w:hAnsi="宋体" w:cs="宋体"/>
          <w:bCs/>
          <w:szCs w:val="21"/>
          <w:lang w:val="zh-CN"/>
        </w:rPr>
        <w:t>货物</w:t>
      </w:r>
      <w:r>
        <w:rPr>
          <w:rFonts w:hint="eastAsia" w:ascii="宋体" w:hAnsi="宋体" w:cs="宋体"/>
          <w:bCs/>
          <w:szCs w:val="21"/>
        </w:rPr>
        <w:t>在安装、调试、试运行中发现的制造质量及性能等有关问题。同时卖方需对买方的操作人员提供免费技术培训，并保证操作人员能独立操作。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3、卖方需对一切与本合同有关的供货、货物及技术接口、技术服务等问题负全部责任。</w:t>
      </w:r>
    </w:p>
    <w:p>
      <w:pPr>
        <w:spacing w:line="360" w:lineRule="auto"/>
        <w:ind w:firstLine="422" w:firstLineChars="200"/>
        <w:rPr>
          <w:rFonts w:ascii="宋体" w:hAnsi="宋体" w:cs="宋体"/>
          <w:b/>
          <w:szCs w:val="21"/>
        </w:rPr>
      </w:pPr>
      <w:r>
        <w:rPr>
          <w:rFonts w:hint="eastAsia" w:ascii="宋体" w:hAnsi="宋体" w:cs="宋体"/>
          <w:b/>
          <w:szCs w:val="21"/>
        </w:rPr>
        <w:t>十一、售后服务及其他要求</w:t>
      </w:r>
    </w:p>
    <w:p>
      <w:pPr>
        <w:spacing w:line="360" w:lineRule="auto"/>
        <w:ind w:firstLine="315" w:firstLineChars="150"/>
        <w:rPr>
          <w:rFonts w:ascii="宋体" w:hAnsi="宋体" w:cs="宋体"/>
          <w:bCs/>
          <w:szCs w:val="21"/>
        </w:rPr>
      </w:pPr>
      <w:r>
        <w:rPr>
          <w:rFonts w:hint="eastAsia" w:ascii="宋体" w:hAnsi="宋体" w:cs="宋体"/>
          <w:bCs/>
          <w:szCs w:val="21"/>
        </w:rPr>
        <w:t xml:space="preserve"> 1、卖方按买方的需求及时到货和安装，在货物安装调试过程中如发现质量问题，卖方必须负责包修、包退、包换。</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2、合同货物出现故障，卖方必须在接到买方通知8小时内（以电传日期为准）作出答复，并在2日内派遣专业维修工程师进行现场维修服务。</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3、由于卖方提供的货物质量问题造成买方或买方用户的财产损失或人身安全问题，由卖方负责赔偿。</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4、本合同所有货物的免费质量保修期为个月，在质量保修期内该产品出现质量问题，卖方负责无条件免费维修或更换。</w:t>
      </w:r>
    </w:p>
    <w:p>
      <w:pPr>
        <w:pStyle w:val="4"/>
        <w:spacing w:line="360" w:lineRule="auto"/>
        <w:ind w:firstLine="420" w:firstLineChars="200"/>
        <w:rPr>
          <w:rFonts w:ascii="宋体" w:hAnsi="宋体" w:eastAsia="宋体" w:cs="宋体"/>
          <w:bCs/>
          <w:sz w:val="21"/>
          <w:szCs w:val="21"/>
        </w:rPr>
      </w:pPr>
      <w:r>
        <w:rPr>
          <w:rFonts w:hint="eastAsia" w:ascii="宋体" w:hAnsi="宋体" w:eastAsia="宋体" w:cs="宋体"/>
          <w:bCs/>
          <w:sz w:val="21"/>
          <w:szCs w:val="21"/>
        </w:rPr>
        <w:t>5、</w:t>
      </w:r>
      <w:r>
        <w:rPr>
          <w:rFonts w:hint="eastAsia" w:ascii="宋体" w:hAnsi="宋体" w:eastAsia="宋体" w:cs="宋体"/>
          <w:bCs/>
          <w:sz w:val="21"/>
          <w:szCs w:val="21"/>
          <w:lang w:val="zh-CN"/>
        </w:rPr>
        <w:t>卖方应</w:t>
      </w:r>
      <w:r>
        <w:rPr>
          <w:rFonts w:hint="eastAsia" w:ascii="宋体" w:hAnsi="宋体" w:eastAsia="宋体" w:cs="宋体"/>
          <w:bCs/>
          <w:sz w:val="21"/>
          <w:szCs w:val="21"/>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6、其他要求按卖方投标文件承诺的条款执行。</w:t>
      </w:r>
    </w:p>
    <w:bookmarkEnd w:id="11"/>
    <w:p>
      <w:pPr>
        <w:spacing w:line="360" w:lineRule="auto"/>
        <w:ind w:firstLine="422" w:firstLineChars="200"/>
        <w:rPr>
          <w:rFonts w:ascii="宋体" w:hAnsi="宋体" w:cs="宋体"/>
          <w:b/>
          <w:szCs w:val="21"/>
        </w:rPr>
      </w:pPr>
      <w:r>
        <w:rPr>
          <w:rFonts w:hint="eastAsia" w:ascii="宋体" w:hAnsi="宋体" w:cs="宋体"/>
          <w:b/>
          <w:szCs w:val="21"/>
        </w:rPr>
        <w:t>十二、违约责任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360" w:lineRule="auto"/>
        <w:ind w:firstLine="420" w:firstLineChars="200"/>
        <w:rPr>
          <w:rFonts w:ascii="宋体" w:hAnsi="宋体" w:cs="宋体"/>
          <w:bCs/>
          <w:szCs w:val="21"/>
        </w:rPr>
      </w:pPr>
      <w:r>
        <w:rPr>
          <w:rFonts w:hint="eastAsia" w:ascii="宋体" w:hAnsi="宋体" w:cs="宋体"/>
          <w:bCs/>
          <w:szCs w:val="21"/>
        </w:rPr>
        <w:t>2、出卖人不能及时供货或因质量问题影响安装的，每推迟一天，出卖人向买受人支付该批货物0.5%的违约金，买受人的损失费用超过违约金时，买受人有权继续主张。</w:t>
      </w:r>
    </w:p>
    <w:p>
      <w:pPr>
        <w:snapToGrid w:val="0"/>
        <w:spacing w:line="360" w:lineRule="auto"/>
        <w:ind w:firstLine="420" w:firstLineChars="200"/>
        <w:rPr>
          <w:rFonts w:ascii="宋体" w:hAnsi="宋体" w:cs="宋体"/>
          <w:bCs/>
          <w:szCs w:val="21"/>
        </w:rPr>
      </w:pPr>
      <w:r>
        <w:rPr>
          <w:rFonts w:hint="eastAsia" w:ascii="宋体" w:hAnsi="宋体" w:cs="宋体"/>
          <w:bCs/>
          <w:szCs w:val="21"/>
        </w:rPr>
        <w:t>3、买受人不按约定支付货款时，按应支付该批次货款的5‰承担违约责任。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360" w:lineRule="auto"/>
        <w:ind w:firstLine="422" w:firstLineChars="200"/>
        <w:rPr>
          <w:rFonts w:ascii="宋体" w:hAnsi="宋体" w:cs="宋体"/>
          <w:b/>
          <w:szCs w:val="21"/>
        </w:rPr>
      </w:pPr>
      <w:r>
        <w:rPr>
          <w:rFonts w:hint="eastAsia" w:ascii="宋体" w:hAnsi="宋体" w:cs="宋体"/>
          <w:b/>
          <w:szCs w:val="21"/>
        </w:rPr>
        <w:t>十三、不可抗力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360" w:lineRule="auto"/>
        <w:ind w:firstLine="422" w:firstLineChars="200"/>
        <w:rPr>
          <w:rFonts w:ascii="宋体" w:hAnsi="宋体" w:cs="宋体"/>
          <w:b/>
          <w:szCs w:val="21"/>
        </w:rPr>
      </w:pPr>
      <w:r>
        <w:rPr>
          <w:rFonts w:hint="eastAsia" w:ascii="宋体" w:hAnsi="宋体" w:cs="宋体"/>
          <w:b/>
          <w:szCs w:val="21"/>
        </w:rPr>
        <w:t>十四、合同生效及其它：</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1、本合同经双方法定代表人/负责人或其委托代理人签字并加盖公章（或合同章）后即生效。</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2、在合同履行过程中，双方如有争议协商解决；经协商无效时，任何一方可向买方住所地的基层人民法院提起诉讼。</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3、本合同中未描述和涵盖的合同条款，按照招标文件、补充通知和投标文件等资料的相关条款执行，其中与本合同条款有冲突的内容，以本合同条款为准。</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5、本合同一式六份，买方执肆份，卖方贰份。</w:t>
      </w:r>
    </w:p>
    <w:p>
      <w:pPr>
        <w:spacing w:line="360" w:lineRule="auto"/>
        <w:jc w:val="center"/>
        <w:rPr>
          <w:rFonts w:ascii="宋体" w:hAnsi="宋体" w:cs="宋体"/>
          <w:bCs/>
          <w:szCs w:val="21"/>
        </w:rPr>
      </w:pPr>
    </w:p>
    <w:p>
      <w:pPr>
        <w:spacing w:line="360" w:lineRule="auto"/>
        <w:rPr>
          <w:rFonts w:ascii="宋体" w:hAnsi="宋体" w:cs="宋体"/>
          <w:bCs/>
          <w:szCs w:val="21"/>
        </w:rPr>
      </w:pPr>
      <w:r>
        <w:rPr>
          <w:rFonts w:hint="eastAsia" w:ascii="宋体" w:hAnsi="宋体" w:cs="宋体"/>
          <w:bCs/>
          <w:szCs w:val="21"/>
        </w:rPr>
        <w:t>买方：                                           卖方：</w:t>
      </w:r>
    </w:p>
    <w:p>
      <w:pPr>
        <w:spacing w:line="360" w:lineRule="auto"/>
        <w:rPr>
          <w:rFonts w:ascii="宋体" w:hAnsi="宋体" w:cs="宋体"/>
          <w:bCs/>
          <w:szCs w:val="21"/>
        </w:rPr>
      </w:pPr>
      <w:r>
        <w:rPr>
          <w:rFonts w:hint="eastAsia" w:ascii="宋体" w:hAnsi="宋体" w:cs="宋体"/>
          <w:bCs/>
          <w:szCs w:val="21"/>
        </w:rPr>
        <w:t>地址：                                           地址：</w:t>
      </w:r>
    </w:p>
    <w:p>
      <w:pPr>
        <w:spacing w:line="360" w:lineRule="auto"/>
        <w:rPr>
          <w:rFonts w:ascii="宋体" w:hAnsi="宋体" w:cs="宋体"/>
          <w:bCs/>
          <w:szCs w:val="21"/>
        </w:rPr>
      </w:pPr>
      <w:r>
        <w:rPr>
          <w:rFonts w:hint="eastAsia" w:ascii="宋体" w:hAnsi="宋体" w:cs="宋体"/>
          <w:bCs/>
          <w:szCs w:val="21"/>
        </w:rPr>
        <w:t>法定代表人：                                     法定代表人：</w:t>
      </w:r>
    </w:p>
    <w:p>
      <w:pPr>
        <w:spacing w:line="360" w:lineRule="auto"/>
        <w:rPr>
          <w:rFonts w:ascii="宋体" w:hAnsi="宋体" w:cs="宋体"/>
          <w:bCs/>
          <w:szCs w:val="21"/>
        </w:rPr>
      </w:pPr>
      <w:r>
        <w:rPr>
          <w:rFonts w:hint="eastAsia" w:ascii="宋体" w:hAnsi="宋体" w:cs="宋体"/>
          <w:bCs/>
          <w:szCs w:val="21"/>
        </w:rPr>
        <w:t>委托代理人：　　　　　　　　　                   委托代理人：</w:t>
      </w:r>
    </w:p>
    <w:p>
      <w:pPr>
        <w:spacing w:line="360" w:lineRule="auto"/>
        <w:rPr>
          <w:rFonts w:ascii="宋体" w:hAnsi="宋体" w:cs="宋体"/>
          <w:bCs/>
          <w:szCs w:val="21"/>
        </w:rPr>
      </w:pPr>
      <w:r>
        <w:rPr>
          <w:rFonts w:hint="eastAsia" w:ascii="宋体" w:hAnsi="宋体" w:cs="宋体"/>
          <w:bCs/>
          <w:szCs w:val="21"/>
        </w:rPr>
        <w:t>电　　　话：　　　　                             电　　　话：</w:t>
      </w:r>
    </w:p>
    <w:p>
      <w:pPr>
        <w:spacing w:line="360" w:lineRule="auto"/>
        <w:rPr>
          <w:rFonts w:ascii="宋体" w:hAnsi="宋体" w:cs="宋体"/>
          <w:bCs/>
          <w:szCs w:val="21"/>
        </w:rPr>
      </w:pPr>
      <w:r>
        <w:rPr>
          <w:rFonts w:hint="eastAsia" w:ascii="宋体" w:hAnsi="宋体" w:cs="宋体"/>
          <w:bCs/>
          <w:szCs w:val="21"/>
        </w:rPr>
        <w:t>邮　　　编：　　　　　　　                       邮　　　编：</w:t>
      </w:r>
    </w:p>
    <w:p>
      <w:pPr>
        <w:spacing w:line="360" w:lineRule="auto"/>
        <w:rPr>
          <w:rFonts w:ascii="宋体" w:hAnsi="宋体" w:cs="宋体"/>
          <w:bCs/>
          <w:szCs w:val="21"/>
        </w:rPr>
      </w:pPr>
      <w:r>
        <w:rPr>
          <w:rFonts w:hint="eastAsia" w:ascii="宋体" w:hAnsi="宋体" w:cs="宋体"/>
          <w:bCs/>
          <w:spacing w:val="36"/>
          <w:szCs w:val="21"/>
        </w:rPr>
        <w:t>签订时间</w:t>
      </w:r>
      <w:r>
        <w:rPr>
          <w:rFonts w:hint="eastAsia" w:ascii="宋体" w:hAnsi="宋体" w:cs="宋体"/>
          <w:bCs/>
          <w:szCs w:val="21"/>
        </w:rPr>
        <w:t>：2023年    月    日　              　</w:t>
      </w:r>
      <w:r>
        <w:rPr>
          <w:rFonts w:hint="eastAsia" w:ascii="宋体" w:hAnsi="宋体" w:cs="宋体"/>
          <w:bCs/>
          <w:spacing w:val="36"/>
          <w:szCs w:val="21"/>
        </w:rPr>
        <w:t>签订时间</w:t>
      </w:r>
      <w:r>
        <w:rPr>
          <w:rFonts w:hint="eastAsia" w:ascii="宋体" w:hAnsi="宋体" w:cs="宋体"/>
          <w:bCs/>
          <w:szCs w:val="21"/>
        </w:rPr>
        <w:t>：2023年   月    日</w:t>
      </w:r>
    </w:p>
    <w:p>
      <w:pPr>
        <w:autoSpaceDE w:val="0"/>
        <w:autoSpaceDN w:val="0"/>
        <w:adjustRightInd w:val="0"/>
        <w:snapToGrid w:val="0"/>
        <w:spacing w:line="360" w:lineRule="auto"/>
        <w:ind w:firstLine="561"/>
        <w:rPr>
          <w:rFonts w:ascii="宋体" w:hAnsi="宋体" w:cs="宋体"/>
          <w:bCs/>
          <w:szCs w:val="21"/>
        </w:rPr>
      </w:pPr>
    </w:p>
    <w:p>
      <w:pPr>
        <w:autoSpaceDE w:val="0"/>
        <w:autoSpaceDN w:val="0"/>
        <w:adjustRightInd w:val="0"/>
        <w:snapToGrid w:val="0"/>
        <w:spacing w:line="360" w:lineRule="auto"/>
        <w:rPr>
          <w:rFonts w:ascii="宋体" w:hAnsi="宋体" w:cs="宋体"/>
          <w:bCs/>
          <w:szCs w:val="21"/>
        </w:rPr>
      </w:pPr>
    </w:p>
    <w:p>
      <w:pPr>
        <w:autoSpaceDE w:val="0"/>
        <w:autoSpaceDN w:val="0"/>
        <w:adjustRightInd w:val="0"/>
        <w:snapToGrid w:val="0"/>
        <w:spacing w:line="360" w:lineRule="auto"/>
        <w:rPr>
          <w:rFonts w:ascii="宋体" w:hAnsi="宋体" w:cs="宋体"/>
          <w:szCs w:val="21"/>
        </w:rPr>
      </w:pPr>
    </w:p>
    <w:p>
      <w:pPr>
        <w:spacing w:line="360" w:lineRule="auto"/>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rPr>
          <w:rFonts w:ascii="宋体" w:hAnsi="宋体" w:cs="宋体"/>
          <w:szCs w:val="21"/>
        </w:rPr>
      </w:pPr>
      <w:r>
        <w:rPr>
          <w:rFonts w:hint="eastAsia" w:ascii="宋体" w:hAnsi="宋体" w:cs="宋体"/>
          <w:szCs w:val="21"/>
        </w:rPr>
        <w:br w:type="page"/>
      </w:r>
    </w:p>
    <w:p>
      <w:pPr>
        <w:spacing w:line="360" w:lineRule="auto"/>
        <w:jc w:val="center"/>
        <w:rPr>
          <w:rFonts w:ascii="宋体" w:hAnsi="宋体" w:cs="宋体"/>
          <w:b/>
          <w:bCs/>
          <w:sz w:val="32"/>
          <w:szCs w:val="32"/>
        </w:rPr>
      </w:pPr>
      <w:r>
        <w:rPr>
          <w:rFonts w:hint="eastAsia" w:ascii="宋体" w:hAnsi="宋体" w:cs="宋体"/>
          <w:b/>
          <w:bCs/>
          <w:sz w:val="32"/>
          <w:szCs w:val="32"/>
        </w:rPr>
        <w:t>廉洁协议书</w:t>
      </w:r>
    </w:p>
    <w:p>
      <w:pPr>
        <w:spacing w:line="360" w:lineRule="auto"/>
        <w:rPr>
          <w:rFonts w:ascii="宋体" w:hAnsi="宋体" w:cs="宋体"/>
          <w:szCs w:val="21"/>
        </w:rPr>
      </w:pPr>
      <w:r>
        <w:rPr>
          <w:rFonts w:hint="eastAsia" w:ascii="宋体" w:hAnsi="宋体" w:cs="宋体"/>
          <w:szCs w:val="21"/>
        </w:rPr>
        <w:t>甲  方：</w:t>
      </w:r>
    </w:p>
    <w:p>
      <w:pPr>
        <w:spacing w:line="360" w:lineRule="auto"/>
        <w:rPr>
          <w:rFonts w:ascii="宋体" w:hAnsi="宋体" w:cs="宋体"/>
          <w:szCs w:val="21"/>
        </w:rPr>
      </w:pPr>
      <w:r>
        <w:rPr>
          <w:rFonts w:hint="eastAsia" w:ascii="宋体" w:hAnsi="宋体" w:cs="宋体"/>
          <w:szCs w:val="21"/>
        </w:rPr>
        <w:t>乙  方：</w:t>
      </w:r>
    </w:p>
    <w:p>
      <w:pPr>
        <w:spacing w:line="360" w:lineRule="auto"/>
        <w:rPr>
          <w:rFonts w:ascii="宋体" w:hAnsi="宋体" w:cs="宋体"/>
          <w:szCs w:val="21"/>
        </w:rPr>
      </w:pPr>
      <w:r>
        <w:rPr>
          <w:rFonts w:hint="eastAsia" w:ascii="宋体" w:hAnsi="宋体" w:cs="宋体"/>
          <w:szCs w:val="21"/>
        </w:rPr>
        <w:t>项目名称：</w:t>
      </w:r>
    </w:p>
    <w:p>
      <w:pPr>
        <w:spacing w:line="360" w:lineRule="auto"/>
        <w:ind w:firstLine="420" w:firstLineChars="200"/>
        <w:rPr>
          <w:rFonts w:ascii="宋体" w:hAnsi="宋体" w:cs="宋体"/>
          <w:szCs w:val="21"/>
        </w:rPr>
      </w:pPr>
      <w:r>
        <w:rPr>
          <w:rFonts w:hint="eastAsia" w:ascii="宋体" w:hAnsi="宋体" w:cs="宋体"/>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第一条 甲、乙双方的共同责任</w:t>
      </w:r>
    </w:p>
    <w:p>
      <w:pPr>
        <w:spacing w:line="360" w:lineRule="auto"/>
        <w:ind w:firstLine="420" w:firstLineChars="200"/>
        <w:rPr>
          <w:rFonts w:ascii="宋体" w:hAnsi="宋体" w:cs="宋体"/>
          <w:szCs w:val="21"/>
        </w:rPr>
      </w:pPr>
      <w:r>
        <w:rPr>
          <w:rFonts w:hint="eastAsia" w:ascii="宋体" w:hAnsi="宋体" w:cs="宋体"/>
          <w:szCs w:val="21"/>
        </w:rPr>
        <w:t>1、应自觉遵守国家、地方及建设单位有关廉政建设的各项制度和规定。</w:t>
      </w:r>
    </w:p>
    <w:p>
      <w:pPr>
        <w:spacing w:line="360" w:lineRule="auto"/>
        <w:ind w:firstLine="420" w:firstLineChars="200"/>
        <w:rPr>
          <w:rFonts w:ascii="宋体" w:hAnsi="宋体" w:cs="宋体"/>
          <w:szCs w:val="21"/>
        </w:rPr>
      </w:pPr>
      <w:r>
        <w:rPr>
          <w:rFonts w:hint="eastAsia" w:ascii="宋体" w:hAnsi="宋体" w:cs="宋体"/>
          <w:szCs w:val="21"/>
        </w:rPr>
        <w:t>2、严格履行合同约定，自觉承担合同义务。</w:t>
      </w:r>
    </w:p>
    <w:p>
      <w:pPr>
        <w:spacing w:line="360" w:lineRule="auto"/>
        <w:ind w:firstLine="420" w:firstLineChars="200"/>
        <w:rPr>
          <w:rFonts w:ascii="宋体" w:hAnsi="宋体" w:cs="宋体"/>
          <w:szCs w:val="21"/>
        </w:rPr>
      </w:pPr>
      <w:r>
        <w:rPr>
          <w:rFonts w:hint="eastAsia" w:ascii="宋体" w:hAnsi="宋体" w:cs="宋体"/>
          <w:szCs w:val="21"/>
        </w:rPr>
        <w:t>3、开展业务活动必须坚持自愿、公平、公开、公正和诚实守信的原则，不得为谋取不正当利益损害国家、集体和双方权益。</w:t>
      </w:r>
    </w:p>
    <w:p>
      <w:pPr>
        <w:spacing w:line="360" w:lineRule="auto"/>
        <w:ind w:firstLine="420" w:firstLineChars="200"/>
        <w:rPr>
          <w:rFonts w:ascii="宋体" w:hAnsi="宋体" w:cs="宋体"/>
          <w:szCs w:val="21"/>
        </w:rPr>
      </w:pPr>
      <w:r>
        <w:rPr>
          <w:rFonts w:hint="eastAsia" w:ascii="宋体" w:hAnsi="宋体" w:cs="宋体"/>
          <w:szCs w:val="21"/>
        </w:rPr>
        <w:t>4、建立健全自我制约制度，开展廉洁教育，增强廉洁意识，公布举报电话，监督并认真查处违规违纪违法行为。</w:t>
      </w:r>
    </w:p>
    <w:p>
      <w:pPr>
        <w:pStyle w:val="3"/>
        <w:spacing w:before="0" w:after="0" w:line="360" w:lineRule="auto"/>
        <w:rPr>
          <w:rFonts w:ascii="宋体" w:hAnsi="宋体" w:cs="宋体"/>
          <w:b w:val="0"/>
          <w:kern w:val="2"/>
          <w:sz w:val="21"/>
          <w:szCs w:val="21"/>
        </w:rPr>
      </w:pPr>
      <w:r>
        <w:rPr>
          <w:rFonts w:hint="eastAsia" w:ascii="宋体" w:hAnsi="宋体" w:cs="宋体"/>
          <w:b w:val="0"/>
          <w:kern w:val="2"/>
          <w:sz w:val="21"/>
          <w:szCs w:val="21"/>
        </w:rPr>
        <w:t xml:space="preserve">   5、不得有其他妨碍正常交易的违法行为。</w:t>
      </w:r>
    </w:p>
    <w:p>
      <w:pPr>
        <w:spacing w:line="360" w:lineRule="auto"/>
        <w:ind w:firstLine="422" w:firstLineChars="200"/>
        <w:rPr>
          <w:rFonts w:ascii="宋体" w:hAnsi="宋体" w:cs="宋体"/>
          <w:b/>
          <w:bCs/>
          <w:szCs w:val="21"/>
        </w:rPr>
      </w:pPr>
      <w:r>
        <w:rPr>
          <w:rFonts w:hint="eastAsia" w:ascii="宋体" w:hAnsi="宋体" w:cs="宋体"/>
          <w:b/>
          <w:bCs/>
          <w:szCs w:val="21"/>
        </w:rPr>
        <w:t>第二条 甲方的责任</w:t>
      </w:r>
    </w:p>
    <w:p>
      <w:pPr>
        <w:spacing w:line="360" w:lineRule="auto"/>
        <w:ind w:firstLine="420" w:firstLineChars="200"/>
        <w:rPr>
          <w:rFonts w:ascii="宋体" w:hAnsi="宋体" w:cs="宋体"/>
          <w:szCs w:val="21"/>
        </w:rPr>
      </w:pPr>
      <w:r>
        <w:rPr>
          <w:rFonts w:hint="eastAsia" w:ascii="宋体" w:hAnsi="宋体" w:cs="宋体"/>
          <w:szCs w:val="21"/>
        </w:rPr>
        <w:t>1、甲方应按照自愿、公平、公正、公开和诚实守信的原则开展各项业务活动，为乙方提供公平的竞争环境与平台。</w:t>
      </w:r>
    </w:p>
    <w:p>
      <w:pPr>
        <w:spacing w:line="360" w:lineRule="auto"/>
        <w:ind w:firstLine="420" w:firstLineChars="200"/>
        <w:rPr>
          <w:rFonts w:ascii="宋体" w:hAnsi="宋体" w:cs="宋体"/>
          <w:szCs w:val="21"/>
        </w:rPr>
      </w:pPr>
      <w:r>
        <w:rPr>
          <w:rFonts w:hint="eastAsia" w:ascii="宋体" w:hAnsi="宋体" w:cs="宋体"/>
          <w:szCs w:val="21"/>
        </w:rPr>
        <w:t>2、甲方应严格遵守公司对外服务“五条禁令”：严禁接受服务对象、业务单位的礼金、宴请；严禁违规收费；严禁越权动用供水设施；严禁私揽供水工程；严禁工作期间饮酒和擅离岗位。</w:t>
      </w:r>
    </w:p>
    <w:p>
      <w:pPr>
        <w:spacing w:line="360" w:lineRule="auto"/>
        <w:ind w:firstLine="420" w:firstLineChars="200"/>
        <w:rPr>
          <w:rFonts w:ascii="宋体" w:hAnsi="宋体" w:cs="宋体"/>
          <w:szCs w:val="21"/>
        </w:rPr>
      </w:pPr>
      <w:r>
        <w:rPr>
          <w:rFonts w:hint="eastAsia" w:ascii="宋体" w:hAnsi="宋体" w:cs="宋体"/>
          <w:szCs w:val="21"/>
        </w:rPr>
        <w:t>3、甲方不得以任何理由要求乙方为其亲属、朋友等安排工作。</w:t>
      </w:r>
    </w:p>
    <w:p>
      <w:pPr>
        <w:spacing w:line="360" w:lineRule="auto"/>
        <w:ind w:firstLine="420" w:firstLineChars="200"/>
        <w:rPr>
          <w:rFonts w:ascii="宋体" w:hAnsi="宋体" w:cs="宋体"/>
          <w:szCs w:val="21"/>
        </w:rPr>
      </w:pPr>
      <w:r>
        <w:rPr>
          <w:rFonts w:hint="eastAsia" w:ascii="宋体" w:hAnsi="宋体" w:cs="宋体"/>
          <w:szCs w:val="21"/>
        </w:rPr>
        <w:t>4、甲方不得要求乙方及相关单位报销任何应由甲方或个人支付的费用。</w:t>
      </w:r>
    </w:p>
    <w:p>
      <w:pPr>
        <w:spacing w:line="360" w:lineRule="auto"/>
        <w:ind w:firstLine="420" w:firstLineChars="200"/>
        <w:rPr>
          <w:rFonts w:ascii="宋体" w:hAnsi="宋体" w:cs="宋体"/>
          <w:szCs w:val="21"/>
        </w:rPr>
      </w:pPr>
      <w:r>
        <w:rPr>
          <w:rFonts w:hint="eastAsia" w:ascii="宋体" w:hAnsi="宋体" w:cs="宋体"/>
          <w:szCs w:val="21"/>
        </w:rPr>
        <w:t>5、甲方不得参与影响相关双方正常工作和公正开展的其他活动。</w:t>
      </w:r>
    </w:p>
    <w:p>
      <w:pPr>
        <w:spacing w:line="360" w:lineRule="auto"/>
        <w:ind w:firstLine="420" w:firstLineChars="200"/>
        <w:rPr>
          <w:rFonts w:ascii="宋体" w:hAnsi="宋体" w:cs="宋体"/>
          <w:szCs w:val="21"/>
        </w:rPr>
      </w:pPr>
      <w:r>
        <w:rPr>
          <w:rFonts w:hint="eastAsia" w:ascii="宋体" w:hAnsi="宋体" w:cs="宋体"/>
          <w:szCs w:val="21"/>
        </w:rPr>
        <w:t>6、甲方不得向乙方泄露涉及有关业务活动的秘密。</w:t>
      </w:r>
    </w:p>
    <w:p>
      <w:pPr>
        <w:spacing w:line="360" w:lineRule="auto"/>
        <w:ind w:firstLine="420" w:firstLineChars="200"/>
        <w:rPr>
          <w:rFonts w:ascii="宋体" w:hAnsi="宋体" w:cs="宋体"/>
          <w:szCs w:val="21"/>
        </w:rPr>
      </w:pPr>
      <w:r>
        <w:rPr>
          <w:rFonts w:hint="eastAsia" w:ascii="宋体" w:hAnsi="宋体" w:cs="宋体"/>
          <w:szCs w:val="21"/>
        </w:rPr>
        <w:t>7、甲方要求参与公司业务活动的本公司员工主动申报与乙方的关联关系，包括但不限于存在亲属关系、利益关联体等。</w:t>
      </w:r>
    </w:p>
    <w:p>
      <w:pPr>
        <w:spacing w:line="360" w:lineRule="auto"/>
        <w:ind w:firstLine="420" w:firstLineChars="200"/>
        <w:rPr>
          <w:rFonts w:ascii="宋体" w:hAnsi="宋体" w:cs="宋体"/>
          <w:szCs w:val="21"/>
        </w:rPr>
      </w:pPr>
      <w:r>
        <w:rPr>
          <w:rFonts w:hint="eastAsia" w:ascii="宋体" w:hAnsi="宋体" w:cs="宋体"/>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360" w:lineRule="auto"/>
        <w:ind w:firstLine="420" w:firstLineChars="200"/>
        <w:rPr>
          <w:rFonts w:ascii="宋体" w:hAnsi="宋体" w:cs="宋体"/>
          <w:szCs w:val="21"/>
        </w:rPr>
      </w:pPr>
      <w:r>
        <w:rPr>
          <w:rFonts w:hint="eastAsia" w:ascii="宋体" w:hAnsi="宋体" w:cs="宋体"/>
          <w:szCs w:val="21"/>
        </w:rPr>
        <w:t>9、在合同订立及履行过程中，如乙方人员有行贿行为的，甲方应坚决拒绝，及时向公司领导、纪检监察部门或乙方上级领导或有关部门举报，并向双方单位通报。</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第三条 乙方的责任</w:t>
      </w:r>
    </w:p>
    <w:p>
      <w:pPr>
        <w:spacing w:line="360" w:lineRule="auto"/>
        <w:ind w:firstLine="420" w:firstLineChars="200"/>
        <w:rPr>
          <w:rFonts w:ascii="宋体" w:hAnsi="宋体" w:cs="宋体"/>
          <w:szCs w:val="21"/>
        </w:rPr>
      </w:pPr>
      <w:r>
        <w:rPr>
          <w:rFonts w:hint="eastAsia" w:ascii="宋体" w:hAnsi="宋体" w:cs="宋体"/>
          <w:szCs w:val="21"/>
        </w:rPr>
        <w:t>1、乙方应主动如实向甲方申报是否与甲方员工存在亲属关系、利益关联体关系，是否有甲方在岗或离职人员担任乙方重要岗位等情况。</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2、乙方不得接受甲方工作人员介绍的家属或者亲友从事与合同相关的业务，包括但不限于作为乙方的材料供应方、服务提供方等。</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3、乙方不得为谋取利益擅自与甲方就工程承包、工程费用、材料设备供应、工程量变动、工程验收、工程质量问题处理进行私下商谈或者达成默契。</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4、乙方不得与其他单位串通投标、不得采取恶性竞争等不正当手段竞争业务。</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5、乙方应当通过正常途径开展相关工作，不得以任何理由或者形式向甲方工作人员（含配偶、子女及其他特定关系人，同下）提供或赠送礼金、有价证券、贵重物品及手续费、回扣、好处费、感谢费等。</w:t>
      </w:r>
    </w:p>
    <w:p>
      <w:pPr>
        <w:pStyle w:val="3"/>
        <w:spacing w:before="0" w:after="0" w:line="360" w:lineRule="auto"/>
        <w:ind w:firstLine="420" w:firstLineChars="200"/>
        <w:rPr>
          <w:rFonts w:ascii="宋体" w:hAnsi="宋体" w:cs="宋体"/>
          <w:b w:val="0"/>
          <w:bCs/>
          <w:sz w:val="21"/>
          <w:szCs w:val="21"/>
        </w:rPr>
      </w:pPr>
      <w:r>
        <w:rPr>
          <w:rFonts w:hint="eastAsia" w:ascii="宋体" w:hAnsi="宋体" w:cs="宋体"/>
          <w:b w:val="0"/>
          <w:bCs/>
          <w:sz w:val="21"/>
          <w:szCs w:val="21"/>
        </w:rPr>
        <w:t>6、乙方不得以任何理由或任何形式邀请甲方工作人员参加有可能影响廉洁、公正的宴请、健身、旅游、娱乐活动。</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7、乙方不得和甲方人员及其亲属发生任何形式的经济往来，包含但不限于个人借款、任何形式的费用报销、婚丧嫁娶、工作安排、出国、留学等。</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8、乙方不得向甲方员工及其家属购置、提供任何住房、装修、交通工具、通讯工具、家电、高档办公用品等物品。</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9、乙方有义务监督甲方员工廉洁从业，对违反者，有向甲方反馈和举报的权利和义务。</w:t>
      </w:r>
    </w:p>
    <w:p>
      <w:pPr>
        <w:pStyle w:val="10"/>
        <w:spacing w:beforeAutospacing="0" w:afterAutospacing="0" w:line="360" w:lineRule="auto"/>
        <w:ind w:firstLine="420" w:firstLineChars="200"/>
        <w:rPr>
          <w:rFonts w:ascii="宋体" w:hAnsi="宋体" w:cs="宋体"/>
          <w:b/>
          <w:bCs/>
          <w:sz w:val="21"/>
          <w:szCs w:val="21"/>
        </w:rPr>
      </w:pPr>
      <w:r>
        <w:rPr>
          <w:rFonts w:hint="eastAsia" w:ascii="宋体" w:hAnsi="宋体" w:cs="宋体"/>
          <w:sz w:val="21"/>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360" w:lineRule="auto"/>
        <w:ind w:firstLine="422" w:firstLineChars="200"/>
        <w:rPr>
          <w:rFonts w:ascii="宋体" w:hAnsi="宋体" w:cs="宋体"/>
          <w:b/>
          <w:bCs/>
          <w:szCs w:val="21"/>
        </w:rPr>
      </w:pPr>
      <w:r>
        <w:rPr>
          <w:rFonts w:hint="eastAsia" w:ascii="宋体" w:hAnsi="宋体" w:cs="宋体"/>
          <w:b/>
          <w:bCs/>
          <w:szCs w:val="21"/>
        </w:rPr>
        <w:t xml:space="preserve">第四条 违约责任 </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360" w:lineRule="auto"/>
        <w:ind w:firstLine="420" w:firstLineChars="200"/>
        <w:rPr>
          <w:rFonts w:ascii="宋体" w:hAnsi="宋体" w:cs="宋体"/>
          <w:szCs w:val="21"/>
        </w:rPr>
      </w:pPr>
      <w:r>
        <w:rPr>
          <w:rFonts w:hint="eastAsia" w:ascii="宋体" w:hAnsi="宋体" w:cs="宋体"/>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7"/>
        <w:spacing w:line="360" w:lineRule="auto"/>
        <w:ind w:firstLine="420" w:firstLineChars="200"/>
        <w:rPr>
          <w:rFonts w:hAnsi="宋体" w:cs="宋体"/>
        </w:rPr>
      </w:pPr>
      <w:r>
        <w:rPr>
          <w:rFonts w:hint="eastAsia" w:hAnsi="宋体" w:cs="宋体"/>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360" w:lineRule="auto"/>
        <w:ind w:firstLine="422" w:firstLineChars="200"/>
        <w:rPr>
          <w:rFonts w:ascii="宋体" w:hAnsi="宋体" w:cs="宋体"/>
          <w:szCs w:val="21"/>
        </w:rPr>
      </w:pPr>
      <w:r>
        <w:rPr>
          <w:rFonts w:hint="eastAsia" w:ascii="宋体" w:hAnsi="宋体" w:cs="宋体"/>
          <w:b/>
          <w:bCs/>
          <w:szCs w:val="21"/>
        </w:rPr>
        <w:t>第五条 其他约定</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1、本协议作为</w:t>
      </w:r>
      <w:r>
        <w:rPr>
          <w:rFonts w:hint="eastAsia" w:ascii="宋体" w:hAnsi="宋体" w:cs="宋体"/>
          <w:color w:val="FF0000"/>
          <w:sz w:val="21"/>
          <w:szCs w:val="21"/>
        </w:rPr>
        <w:t>（＊项目全称）</w:t>
      </w:r>
      <w:r>
        <w:rPr>
          <w:rFonts w:hint="eastAsia" w:ascii="宋体" w:hAnsi="宋体" w:cs="宋体"/>
          <w:sz w:val="21"/>
          <w:szCs w:val="21"/>
        </w:rPr>
        <w:t>合同的附件应一并签订、保管，与该合同具有同等法律效力，经双方签署后立即生效。</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2、本协议未尽事宜，双方可增补条款，增补内容如下：</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（1）</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（2）</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（3）</w:t>
      </w:r>
    </w:p>
    <w:p>
      <w:pPr>
        <w:pStyle w:val="10"/>
        <w:spacing w:beforeAutospacing="0" w:afterAutospacing="0" w:line="360" w:lineRule="auto"/>
        <w:ind w:firstLine="840" w:firstLineChars="400"/>
        <w:rPr>
          <w:rFonts w:ascii="宋体" w:hAnsi="宋体" w:cs="宋体"/>
          <w:sz w:val="21"/>
          <w:szCs w:val="21"/>
        </w:rPr>
      </w:pPr>
      <w:r>
        <w:rPr>
          <w:rFonts w:hint="eastAsia" w:ascii="宋体" w:hAnsi="宋体" w:cs="宋体"/>
          <w:sz w:val="21"/>
          <w:szCs w:val="21"/>
        </w:rPr>
        <w:t>......</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3、本协议的有效期为双方签字盖章之日起至项目合同履行完成时止。</w:t>
      </w:r>
    </w:p>
    <w:p>
      <w:pPr>
        <w:pStyle w:val="10"/>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4、为增进双方的沟通了解，甲方审计、纪检监察部门会与乙方进行非定期的访谈，乙方需予以配合。</w:t>
      </w:r>
    </w:p>
    <w:p>
      <w:pPr>
        <w:pStyle w:val="10"/>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5、乙方对甲方员工有任何意见、建议等，可向甲方审计、纪检监察部门反映，甲方将按规定对反映人、反映情况及个人联系方式进行保密。</w:t>
      </w:r>
    </w:p>
    <w:p>
      <w:pPr>
        <w:spacing w:line="360" w:lineRule="auto"/>
        <w:ind w:firstLine="420" w:firstLineChars="200"/>
        <w:rPr>
          <w:rFonts w:ascii="宋体" w:hAnsi="宋体" w:cs="宋体"/>
          <w:szCs w:val="21"/>
        </w:rPr>
      </w:pPr>
      <w:r>
        <w:rPr>
          <w:rFonts w:hint="eastAsia" w:ascii="宋体" w:hAnsi="宋体" w:cs="宋体"/>
          <w:szCs w:val="21"/>
        </w:rPr>
        <w:t>6、对于支持审计、纪检监察工作和敢于揭露甲方有廉洁违规行为的乙方，甲方将优先考虑与其合作。</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7、甲方举报电话：0514-82883093；邮箱：</w:t>
      </w:r>
      <w:r>
        <w:fldChar w:fldCharType="begin"/>
      </w:r>
      <w:r>
        <w:instrText xml:space="preserve"> HYPERLINK "mailto:cjswjw@163.com" </w:instrText>
      </w:r>
      <w:r>
        <w:fldChar w:fldCharType="separate"/>
      </w:r>
      <w:r>
        <w:rPr>
          <w:rStyle w:val="14"/>
          <w:rFonts w:hint="eastAsia" w:ascii="宋体" w:hAnsi="宋体" w:cs="宋体"/>
          <w:color w:val="auto"/>
          <w:sz w:val="21"/>
          <w:szCs w:val="21"/>
        </w:rPr>
        <w:t>cjswjw@163.com</w:t>
      </w:r>
      <w:r>
        <w:rPr>
          <w:rStyle w:val="14"/>
          <w:rFonts w:hint="eastAsia" w:ascii="宋体" w:hAnsi="宋体" w:cs="宋体"/>
          <w:color w:val="auto"/>
          <w:sz w:val="21"/>
          <w:szCs w:val="21"/>
        </w:rPr>
        <w:fldChar w:fldCharType="end"/>
      </w:r>
      <w:r>
        <w:rPr>
          <w:rFonts w:hint="eastAsia" w:ascii="宋体" w:hAnsi="宋体" w:cs="宋体"/>
          <w:sz w:val="21"/>
          <w:szCs w:val="21"/>
        </w:rPr>
        <w:t>。</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 xml:space="preserve">     乙方举报电话：；邮箱：。</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8、本协议书一式四份，甲（纪委办留存一份）乙双方各执两份。</w:t>
      </w:r>
    </w:p>
    <w:p>
      <w:pPr>
        <w:pStyle w:val="7"/>
        <w:spacing w:beforeLines="50" w:line="360" w:lineRule="auto"/>
        <w:rPr>
          <w:rFonts w:hAnsi="宋体" w:cs="宋体"/>
        </w:rPr>
      </w:pPr>
      <w:r>
        <w:rPr>
          <w:rFonts w:hint="eastAsia" w:hAnsi="宋体" w:cs="宋体"/>
        </w:rPr>
        <w:t xml:space="preserve">甲方单位（盖章）： 江苏长江水务股份有限公司   乙方单位（盖章）：      </w:t>
      </w:r>
    </w:p>
    <w:p>
      <w:pPr>
        <w:pStyle w:val="7"/>
        <w:spacing w:line="360" w:lineRule="auto"/>
        <w:rPr>
          <w:rFonts w:hAnsi="宋体" w:cs="宋体"/>
        </w:rPr>
      </w:pPr>
      <w:r>
        <w:rPr>
          <w:rFonts w:hint="eastAsia" w:hAnsi="宋体" w:cs="宋体"/>
        </w:rPr>
        <w:t>法定代表人（签字）：           法定代表人（签字）：</w:t>
      </w:r>
    </w:p>
    <w:p>
      <w:pPr>
        <w:pStyle w:val="7"/>
        <w:spacing w:line="360" w:lineRule="auto"/>
        <w:rPr>
          <w:rFonts w:hAnsi="宋体" w:cs="宋体"/>
        </w:rPr>
      </w:pPr>
      <w:r>
        <w:rPr>
          <w:rFonts w:hint="eastAsia" w:hAnsi="宋体" w:cs="宋体"/>
        </w:rPr>
        <w:t>委托代理人（签字）：            委托代理人（签字）：</w:t>
      </w:r>
    </w:p>
    <w:p>
      <w:pPr>
        <w:pStyle w:val="7"/>
        <w:spacing w:line="360" w:lineRule="auto"/>
        <w:rPr>
          <w:rFonts w:hAnsi="宋体" w:cs="宋体"/>
        </w:rPr>
      </w:pPr>
      <w:r>
        <w:rPr>
          <w:rFonts w:hint="eastAsia" w:hAnsi="宋体" w:cs="宋体"/>
        </w:rPr>
        <w:t>地  址：                        地  址：</w:t>
      </w:r>
    </w:p>
    <w:p>
      <w:pPr>
        <w:pStyle w:val="7"/>
        <w:spacing w:line="360" w:lineRule="auto"/>
        <w:rPr>
          <w:rFonts w:hAnsi="宋体" w:cs="宋体"/>
        </w:rPr>
      </w:pPr>
      <w:r>
        <w:rPr>
          <w:rFonts w:hint="eastAsia" w:hAnsi="宋体" w:cs="宋体"/>
        </w:rPr>
        <w:t xml:space="preserve">＊联系方式：0514-82980012                    ＊ 联系方式：             </w:t>
      </w:r>
    </w:p>
    <w:p>
      <w:pPr>
        <w:pStyle w:val="7"/>
        <w:spacing w:line="360" w:lineRule="auto"/>
        <w:ind w:firstLine="1680" w:firstLineChars="800"/>
        <w:rPr>
          <w:rFonts w:hAnsi="宋体" w:cs="宋体"/>
        </w:rPr>
      </w:pPr>
      <w:r>
        <w:rPr>
          <w:rFonts w:hint="eastAsia" w:hAnsi="宋体" w:cs="宋体"/>
        </w:rPr>
        <w:t xml:space="preserve">年  月  日                   年  月  日 </w:t>
      </w:r>
    </w:p>
    <w:p>
      <w:pPr>
        <w:pStyle w:val="7"/>
        <w:spacing w:line="360" w:lineRule="auto"/>
        <w:ind w:firstLine="420" w:firstLineChars="200"/>
        <w:rPr>
          <w:rFonts w:hAnsi="宋体" w:cs="宋体"/>
        </w:rPr>
      </w:pPr>
      <w:r>
        <w:rPr>
          <w:rFonts w:hint="eastAsia" w:hAnsi="宋体" w:cs="宋体"/>
        </w:rPr>
        <w:t>“＊”为必填项</w: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UJ8kWxgEAAJsDAAAOAAAAAAAAAAEAIAAAAB4BAABkcnMvZTJvRG9jLnht&#10;bFBLBQYAAAAABgAGAFkBAABW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rPr>
                        <w:rFonts w:hint="eastAsia"/>
                      </w:rP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0E78056B"/>
    <w:rsid w:val="00082A12"/>
    <w:rsid w:val="001457F9"/>
    <w:rsid w:val="00223976"/>
    <w:rsid w:val="005737F2"/>
    <w:rsid w:val="00631FFA"/>
    <w:rsid w:val="00B97AD0"/>
    <w:rsid w:val="00EF18EC"/>
    <w:rsid w:val="08753143"/>
    <w:rsid w:val="0A4A1628"/>
    <w:rsid w:val="0E78056B"/>
    <w:rsid w:val="229F7057"/>
    <w:rsid w:val="29591D28"/>
    <w:rsid w:val="2C0F34AC"/>
    <w:rsid w:val="32CE6B16"/>
    <w:rsid w:val="3DDA6C4A"/>
    <w:rsid w:val="400D3523"/>
    <w:rsid w:val="42004FD7"/>
    <w:rsid w:val="4D151ABA"/>
    <w:rsid w:val="67DA1CEF"/>
    <w:rsid w:val="7EDF02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Lines="20" w:afterLines="20"/>
      <w:outlineLvl w:val="0"/>
    </w:pPr>
    <w:rPr>
      <w:bCs/>
      <w:kern w:val="44"/>
      <w:sz w:val="30"/>
      <w:szCs w:val="44"/>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pPr>
    <w:rPr>
      <w:sz w:val="24"/>
    </w:rPr>
  </w:style>
  <w:style w:type="paragraph" w:styleId="11">
    <w:name w:val="Title"/>
    <w:basedOn w:val="1"/>
    <w:qFormat/>
    <w:uiPriority w:val="0"/>
    <w:pPr>
      <w:spacing w:before="120" w:after="120"/>
      <w:jc w:val="center"/>
    </w:pPr>
    <w:rPr>
      <w:rFonts w:eastAsia="黑体"/>
      <w:b/>
      <w:sz w:val="32"/>
    </w:rPr>
  </w:style>
  <w:style w:type="character" w:styleId="14">
    <w:name w:val="Hyperlink"/>
    <w:basedOn w:val="13"/>
    <w:unhideWhenUsed/>
    <w:qFormat/>
    <w:uiPriority w:val="99"/>
    <w:rPr>
      <w:color w:val="0026E5" w:themeColor="hyperlink"/>
      <w:u w:val="single"/>
      <w14:textFill>
        <w14:solidFill>
          <w14:schemeClr w14:val="hlink"/>
        </w14:solidFill>
      </w14:textFill>
    </w:rPr>
  </w:style>
  <w:style w:type="paragraph" w:customStyle="1" w:styleId="15">
    <w:name w:val="首行缩进"/>
    <w:basedOn w:val="1"/>
    <w:qFormat/>
    <w:uiPriority w:val="99"/>
    <w:pPr>
      <w:spacing w:line="360" w:lineRule="auto"/>
      <w:ind w:firstLine="480"/>
      <w:jc w:val="left"/>
    </w:pPr>
    <w:rPr>
      <w:rFonts w:ascii="宋体" w:hAnsi="宋体"/>
      <w:sz w:val="24"/>
    </w:rPr>
  </w:style>
  <w:style w:type="paragraph" w:customStyle="1" w:styleId="1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2991</Words>
  <Characters>17055</Characters>
  <Lines>142</Lines>
  <Paragraphs>40</Paragraphs>
  <TotalTime>162</TotalTime>
  <ScaleCrop>false</ScaleCrop>
  <LinksUpToDate>false</LinksUpToDate>
  <CharactersWithSpaces>20006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2023-10-07T06:50:00Z</dcterms:created>
  <dc:creator>一念执着</dc:creator>
  <cp:lastModifiedBy>一念执着</cp:lastModifiedBy>
  <cp:lastPrinted>2023-10-09T06:41:00Z</cp:lastPrinted>
  <dcterms:modified xsi:type="dcterms:W3CDTF">2023-10-10T07:15:52Z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158CC32EF1CA4A41B6B6933B18C532B2_13</vt:lpwstr>
  </property>
</Properties>
</file>