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360" w:lineRule="auto"/>
        <w:jc w:val="center"/>
        <w:rPr>
          <w:rFonts w:hint="eastAsia" w:eastAsia="黑体"/>
          <w:b/>
          <w:bCs/>
          <w:snapToGrid w:val="0"/>
          <w:sz w:val="44"/>
          <w:szCs w:val="44"/>
          <w:u w:val="single"/>
          <w:lang w:val="en-US" w:eastAsia="zh-CN"/>
        </w:rPr>
      </w:pPr>
    </w:p>
    <w:p>
      <w:pPr>
        <w:adjustRightInd w:val="0"/>
        <w:snapToGrid w:val="0"/>
        <w:spacing w:line="360" w:lineRule="auto"/>
        <w:jc w:val="center"/>
        <w:rPr>
          <w:rFonts w:hint="eastAsia" w:eastAsia="黑体"/>
          <w:b/>
          <w:bCs/>
          <w:snapToGrid w:val="0"/>
          <w:sz w:val="44"/>
          <w:szCs w:val="44"/>
          <w:u w:val="single"/>
          <w:lang w:val="en-US" w:eastAsia="zh-CN"/>
        </w:rPr>
      </w:pPr>
    </w:p>
    <w:p>
      <w:pPr>
        <w:adjustRightInd w:val="0"/>
        <w:snapToGrid w:val="0"/>
        <w:spacing w:line="360" w:lineRule="auto"/>
        <w:jc w:val="center"/>
        <w:rPr>
          <w:rFonts w:hint="eastAsia" w:ascii="仿宋_GB2312" w:hAnsi="宋体" w:eastAsia="仿宋_GB2312"/>
          <w:b/>
          <w:spacing w:val="28"/>
          <w:sz w:val="48"/>
          <w:szCs w:val="48"/>
          <w:lang w:val="en-US" w:eastAsia="zh-CN"/>
        </w:rPr>
      </w:pPr>
      <w:r>
        <w:rPr>
          <w:rFonts w:hint="eastAsia" w:ascii="仿宋_GB2312" w:hAnsi="宋体" w:eastAsia="仿宋_GB2312"/>
          <w:b/>
          <w:spacing w:val="28"/>
          <w:sz w:val="48"/>
          <w:szCs w:val="48"/>
          <w:lang w:val="en-US" w:eastAsia="zh-CN"/>
        </w:rPr>
        <w:t>京华城四期环外项目供水工程</w:t>
      </w:r>
    </w:p>
    <w:p>
      <w:pPr>
        <w:adjustRightInd w:val="0"/>
        <w:snapToGrid w:val="0"/>
        <w:spacing w:line="360" w:lineRule="auto"/>
        <w:jc w:val="center"/>
        <w:rPr>
          <w:rFonts w:ascii="仿宋_GB2312" w:hAnsi="宋体" w:eastAsia="仿宋_GB2312"/>
          <w:b/>
          <w:spacing w:val="28"/>
          <w:sz w:val="48"/>
          <w:szCs w:val="48"/>
        </w:rPr>
      </w:pPr>
      <w:r>
        <w:rPr>
          <w:rFonts w:hint="eastAsia" w:ascii="仿宋_GB2312" w:hAnsi="宋体" w:eastAsia="仿宋_GB2312"/>
          <w:b/>
          <w:spacing w:val="28"/>
          <w:sz w:val="48"/>
          <w:szCs w:val="48"/>
        </w:rPr>
        <w:t>劳务分包招标文件</w:t>
      </w:r>
    </w:p>
    <w:p>
      <w:pPr>
        <w:adjustRightInd w:val="0"/>
        <w:snapToGrid w:val="0"/>
        <w:spacing w:line="360" w:lineRule="auto"/>
        <w:ind w:firstLine="602" w:firstLineChars="200"/>
        <w:jc w:val="center"/>
        <w:rPr>
          <w:rFonts w:ascii="仿宋_GB2312" w:hAnsi="宋体" w:eastAsia="仿宋_GB2312"/>
          <w:b/>
          <w:bCs/>
          <w:snapToGrid w:val="0"/>
          <w:sz w:val="30"/>
        </w:rPr>
      </w:pPr>
    </w:p>
    <w:p>
      <w:pPr>
        <w:adjustRightInd w:val="0"/>
        <w:snapToGrid w:val="0"/>
        <w:spacing w:line="360" w:lineRule="auto"/>
        <w:ind w:firstLine="1446" w:firstLineChars="200"/>
        <w:jc w:val="center"/>
        <w:rPr>
          <w:rFonts w:ascii="仿宋_GB2312" w:hAnsi="宋体" w:eastAsia="仿宋_GB2312"/>
          <w:b/>
          <w:snapToGrid w:val="0"/>
          <w:sz w:val="72"/>
        </w:rPr>
      </w:pPr>
    </w:p>
    <w:p>
      <w:pPr>
        <w:adjustRightInd w:val="0"/>
        <w:snapToGrid w:val="0"/>
        <w:spacing w:line="360" w:lineRule="auto"/>
        <w:ind w:firstLine="1446" w:firstLineChars="200"/>
        <w:jc w:val="center"/>
        <w:rPr>
          <w:rFonts w:ascii="仿宋_GB2312" w:hAnsi="宋体" w:eastAsia="仿宋_GB2312"/>
          <w:b/>
          <w:snapToGrid w:val="0"/>
          <w:sz w:val="72"/>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ind w:firstLine="1051" w:firstLineChars="349"/>
        <w:rPr>
          <w:rFonts w:ascii="仿宋_GB2312" w:hAnsi="宋体" w:eastAsia="仿宋_GB2312"/>
          <w:b/>
          <w:bCs/>
          <w:snapToGrid w:val="0"/>
          <w:sz w:val="30"/>
        </w:rPr>
      </w:pPr>
    </w:p>
    <w:p>
      <w:pPr>
        <w:adjustRightInd w:val="0"/>
        <w:snapToGrid w:val="0"/>
        <w:spacing w:line="480" w:lineRule="auto"/>
        <w:ind w:firstLine="1051" w:firstLineChars="349"/>
        <w:rPr>
          <w:rFonts w:ascii="仿宋_GB2312" w:hAnsi="宋体" w:eastAsia="仿宋_GB2312"/>
          <w:b/>
          <w:bCs/>
          <w:snapToGrid w:val="0"/>
          <w:sz w:val="28"/>
        </w:rPr>
      </w:pPr>
      <w:r>
        <w:rPr>
          <w:rFonts w:hint="eastAsia" w:ascii="仿宋_GB2312" w:hAnsi="宋体" w:eastAsia="仿宋_GB2312"/>
          <w:b/>
          <w:bCs/>
          <w:snapToGrid w:val="0"/>
          <w:sz w:val="30"/>
        </w:rPr>
        <w:t>招   标   人 ：扬州市润元给排水工程有限公司</w:t>
      </w:r>
    </w:p>
    <w:p>
      <w:pPr>
        <w:adjustRightInd w:val="0"/>
        <w:snapToGrid w:val="0"/>
        <w:spacing w:line="480" w:lineRule="auto"/>
        <w:ind w:firstLine="1042" w:firstLineChars="346"/>
        <w:rPr>
          <w:rFonts w:ascii="宋体" w:hAnsi="宋体"/>
          <w:b/>
          <w:snapToGrid w:val="0"/>
          <w:sz w:val="44"/>
        </w:rPr>
      </w:pPr>
      <w:r>
        <w:rPr>
          <w:rFonts w:hint="eastAsia" w:ascii="仿宋_GB2312" w:hAnsi="宋体" w:eastAsia="仿宋_GB2312"/>
          <w:b/>
          <w:bCs/>
          <w:snapToGrid w:val="0"/>
          <w:sz w:val="30"/>
        </w:rPr>
        <w:t>发  放  日  期：</w:t>
      </w:r>
      <w:r>
        <w:rPr>
          <w:rFonts w:hint="eastAsia" w:ascii="仿宋_GB2312" w:hAnsi="宋体" w:eastAsia="仿宋_GB2312"/>
          <w:b/>
          <w:bCs/>
          <w:snapToGrid w:val="0"/>
          <w:sz w:val="30"/>
          <w:u w:val="single"/>
        </w:rPr>
        <w:t xml:space="preserve"> 202</w:t>
      </w:r>
      <w:r>
        <w:rPr>
          <w:rFonts w:hint="eastAsia" w:ascii="仿宋_GB2312" w:hAnsi="宋体" w:eastAsia="仿宋_GB2312"/>
          <w:b/>
          <w:bCs/>
          <w:snapToGrid w:val="0"/>
          <w:sz w:val="30"/>
          <w:u w:val="single"/>
          <w:lang w:val="en-US" w:eastAsia="zh-CN"/>
        </w:rPr>
        <w:t xml:space="preserve">3 </w:t>
      </w:r>
      <w:r>
        <w:rPr>
          <w:rFonts w:hint="eastAsia" w:ascii="仿宋_GB2312" w:hAnsi="宋体" w:eastAsia="仿宋_GB2312"/>
          <w:b/>
          <w:bCs/>
          <w:snapToGrid w:val="0"/>
          <w:sz w:val="30"/>
        </w:rPr>
        <w:t>年</w:t>
      </w:r>
      <w:r>
        <w:rPr>
          <w:rFonts w:hint="eastAsia" w:ascii="仿宋_GB2312" w:hAnsi="宋体" w:eastAsia="仿宋_GB2312"/>
          <w:b/>
          <w:bCs/>
          <w:snapToGrid w:val="0"/>
          <w:sz w:val="30"/>
          <w:u w:val="single"/>
        </w:rPr>
        <w:t xml:space="preserve"> </w:t>
      </w:r>
      <w:r>
        <w:rPr>
          <w:rFonts w:hint="eastAsia" w:ascii="仿宋_GB2312" w:hAnsi="宋体" w:eastAsia="仿宋_GB2312"/>
          <w:b/>
          <w:bCs/>
          <w:snapToGrid w:val="0"/>
          <w:sz w:val="30"/>
          <w:u w:val="single"/>
          <w:lang w:val="en-US" w:eastAsia="zh-CN"/>
        </w:rPr>
        <w:t xml:space="preserve">6 </w:t>
      </w:r>
      <w:r>
        <w:rPr>
          <w:rFonts w:hint="eastAsia" w:ascii="仿宋_GB2312" w:hAnsi="宋体" w:eastAsia="仿宋_GB2312"/>
          <w:b/>
          <w:bCs/>
          <w:snapToGrid w:val="0"/>
          <w:sz w:val="30"/>
        </w:rPr>
        <w:t>月</w:t>
      </w:r>
      <w:r>
        <w:rPr>
          <w:rFonts w:hint="eastAsia" w:ascii="仿宋_GB2312" w:hAnsi="宋体" w:eastAsia="仿宋_GB2312"/>
          <w:b/>
          <w:bCs/>
          <w:snapToGrid w:val="0"/>
          <w:sz w:val="30"/>
          <w:u w:val="single"/>
        </w:rPr>
        <w:t xml:space="preserve"> </w:t>
      </w:r>
      <w:r>
        <w:rPr>
          <w:rFonts w:hint="eastAsia" w:ascii="仿宋_GB2312" w:hAnsi="宋体" w:eastAsia="仿宋_GB2312"/>
          <w:b/>
          <w:bCs/>
          <w:snapToGrid w:val="0"/>
          <w:sz w:val="30"/>
          <w:u w:val="single"/>
          <w:lang w:val="en-US" w:eastAsia="zh-CN"/>
        </w:rPr>
        <w:t xml:space="preserve">6 </w:t>
      </w:r>
      <w:r>
        <w:rPr>
          <w:rFonts w:hint="eastAsia" w:ascii="仿宋_GB2312" w:hAnsi="宋体" w:eastAsia="仿宋_GB2312"/>
          <w:b/>
          <w:bCs/>
          <w:snapToGrid w:val="0"/>
          <w:sz w:val="30"/>
        </w:rPr>
        <w:t>日</w:t>
      </w:r>
    </w:p>
    <w:p>
      <w:pPr>
        <w:adjustRightInd w:val="0"/>
        <w:snapToGrid w:val="0"/>
        <w:spacing w:line="360" w:lineRule="auto"/>
        <w:jc w:val="center"/>
        <w:rPr>
          <w:rFonts w:hint="eastAsia" w:ascii="宋体" w:hAnsi="宋体"/>
          <w:b/>
          <w:snapToGrid w:val="0"/>
          <w:sz w:val="44"/>
          <w:highlight w:val="white"/>
        </w:rPr>
      </w:pPr>
    </w:p>
    <w:p>
      <w:pPr>
        <w:adjustRightInd w:val="0"/>
        <w:snapToGrid w:val="0"/>
        <w:spacing w:line="360" w:lineRule="auto"/>
        <w:jc w:val="center"/>
        <w:rPr>
          <w:rFonts w:hint="eastAsia" w:ascii="宋体" w:hAnsi="宋体"/>
          <w:b/>
          <w:snapToGrid w:val="0"/>
          <w:sz w:val="44"/>
          <w:highlight w:val="white"/>
        </w:rPr>
      </w:pPr>
    </w:p>
    <w:p>
      <w:pPr>
        <w:adjustRightInd w:val="0"/>
        <w:snapToGrid w:val="0"/>
        <w:spacing w:line="360" w:lineRule="auto"/>
        <w:jc w:val="center"/>
        <w:rPr>
          <w:rFonts w:hint="eastAsia" w:ascii="宋体" w:hAnsi="宋体"/>
          <w:b/>
          <w:snapToGrid w:val="0"/>
          <w:sz w:val="44"/>
          <w:highlight w:val="white"/>
        </w:rPr>
      </w:pPr>
    </w:p>
    <w:p>
      <w:pPr>
        <w:adjustRightInd w:val="0"/>
        <w:snapToGrid w:val="0"/>
        <w:spacing w:line="360" w:lineRule="auto"/>
        <w:jc w:val="center"/>
        <w:rPr>
          <w:rFonts w:ascii="宋体" w:hAnsi="宋体"/>
          <w:b/>
          <w:snapToGrid w:val="0"/>
          <w:sz w:val="44"/>
          <w:highlight w:val="white"/>
        </w:rPr>
      </w:pPr>
      <w:r>
        <w:rPr>
          <w:rFonts w:hint="eastAsia" w:ascii="宋体" w:hAnsi="宋体"/>
          <w:b/>
          <w:snapToGrid w:val="0"/>
          <w:sz w:val="44"/>
          <w:highlight w:val="white"/>
        </w:rPr>
        <w:t>目         录</w:t>
      </w:r>
    </w:p>
    <w:p>
      <w:pPr>
        <w:adjustRightInd w:val="0"/>
        <w:snapToGrid w:val="0"/>
        <w:spacing w:line="480" w:lineRule="auto"/>
        <w:ind w:firstLine="640"/>
        <w:rPr>
          <w:rFonts w:ascii="宋体" w:hAnsi="宋体"/>
          <w:bCs/>
          <w:snapToGrid w:val="0"/>
          <w:sz w:val="32"/>
        </w:rPr>
      </w:pPr>
    </w:p>
    <w:p>
      <w:pPr>
        <w:numPr>
          <w:ilvl w:val="0"/>
          <w:numId w:val="1"/>
        </w:numPr>
        <w:adjustRightInd w:val="0"/>
        <w:snapToGrid w:val="0"/>
        <w:spacing w:line="480" w:lineRule="auto"/>
        <w:rPr>
          <w:rFonts w:ascii="宋体" w:hAnsi="宋体"/>
          <w:bCs/>
          <w:snapToGrid w:val="0"/>
          <w:sz w:val="32"/>
          <w:highlight w:val="white"/>
        </w:rPr>
      </w:pPr>
      <w:r>
        <w:rPr>
          <w:rFonts w:hint="eastAsia" w:ascii="宋体" w:hAnsi="宋体"/>
          <w:bCs/>
          <w:snapToGrid w:val="0"/>
          <w:sz w:val="32"/>
          <w:highlight w:val="white"/>
        </w:rPr>
        <w:t>投标须知</w:t>
      </w:r>
    </w:p>
    <w:p>
      <w:pPr>
        <w:adjustRightInd w:val="0"/>
        <w:snapToGrid w:val="0"/>
        <w:spacing w:line="480" w:lineRule="auto"/>
        <w:ind w:left="640" w:firstLine="493"/>
        <w:rPr>
          <w:rFonts w:ascii="宋体" w:hAnsi="宋体"/>
          <w:bCs/>
          <w:snapToGrid w:val="0"/>
          <w:sz w:val="32"/>
          <w:highlight w:val="white"/>
        </w:rPr>
      </w:pPr>
      <w:r>
        <w:rPr>
          <w:rFonts w:hint="eastAsia" w:ascii="宋体" w:hAnsi="宋体"/>
          <w:bCs/>
          <w:snapToGrid w:val="0"/>
          <w:sz w:val="32"/>
          <w:highlight w:val="white"/>
        </w:rPr>
        <w:t>投标人须知前附表</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总则</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招标文件</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投标文件</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投标报价</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投标文件密封和递交</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开标</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评标与定标</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授予合同</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劳务招标公告</w:t>
      </w:r>
    </w:p>
    <w:p>
      <w:pPr>
        <w:pStyle w:val="9"/>
        <w:jc w:val="left"/>
        <w:rPr>
          <w:rFonts w:hint="eastAsia" w:ascii="宋体" w:hAnsi="宋体"/>
          <w:snapToGrid w:val="0"/>
          <w:highlight w:val="white"/>
        </w:rPr>
      </w:pPr>
    </w:p>
    <w:p>
      <w:pPr>
        <w:pStyle w:val="9"/>
        <w:jc w:val="left"/>
        <w:rPr>
          <w:rFonts w:ascii="宋体" w:hAnsi="宋体"/>
          <w:snapToGrid w:val="0"/>
          <w:highlight w:val="white"/>
        </w:rPr>
      </w:pPr>
      <w:r>
        <w:rPr>
          <w:rFonts w:hint="eastAsia" w:ascii="宋体" w:hAnsi="宋体"/>
          <w:snapToGrid w:val="0"/>
          <w:highlight w:val="white"/>
        </w:rPr>
        <w:t>第一章 投标须知</w:t>
      </w:r>
    </w:p>
    <w:p>
      <w:pPr>
        <w:pStyle w:val="2"/>
        <w:rPr>
          <w:rFonts w:ascii="宋体" w:hAnsi="宋体"/>
        </w:rPr>
      </w:pPr>
      <w:r>
        <w:rPr>
          <w:rFonts w:hint="eastAsia" w:ascii="宋体" w:hAnsi="宋体"/>
          <w:highlight w:val="white"/>
        </w:rPr>
        <w:t>投标人须知前附表</w:t>
      </w:r>
    </w:p>
    <w:tbl>
      <w:tblPr>
        <w:tblStyle w:val="10"/>
        <w:tblW w:w="10500"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2048"/>
        <w:gridCol w:w="877"/>
        <w:gridCol w:w="2137"/>
        <w:gridCol w:w="2165"/>
        <w:gridCol w:w="354"/>
        <w:gridCol w:w="540"/>
        <w:gridCol w:w="2379"/>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048" w:type="dxa"/>
            <w:tcBorders>
              <w:top w:val="single" w:color="auto" w:sz="8"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招标人</w:t>
            </w:r>
          </w:p>
        </w:tc>
        <w:tc>
          <w:tcPr>
            <w:tcW w:w="8452" w:type="dxa"/>
            <w:gridSpan w:val="6"/>
            <w:tcBorders>
              <w:top w:val="single" w:color="auto" w:sz="8"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highlight w:val="green"/>
              </w:rPr>
            </w:pPr>
            <w:r>
              <w:rPr>
                <w:rFonts w:hint="eastAsia" w:ascii="宋体" w:hAnsi="宋体"/>
                <w:snapToGrid w:val="0"/>
                <w:color w:val="0000FF"/>
                <w:sz w:val="28"/>
                <w:szCs w:val="28"/>
                <w:highlight w:val="white"/>
              </w:rPr>
              <w:t>扬州市润元给排水工程有限公司</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7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rPr>
              <w:t>工程名称</w:t>
            </w:r>
          </w:p>
        </w:tc>
        <w:tc>
          <w:tcPr>
            <w:tcW w:w="8452" w:type="dxa"/>
            <w:gridSpan w:val="6"/>
            <w:tcBorders>
              <w:top w:val="single" w:color="auto" w:sz="4" w:space="0"/>
              <w:left w:val="single" w:color="auto" w:sz="4" w:space="0"/>
              <w:bottom w:val="single" w:color="auto" w:sz="4" w:space="0"/>
              <w:right w:val="single" w:color="auto" w:sz="8" w:space="0"/>
            </w:tcBorders>
            <w:vAlign w:val="bottom"/>
          </w:tcPr>
          <w:p>
            <w:pPr>
              <w:jc w:val="both"/>
              <w:rPr>
                <w:rFonts w:ascii="宋体" w:hAnsi="宋体"/>
                <w:snapToGrid w:val="0"/>
                <w:color w:val="FF0000"/>
                <w:sz w:val="28"/>
                <w:szCs w:val="28"/>
              </w:rPr>
            </w:pPr>
            <w:r>
              <w:rPr>
                <w:rFonts w:hint="eastAsia" w:ascii="宋体" w:hAnsi="宋体"/>
                <w:snapToGrid w:val="0"/>
                <w:sz w:val="28"/>
                <w:szCs w:val="28"/>
                <w:lang w:val="en-US" w:eastAsia="zh-CN"/>
              </w:rPr>
              <w:t>京华城四期环外项目供水工程</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7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建设地点</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highlight w:val="green"/>
              </w:rPr>
            </w:pPr>
            <w:r>
              <w:rPr>
                <w:rFonts w:hint="eastAsia" w:ascii="宋体" w:hAnsi="宋体"/>
                <w:snapToGrid w:val="0"/>
                <w:sz w:val="28"/>
                <w:szCs w:val="28"/>
              </w:rPr>
              <w:t>扬州市</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747"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highlight w:val="white"/>
              </w:rPr>
            </w:pPr>
            <w:r>
              <w:rPr>
                <w:rFonts w:hint="eastAsia" w:ascii="宋体" w:hAnsi="宋体"/>
                <w:snapToGrid w:val="0"/>
                <w:sz w:val="28"/>
                <w:szCs w:val="28"/>
                <w:highlight w:val="white"/>
              </w:rPr>
              <w:t>工程概况</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jc w:val="both"/>
              <w:rPr>
                <w:rFonts w:hint="eastAsia" w:ascii="宋体" w:hAnsi="宋体"/>
                <w:snapToGrid w:val="0"/>
                <w:sz w:val="28"/>
                <w:szCs w:val="28"/>
                <w:lang w:val="en-US" w:eastAsia="zh-CN"/>
              </w:rPr>
            </w:pPr>
            <w:r>
              <w:rPr>
                <w:rFonts w:hint="eastAsia" w:ascii="宋体" w:hAnsi="宋体"/>
                <w:snapToGrid w:val="0"/>
                <w:sz w:val="28"/>
                <w:szCs w:val="28"/>
                <w:lang w:val="en-US" w:eastAsia="zh-CN"/>
              </w:rPr>
              <w:t>安装DN100球管282米、安装DN150球管2190米、安装DE110PE管132米、安装DE160PE管252米、安装DE315PE管870米；DN50钢塑管4292米等。</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9"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pacing w:line="460" w:lineRule="exact"/>
              <w:ind w:left="960" w:hanging="960" w:hangingChars="343"/>
              <w:jc w:val="center"/>
              <w:rPr>
                <w:rFonts w:ascii="仿宋_GB2312" w:hAnsi="宋体"/>
                <w:snapToGrid w:val="0"/>
                <w:sz w:val="28"/>
                <w:szCs w:val="28"/>
              </w:rPr>
            </w:pPr>
            <w:r>
              <w:rPr>
                <w:rFonts w:hint="eastAsia" w:ascii="仿宋_GB2312" w:hAnsi="宋体"/>
                <w:snapToGrid w:val="0"/>
                <w:sz w:val="28"/>
                <w:szCs w:val="28"/>
              </w:rPr>
              <w:t>招标控制价</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spacing w:line="440" w:lineRule="exact"/>
              <w:jc w:val="both"/>
              <w:textAlignment w:val="auto"/>
              <w:rPr>
                <w:rFonts w:hint="eastAsia" w:ascii="宋体" w:hAnsi="宋体"/>
                <w:sz w:val="28"/>
                <w:szCs w:val="28"/>
                <w:lang w:val="en-US" w:eastAsia="zh-CN"/>
              </w:rPr>
            </w:pPr>
            <w:bookmarkStart w:id="11" w:name="_GoBack"/>
            <w:r>
              <w:rPr>
                <w:rFonts w:hint="eastAsia" w:ascii="宋体" w:hAnsi="宋体"/>
                <w:snapToGrid w:val="0"/>
                <w:sz w:val="28"/>
                <w:szCs w:val="28"/>
                <w:lang w:val="en-US" w:eastAsia="zh-CN"/>
              </w:rPr>
              <w:t>469219.47</w:t>
            </w:r>
            <w:bookmarkEnd w:id="11"/>
            <w:r>
              <w:rPr>
                <w:rFonts w:hint="eastAsia" w:ascii="宋体" w:hAnsi="宋体"/>
                <w:sz w:val="28"/>
                <w:szCs w:val="28"/>
                <w:lang w:val="en-US" w:eastAsia="zh-CN"/>
              </w:rPr>
              <w:t>元</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计划工期</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color w:val="FF0000"/>
                <w:sz w:val="28"/>
                <w:szCs w:val="28"/>
              </w:rPr>
            </w:pPr>
            <w:r>
              <w:rPr>
                <w:rFonts w:hint="eastAsia" w:ascii="宋体" w:hAnsi="宋体"/>
                <w:snapToGrid w:val="0"/>
                <w:sz w:val="28"/>
                <w:szCs w:val="28"/>
                <w:highlight w:val="white"/>
              </w:rPr>
              <w:t>计划工期：</w:t>
            </w:r>
            <w:r>
              <w:rPr>
                <w:rFonts w:hint="eastAsia" w:ascii="宋体" w:hAnsi="宋体"/>
                <w:snapToGrid w:val="0"/>
                <w:sz w:val="28"/>
                <w:szCs w:val="28"/>
                <w:highlight w:val="white"/>
                <w:u w:val="single"/>
                <w:lang w:val="en-US" w:eastAsia="zh-CN"/>
              </w:rPr>
              <w:t xml:space="preserve"> </w:t>
            </w:r>
            <w:r>
              <w:rPr>
                <w:rFonts w:hint="eastAsia" w:ascii="宋体" w:hAnsi="宋体"/>
                <w:snapToGrid w:val="0"/>
                <w:color w:val="0000FF"/>
                <w:sz w:val="28"/>
                <w:szCs w:val="28"/>
                <w:highlight w:val="white"/>
                <w:u w:val="single"/>
              </w:rPr>
              <w:t xml:space="preserve">90 </w:t>
            </w:r>
            <w:r>
              <w:rPr>
                <w:rFonts w:hint="eastAsia" w:ascii="宋体" w:hAnsi="宋体"/>
                <w:snapToGrid w:val="0"/>
                <w:sz w:val="28"/>
                <w:szCs w:val="28"/>
                <w:highlight w:val="white"/>
              </w:rPr>
              <w:t>日历天；</w:t>
            </w:r>
            <w:r>
              <w:rPr>
                <w:rFonts w:hint="eastAsia" w:ascii="宋体" w:hAnsi="宋体"/>
                <w:snapToGrid w:val="0"/>
                <w:color w:val="FF0000"/>
                <w:sz w:val="28"/>
                <w:szCs w:val="28"/>
                <w:highlight w:val="white"/>
              </w:rPr>
              <w:t>实际开工日期由甲方指定</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质量要求</w:t>
            </w:r>
          </w:p>
        </w:tc>
        <w:tc>
          <w:tcPr>
            <w:tcW w:w="3014" w:type="dxa"/>
            <w:gridSpan w:val="2"/>
            <w:tcBorders>
              <w:top w:val="single" w:color="auto" w:sz="4" w:space="0"/>
              <w:left w:val="single" w:color="auto" w:sz="4"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highlight w:val="green"/>
              </w:rPr>
            </w:pPr>
            <w:r>
              <w:rPr>
                <w:rFonts w:hint="eastAsia" w:ascii="宋体" w:hAnsi="宋体"/>
                <w:snapToGrid w:val="0"/>
                <w:sz w:val="28"/>
                <w:szCs w:val="28"/>
                <w:highlight w:val="white"/>
              </w:rPr>
              <w:t>合格</w:t>
            </w:r>
          </w:p>
        </w:tc>
        <w:tc>
          <w:tcPr>
            <w:tcW w:w="2519" w:type="dxa"/>
            <w:gridSpan w:val="2"/>
            <w:tcBorders>
              <w:top w:val="single" w:color="auto" w:sz="4" w:space="0"/>
              <w:left w:val="single" w:color="auto" w:sz="4" w:space="0"/>
              <w:bottom w:val="single" w:color="auto" w:sz="4" w:space="0"/>
              <w:right w:val="single" w:color="auto" w:sz="4" w:space="0"/>
            </w:tcBorders>
            <w:vAlign w:val="center"/>
          </w:tcPr>
          <w:p>
            <w:pPr>
              <w:snapToGrid w:val="0"/>
              <w:spacing w:line="460" w:lineRule="exact"/>
              <w:jc w:val="center"/>
              <w:rPr>
                <w:rFonts w:ascii="宋体" w:hAnsi="宋体"/>
                <w:b/>
                <w:color w:val="000000"/>
                <w:sz w:val="28"/>
                <w:szCs w:val="28"/>
              </w:rPr>
            </w:pPr>
            <w:r>
              <w:rPr>
                <w:rFonts w:hint="eastAsia" w:ascii="宋体" w:hAnsi="宋体"/>
                <w:snapToGrid w:val="0"/>
                <w:sz w:val="28"/>
                <w:szCs w:val="28"/>
                <w:highlight w:val="white"/>
              </w:rPr>
              <w:t>承包方式</w:t>
            </w:r>
          </w:p>
        </w:tc>
        <w:tc>
          <w:tcPr>
            <w:tcW w:w="2919" w:type="dxa"/>
            <w:gridSpan w:val="2"/>
            <w:tcBorders>
              <w:top w:val="single" w:color="auto" w:sz="4" w:space="0"/>
              <w:left w:val="single" w:color="auto" w:sz="4" w:space="0"/>
              <w:bottom w:val="single" w:color="auto" w:sz="4" w:space="0"/>
              <w:right w:val="single" w:color="auto" w:sz="8" w:space="0"/>
            </w:tcBorders>
            <w:vAlign w:val="center"/>
          </w:tcPr>
          <w:p>
            <w:pPr>
              <w:snapToGrid w:val="0"/>
              <w:spacing w:line="460" w:lineRule="exact"/>
              <w:jc w:val="center"/>
              <w:rPr>
                <w:rFonts w:ascii="宋体" w:hAnsi="宋体"/>
                <w:b/>
                <w:color w:val="000000"/>
                <w:sz w:val="28"/>
                <w:szCs w:val="28"/>
                <w:highlight w:val="green"/>
              </w:rPr>
            </w:pPr>
            <w:r>
              <w:rPr>
                <w:rFonts w:hint="eastAsia" w:ascii="宋体" w:hAnsi="宋体"/>
                <w:b/>
                <w:color w:val="0000FF"/>
                <w:sz w:val="28"/>
                <w:szCs w:val="28"/>
                <w:highlight w:val="white"/>
              </w:rPr>
              <w:t>人工、机械、部分辅材</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highlight w:val="white"/>
              </w:rPr>
            </w:pPr>
            <w:r>
              <w:rPr>
                <w:rFonts w:hint="eastAsia" w:ascii="宋体" w:hAnsi="宋体"/>
                <w:snapToGrid w:val="0"/>
                <w:sz w:val="28"/>
                <w:szCs w:val="28"/>
                <w:highlight w:val="white"/>
              </w:rPr>
              <w:t>结算方式</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tabs>
                <w:tab w:val="left" w:pos="1565"/>
              </w:tabs>
              <w:snapToGrid w:val="0"/>
              <w:spacing w:line="460" w:lineRule="exact"/>
              <w:jc w:val="center"/>
              <w:rPr>
                <w:rFonts w:ascii="宋体" w:hAnsi="宋体"/>
                <w:bCs/>
                <w:color w:val="0000FF"/>
                <w:sz w:val="28"/>
                <w:szCs w:val="28"/>
                <w:highlight w:val="white"/>
              </w:rPr>
            </w:pPr>
            <w:r>
              <w:rPr>
                <w:rFonts w:hint="eastAsia" w:ascii="宋体" w:hAnsi="宋体"/>
                <w:bCs/>
                <w:color w:val="0000FF"/>
                <w:sz w:val="28"/>
                <w:szCs w:val="28"/>
                <w:highlight w:val="white"/>
              </w:rPr>
              <w:t>按照江苏长江水务</w:t>
            </w:r>
            <w:r>
              <w:rPr>
                <w:rFonts w:hint="eastAsia" w:ascii="宋体" w:hAnsi="宋体"/>
                <w:bCs/>
                <w:color w:val="0000FF"/>
                <w:sz w:val="28"/>
                <w:szCs w:val="28"/>
                <w:highlight w:val="white"/>
                <w:lang w:val="en-US" w:eastAsia="zh-CN"/>
              </w:rPr>
              <w:t>股份</w:t>
            </w:r>
            <w:r>
              <w:rPr>
                <w:rFonts w:hint="eastAsia" w:ascii="宋体" w:hAnsi="宋体"/>
                <w:bCs/>
                <w:color w:val="0000FF"/>
                <w:sz w:val="28"/>
                <w:szCs w:val="28"/>
                <w:highlight w:val="white"/>
              </w:rPr>
              <w:t xml:space="preserve">有限公司内部结算标准进行结算  </w:t>
            </w:r>
          </w:p>
          <w:p>
            <w:pPr>
              <w:tabs>
                <w:tab w:val="left" w:pos="1565"/>
              </w:tabs>
              <w:snapToGrid w:val="0"/>
              <w:spacing w:line="460" w:lineRule="exact"/>
              <w:ind w:firstLine="1680" w:firstLineChars="600"/>
              <w:rPr>
                <w:rFonts w:ascii="宋体" w:hAnsi="宋体"/>
                <w:b/>
                <w:color w:val="0000FF"/>
                <w:sz w:val="28"/>
                <w:szCs w:val="28"/>
                <w:highlight w:val="white"/>
              </w:rPr>
            </w:pPr>
            <w:r>
              <w:rPr>
                <w:rFonts w:hint="eastAsia" w:ascii="宋体" w:hAnsi="宋体"/>
                <w:bCs/>
                <w:color w:val="0000FF"/>
                <w:sz w:val="28"/>
                <w:szCs w:val="28"/>
                <w:highlight w:val="white"/>
              </w:rPr>
              <w:t xml:space="preserve"> （20</w:t>
            </w:r>
            <w:r>
              <w:rPr>
                <w:rFonts w:hint="eastAsia" w:ascii="宋体" w:hAnsi="宋体"/>
                <w:bCs/>
                <w:color w:val="0000FF"/>
                <w:sz w:val="28"/>
                <w:szCs w:val="28"/>
                <w:highlight w:val="white"/>
                <w:lang w:val="en-US" w:eastAsia="zh-CN"/>
              </w:rPr>
              <w:t>22</w:t>
            </w:r>
            <w:r>
              <w:rPr>
                <w:rFonts w:hint="eastAsia" w:ascii="宋体" w:hAnsi="宋体"/>
                <w:bCs/>
                <w:color w:val="0000FF"/>
                <w:sz w:val="28"/>
                <w:szCs w:val="28"/>
                <w:highlight w:val="white"/>
              </w:rPr>
              <w:t>年</w:t>
            </w:r>
            <w:r>
              <w:rPr>
                <w:rFonts w:hint="eastAsia" w:ascii="宋体" w:hAnsi="宋体"/>
                <w:bCs/>
                <w:color w:val="0000FF"/>
                <w:sz w:val="28"/>
                <w:szCs w:val="28"/>
                <w:highlight w:val="white"/>
                <w:lang w:val="en-US" w:eastAsia="zh-CN"/>
              </w:rPr>
              <w:t>12月</w:t>
            </w:r>
            <w:r>
              <w:rPr>
                <w:rFonts w:hint="eastAsia" w:ascii="宋体" w:hAnsi="宋体"/>
                <w:bCs/>
                <w:color w:val="0000FF"/>
                <w:sz w:val="28"/>
                <w:szCs w:val="28"/>
                <w:highlight w:val="white"/>
              </w:rPr>
              <w:t>版）（辅材按实结算）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投标文件份数</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投标文件要求</w:t>
            </w:r>
            <w:r>
              <w:rPr>
                <w:rFonts w:hint="eastAsia" w:ascii="宋体" w:hAnsi="宋体"/>
                <w:snapToGrid w:val="0"/>
                <w:color w:val="0000FF"/>
                <w:sz w:val="28"/>
                <w:szCs w:val="28"/>
                <w:highlight w:val="white"/>
                <w:u w:val="single"/>
              </w:rPr>
              <w:t>壹</w:t>
            </w:r>
            <w:r>
              <w:rPr>
                <w:rFonts w:hint="eastAsia" w:ascii="宋体" w:hAnsi="宋体"/>
                <w:snapToGrid w:val="0"/>
                <w:sz w:val="28"/>
                <w:szCs w:val="28"/>
                <w:highlight w:val="white"/>
              </w:rPr>
              <w:t>份</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现场查勘</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highlight w:val="green"/>
              </w:rPr>
            </w:pPr>
            <w:r>
              <w:rPr>
                <w:rFonts w:hint="eastAsia" w:ascii="宋体" w:hAnsi="宋体" w:cs="TimesNewRomanPSMT"/>
                <w:color w:val="0000FF"/>
                <w:sz w:val="28"/>
                <w:szCs w:val="32"/>
                <w:highlight w:val="white"/>
              </w:rPr>
              <w:t>投标人自行查勘现场</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46"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澄清及答疑</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投标人提出问题的截止时间: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6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7 </w:t>
            </w:r>
            <w:r>
              <w:rPr>
                <w:rFonts w:hint="eastAsia" w:ascii="宋体" w:hAnsi="宋体"/>
                <w:snapToGrid w:val="0"/>
                <w:color w:val="FF0000"/>
                <w:sz w:val="28"/>
                <w:szCs w:val="28"/>
                <w:highlight w:val="white"/>
              </w:rPr>
              <w:t>日</w:t>
            </w:r>
          </w:p>
          <w:p>
            <w:pPr>
              <w:snapToGrid w:val="0"/>
              <w:spacing w:line="460" w:lineRule="exact"/>
              <w:rPr>
                <w:rFonts w:ascii="宋体" w:hAnsi="宋体"/>
                <w:snapToGrid w:val="0"/>
                <w:sz w:val="28"/>
                <w:szCs w:val="28"/>
                <w:highlight w:val="white"/>
              </w:rPr>
            </w:pPr>
            <w:r>
              <w:rPr>
                <w:rFonts w:hint="eastAsia" w:ascii="宋体" w:hAnsi="宋体"/>
                <w:snapToGrid w:val="0"/>
                <w:sz w:val="28"/>
                <w:szCs w:val="28"/>
                <w:highlight w:val="white"/>
              </w:rPr>
              <w:t>方式：书面、传真、电子邮件</w:t>
            </w:r>
          </w:p>
          <w:p>
            <w:pPr>
              <w:snapToGrid w:val="0"/>
              <w:spacing w:line="460" w:lineRule="exact"/>
              <w:rPr>
                <w:rFonts w:ascii="宋体" w:hAnsi="宋体"/>
                <w:snapToGrid w:val="0"/>
                <w:sz w:val="28"/>
                <w:szCs w:val="28"/>
                <w:highlight w:val="white"/>
                <w:u w:val="single"/>
              </w:rPr>
            </w:pPr>
            <w:r>
              <w:rPr>
                <w:rFonts w:hint="eastAsia" w:ascii="宋体" w:hAnsi="宋体"/>
                <w:snapToGrid w:val="0"/>
                <w:sz w:val="28"/>
                <w:szCs w:val="28"/>
                <w:highlight w:val="white"/>
              </w:rPr>
              <w:t>招标人澄清的时间：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6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7 </w:t>
            </w:r>
            <w:r>
              <w:rPr>
                <w:rFonts w:hint="eastAsia" w:ascii="宋体" w:hAnsi="宋体"/>
                <w:snapToGrid w:val="0"/>
                <w:color w:val="FF0000"/>
                <w:sz w:val="28"/>
                <w:szCs w:val="28"/>
                <w:highlight w:val="white"/>
              </w:rPr>
              <w:t>日</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highlight w:val="white"/>
              </w:rPr>
            </w:pPr>
            <w:r>
              <w:rPr>
                <w:rFonts w:hint="eastAsia" w:ascii="宋体" w:hAnsi="宋体"/>
                <w:snapToGrid w:val="0"/>
                <w:sz w:val="28"/>
                <w:szCs w:val="28"/>
              </w:rPr>
              <w:t>投标开始时间</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color w:val="FF0000"/>
                <w:sz w:val="28"/>
                <w:szCs w:val="28"/>
                <w:highlight w:val="white"/>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6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6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highlight w:val="white"/>
                <w:u w:val="single"/>
              </w:rPr>
              <w:t xml:space="preserve"> 16 </w:t>
            </w:r>
            <w:r>
              <w:rPr>
                <w:rFonts w:hint="eastAsia" w:ascii="宋体" w:hAnsi="宋体"/>
                <w:bCs/>
                <w:snapToGrid w:val="0"/>
                <w:color w:val="FF0000"/>
                <w:sz w:val="28"/>
                <w:szCs w:val="28"/>
                <w:highlight w:val="white"/>
              </w:rPr>
              <w:t>时</w:t>
            </w:r>
            <w:r>
              <w:rPr>
                <w:rFonts w:hint="eastAsia" w:ascii="宋体" w:hAnsi="宋体"/>
                <w:bCs/>
                <w:snapToGrid w:val="0"/>
                <w:color w:val="FF0000"/>
                <w:sz w:val="28"/>
                <w:szCs w:val="28"/>
                <w:highlight w:val="white"/>
                <w:u w:val="single"/>
              </w:rPr>
              <w:t>00</w:t>
            </w:r>
            <w:r>
              <w:rPr>
                <w:rFonts w:hint="eastAsia" w:ascii="宋体" w:hAnsi="宋体"/>
                <w:bCs/>
                <w:snapToGrid w:val="0"/>
                <w:color w:val="FF0000"/>
                <w:sz w:val="28"/>
                <w:szCs w:val="28"/>
                <w:highlight w:val="white"/>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00"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color w:val="FF0000"/>
                <w:sz w:val="28"/>
                <w:szCs w:val="28"/>
              </w:rPr>
            </w:pPr>
            <w:r>
              <w:rPr>
                <w:rFonts w:hint="eastAsia" w:ascii="宋体" w:hAnsi="宋体"/>
                <w:snapToGrid w:val="0"/>
                <w:color w:val="FF0000"/>
                <w:sz w:val="28"/>
                <w:szCs w:val="28"/>
              </w:rPr>
              <w:t>投标资格预审截止时间</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color w:val="FF000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6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8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color w:val="FF0000"/>
                <w:sz w:val="28"/>
                <w:szCs w:val="28"/>
              </w:rPr>
            </w:pPr>
            <w:r>
              <w:rPr>
                <w:rFonts w:hint="eastAsia" w:ascii="宋体" w:hAnsi="宋体"/>
                <w:snapToGrid w:val="0"/>
                <w:color w:val="FF0000"/>
                <w:sz w:val="28"/>
                <w:szCs w:val="28"/>
              </w:rPr>
              <w:t>投标截止时间</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color w:val="FF000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6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8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83"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highlight w:val="white"/>
              </w:rPr>
            </w:pPr>
            <w:r>
              <w:rPr>
                <w:rFonts w:hint="eastAsia" w:ascii="宋体" w:hAnsi="宋体"/>
                <w:snapToGrid w:val="0"/>
                <w:sz w:val="28"/>
                <w:szCs w:val="28"/>
                <w:highlight w:val="white"/>
              </w:rPr>
              <w:t>投标有效期</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30天</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0"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50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投标文件递交</w:t>
            </w:r>
          </w:p>
        </w:tc>
        <w:tc>
          <w:tcPr>
            <w:tcW w:w="87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500" w:lineRule="exact"/>
              <w:textAlignment w:val="auto"/>
              <w:rPr>
                <w:rFonts w:ascii="宋体" w:hAnsi="宋体"/>
                <w:snapToGrid w:val="0"/>
                <w:sz w:val="28"/>
                <w:szCs w:val="28"/>
                <w:highlight w:val="white"/>
              </w:rPr>
            </w:pPr>
            <w:r>
              <w:rPr>
                <w:rFonts w:hint="eastAsia" w:ascii="宋体" w:hAnsi="宋体"/>
                <w:snapToGrid w:val="0"/>
                <w:sz w:val="28"/>
                <w:szCs w:val="28"/>
                <w:highlight w:val="white"/>
              </w:rPr>
              <w:t>地址</w:t>
            </w:r>
          </w:p>
        </w:tc>
        <w:tc>
          <w:tcPr>
            <w:tcW w:w="4302"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500" w:lineRule="exact"/>
              <w:textAlignment w:val="auto"/>
              <w:rPr>
                <w:rFonts w:ascii="宋体" w:hAnsi="宋体"/>
                <w:snapToGrid w:val="0"/>
                <w:sz w:val="28"/>
                <w:szCs w:val="28"/>
                <w:highlight w:val="green"/>
              </w:rPr>
            </w:pPr>
            <w:r>
              <w:rPr>
                <w:rFonts w:hint="eastAsia" w:ascii="宋体" w:hAnsi="宋体"/>
                <w:snapToGrid w:val="0"/>
                <w:color w:val="0000FF"/>
                <w:sz w:val="28"/>
                <w:szCs w:val="28"/>
                <w:highlight w:val="white"/>
              </w:rPr>
              <w:t>扬州市扬子江北路1222号</w:t>
            </w:r>
          </w:p>
        </w:tc>
        <w:tc>
          <w:tcPr>
            <w:tcW w:w="894" w:type="dxa"/>
            <w:gridSpan w:val="2"/>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500" w:lineRule="exact"/>
              <w:jc w:val="center"/>
              <w:textAlignment w:val="auto"/>
              <w:rPr>
                <w:rFonts w:ascii="宋体" w:hAnsi="宋体"/>
                <w:snapToGrid w:val="0"/>
                <w:sz w:val="28"/>
                <w:szCs w:val="28"/>
                <w:highlight w:val="green"/>
                <w:u w:val="single"/>
              </w:rPr>
            </w:pPr>
            <w:r>
              <w:rPr>
                <w:rFonts w:hint="eastAsia" w:ascii="宋体" w:hAnsi="宋体"/>
                <w:snapToGrid w:val="0"/>
                <w:sz w:val="28"/>
                <w:szCs w:val="28"/>
                <w:highlight w:val="white"/>
              </w:rPr>
              <w:t>地点</w:t>
            </w:r>
          </w:p>
        </w:tc>
        <w:tc>
          <w:tcPr>
            <w:tcW w:w="2379" w:type="dxa"/>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500" w:lineRule="exact"/>
              <w:jc w:val="left"/>
              <w:textAlignment w:val="auto"/>
              <w:rPr>
                <w:rFonts w:hint="eastAsia"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工程技术科</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4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500" w:lineRule="exact"/>
              <w:jc w:val="center"/>
              <w:textAlignment w:val="auto"/>
              <w:rPr>
                <w:rFonts w:ascii="宋体" w:hAnsi="宋体"/>
                <w:snapToGrid w:val="0"/>
                <w:sz w:val="28"/>
                <w:szCs w:val="28"/>
              </w:rPr>
            </w:pPr>
            <w:r>
              <w:rPr>
                <w:rFonts w:hint="eastAsia" w:ascii="宋体" w:hAnsi="宋体"/>
                <w:snapToGrid w:val="0"/>
                <w:sz w:val="28"/>
                <w:szCs w:val="28"/>
                <w:highlight w:val="white"/>
              </w:rPr>
              <w:t>开标会</w:t>
            </w:r>
          </w:p>
        </w:tc>
        <w:tc>
          <w:tcPr>
            <w:tcW w:w="87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500" w:lineRule="exact"/>
              <w:textAlignment w:val="auto"/>
              <w:rPr>
                <w:rFonts w:ascii="宋体" w:hAnsi="宋体"/>
                <w:snapToGrid w:val="0"/>
                <w:sz w:val="28"/>
                <w:szCs w:val="28"/>
                <w:highlight w:val="white"/>
              </w:rPr>
            </w:pPr>
            <w:r>
              <w:rPr>
                <w:rFonts w:hint="eastAsia" w:ascii="宋体" w:hAnsi="宋体"/>
                <w:snapToGrid w:val="0"/>
                <w:sz w:val="28"/>
                <w:szCs w:val="28"/>
                <w:highlight w:val="white"/>
              </w:rPr>
              <w:t>时间</w:t>
            </w:r>
          </w:p>
        </w:tc>
        <w:tc>
          <w:tcPr>
            <w:tcW w:w="4302"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500" w:lineRule="exact"/>
              <w:textAlignment w:val="auto"/>
              <w:rPr>
                <w:rFonts w:ascii="宋体" w:hAnsi="宋体"/>
                <w:snapToGrid w:val="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6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8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c>
          <w:tcPr>
            <w:tcW w:w="894" w:type="dxa"/>
            <w:gridSpan w:val="2"/>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500" w:lineRule="exact"/>
              <w:jc w:val="center"/>
              <w:textAlignment w:val="auto"/>
              <w:rPr>
                <w:rFonts w:ascii="宋体" w:hAnsi="宋体"/>
                <w:snapToGrid w:val="0"/>
                <w:sz w:val="28"/>
                <w:szCs w:val="28"/>
                <w:highlight w:val="green"/>
              </w:rPr>
            </w:pPr>
            <w:r>
              <w:rPr>
                <w:rFonts w:hint="eastAsia" w:ascii="宋体" w:hAnsi="宋体"/>
                <w:snapToGrid w:val="0"/>
                <w:sz w:val="28"/>
                <w:szCs w:val="28"/>
                <w:highlight w:val="white"/>
              </w:rPr>
              <w:t>地址</w:t>
            </w:r>
          </w:p>
        </w:tc>
        <w:tc>
          <w:tcPr>
            <w:tcW w:w="2379" w:type="dxa"/>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500" w:lineRule="exact"/>
              <w:textAlignment w:val="auto"/>
              <w:rPr>
                <w:rFonts w:hint="eastAsia"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会议室</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2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500" w:lineRule="exact"/>
              <w:jc w:val="center"/>
              <w:textAlignment w:val="auto"/>
              <w:rPr>
                <w:rFonts w:ascii="宋体" w:hAnsi="宋体"/>
                <w:snapToGrid w:val="0"/>
                <w:sz w:val="28"/>
                <w:szCs w:val="28"/>
              </w:rPr>
            </w:pPr>
            <w:r>
              <w:rPr>
                <w:rFonts w:hint="eastAsia" w:ascii="宋体" w:hAnsi="宋体"/>
                <w:snapToGrid w:val="0"/>
                <w:color w:val="FF0000"/>
                <w:sz w:val="28"/>
                <w:szCs w:val="28"/>
              </w:rPr>
              <w:t>投标人要求</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kinsoku/>
              <w:wordWrap/>
              <w:overflowPunct/>
              <w:topLinePunct w:val="0"/>
              <w:autoSpaceDE/>
              <w:autoSpaceDN/>
              <w:bidi w:val="0"/>
              <w:spacing w:line="500" w:lineRule="exact"/>
              <w:jc w:val="left"/>
              <w:textAlignment w:val="auto"/>
              <w:rPr>
                <w:rFonts w:ascii="宋体" w:cs="宋体"/>
                <w:kern w:val="0"/>
                <w:sz w:val="24"/>
                <w:szCs w:val="24"/>
              </w:rPr>
            </w:pPr>
            <w:r>
              <w:rPr>
                <w:rFonts w:hint="eastAsia" w:ascii="宋体" w:hAnsi="宋体"/>
                <w:color w:val="FF0000"/>
                <w:sz w:val="28"/>
                <w:szCs w:val="28"/>
              </w:rPr>
              <w:t>1.投标人必须是</w:t>
            </w:r>
            <w:r>
              <w:rPr>
                <w:rFonts w:hint="eastAsia" w:ascii="宋体" w:hAnsi="宋体"/>
                <w:color w:val="FF0000"/>
                <w:sz w:val="28"/>
                <w:szCs w:val="28"/>
                <w:lang w:val="en-US" w:eastAsia="zh-CN"/>
              </w:rPr>
              <w:t>江苏</w:t>
            </w:r>
            <w:r>
              <w:rPr>
                <w:rFonts w:hint="eastAsia" w:ascii="宋体" w:hAnsi="宋体"/>
                <w:color w:val="FF0000"/>
                <w:sz w:val="28"/>
                <w:szCs w:val="28"/>
              </w:rPr>
              <w:t>长江水务</w:t>
            </w:r>
            <w:r>
              <w:rPr>
                <w:rFonts w:hint="eastAsia" w:ascii="宋体" w:hAnsi="宋体"/>
                <w:color w:val="FF0000"/>
                <w:sz w:val="28"/>
                <w:szCs w:val="28"/>
                <w:lang w:val="en-US" w:eastAsia="zh-CN"/>
              </w:rPr>
              <w:t>股份有限</w:t>
            </w:r>
            <w:r>
              <w:rPr>
                <w:rFonts w:hint="eastAsia" w:ascii="宋体" w:hAnsi="宋体"/>
                <w:color w:val="FF0000"/>
                <w:sz w:val="28"/>
                <w:szCs w:val="28"/>
              </w:rPr>
              <w:t>公司施工协作单位名录库单位，且取得润元公司施工许可证；2.安全</w:t>
            </w:r>
            <w:r>
              <w:rPr>
                <w:rFonts w:hint="eastAsia" w:ascii="宋体" w:hAnsi="宋体"/>
                <w:color w:val="FF0000"/>
                <w:sz w:val="28"/>
                <w:szCs w:val="28"/>
                <w:lang w:val="en-US" w:eastAsia="zh-CN"/>
              </w:rPr>
              <w:t>生产</w:t>
            </w:r>
            <w:r>
              <w:rPr>
                <w:rFonts w:hint="eastAsia" w:ascii="宋体" w:hAnsi="宋体"/>
                <w:color w:val="FF0000"/>
                <w:sz w:val="28"/>
                <w:szCs w:val="28"/>
              </w:rPr>
              <w:t>许可证在有效期内；3、投标人在手工程不得超过外工队伍施工许可证中核定工程项目数；4.施工人员保险必须满足公司要求并在保险期内。</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2"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50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highlight w:val="white"/>
              </w:rPr>
              <w:t>资格审查</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500" w:lineRule="exact"/>
              <w:textAlignment w:val="auto"/>
              <w:rPr>
                <w:rFonts w:ascii="宋体" w:hAnsi="宋体"/>
                <w:snapToGrid w:val="0"/>
                <w:color w:val="FF0000"/>
                <w:sz w:val="28"/>
                <w:szCs w:val="28"/>
              </w:rPr>
            </w:pPr>
            <w:r>
              <w:rPr>
                <w:rFonts w:hint="eastAsia" w:ascii="宋体" w:hAnsi="宋体"/>
                <w:snapToGrid w:val="0"/>
                <w:color w:val="FF0000"/>
                <w:sz w:val="28"/>
                <w:szCs w:val="28"/>
              </w:rPr>
              <w:t>本项目采用资格预审方式，需提供书面资料：项目人员名单（含项目负责人、安全员、电工等主要施工人员）、工程质量维修承诺书。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50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投标报价方式</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500" w:lineRule="exact"/>
              <w:textAlignment w:val="auto"/>
              <w:rPr>
                <w:rFonts w:ascii="宋体" w:hAnsi="宋体"/>
                <w:snapToGrid w:val="0"/>
                <w:sz w:val="28"/>
                <w:szCs w:val="28"/>
              </w:rPr>
            </w:pPr>
            <w:r>
              <w:rPr>
                <w:rFonts w:hint="eastAsia" w:ascii="宋体" w:hAnsi="宋体"/>
                <w:b/>
                <w:bCs/>
                <w:snapToGrid w:val="0"/>
                <w:sz w:val="28"/>
                <w:highlight w:val="white"/>
                <w:u w:val="single"/>
              </w:rPr>
              <w:t>投标让利率</w:t>
            </w:r>
            <w:r>
              <w:rPr>
                <w:rFonts w:hint="eastAsia" w:ascii="宋体" w:hAnsi="宋体"/>
                <w:b/>
                <w:bCs/>
                <w:snapToGrid w:val="0"/>
                <w:sz w:val="28"/>
                <w:highlight w:val="white"/>
              </w:rPr>
              <w:t>报价。</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500" w:lineRule="exact"/>
              <w:jc w:val="center"/>
              <w:textAlignment w:val="auto"/>
              <w:rPr>
                <w:rFonts w:ascii="宋体" w:hAnsi="宋体"/>
                <w:snapToGrid w:val="0"/>
                <w:sz w:val="28"/>
                <w:szCs w:val="28"/>
              </w:rPr>
            </w:pPr>
            <w:r>
              <w:rPr>
                <w:rFonts w:hint="eastAsia" w:ascii="宋体" w:hAnsi="宋体"/>
                <w:snapToGrid w:val="0"/>
                <w:sz w:val="28"/>
                <w:szCs w:val="28"/>
                <w:highlight w:val="white"/>
              </w:rPr>
              <w:t>标书装订</w:t>
            </w:r>
          </w:p>
          <w:p>
            <w:pPr>
              <w:keepNext w:val="0"/>
              <w:keepLines w:val="0"/>
              <w:pageBreakBefore w:val="0"/>
              <w:kinsoku/>
              <w:wordWrap/>
              <w:overflowPunct/>
              <w:topLinePunct w:val="0"/>
              <w:autoSpaceDE/>
              <w:autoSpaceDN/>
              <w:bidi w:val="0"/>
              <w:snapToGrid w:val="0"/>
              <w:spacing w:line="500" w:lineRule="exact"/>
              <w:jc w:val="center"/>
              <w:textAlignment w:val="auto"/>
              <w:rPr>
                <w:rFonts w:ascii="宋体" w:hAnsi="宋体"/>
                <w:snapToGrid w:val="0"/>
                <w:sz w:val="28"/>
                <w:szCs w:val="28"/>
              </w:rPr>
            </w:pPr>
            <w:r>
              <w:rPr>
                <w:rFonts w:hint="eastAsia" w:ascii="宋体" w:hAnsi="宋体"/>
                <w:snapToGrid w:val="0"/>
                <w:sz w:val="28"/>
                <w:szCs w:val="28"/>
                <w:highlight w:val="white"/>
              </w:rPr>
              <w:t>及密封要求</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pStyle w:val="3"/>
              <w:keepNext w:val="0"/>
              <w:keepLines w:val="0"/>
              <w:pageBreakBefore w:val="0"/>
              <w:kinsoku/>
              <w:wordWrap/>
              <w:overflowPunct/>
              <w:topLinePunct w:val="0"/>
              <w:autoSpaceDE/>
              <w:autoSpaceDN/>
              <w:bidi w:val="0"/>
              <w:adjustRightInd w:val="0"/>
              <w:snapToGrid w:val="0"/>
              <w:spacing w:line="500" w:lineRule="exact"/>
              <w:ind w:firstLine="0"/>
              <w:textAlignment w:val="auto"/>
              <w:rPr>
                <w:rFonts w:hAnsi="宋体"/>
                <w:snapToGrid w:val="0"/>
                <w:color w:val="0000FF"/>
                <w:szCs w:val="28"/>
                <w:highlight w:val="white"/>
              </w:rPr>
            </w:pPr>
            <w:r>
              <w:rPr>
                <w:rFonts w:hint="eastAsia" w:hAnsi="宋体"/>
                <w:snapToGrid w:val="0"/>
                <w:szCs w:val="28"/>
                <w:highlight w:val="white"/>
              </w:rPr>
              <w:t>所有封袋上应写明招标人名称、工程名称和标段及投标人的名称。</w:t>
            </w:r>
          </w:p>
          <w:p>
            <w:pPr>
              <w:keepNext w:val="0"/>
              <w:keepLines w:val="0"/>
              <w:pageBreakBefore w:val="0"/>
              <w:kinsoku/>
              <w:wordWrap/>
              <w:overflowPunct/>
              <w:topLinePunct w:val="0"/>
              <w:autoSpaceDE/>
              <w:autoSpaceDN/>
              <w:bidi w:val="0"/>
              <w:snapToGrid w:val="0"/>
              <w:spacing w:line="500" w:lineRule="exact"/>
              <w:textAlignment w:val="auto"/>
              <w:rPr>
                <w:rFonts w:ascii="宋体" w:hAnsi="宋体"/>
                <w:snapToGrid w:val="0"/>
                <w:sz w:val="28"/>
                <w:szCs w:val="28"/>
              </w:rPr>
            </w:pPr>
            <w:r>
              <w:rPr>
                <w:rFonts w:hint="eastAsia" w:ascii="宋体" w:hAnsi="宋体"/>
                <w:snapToGrid w:val="0"/>
                <w:sz w:val="28"/>
                <w:szCs w:val="28"/>
                <w:highlight w:val="white"/>
              </w:rPr>
              <w:t>所有投标文件都必须在封袋加盖投标单位法人公章及其法定代表人或授权委托人印鉴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500" w:lineRule="exact"/>
              <w:jc w:val="center"/>
              <w:textAlignment w:val="auto"/>
              <w:rPr>
                <w:rFonts w:ascii="宋体" w:hAnsi="宋体"/>
                <w:snapToGrid w:val="0"/>
                <w:sz w:val="28"/>
                <w:szCs w:val="28"/>
              </w:rPr>
            </w:pPr>
            <w:r>
              <w:rPr>
                <w:rFonts w:hint="eastAsia" w:ascii="宋体" w:hAnsi="宋体"/>
                <w:snapToGrid w:val="0"/>
                <w:sz w:val="28"/>
                <w:szCs w:val="28"/>
                <w:highlight w:val="white"/>
              </w:rPr>
              <w:t>评标办法</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500" w:lineRule="exact"/>
              <w:textAlignment w:val="auto"/>
              <w:rPr>
                <w:rFonts w:ascii="宋体" w:hAnsi="宋体" w:cs="TimesNewRomanPSMT"/>
                <w:color w:val="0000FF"/>
                <w:sz w:val="28"/>
                <w:szCs w:val="32"/>
                <w:highlight w:val="yellow"/>
              </w:rPr>
            </w:pPr>
            <w:r>
              <w:rPr>
                <w:rFonts w:hint="eastAsia" w:ascii="宋体" w:hAnsi="宋体" w:cs="TimesNewRomanPSMT"/>
                <w:color w:val="0000FF"/>
                <w:sz w:val="28"/>
                <w:szCs w:val="32"/>
              </w:rPr>
              <w:t>综合评分法或合理低价法</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500" w:lineRule="exact"/>
              <w:jc w:val="center"/>
              <w:textAlignment w:val="auto"/>
              <w:rPr>
                <w:rFonts w:ascii="宋体" w:hAnsi="宋体"/>
                <w:sz w:val="28"/>
                <w:szCs w:val="28"/>
              </w:rPr>
            </w:pPr>
            <w:r>
              <w:rPr>
                <w:rFonts w:hint="eastAsia" w:ascii="宋体" w:hAnsi="宋体"/>
                <w:sz w:val="28"/>
                <w:szCs w:val="28"/>
                <w:highlight w:val="white"/>
              </w:rPr>
              <w:t>合同结算方式</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500" w:lineRule="exact"/>
              <w:ind w:left="34" w:hanging="34"/>
              <w:textAlignment w:val="auto"/>
              <w:rPr>
                <w:rFonts w:ascii="宋体" w:hAnsi="宋体"/>
                <w:snapToGrid w:val="0"/>
                <w:sz w:val="28"/>
              </w:rPr>
            </w:pPr>
            <w:r>
              <w:rPr>
                <w:rFonts w:hint="eastAsia" w:ascii="宋体" w:hAnsi="宋体"/>
                <w:snapToGrid w:val="0"/>
                <w:sz w:val="28"/>
                <w:highlight w:val="white"/>
              </w:rPr>
              <w:t>1、本合同价款采用固定</w:t>
            </w:r>
            <w:r>
              <w:rPr>
                <w:rFonts w:hint="eastAsia" w:ascii="宋体" w:hAnsi="宋体"/>
                <w:snapToGrid w:val="0"/>
                <w:color w:val="0000FF"/>
                <w:sz w:val="28"/>
                <w:highlight w:val="white"/>
                <w:u w:val="single"/>
              </w:rPr>
              <w:t xml:space="preserve"> / </w:t>
            </w:r>
            <w:r>
              <w:rPr>
                <w:rFonts w:hint="eastAsia" w:ascii="宋体" w:hAnsi="宋体"/>
                <w:snapToGrid w:val="0"/>
                <w:sz w:val="28"/>
                <w:highlight w:val="white"/>
              </w:rPr>
              <w:t>合同方式确定。</w:t>
            </w:r>
          </w:p>
          <w:p>
            <w:pPr>
              <w:keepNext w:val="0"/>
              <w:keepLines w:val="0"/>
              <w:pageBreakBefore w:val="0"/>
              <w:widowControl/>
              <w:kinsoku/>
              <w:wordWrap/>
              <w:overflowPunct/>
              <w:topLinePunct w:val="0"/>
              <w:autoSpaceDE/>
              <w:autoSpaceDN/>
              <w:bidi w:val="0"/>
              <w:spacing w:line="500" w:lineRule="exact"/>
              <w:jc w:val="left"/>
              <w:textAlignment w:val="auto"/>
              <w:rPr>
                <w:rFonts w:ascii="宋体" w:hAnsi="宋体"/>
                <w:b/>
                <w:snapToGrid w:val="0"/>
                <w:sz w:val="28"/>
              </w:rPr>
            </w:pPr>
            <w:r>
              <w:rPr>
                <w:rFonts w:hint="eastAsia" w:hAnsi="Arial" w:cs="宋体"/>
                <w:color w:val="FF0000"/>
                <w:spacing w:val="-3"/>
                <w:kern w:val="0"/>
                <w:sz w:val="28"/>
                <w:szCs w:val="28"/>
              </w:rPr>
              <w:t>2、结算</w:t>
            </w:r>
            <w:r>
              <w:rPr>
                <w:rFonts w:hint="eastAsia" w:ascii="宋体" w:hAnsi="宋体" w:cs="宋体"/>
                <w:color w:val="FF0000"/>
                <w:kern w:val="0"/>
                <w:sz w:val="28"/>
                <w:szCs w:val="28"/>
              </w:rPr>
              <w:t>按照江苏长江水务股份有限公司内部结算标准结算，最终按实际工作量结算。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500" w:lineRule="exact"/>
              <w:jc w:val="center"/>
              <w:textAlignment w:val="auto"/>
              <w:rPr>
                <w:rFonts w:ascii="宋体" w:hAnsi="宋体"/>
                <w:snapToGrid w:val="0"/>
                <w:sz w:val="28"/>
                <w:szCs w:val="28"/>
              </w:rPr>
            </w:pPr>
            <w:r>
              <w:rPr>
                <w:rFonts w:hint="eastAsia" w:ascii="宋体" w:hAnsi="宋体"/>
                <w:snapToGrid w:val="0"/>
                <w:sz w:val="28"/>
                <w:szCs w:val="28"/>
                <w:highlight w:val="white"/>
              </w:rPr>
              <w:t>其他</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500" w:lineRule="exact"/>
              <w:textAlignment w:val="auto"/>
              <w:rPr>
                <w:rFonts w:ascii="宋体" w:hAnsi="宋体"/>
                <w:snapToGrid w:val="0"/>
                <w:sz w:val="28"/>
                <w:szCs w:val="28"/>
                <w:highlight w:val="white"/>
              </w:rPr>
            </w:pPr>
            <w:r>
              <w:rPr>
                <w:rFonts w:hint="eastAsia" w:ascii="宋体" w:hAnsi="宋体"/>
                <w:snapToGrid w:val="0"/>
                <w:sz w:val="28"/>
                <w:szCs w:val="28"/>
                <w:highlight w:val="white"/>
              </w:rPr>
              <w:t>1、下文中与“前附表”内容不一致的，以“前附表”为准；</w:t>
            </w:r>
          </w:p>
          <w:p>
            <w:pPr>
              <w:keepNext w:val="0"/>
              <w:keepLines w:val="0"/>
              <w:pageBreakBefore w:val="0"/>
              <w:kinsoku/>
              <w:wordWrap/>
              <w:overflowPunct/>
              <w:topLinePunct w:val="0"/>
              <w:autoSpaceDE/>
              <w:autoSpaceDN/>
              <w:bidi w:val="0"/>
              <w:snapToGrid w:val="0"/>
              <w:spacing w:line="500" w:lineRule="exact"/>
              <w:ind w:left="34" w:hanging="34"/>
              <w:textAlignment w:val="auto"/>
              <w:rPr>
                <w:rFonts w:hAnsi="Arial" w:cs="宋体"/>
                <w:color w:val="FF0000"/>
                <w:spacing w:val="-3"/>
                <w:kern w:val="0"/>
                <w:sz w:val="28"/>
                <w:szCs w:val="28"/>
              </w:rPr>
            </w:pPr>
            <w:r>
              <w:rPr>
                <w:rFonts w:hint="eastAsia" w:hAnsi="Arial" w:cs="宋体"/>
                <w:color w:val="FF0000"/>
                <w:spacing w:val="-3"/>
                <w:kern w:val="0"/>
                <w:sz w:val="28"/>
                <w:szCs w:val="28"/>
              </w:rPr>
              <w:t>2、工程质量保修承诺：本工程质保期为两年，质保期范围内发生质量问题由施工方免费维修。</w:t>
            </w:r>
          </w:p>
          <w:p>
            <w:pPr>
              <w:keepNext w:val="0"/>
              <w:keepLines w:val="0"/>
              <w:pageBreakBefore w:val="0"/>
              <w:kinsoku/>
              <w:wordWrap/>
              <w:overflowPunct/>
              <w:topLinePunct w:val="0"/>
              <w:autoSpaceDE/>
              <w:autoSpaceDN/>
              <w:bidi w:val="0"/>
              <w:snapToGrid w:val="0"/>
              <w:spacing w:line="500" w:lineRule="exact"/>
              <w:ind w:left="34" w:hanging="34"/>
              <w:textAlignment w:val="auto"/>
              <w:rPr>
                <w:rFonts w:hAnsi="Arial" w:cs="宋体"/>
                <w:color w:val="FF0000"/>
                <w:spacing w:val="-3"/>
                <w:kern w:val="0"/>
                <w:sz w:val="28"/>
                <w:szCs w:val="28"/>
              </w:rPr>
            </w:pPr>
            <w:r>
              <w:rPr>
                <w:rFonts w:hint="eastAsia" w:hAnsi="Arial" w:cs="宋体"/>
                <w:color w:val="FF0000"/>
                <w:spacing w:val="-3"/>
                <w:kern w:val="0"/>
                <w:sz w:val="28"/>
                <w:szCs w:val="28"/>
              </w:rPr>
              <w:t>3、同一时间段开标4个项目（含）以上，协作单位只能兼中2个项目。</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364" w:hRule="atLeast"/>
          <w:jc w:val="center"/>
        </w:trPr>
        <w:tc>
          <w:tcPr>
            <w:tcW w:w="2048" w:type="dxa"/>
            <w:tcBorders>
              <w:top w:val="single" w:color="auto" w:sz="4" w:space="0"/>
              <w:left w:val="single" w:color="auto" w:sz="8" w:space="0"/>
              <w:bottom w:val="single" w:color="auto" w:sz="8" w:space="0"/>
              <w:right w:val="single" w:color="auto" w:sz="4" w:space="0"/>
            </w:tcBorders>
            <w:vAlign w:val="center"/>
          </w:tcPr>
          <w:p>
            <w:pPr>
              <w:keepNext w:val="0"/>
              <w:keepLines w:val="0"/>
              <w:pageBreakBefore w:val="0"/>
              <w:kinsoku/>
              <w:wordWrap/>
              <w:overflowPunct/>
              <w:topLinePunct w:val="0"/>
              <w:autoSpaceDE/>
              <w:autoSpaceDN/>
              <w:bidi w:val="0"/>
              <w:snapToGrid w:val="0"/>
              <w:spacing w:line="500" w:lineRule="exact"/>
              <w:jc w:val="center"/>
              <w:textAlignment w:val="auto"/>
              <w:rPr>
                <w:rFonts w:ascii="宋体" w:hAnsi="宋体"/>
                <w:snapToGrid w:val="0"/>
                <w:sz w:val="28"/>
                <w:szCs w:val="28"/>
              </w:rPr>
            </w:pPr>
            <w:r>
              <w:rPr>
                <w:rFonts w:hint="eastAsia" w:ascii="宋体" w:hAnsi="宋体"/>
                <w:snapToGrid w:val="0"/>
                <w:sz w:val="28"/>
                <w:szCs w:val="28"/>
                <w:highlight w:val="white"/>
              </w:rPr>
              <w:t>联系方式</w:t>
            </w:r>
          </w:p>
        </w:tc>
        <w:tc>
          <w:tcPr>
            <w:tcW w:w="8452" w:type="dxa"/>
            <w:gridSpan w:val="6"/>
            <w:tcBorders>
              <w:top w:val="single" w:color="auto" w:sz="4" w:space="0"/>
              <w:left w:val="single" w:color="auto" w:sz="4" w:space="0"/>
              <w:bottom w:val="single" w:color="auto" w:sz="8" w:space="0"/>
              <w:right w:val="single" w:color="auto" w:sz="8" w:space="0"/>
            </w:tcBorders>
            <w:vAlign w:val="center"/>
          </w:tcPr>
          <w:p>
            <w:pPr>
              <w:keepNext w:val="0"/>
              <w:keepLines w:val="0"/>
              <w:pageBreakBefore w:val="0"/>
              <w:kinsoku/>
              <w:wordWrap/>
              <w:overflowPunct/>
              <w:topLinePunct w:val="0"/>
              <w:autoSpaceDE/>
              <w:autoSpaceDN/>
              <w:bidi w:val="0"/>
              <w:adjustRightInd w:val="0"/>
              <w:snapToGrid w:val="0"/>
              <w:spacing w:line="500" w:lineRule="exact"/>
              <w:textAlignment w:val="auto"/>
              <w:rPr>
                <w:rFonts w:ascii="宋体" w:hAnsi="宋体"/>
                <w:sz w:val="28"/>
                <w:szCs w:val="28"/>
              </w:rPr>
            </w:pPr>
            <w:r>
              <w:rPr>
                <w:rFonts w:hint="eastAsia" w:ascii="宋体" w:hAnsi="宋体"/>
                <w:sz w:val="28"/>
                <w:szCs w:val="28"/>
                <w:highlight w:val="white"/>
              </w:rPr>
              <w:t>招标人：</w:t>
            </w:r>
            <w:r>
              <w:rPr>
                <w:rFonts w:hint="eastAsia" w:ascii="宋体" w:hAnsi="宋体"/>
                <w:snapToGrid w:val="0"/>
                <w:color w:val="0000FF"/>
                <w:sz w:val="28"/>
                <w:szCs w:val="28"/>
                <w:highlight w:val="white"/>
              </w:rPr>
              <w:t>扬州市润元给排水工程有限公司</w:t>
            </w:r>
          </w:p>
          <w:p>
            <w:pPr>
              <w:keepNext w:val="0"/>
              <w:keepLines w:val="0"/>
              <w:pageBreakBefore w:val="0"/>
              <w:kinsoku/>
              <w:wordWrap/>
              <w:overflowPunct/>
              <w:topLinePunct w:val="0"/>
              <w:autoSpaceDE/>
              <w:autoSpaceDN/>
              <w:bidi w:val="0"/>
              <w:adjustRightInd w:val="0"/>
              <w:snapToGrid w:val="0"/>
              <w:spacing w:line="500" w:lineRule="exact"/>
              <w:textAlignment w:val="auto"/>
              <w:rPr>
                <w:rFonts w:ascii="宋体" w:hAnsi="宋体"/>
                <w:sz w:val="28"/>
                <w:szCs w:val="28"/>
              </w:rPr>
            </w:pPr>
            <w:r>
              <w:rPr>
                <w:rFonts w:hint="eastAsia" w:ascii="宋体" w:hAnsi="宋体"/>
                <w:sz w:val="28"/>
                <w:szCs w:val="28"/>
                <w:highlight w:val="white"/>
              </w:rPr>
              <w:t>地  址：</w:t>
            </w:r>
            <w:r>
              <w:rPr>
                <w:rFonts w:hint="eastAsia" w:ascii="宋体" w:hAnsi="宋体"/>
                <w:color w:val="0000FF"/>
                <w:sz w:val="28"/>
                <w:szCs w:val="28"/>
                <w:highlight w:val="white"/>
              </w:rPr>
              <w:t>扬州</w:t>
            </w:r>
            <w:r>
              <w:rPr>
                <w:rFonts w:hint="eastAsia" w:ascii="宋体" w:hAnsi="宋体"/>
                <w:color w:val="0000FF"/>
                <w:sz w:val="28"/>
                <w:szCs w:val="28"/>
              </w:rPr>
              <w:t>市扬子江北路1222号</w:t>
            </w:r>
          </w:p>
          <w:p>
            <w:pPr>
              <w:keepNext w:val="0"/>
              <w:keepLines w:val="0"/>
              <w:pageBreakBefore w:val="0"/>
              <w:kinsoku/>
              <w:wordWrap/>
              <w:overflowPunct/>
              <w:topLinePunct w:val="0"/>
              <w:autoSpaceDE/>
              <w:autoSpaceDN/>
              <w:bidi w:val="0"/>
              <w:adjustRightInd w:val="0"/>
              <w:snapToGrid w:val="0"/>
              <w:spacing w:line="500" w:lineRule="exact"/>
              <w:textAlignment w:val="auto"/>
              <w:rPr>
                <w:rFonts w:ascii="宋体" w:hAnsi="宋体"/>
                <w:color w:val="0000FF"/>
                <w:sz w:val="28"/>
                <w:szCs w:val="28"/>
                <w:highlight w:val="white"/>
              </w:rPr>
            </w:pPr>
            <w:r>
              <w:rPr>
                <w:rFonts w:hint="eastAsia" w:ascii="宋体" w:hAnsi="宋体"/>
                <w:sz w:val="28"/>
                <w:szCs w:val="28"/>
                <w:highlight w:val="white"/>
              </w:rPr>
              <w:t>电  话：</w:t>
            </w:r>
            <w:r>
              <w:rPr>
                <w:rFonts w:hint="eastAsia" w:ascii="宋体" w:hAnsi="宋体"/>
                <w:color w:val="0000FF"/>
                <w:sz w:val="28"/>
                <w:szCs w:val="28"/>
                <w:highlight w:val="white"/>
              </w:rPr>
              <w:t>82980022</w:t>
            </w:r>
          </w:p>
        </w:tc>
      </w:tr>
    </w:tbl>
    <w:p>
      <w:pPr>
        <w:keepNext w:val="0"/>
        <w:keepLines w:val="0"/>
        <w:pageBreakBefore w:val="0"/>
        <w:kinsoku/>
        <w:wordWrap/>
        <w:overflowPunct/>
        <w:topLinePunct w:val="0"/>
        <w:autoSpaceDE/>
        <w:autoSpaceDN/>
        <w:bidi w:val="0"/>
        <w:adjustRightInd w:val="0"/>
        <w:snapToGrid w:val="0"/>
        <w:spacing w:line="500" w:lineRule="exact"/>
        <w:textAlignment w:val="auto"/>
        <w:rPr>
          <w:rFonts w:ascii="宋体" w:hAnsi="宋体"/>
          <w:b/>
          <w:bCs/>
          <w:snapToGrid w:val="0"/>
          <w:sz w:val="28"/>
          <w:szCs w:val="36"/>
        </w:rPr>
      </w:pPr>
      <w:r>
        <w:rPr>
          <w:rFonts w:hint="eastAsia" w:ascii="宋体" w:hAnsi="宋体"/>
          <w:sz w:val="28"/>
          <w:szCs w:val="28"/>
          <w:highlight w:val="white"/>
        </w:rPr>
        <w:t>招标文件编制人（签名）：</w:t>
      </w:r>
      <w:r>
        <w:rPr>
          <w:rFonts w:hint="eastAsia" w:ascii="宋体" w:hAnsi="宋体"/>
          <w:sz w:val="28"/>
          <w:szCs w:val="28"/>
          <w:highlight w:val="white"/>
          <w:lang w:val="en-US" w:eastAsia="zh-CN"/>
        </w:rPr>
        <w:t>王竹娴</w:t>
      </w:r>
      <w:r>
        <w:rPr>
          <w:rFonts w:hint="eastAsia" w:ascii="宋体" w:hAnsi="宋体"/>
          <w:sz w:val="28"/>
          <w:szCs w:val="28"/>
          <w:highlight w:val="white"/>
        </w:rPr>
        <w:t xml:space="preserve">          单位（盖章）：</w:t>
      </w:r>
    </w:p>
    <w:p>
      <w:pPr>
        <w:spacing w:line="440" w:lineRule="exact"/>
        <w:rPr>
          <w:rFonts w:ascii="宋体" w:hAnsi="宋体"/>
          <w:b/>
          <w:sz w:val="32"/>
          <w:szCs w:val="32"/>
        </w:rPr>
      </w:pPr>
      <w:r>
        <w:rPr>
          <w:rFonts w:ascii="宋体" w:hAnsi="宋体"/>
          <w:highlight w:val="white"/>
        </w:rPr>
        <w:br w:type="page"/>
      </w:r>
      <w:r>
        <w:rPr>
          <w:rFonts w:hint="eastAsia" w:ascii="宋体" w:hAnsi="宋体"/>
          <w:b/>
          <w:sz w:val="32"/>
          <w:szCs w:val="32"/>
          <w:highlight w:val="white"/>
        </w:rPr>
        <w:t>一、总    则</w:t>
      </w:r>
    </w:p>
    <w:p>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1、招标项目概况</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1.1本招标项目已具备招标条件，现对本工程进行招标</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2、投标费用</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2.1投标人应承担其编制投标文件与递交投标文件所涉及的一切费用。不管投标结果如何，招标人对上述费用不负任何责任。</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3、保密</w:t>
      </w:r>
    </w:p>
    <w:p>
      <w:pPr>
        <w:autoSpaceDE w:val="0"/>
        <w:autoSpaceDN w:val="0"/>
        <w:adjustRightInd w:val="0"/>
        <w:snapToGrid w:val="0"/>
        <w:spacing w:line="440" w:lineRule="exact"/>
        <w:ind w:firstLine="560"/>
        <w:rPr>
          <w:rFonts w:ascii="宋体" w:hAnsi="宋体"/>
          <w:snapToGrid w:val="0"/>
          <w:sz w:val="28"/>
          <w:szCs w:val="28"/>
        </w:rPr>
      </w:pPr>
      <w:r>
        <w:rPr>
          <w:rFonts w:hint="eastAsia" w:ascii="宋体" w:hAnsi="宋体"/>
          <w:snapToGrid w:val="0"/>
          <w:sz w:val="28"/>
          <w:highlight w:val="white"/>
        </w:rPr>
        <w:t>参与招标投标活动的各方应对招标文件和投标文件中的商业和技术等秘密保密，违者应对由此造成的后果承担法律责任</w:t>
      </w:r>
      <w:r>
        <w:rPr>
          <w:rFonts w:hint="eastAsia" w:ascii="宋体" w:hAnsi="宋体"/>
          <w:snapToGrid w:val="0"/>
          <w:sz w:val="28"/>
          <w:szCs w:val="28"/>
          <w:highlight w:val="white"/>
        </w:rPr>
        <w:t>。</w:t>
      </w:r>
    </w:p>
    <w:p>
      <w:pPr>
        <w:spacing w:line="440" w:lineRule="exact"/>
        <w:rPr>
          <w:rFonts w:ascii="宋体" w:hAnsi="宋体"/>
          <w:b/>
          <w:sz w:val="32"/>
          <w:szCs w:val="32"/>
          <w:highlight w:val="white"/>
        </w:rPr>
      </w:pPr>
      <w:r>
        <w:rPr>
          <w:rFonts w:hint="eastAsia" w:ascii="宋体" w:hAnsi="宋体"/>
          <w:b/>
          <w:sz w:val="32"/>
          <w:szCs w:val="32"/>
          <w:highlight w:val="white"/>
        </w:rPr>
        <w:t>二、招  标  文  件</w:t>
      </w:r>
    </w:p>
    <w:p>
      <w:pPr>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4、招标文件的内容</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4.1招标文件包括以下文件（包括不仅限于此）：</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投标人须知；</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评标标准与办法；</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合同主要条款；</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工程量清单；</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rPr>
      </w:pPr>
      <w:r>
        <w:rPr>
          <w:rFonts w:hint="eastAsia" w:ascii="宋体" w:hAnsi="宋体"/>
          <w:snapToGrid w:val="0"/>
          <w:sz w:val="28"/>
          <w:highlight w:val="white"/>
        </w:rPr>
        <w:t>图纸和其他资料</w:t>
      </w:r>
      <w:r>
        <w:rPr>
          <w:rFonts w:hint="eastAsia" w:ascii="宋体" w:hAnsi="宋体"/>
          <w:snapToGrid w:val="0"/>
          <w:sz w:val="28"/>
        </w:rPr>
        <w:t>；</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rPr>
      </w:pPr>
      <w:r>
        <w:rPr>
          <w:rFonts w:hint="eastAsia" w:ascii="宋体" w:hAnsi="宋体"/>
          <w:snapToGrid w:val="0"/>
          <w:sz w:val="28"/>
          <w:highlight w:val="white"/>
        </w:rPr>
        <w:t>投标文件格式</w:t>
      </w:r>
      <w:r>
        <w:rPr>
          <w:rFonts w:hint="eastAsia" w:ascii="宋体" w:hAnsi="宋体"/>
          <w:snapToGrid w:val="0"/>
          <w:sz w:val="28"/>
        </w:rPr>
        <w:t>；</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所有投标期间发出的补充通知。</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4.2根据本章第5款和第6款对招标文件所作的澄清、修改，构成招标文件的组成部分。</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4.3投标人应认真阅读本招标文件中所有的内容，并按招标文件的规定和要求编写投标文件，不能满足招标文件实质性要求的投标文件，将被视为无效投标文件。</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5、招标文件的澄清和修改</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6、招标控制价</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6.1招标控制价编制依据（前附表）</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w:t>
      </w:r>
      <w:r>
        <w:rPr>
          <w:rFonts w:hint="eastAsia" w:ascii="宋体" w:hAnsi="宋体"/>
          <w:snapToGrid w:val="0"/>
          <w:sz w:val="28"/>
          <w:highlight w:val="white"/>
          <w:lang w:val="en-US" w:eastAsia="zh-CN"/>
        </w:rPr>
        <w:t>2</w:t>
      </w:r>
      <w:r>
        <w:rPr>
          <w:rFonts w:hint="eastAsia" w:ascii="宋体" w:hAnsi="宋体"/>
          <w:snapToGrid w:val="0"/>
          <w:sz w:val="28"/>
          <w:highlight w:val="white"/>
        </w:rPr>
        <w:t>招标控制价异议处理</w:t>
      </w:r>
    </w:p>
    <w:p>
      <w:pPr>
        <w:tabs>
          <w:tab w:val="left" w:pos="0"/>
          <w:tab w:val="left" w:pos="993"/>
          <w:tab w:val="left" w:pos="1134"/>
        </w:tabs>
        <w:adjustRightInd w:val="0"/>
        <w:snapToGrid w:val="0"/>
        <w:spacing w:line="440" w:lineRule="exact"/>
        <w:ind w:firstLine="561"/>
        <w:rPr>
          <w:rFonts w:ascii="宋体" w:hAnsi="宋体"/>
          <w:b/>
          <w:bCs/>
          <w:snapToGrid w:val="0"/>
          <w:color w:val="000080"/>
          <w:sz w:val="20"/>
          <w:highlight w:val="white"/>
        </w:rPr>
      </w:pPr>
      <w:r>
        <w:rPr>
          <w:rFonts w:hint="eastAsia" w:ascii="宋体" w:hAnsi="宋体"/>
          <w:b/>
          <w:bCs/>
          <w:snapToGrid w:val="0"/>
          <w:sz w:val="28"/>
          <w:highlight w:val="white"/>
        </w:rPr>
        <w:t>投标人对招标人公布的招标控制价有异议时，应以前附表中所列方式向招标人提出，招标人应当及时核实。经核实确有错误的，招标人应当调整招标控制价，在开标3日前通知所有投标人。</w:t>
      </w:r>
      <w:bookmarkStart w:id="0" w:name="EBa85809a0bc05463bb2f6aa37edbe78ac"/>
      <w:bookmarkEnd w:id="0"/>
      <w:bookmarkStart w:id="1" w:name="EB1159bd3c17904cc28a0e817afaac90ef"/>
      <w:bookmarkEnd w:id="1"/>
    </w:p>
    <w:p>
      <w:pPr>
        <w:spacing w:line="440" w:lineRule="exact"/>
        <w:rPr>
          <w:rFonts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三、投 标 文 件 的 组 成</w:t>
      </w:r>
    </w:p>
    <w:p>
      <w:pPr>
        <w:tabs>
          <w:tab w:val="left" w:pos="-1134"/>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7、投标文件的编制</w:t>
      </w:r>
    </w:p>
    <w:p>
      <w:pPr>
        <w:tabs>
          <w:tab w:val="left" w:pos="-1418"/>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7.1投标文件应按 “投标文件格式”进行编写。</w:t>
      </w:r>
    </w:p>
    <w:p>
      <w:pPr>
        <w:tabs>
          <w:tab w:val="left" w:pos="-1418"/>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7.2投标文件应当对招标文件有关工期、投标有效期、质量要求、技术标准和要求、招标范围等实质性内容作出响应。</w:t>
      </w:r>
    </w:p>
    <w:p>
      <w:pPr>
        <w:tabs>
          <w:tab w:val="left" w:pos="-1418"/>
          <w:tab w:val="left" w:pos="0"/>
        </w:tabs>
        <w:adjustRightInd w:val="0"/>
        <w:snapToGrid w:val="0"/>
        <w:spacing w:line="440" w:lineRule="exact"/>
        <w:ind w:firstLine="520"/>
        <w:rPr>
          <w:rFonts w:ascii="宋体" w:hAnsi="宋体"/>
          <w:bCs/>
          <w:snapToGrid w:val="0"/>
          <w:sz w:val="28"/>
        </w:rPr>
      </w:pPr>
      <w:r>
        <w:rPr>
          <w:rFonts w:hint="eastAsia" w:ascii="宋体" w:hAnsi="宋体"/>
          <w:bCs/>
          <w:snapToGrid w:val="0"/>
          <w:spacing w:val="-20"/>
          <w:sz w:val="28"/>
          <w:szCs w:val="28"/>
          <w:highlight w:val="white"/>
        </w:rPr>
        <w:t>7.3</w:t>
      </w:r>
      <w:r>
        <w:rPr>
          <w:rFonts w:hint="eastAsia" w:ascii="宋体" w:hAnsi="宋体"/>
          <w:bCs/>
          <w:snapToGrid w:val="0"/>
          <w:sz w:val="28"/>
          <w:highlight w:val="white"/>
        </w:rPr>
        <w:t>投标文件应包括：商务文件。</w:t>
      </w:r>
    </w:p>
    <w:p>
      <w:pPr>
        <w:tabs>
          <w:tab w:val="left" w:pos="0"/>
        </w:tabs>
        <w:adjustRightInd w:val="0"/>
        <w:snapToGrid w:val="0"/>
        <w:spacing w:line="440" w:lineRule="exact"/>
        <w:ind w:firstLine="560"/>
        <w:rPr>
          <w:rFonts w:ascii="宋体" w:hAnsi="宋体"/>
          <w:bCs/>
          <w:snapToGrid w:val="0"/>
          <w:sz w:val="28"/>
          <w:highlight w:val="white"/>
        </w:rPr>
      </w:pPr>
      <w:r>
        <w:rPr>
          <w:rFonts w:hint="eastAsia" w:ascii="宋体" w:hAnsi="宋体"/>
          <w:bCs/>
          <w:snapToGrid w:val="0"/>
          <w:sz w:val="28"/>
          <w:highlight w:val="white"/>
        </w:rPr>
        <w:t>7.3.1商务文件：应具备以下基本内容（按下列顺序组卷）</w:t>
      </w:r>
    </w:p>
    <w:p>
      <w:pPr>
        <w:numPr>
          <w:ilvl w:val="0"/>
          <w:numId w:val="4"/>
        </w:numPr>
        <w:tabs>
          <w:tab w:val="left" w:pos="0"/>
          <w:tab w:val="left" w:pos="993"/>
          <w:tab w:val="left" w:pos="1134"/>
        </w:tabs>
        <w:adjustRightInd w:val="0"/>
        <w:snapToGrid w:val="0"/>
        <w:spacing w:line="440" w:lineRule="exact"/>
        <w:ind w:left="1130"/>
        <w:rPr>
          <w:rFonts w:ascii="宋体" w:hAnsi="宋体"/>
          <w:bCs/>
          <w:snapToGrid w:val="0"/>
          <w:color w:val="FF0000"/>
          <w:sz w:val="28"/>
        </w:rPr>
      </w:pPr>
      <w:r>
        <w:rPr>
          <w:rFonts w:hint="eastAsia" w:ascii="宋体" w:hAnsi="宋体"/>
          <w:bCs/>
          <w:snapToGrid w:val="0"/>
          <w:color w:val="FF0000"/>
          <w:sz w:val="28"/>
        </w:rPr>
        <w:t>投标函（所有内容必须相应招标文件要求）</w:t>
      </w:r>
    </w:p>
    <w:p>
      <w:pPr>
        <w:numPr>
          <w:ilvl w:val="0"/>
          <w:numId w:val="4"/>
        </w:numPr>
        <w:tabs>
          <w:tab w:val="left" w:pos="0"/>
          <w:tab w:val="left" w:pos="993"/>
          <w:tab w:val="left" w:pos="1134"/>
        </w:tabs>
        <w:adjustRightInd w:val="0"/>
        <w:snapToGrid w:val="0"/>
        <w:spacing w:line="440" w:lineRule="exact"/>
        <w:rPr>
          <w:rFonts w:ascii="宋体" w:hAnsi="宋体"/>
          <w:bCs/>
          <w:snapToGrid w:val="0"/>
          <w:color w:val="FF0000"/>
          <w:sz w:val="28"/>
        </w:rPr>
      </w:pPr>
      <w:r>
        <w:rPr>
          <w:rFonts w:hint="eastAsia" w:ascii="宋体" w:hAnsi="宋体"/>
          <w:bCs/>
          <w:snapToGrid w:val="0"/>
          <w:color w:val="FF0000"/>
          <w:sz w:val="28"/>
        </w:rPr>
        <w:t>质量维修承诺书</w:t>
      </w:r>
    </w:p>
    <w:p>
      <w:pPr>
        <w:numPr>
          <w:ilvl w:val="0"/>
          <w:numId w:val="4"/>
        </w:numPr>
        <w:tabs>
          <w:tab w:val="left" w:pos="0"/>
          <w:tab w:val="left" w:pos="993"/>
          <w:tab w:val="left" w:pos="1134"/>
        </w:tabs>
        <w:adjustRightInd w:val="0"/>
        <w:snapToGrid w:val="0"/>
        <w:spacing w:line="440" w:lineRule="exact"/>
        <w:rPr>
          <w:rFonts w:ascii="宋体" w:hAnsi="宋体"/>
          <w:bCs/>
          <w:snapToGrid w:val="0"/>
          <w:color w:val="FF0000"/>
          <w:sz w:val="28"/>
          <w:highlight w:val="white"/>
        </w:rPr>
      </w:pPr>
      <w:r>
        <w:rPr>
          <w:rFonts w:hint="eastAsia" w:ascii="宋体" w:hAnsi="宋体"/>
          <w:bCs/>
          <w:snapToGrid w:val="0"/>
          <w:color w:val="FF0000"/>
          <w:sz w:val="28"/>
          <w:highlight w:val="white"/>
        </w:rPr>
        <w:t>施工人员清单（含项目负责人、安全员、电工等主要施工人员）</w:t>
      </w:r>
    </w:p>
    <w:p>
      <w:pPr>
        <w:tabs>
          <w:tab w:val="left" w:pos="0"/>
          <w:tab w:val="left" w:pos="993"/>
          <w:tab w:val="left" w:pos="1134"/>
        </w:tabs>
        <w:adjustRightInd w:val="0"/>
        <w:snapToGrid w:val="0"/>
        <w:spacing w:line="440" w:lineRule="exact"/>
        <w:ind w:left="709"/>
        <w:rPr>
          <w:rFonts w:ascii="宋体" w:hAnsi="宋体"/>
          <w:bCs/>
          <w:snapToGrid w:val="0"/>
          <w:sz w:val="28"/>
          <w:highlight w:val="white"/>
        </w:rPr>
      </w:pPr>
      <w:r>
        <w:rPr>
          <w:rFonts w:hint="eastAsia" w:ascii="宋体" w:hAnsi="宋体"/>
          <w:bCs/>
          <w:snapToGrid w:val="0"/>
          <w:color w:val="FF0000"/>
          <w:sz w:val="28"/>
          <w:highlight w:val="white"/>
        </w:rPr>
        <w:t>其中：2</w:t>
      </w:r>
      <w:r>
        <w:rPr>
          <w:rFonts w:hint="eastAsia" w:ascii="宋体" w:hAnsi="宋体"/>
          <w:bCs/>
          <w:snapToGrid w:val="0"/>
          <w:color w:val="FF0000"/>
          <w:sz w:val="28"/>
          <w:highlight w:val="white"/>
          <w:lang w:eastAsia="zh-CN"/>
        </w:rPr>
        <w:t>、</w:t>
      </w:r>
      <w:r>
        <w:rPr>
          <w:rFonts w:hint="eastAsia" w:ascii="宋体" w:hAnsi="宋体"/>
          <w:bCs/>
          <w:snapToGrid w:val="0"/>
          <w:color w:val="FF0000"/>
          <w:sz w:val="28"/>
          <w:highlight w:val="white"/>
        </w:rPr>
        <w:t>3作为资格预审需提供的资料</w:t>
      </w:r>
    </w:p>
    <w:p>
      <w:pPr>
        <w:tabs>
          <w:tab w:val="left" w:pos="0"/>
        </w:tabs>
        <w:adjustRightInd w:val="0"/>
        <w:snapToGrid w:val="0"/>
        <w:spacing w:line="440" w:lineRule="exact"/>
        <w:ind w:firstLine="566"/>
        <w:rPr>
          <w:rFonts w:ascii="宋体" w:hAnsi="宋体"/>
          <w:snapToGrid w:val="0"/>
          <w:sz w:val="28"/>
          <w:szCs w:val="28"/>
        </w:rPr>
      </w:pPr>
      <w:r>
        <w:rPr>
          <w:rFonts w:hint="eastAsia" w:ascii="宋体" w:hAnsi="宋体"/>
          <w:snapToGrid w:val="0"/>
          <w:sz w:val="28"/>
          <w:szCs w:val="28"/>
          <w:highlight w:val="white"/>
        </w:rPr>
        <w:t>7.4投标人应当使用投标文件第五章中所提供的文件格式填写。</w:t>
      </w:r>
    </w:p>
    <w:p>
      <w:pPr>
        <w:spacing w:line="440" w:lineRule="exact"/>
        <w:rPr>
          <w:rFonts w:ascii="宋体" w:hAnsi="宋体"/>
          <w:b/>
          <w:sz w:val="32"/>
          <w:szCs w:val="32"/>
          <w:highlight w:val="white"/>
        </w:rPr>
      </w:pPr>
      <w:r>
        <w:rPr>
          <w:rFonts w:hint="eastAsia" w:ascii="宋体" w:hAnsi="宋体"/>
          <w:b/>
          <w:sz w:val="32"/>
          <w:szCs w:val="32"/>
          <w:highlight w:val="white"/>
        </w:rPr>
        <w:t>四、投  标  报  价</w:t>
      </w:r>
    </w:p>
    <w:p>
      <w:pPr>
        <w:tabs>
          <w:tab w:val="left" w:pos="0"/>
          <w:tab w:val="left" w:pos="993"/>
          <w:tab w:val="left" w:pos="1134"/>
        </w:tabs>
        <w:adjustRightInd w:val="0"/>
        <w:snapToGrid w:val="0"/>
        <w:spacing w:line="440" w:lineRule="exact"/>
        <w:ind w:firstLine="560"/>
        <w:rPr>
          <w:rFonts w:ascii="宋体" w:hAnsi="宋体"/>
          <w:snapToGrid w:val="0"/>
          <w:color w:val="FF0000"/>
          <w:sz w:val="28"/>
        </w:rPr>
      </w:pPr>
      <w:bookmarkStart w:id="2" w:name="_Toc261518380"/>
      <w:bookmarkStart w:id="3" w:name="_Toc243811906"/>
      <w:r>
        <w:rPr>
          <w:rFonts w:hint="eastAsia" w:ascii="宋体" w:hAnsi="宋体"/>
          <w:sz w:val="28"/>
          <w:highlight w:val="white"/>
        </w:rPr>
        <w:t>8、投标报价</w:t>
      </w:r>
    </w:p>
    <w:p>
      <w:pPr>
        <w:tabs>
          <w:tab w:val="left" w:pos="0"/>
          <w:tab w:val="left" w:pos="993"/>
          <w:tab w:val="left" w:pos="1134"/>
        </w:tabs>
        <w:adjustRightInd w:val="0"/>
        <w:snapToGrid w:val="0"/>
        <w:spacing w:line="440" w:lineRule="exact"/>
        <w:ind w:firstLine="560"/>
        <w:rPr>
          <w:rFonts w:ascii="宋体" w:hAnsi="宋体"/>
          <w:sz w:val="28"/>
        </w:rPr>
      </w:pPr>
      <w:r>
        <w:rPr>
          <w:rFonts w:hint="eastAsia" w:ascii="宋体" w:hAnsi="宋体"/>
          <w:sz w:val="28"/>
          <w:highlight w:val="white"/>
        </w:rPr>
        <w:t>8.1</w:t>
      </w:r>
      <w:r>
        <w:rPr>
          <w:rFonts w:ascii="宋体" w:hAnsi="宋体"/>
          <w:sz w:val="28"/>
          <w:highlight w:val="white"/>
        </w:rPr>
        <w:t>投标报价方式</w:t>
      </w:r>
      <w:bookmarkEnd w:id="2"/>
      <w:bookmarkEnd w:id="3"/>
    </w:p>
    <w:p>
      <w:pPr>
        <w:tabs>
          <w:tab w:val="left" w:pos="0"/>
          <w:tab w:val="left" w:pos="993"/>
          <w:tab w:val="left" w:pos="1134"/>
        </w:tabs>
        <w:adjustRightInd w:val="0"/>
        <w:snapToGrid w:val="0"/>
        <w:spacing w:line="440" w:lineRule="exact"/>
        <w:ind w:firstLine="560"/>
        <w:rPr>
          <w:rFonts w:hint="default" w:ascii="宋体" w:hAnsi="宋体" w:eastAsia="宋体"/>
          <w:snapToGrid w:val="0"/>
          <w:color w:val="FF0000"/>
          <w:sz w:val="28"/>
          <w:highlight w:val="none"/>
          <w:lang w:val="en-US" w:eastAsia="zh-CN"/>
        </w:rPr>
      </w:pPr>
      <w:r>
        <w:rPr>
          <w:rFonts w:ascii="宋体" w:hAnsi="宋体"/>
          <w:sz w:val="28"/>
          <w:highlight w:val="none"/>
        </w:rPr>
        <w:t>本工程项目采用</w:t>
      </w:r>
      <w:r>
        <w:rPr>
          <w:rFonts w:hint="eastAsia" w:ascii="宋体" w:hAnsi="宋体"/>
          <w:sz w:val="28"/>
          <w:highlight w:val="none"/>
        </w:rPr>
        <w:t>让利率报价</w:t>
      </w:r>
      <w:r>
        <w:rPr>
          <w:rFonts w:ascii="宋体" w:hAnsi="宋体"/>
          <w:sz w:val="28"/>
          <w:highlight w:val="none"/>
        </w:rPr>
        <w:t>。</w:t>
      </w:r>
    </w:p>
    <w:p>
      <w:pPr>
        <w:tabs>
          <w:tab w:val="left" w:pos="0"/>
          <w:tab w:val="left" w:pos="993"/>
          <w:tab w:val="left" w:pos="1134"/>
        </w:tabs>
        <w:adjustRightInd w:val="0"/>
        <w:snapToGrid w:val="0"/>
        <w:spacing w:line="440" w:lineRule="exact"/>
        <w:ind w:firstLine="560"/>
        <w:rPr>
          <w:rFonts w:ascii="宋体" w:hAnsi="宋体"/>
          <w:sz w:val="28"/>
          <w:highlight w:val="white"/>
        </w:rPr>
      </w:pPr>
      <w:r>
        <w:rPr>
          <w:rFonts w:hint="eastAsia" w:ascii="宋体" w:hAnsi="宋体"/>
          <w:sz w:val="28"/>
          <w:highlight w:val="white"/>
        </w:rPr>
        <w:t>（1）固定价格报价。投标人报价时应充分考虑施工期间各类建材的市场风险和国家政策风险系数。除设计变更和招标人要求变动外结算时不作调整。因设计变更或招标人要求变动引起工程量增减。</w:t>
      </w:r>
    </w:p>
    <w:p>
      <w:pPr>
        <w:tabs>
          <w:tab w:val="left" w:pos="0"/>
          <w:tab w:val="left" w:pos="993"/>
          <w:tab w:val="left" w:pos="1134"/>
        </w:tabs>
        <w:adjustRightInd w:val="0"/>
        <w:snapToGrid w:val="0"/>
        <w:spacing w:line="440" w:lineRule="exact"/>
        <w:ind w:firstLine="560"/>
        <w:rPr>
          <w:rFonts w:ascii="宋体" w:hAnsi="宋体"/>
          <w:sz w:val="28"/>
          <w:highlight w:val="white"/>
        </w:rPr>
      </w:pPr>
      <w:r>
        <w:rPr>
          <w:rFonts w:hint="eastAsia" w:ascii="宋体" w:hAnsi="宋体"/>
          <w:sz w:val="28"/>
          <w:highlight w:val="white"/>
        </w:rPr>
        <w:t>（2）让利率报价。投标人报价时应充分考虑施工期间各类建材的市场风险。工程量的风险由发包人承担，</w:t>
      </w:r>
      <w:r>
        <w:rPr>
          <w:rFonts w:hint="eastAsia" w:ascii="宋体" w:hAnsi="宋体"/>
          <w:sz w:val="28"/>
          <w:highlight w:val="white"/>
          <w:lang w:val="en-US" w:eastAsia="zh-CN"/>
        </w:rPr>
        <w:t>报</w:t>
      </w:r>
      <w:r>
        <w:rPr>
          <w:rFonts w:hint="eastAsia" w:ascii="宋体" w:hAnsi="宋体"/>
          <w:sz w:val="28"/>
          <w:highlight w:val="white"/>
        </w:rPr>
        <w:t>价的风险在约定风险范围内的，由承包人承担，风险范围以外的按合同约定。竣工结算的工程量按发承包双方在合同中约定应予计量且实际完成的工程量确定，完成发包人要求的合同以外的零星工作或发生非承包人责任事件的工程量按现场签证确定。</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 xml:space="preserve">9、勘察现场 </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9.1考虑到本工程实际情况，投标人应对工程施工现场场地条件和周围环境进行勘察，勘察现场所发生的费用由投标人承担。</w:t>
      </w:r>
    </w:p>
    <w:p>
      <w:pPr>
        <w:tabs>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9.2投标人到现场实地勘踏，应充分了解工地位置、情况、道路、储存空间、装卸限制、相关专业施工队伍的配合与衔接及任何其他。</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10、投标有效期</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10.1在投标人须知前附表规定的投标有效期内，投标人不得要求撤销或修改其投标文件。</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10.2出现特殊情况需要延长投标有效期的，招标人以书面形式通知所有投标人延长投标有效期。</w:t>
      </w:r>
    </w:p>
    <w:p>
      <w:pPr>
        <w:spacing w:line="440" w:lineRule="exact"/>
        <w:rPr>
          <w:rFonts w:ascii="宋体" w:hAnsi="宋体"/>
          <w:b/>
          <w:sz w:val="32"/>
          <w:szCs w:val="32"/>
          <w:highlight w:val="white"/>
        </w:rPr>
      </w:pPr>
      <w:r>
        <w:rPr>
          <w:rFonts w:hint="eastAsia" w:ascii="宋体" w:hAnsi="宋体"/>
          <w:b/>
          <w:sz w:val="32"/>
          <w:szCs w:val="32"/>
          <w:highlight w:val="white"/>
        </w:rPr>
        <w:t>五、投标文件的密封与递交</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11、投标文件的份数和签署</w:t>
      </w:r>
    </w:p>
    <w:p>
      <w:pPr>
        <w:tabs>
          <w:tab w:val="left" w:pos="-426"/>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投标文件应使用不能擦去的墨水书写或打印，由投标人加盖法人公章和法定代表人或法定代表人委托的代理人印鉴或签字。</w:t>
      </w:r>
    </w:p>
    <w:p>
      <w:pPr>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12、投标文件的密</w:t>
      </w:r>
      <w:r>
        <w:rPr>
          <w:rFonts w:hint="eastAsia" w:ascii="宋体" w:hAnsi="宋体"/>
          <w:snapToGrid w:val="0"/>
          <w:sz w:val="28"/>
          <w:szCs w:val="28"/>
          <w:highlight w:val="white"/>
        </w:rPr>
        <w:t>封与</w:t>
      </w:r>
      <w:r>
        <w:rPr>
          <w:rFonts w:hint="eastAsia" w:ascii="宋体" w:hAnsi="宋体"/>
          <w:snapToGrid w:val="0"/>
          <w:sz w:val="28"/>
          <w:highlight w:val="white"/>
        </w:rPr>
        <w:t>标志</w:t>
      </w:r>
    </w:p>
    <w:p>
      <w:pPr>
        <w:tabs>
          <w:tab w:val="left" w:pos="-426"/>
          <w:tab w:val="left" w:pos="0"/>
        </w:tabs>
        <w:adjustRightInd w:val="0"/>
        <w:snapToGrid w:val="0"/>
        <w:spacing w:line="440" w:lineRule="exact"/>
        <w:ind w:firstLine="560"/>
        <w:rPr>
          <w:rFonts w:ascii="宋体" w:hAnsi="宋体"/>
          <w:b/>
          <w:snapToGrid w:val="0"/>
          <w:sz w:val="28"/>
          <w:highlight w:val="cyan"/>
        </w:rPr>
      </w:pPr>
      <w:r>
        <w:rPr>
          <w:rFonts w:hint="eastAsia" w:ascii="宋体" w:hAnsi="宋体"/>
          <w:b/>
          <w:snapToGrid w:val="0"/>
          <w:sz w:val="28"/>
          <w:highlight w:val="white"/>
        </w:rPr>
        <w:t>所有封袋上都应写明招标人名称、工程项目名称、投标人名称</w:t>
      </w:r>
    </w:p>
    <w:p>
      <w:pPr>
        <w:tabs>
          <w:tab w:val="left" w:pos="-426"/>
          <w:tab w:val="left" w:pos="0"/>
        </w:tabs>
        <w:adjustRightInd w:val="0"/>
        <w:snapToGrid w:val="0"/>
        <w:spacing w:line="440" w:lineRule="exact"/>
        <w:ind w:firstLine="560"/>
        <w:rPr>
          <w:rFonts w:ascii="宋体" w:hAnsi="宋体"/>
          <w:b/>
          <w:snapToGrid w:val="0"/>
          <w:sz w:val="28"/>
          <w:highlight w:val="white"/>
        </w:rPr>
      </w:pPr>
      <w:r>
        <w:rPr>
          <w:rFonts w:hint="eastAsia" w:ascii="宋体" w:hAnsi="宋体"/>
          <w:b/>
          <w:snapToGrid w:val="0"/>
          <w:sz w:val="28"/>
          <w:highlight w:val="white"/>
        </w:rPr>
        <w:t>所有投标文件都必须在封袋上加盖投标单位法人公章及其法定代表人或授权委托人的印鉴。</w:t>
      </w:r>
    </w:p>
    <w:p>
      <w:pPr>
        <w:tabs>
          <w:tab w:val="left" w:pos="0"/>
          <w:tab w:val="left" w:pos="993"/>
          <w:tab w:val="left" w:pos="1134"/>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13、投标截止期</w:t>
      </w:r>
    </w:p>
    <w:p>
      <w:pPr>
        <w:tabs>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13.1投标人应在投标须知中规定的时间之前将投标文件递交到招标文件前附表指定地点。</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13.2招标人可以按本文件规定以修改通知的方式，延长递交投标文件的截止日期。在上述情况下，招标人与投标人以前的在投标截止期方面的全部权力、责任和义务，将适用于延长后新的投标截止期。</w:t>
      </w:r>
    </w:p>
    <w:p>
      <w:pPr>
        <w:tabs>
          <w:tab w:val="left" w:pos="0"/>
        </w:tabs>
        <w:adjustRightInd w:val="0"/>
        <w:snapToGrid w:val="0"/>
        <w:spacing w:line="440" w:lineRule="exact"/>
        <w:ind w:firstLine="560"/>
        <w:rPr>
          <w:rFonts w:ascii="宋体" w:hAnsi="宋体"/>
          <w:snapToGrid w:val="0"/>
          <w:color w:val="FF0000"/>
          <w:sz w:val="28"/>
          <w:highlight w:val="white"/>
        </w:rPr>
      </w:pPr>
      <w:r>
        <w:rPr>
          <w:rFonts w:hint="eastAsia" w:ascii="宋体" w:hAnsi="宋体"/>
          <w:snapToGrid w:val="0"/>
          <w:color w:val="FF0000"/>
          <w:sz w:val="28"/>
          <w:highlight w:val="white"/>
        </w:rPr>
        <w:t>13.3投标人在投标时间截止前应办理资格预审手续，若资格预审文件无法达到投标文件要求或未按规定时间送达，则招标人有权拒收投标文件。</w:t>
      </w:r>
    </w:p>
    <w:p>
      <w:pPr>
        <w:tabs>
          <w:tab w:val="left" w:pos="0"/>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14、投标文件的修改与撤回</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14.1投标人可以在递交投标文件以后，在规定的投标截止期之前，以书面形式向招标人递交修改或撤回其投标文件的通知。在投标截止期以后，不得更改、撤回投标文件。</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14.2投标文件的修改应按本文件相关条款规定的要求编制、密封、标志和递交（密封袋上应标明“修改”字样）。</w:t>
      </w:r>
    </w:p>
    <w:p>
      <w:pPr>
        <w:tabs>
          <w:tab w:val="left" w:pos="0"/>
        </w:tabs>
        <w:adjustRightInd w:val="0"/>
        <w:snapToGrid w:val="0"/>
        <w:spacing w:line="440" w:lineRule="exact"/>
        <w:ind w:firstLine="520"/>
        <w:rPr>
          <w:rFonts w:ascii="宋体" w:hAnsi="宋体"/>
          <w:snapToGrid w:val="0"/>
          <w:color w:val="000080"/>
          <w:sz w:val="20"/>
          <w:szCs w:val="28"/>
        </w:rPr>
      </w:pPr>
      <w:r>
        <w:rPr>
          <w:rFonts w:hint="eastAsia" w:ascii="宋体" w:hAnsi="宋体"/>
          <w:snapToGrid w:val="0"/>
          <w:spacing w:val="-20"/>
          <w:sz w:val="28"/>
          <w:highlight w:val="white"/>
        </w:rPr>
        <w:t>14.</w:t>
      </w:r>
      <w:r>
        <w:rPr>
          <w:rFonts w:hint="eastAsia" w:ascii="宋体" w:hAnsi="宋体"/>
          <w:snapToGrid w:val="0"/>
          <w:sz w:val="28"/>
          <w:szCs w:val="28"/>
          <w:highlight w:val="white"/>
        </w:rPr>
        <w:t>3投标截止以后,在投标有效期内，未确定中标人前，投标人不得撤回投标文件。</w:t>
      </w:r>
      <w:bookmarkStart w:id="4" w:name="EBa793852fcb4d42ce9e567dfd1411b872"/>
      <w:bookmarkEnd w:id="4"/>
      <w:bookmarkStart w:id="5" w:name="EB66450c37613b4d8bb5d2ef34d49a190f"/>
      <w:bookmarkEnd w:id="5"/>
      <w:bookmarkStart w:id="6" w:name="EB0f01764a82a04f44abcb858eaf46c6a5"/>
      <w:bookmarkEnd w:id="6"/>
    </w:p>
    <w:p>
      <w:pPr>
        <w:spacing w:line="440" w:lineRule="exact"/>
        <w:rPr>
          <w:rFonts w:ascii="宋体" w:hAnsi="宋体"/>
          <w:b/>
          <w:sz w:val="32"/>
          <w:szCs w:val="32"/>
          <w:highlight w:val="white"/>
        </w:rPr>
      </w:pPr>
      <w:r>
        <w:rPr>
          <w:rFonts w:hint="eastAsia" w:ascii="宋体" w:hAnsi="宋体"/>
          <w:b/>
          <w:sz w:val="32"/>
          <w:szCs w:val="32"/>
          <w:highlight w:val="white"/>
        </w:rPr>
        <w:t>六、开标</w:t>
      </w:r>
    </w:p>
    <w:p>
      <w:pPr>
        <w:tabs>
          <w:tab w:val="left" w:pos="-1560"/>
          <w:tab w:val="left" w:pos="-851"/>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15、开标</w:t>
      </w:r>
    </w:p>
    <w:p>
      <w:pPr>
        <w:tabs>
          <w:tab w:val="left" w:pos="-1560"/>
          <w:tab w:val="left" w:pos="-851"/>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15.1 招标人将按投标须知前附表的时间和地点举行开标会议。</w:t>
      </w:r>
    </w:p>
    <w:p>
      <w:pPr>
        <w:tabs>
          <w:tab w:val="left" w:pos="-1701"/>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15.2开标程序：</w:t>
      </w:r>
    </w:p>
    <w:p>
      <w:pPr>
        <w:spacing w:line="440" w:lineRule="exact"/>
        <w:ind w:firstLine="479"/>
        <w:rPr>
          <w:rFonts w:ascii="宋体" w:hAnsi="宋体"/>
          <w:snapToGrid w:val="0"/>
          <w:sz w:val="28"/>
          <w:highlight w:val="white"/>
        </w:rPr>
      </w:pPr>
      <w:r>
        <w:rPr>
          <w:rFonts w:hint="eastAsia" w:ascii="宋体" w:hAnsi="宋体"/>
          <w:snapToGrid w:val="0"/>
          <w:sz w:val="28"/>
          <w:highlight w:val="white"/>
        </w:rPr>
        <w:t>（1）宣布开标纪律；</w:t>
      </w:r>
    </w:p>
    <w:p>
      <w:pPr>
        <w:spacing w:line="440" w:lineRule="exact"/>
        <w:ind w:firstLine="479"/>
        <w:rPr>
          <w:rFonts w:ascii="宋体" w:hAnsi="宋体"/>
          <w:snapToGrid w:val="0"/>
          <w:sz w:val="28"/>
          <w:highlight w:val="white"/>
        </w:rPr>
      </w:pPr>
      <w:r>
        <w:rPr>
          <w:rFonts w:hint="eastAsia" w:ascii="宋体" w:hAnsi="宋体"/>
          <w:snapToGrid w:val="0"/>
          <w:sz w:val="28"/>
          <w:highlight w:val="white"/>
        </w:rPr>
        <w:t>（2）按照投标人须知前附表规定检查投标文件的密封情况；</w:t>
      </w:r>
    </w:p>
    <w:p>
      <w:pPr>
        <w:spacing w:line="440" w:lineRule="exact"/>
        <w:ind w:firstLine="479"/>
        <w:rPr>
          <w:rFonts w:ascii="宋体" w:hAnsi="宋体"/>
          <w:snapToGrid w:val="0"/>
          <w:spacing w:val="-6"/>
          <w:sz w:val="28"/>
          <w:highlight w:val="white"/>
        </w:rPr>
      </w:pPr>
      <w:r>
        <w:rPr>
          <w:rFonts w:hint="eastAsia" w:ascii="宋体" w:hAnsi="宋体"/>
          <w:snapToGrid w:val="0"/>
          <w:sz w:val="28"/>
          <w:highlight w:val="white"/>
        </w:rPr>
        <w:t>（3）</w:t>
      </w:r>
      <w:r>
        <w:rPr>
          <w:rFonts w:hint="eastAsia" w:ascii="宋体" w:hAnsi="宋体"/>
          <w:snapToGrid w:val="0"/>
          <w:spacing w:val="-6"/>
          <w:sz w:val="28"/>
          <w:highlight w:val="white"/>
        </w:rPr>
        <w:t>公布投标人名称、标段名称、投标报价、质量目标、工期及其他内容；</w:t>
      </w:r>
    </w:p>
    <w:p>
      <w:pPr>
        <w:spacing w:line="440" w:lineRule="exact"/>
        <w:ind w:firstLine="479"/>
        <w:rPr>
          <w:rFonts w:ascii="宋体" w:hAnsi="宋体"/>
          <w:snapToGrid w:val="0"/>
          <w:sz w:val="28"/>
        </w:rPr>
      </w:pPr>
      <w:r>
        <w:rPr>
          <w:rFonts w:hint="eastAsia" w:ascii="宋体" w:hAnsi="宋体"/>
          <w:snapToGrid w:val="0"/>
          <w:sz w:val="28"/>
          <w:highlight w:val="white"/>
        </w:rPr>
        <w:t>（4）开标结束。</w:t>
      </w:r>
      <w:bookmarkStart w:id="7" w:name="EBeca13303dcfd4780a9739bea47def694"/>
      <w:bookmarkEnd w:id="7"/>
      <w:bookmarkStart w:id="8" w:name="EBaf5f94c076e34861a13e80ed5a735153"/>
      <w:bookmarkEnd w:id="8"/>
      <w:bookmarkStart w:id="9" w:name="EB12759f0d635e470dbe8d9ef589ab9516"/>
      <w:bookmarkEnd w:id="9"/>
    </w:p>
    <w:p>
      <w:pPr>
        <w:spacing w:line="440" w:lineRule="exact"/>
        <w:rPr>
          <w:rFonts w:ascii="宋体" w:hAnsi="宋体"/>
          <w:b/>
          <w:sz w:val="32"/>
          <w:szCs w:val="32"/>
          <w:highlight w:val="white"/>
        </w:rPr>
      </w:pPr>
      <w:r>
        <w:rPr>
          <w:rFonts w:hint="eastAsia" w:ascii="宋体" w:hAnsi="宋体"/>
          <w:b/>
          <w:sz w:val="32"/>
          <w:szCs w:val="32"/>
          <w:highlight w:val="white"/>
        </w:rPr>
        <w:t>七、评标与定标</w:t>
      </w:r>
    </w:p>
    <w:p>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16、评标</w:t>
      </w:r>
    </w:p>
    <w:p>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投标文件的评审工作在评标监督小组的监督下，由评标</w:t>
      </w:r>
      <w:r>
        <w:rPr>
          <w:rFonts w:hint="eastAsia" w:ascii="宋体" w:hAnsi="宋体"/>
          <w:snapToGrid w:val="0"/>
          <w:sz w:val="28"/>
          <w:highlight w:val="none"/>
        </w:rPr>
        <w:t>委员会</w:t>
      </w:r>
      <w:r>
        <w:rPr>
          <w:rFonts w:hint="eastAsia" w:ascii="宋体" w:hAnsi="宋体"/>
          <w:snapToGrid w:val="0"/>
          <w:sz w:val="28"/>
          <w:highlight w:val="white"/>
        </w:rPr>
        <w:t>负责进行。</w:t>
      </w:r>
      <w:r>
        <w:rPr>
          <w:rFonts w:hint="eastAsia" w:ascii="宋体" w:hAnsi="宋体" w:eastAsia="宋体" w:cs="Times New Roman"/>
          <w:b w:val="0"/>
          <w:bCs w:val="0"/>
          <w:snapToGrid w:val="0"/>
          <w:color w:val="auto"/>
          <w:sz w:val="28"/>
          <w:highlight w:val="none"/>
        </w:rPr>
        <w:t>评标委员会的成员必须符合</w:t>
      </w:r>
      <w:r>
        <w:rPr>
          <w:rFonts w:hint="eastAsia" w:ascii="宋体" w:hAnsi="宋体" w:eastAsia="宋体" w:cs="Times New Roman"/>
          <w:b w:val="0"/>
          <w:bCs w:val="0"/>
          <w:snapToGrid w:val="0"/>
          <w:color w:val="auto"/>
          <w:sz w:val="28"/>
          <w:highlight w:val="none"/>
          <w:lang w:val="en-US" w:eastAsia="zh-CN"/>
        </w:rPr>
        <w:t>扬州市润元给排水工程有限公司相</w:t>
      </w:r>
      <w:r>
        <w:rPr>
          <w:rFonts w:hint="eastAsia" w:ascii="宋体" w:hAnsi="宋体" w:eastAsia="宋体" w:cs="Times New Roman"/>
          <w:b w:val="0"/>
          <w:bCs w:val="0"/>
          <w:snapToGrid w:val="0"/>
          <w:color w:val="auto"/>
          <w:sz w:val="28"/>
          <w:highlight w:val="none"/>
        </w:rPr>
        <w:t>关</w:t>
      </w:r>
      <w:r>
        <w:rPr>
          <w:rFonts w:hint="eastAsia" w:ascii="宋体" w:hAnsi="宋体" w:eastAsia="宋体" w:cs="Times New Roman"/>
          <w:b w:val="0"/>
          <w:bCs w:val="0"/>
          <w:snapToGrid w:val="0"/>
          <w:color w:val="auto"/>
          <w:sz w:val="28"/>
          <w:highlight w:val="none"/>
          <w:lang w:val="en-US" w:eastAsia="zh-CN"/>
        </w:rPr>
        <w:t>制度。</w:t>
      </w:r>
      <w:r>
        <w:rPr>
          <w:rFonts w:hint="eastAsia" w:ascii="宋体" w:hAnsi="宋体"/>
          <w:snapToGrid w:val="0"/>
          <w:sz w:val="28"/>
          <w:highlight w:val="white"/>
        </w:rPr>
        <w:t>评标委员会成员应认真阅读投标文件，严格依据国家和省市招标投标的法律法规精神和本招标文件规定的评标标准和方法进行评审、依法独立评标不得带有任何倾向性。评标活动遵循公平、公正、科学和择优的原则。</w:t>
      </w:r>
    </w:p>
    <w:p>
      <w:pPr>
        <w:tabs>
          <w:tab w:val="left" w:pos="0"/>
          <w:tab w:val="left" w:pos="1134"/>
        </w:tabs>
        <w:adjustRightInd w:val="0"/>
        <w:snapToGrid w:val="0"/>
        <w:spacing w:line="440" w:lineRule="exact"/>
        <w:ind w:firstLine="561"/>
        <w:rPr>
          <w:rFonts w:ascii="宋体" w:hAnsi="宋体" w:cs="Arial"/>
          <w:b/>
          <w:snapToGrid w:val="0"/>
          <w:color w:val="000000"/>
          <w:sz w:val="28"/>
        </w:rPr>
      </w:pPr>
      <w:r>
        <w:rPr>
          <w:rFonts w:hint="eastAsia" w:ascii="宋体" w:hAnsi="宋体"/>
          <w:b/>
          <w:snapToGrid w:val="0"/>
          <w:color w:val="000000"/>
          <w:sz w:val="28"/>
          <w:highlight w:val="white"/>
        </w:rPr>
        <w:t>16.1</w:t>
      </w:r>
      <w:r>
        <w:rPr>
          <w:rFonts w:hint="eastAsia" w:ascii="宋体" w:hAnsi="宋体" w:cs="Arial"/>
          <w:b/>
          <w:snapToGrid w:val="0"/>
          <w:color w:val="000000"/>
          <w:sz w:val="28"/>
          <w:highlight w:val="white"/>
        </w:rPr>
        <w:t>评标委员会</w:t>
      </w:r>
    </w:p>
    <w:p>
      <w:pPr>
        <w:tabs>
          <w:tab w:val="left" w:pos="0"/>
          <w:tab w:val="left" w:pos="1134"/>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评标由招标人</w:t>
      </w:r>
      <w:r>
        <w:rPr>
          <w:rFonts w:hint="eastAsia" w:ascii="宋体" w:hAnsi="宋体" w:eastAsia="宋体" w:cs="Times New Roman"/>
          <w:b w:val="0"/>
          <w:bCs w:val="0"/>
          <w:snapToGrid w:val="0"/>
          <w:color w:val="auto"/>
          <w:sz w:val="28"/>
          <w:highlight w:val="none"/>
          <w:lang w:val="en-US" w:eastAsia="zh-CN"/>
        </w:rPr>
        <w:t>依照扬州市润元给排水工程有限公司相</w:t>
      </w:r>
      <w:r>
        <w:rPr>
          <w:rFonts w:hint="eastAsia" w:ascii="宋体" w:hAnsi="宋体" w:eastAsia="宋体" w:cs="Times New Roman"/>
          <w:b w:val="0"/>
          <w:bCs w:val="0"/>
          <w:snapToGrid w:val="0"/>
          <w:color w:val="auto"/>
          <w:sz w:val="28"/>
          <w:highlight w:val="none"/>
        </w:rPr>
        <w:t>关</w:t>
      </w:r>
      <w:r>
        <w:rPr>
          <w:rFonts w:hint="eastAsia" w:ascii="宋体" w:hAnsi="宋体" w:eastAsia="宋体" w:cs="Times New Roman"/>
          <w:b w:val="0"/>
          <w:bCs w:val="0"/>
          <w:snapToGrid w:val="0"/>
          <w:color w:val="auto"/>
          <w:sz w:val="28"/>
          <w:highlight w:val="none"/>
          <w:lang w:val="en-US" w:eastAsia="zh-CN"/>
        </w:rPr>
        <w:t>制度</w:t>
      </w:r>
      <w:r>
        <w:rPr>
          <w:rFonts w:hint="eastAsia" w:ascii="宋体" w:hAnsi="宋体"/>
          <w:snapToGrid w:val="0"/>
          <w:sz w:val="28"/>
          <w:highlight w:val="white"/>
        </w:rPr>
        <w:t>组建的评标委员会负责。评标委员会</w:t>
      </w:r>
      <w:r>
        <w:rPr>
          <w:rFonts w:hint="eastAsia" w:ascii="宋体" w:hAnsi="宋体" w:eastAsia="宋体" w:cs="Times New Roman"/>
          <w:b w:val="0"/>
          <w:bCs w:val="0"/>
          <w:snapToGrid w:val="0"/>
          <w:color w:val="auto"/>
          <w:sz w:val="28"/>
          <w:highlight w:val="none"/>
          <w:lang w:val="en-US" w:eastAsia="zh-CN"/>
        </w:rPr>
        <w:t>从扬州市润元给排水工程有限公司招标评审小组成员中抽取人员</w:t>
      </w:r>
      <w:r>
        <w:rPr>
          <w:rFonts w:hint="eastAsia" w:ascii="宋体" w:hAnsi="宋体"/>
          <w:snapToGrid w:val="0"/>
          <w:sz w:val="28"/>
          <w:highlight w:val="white"/>
        </w:rPr>
        <w:t>组成。</w:t>
      </w:r>
    </w:p>
    <w:p>
      <w:pPr>
        <w:adjustRightInd w:val="0"/>
        <w:snapToGrid w:val="0"/>
        <w:spacing w:line="440" w:lineRule="exact"/>
        <w:ind w:firstLine="561"/>
        <w:rPr>
          <w:rFonts w:ascii="宋体" w:hAnsi="宋体" w:cs="Arial"/>
          <w:b/>
          <w:color w:val="000000"/>
          <w:sz w:val="28"/>
          <w:highlight w:val="white"/>
        </w:rPr>
      </w:pPr>
      <w:r>
        <w:rPr>
          <w:rFonts w:hint="eastAsia" w:ascii="宋体" w:hAnsi="宋体"/>
          <w:b/>
          <w:color w:val="000000"/>
          <w:sz w:val="28"/>
          <w:highlight w:val="white"/>
        </w:rPr>
        <w:t>16.2</w:t>
      </w:r>
      <w:r>
        <w:rPr>
          <w:rFonts w:hint="eastAsia" w:ascii="宋体" w:hAnsi="宋体" w:cs="Arial"/>
          <w:b/>
          <w:color w:val="000000"/>
          <w:sz w:val="28"/>
          <w:highlight w:val="white"/>
        </w:rPr>
        <w:t>评审程序</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rPr>
        <w:t>评标按照下列程序进行：1）评标准备；2）初步评审；3）详细评审；4）推荐中标候选人，撰写评标报告。</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16.3评标准备</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none"/>
        </w:rPr>
        <w:t>16.3.1</w:t>
      </w:r>
      <w:r>
        <w:rPr>
          <w:rFonts w:hint="eastAsia" w:ascii="宋体" w:hAnsi="宋体" w:cs="Arial"/>
          <w:b/>
          <w:bCs/>
          <w:snapToGrid w:val="0"/>
          <w:color w:val="000000"/>
          <w:sz w:val="28"/>
          <w:highlight w:val="white"/>
        </w:rPr>
        <w:t>评标委员会的分工</w:t>
      </w:r>
    </w:p>
    <w:p>
      <w:pPr>
        <w:tabs>
          <w:tab w:val="left" w:pos="0"/>
          <w:tab w:val="left" w:pos="993"/>
          <w:tab w:val="left" w:pos="1134"/>
        </w:tabs>
        <w:adjustRightInd w:val="0"/>
        <w:snapToGrid w:val="0"/>
        <w:spacing w:line="440" w:lineRule="exact"/>
        <w:ind w:firstLine="561"/>
        <w:rPr>
          <w:rFonts w:hint="eastAsia" w:ascii="宋体" w:hAnsi="宋体" w:eastAsia="宋体" w:cs="Arial"/>
          <w:b/>
          <w:bCs/>
          <w:snapToGrid w:val="0"/>
          <w:color w:val="000000"/>
          <w:sz w:val="28"/>
          <w:highlight w:val="white"/>
          <w:lang w:eastAsia="zh-CN"/>
        </w:rPr>
      </w:pPr>
      <w:r>
        <w:rPr>
          <w:rFonts w:hint="eastAsia" w:ascii="宋体" w:hAnsi="宋体" w:cs="Arial"/>
          <w:b/>
          <w:bCs/>
          <w:snapToGrid w:val="0"/>
          <w:color w:val="000000"/>
          <w:sz w:val="28"/>
          <w:highlight w:val="white"/>
        </w:rPr>
        <w:t>评标委员会首先推选一名评标委员会负责人。评标委员会负责人负责评标活动的组织领导工作。</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w:t>
      </w:r>
      <w:r>
        <w:rPr>
          <w:rFonts w:hint="eastAsia" w:ascii="宋体" w:hAnsi="宋体" w:cs="Arial"/>
          <w:b/>
          <w:bCs/>
          <w:snapToGrid w:val="0"/>
          <w:color w:val="000000"/>
          <w:sz w:val="28"/>
          <w:highlight w:val="white"/>
          <w:lang w:val="en-US" w:eastAsia="zh-CN"/>
        </w:rPr>
        <w:t>2</w:t>
      </w:r>
      <w:r>
        <w:rPr>
          <w:rFonts w:hint="eastAsia" w:ascii="宋体" w:hAnsi="宋体" w:cs="Arial"/>
          <w:b/>
          <w:bCs/>
          <w:snapToGrid w:val="0"/>
          <w:color w:val="000000"/>
          <w:sz w:val="28"/>
          <w:highlight w:val="white"/>
        </w:rPr>
        <w:t xml:space="preserve"> 熟悉文件资料</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评标委员会成员应认真研究招标文件，了解和熟悉招标目的、招标范围、主要合同条件、技术标准和要求、质量标准和工期要求，掌握评标标准和方法，熟悉本章及附件中包括的评标表格的使用，如果本章及附件所附的表格不能满足评标所需时，评标委员会应补充编制评标所需的表格，尤其是用于详细分析计算的表格。未在招标文件中规定的标准和方法不得作为评标的依据。</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16.4初步评审</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16.4.1响应性评审</w:t>
      </w:r>
    </w:p>
    <w:p>
      <w:pPr>
        <w:tabs>
          <w:tab w:val="left" w:pos="0"/>
          <w:tab w:val="left" w:pos="993"/>
          <w:tab w:val="left" w:pos="1134"/>
        </w:tabs>
        <w:adjustRightInd w:val="0"/>
        <w:snapToGrid w:val="0"/>
        <w:spacing w:line="440" w:lineRule="exact"/>
        <w:ind w:firstLine="561"/>
        <w:rPr>
          <w:rFonts w:hint="eastAsia" w:ascii="宋体" w:hAnsi="宋体" w:eastAsia="宋体" w:cs="Arial"/>
          <w:b/>
          <w:bCs/>
          <w:snapToGrid w:val="0"/>
          <w:color w:val="000000"/>
          <w:sz w:val="28"/>
          <w:highlight w:val="none"/>
          <w:lang w:eastAsia="zh-CN"/>
        </w:rPr>
      </w:pPr>
      <w:r>
        <w:rPr>
          <w:rFonts w:hint="eastAsia" w:ascii="宋体" w:hAnsi="宋体" w:cs="Arial"/>
          <w:b/>
          <w:bCs/>
          <w:snapToGrid w:val="0"/>
          <w:color w:val="000000"/>
          <w:sz w:val="28"/>
          <w:highlight w:val="none"/>
        </w:rPr>
        <w:t>16.4.2算术错误修正</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16.4.3澄清、说明或补正</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在初步评审过程中，评标委员会应当就投标文件中不明确的内容要求投标人进行澄清．</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16.5详细评审</w:t>
      </w:r>
    </w:p>
    <w:p>
      <w:pPr>
        <w:tabs>
          <w:tab w:val="left" w:pos="0"/>
          <w:tab w:val="left" w:pos="993"/>
          <w:tab w:val="left" w:pos="1134"/>
        </w:tabs>
        <w:adjustRightInd w:val="0"/>
        <w:snapToGrid w:val="0"/>
        <w:spacing w:line="440" w:lineRule="exact"/>
        <w:ind w:firstLine="561"/>
        <w:rPr>
          <w:rFonts w:hint="eastAsia" w:ascii="宋体" w:hAnsi="宋体" w:eastAsia="宋体" w:cs="Arial"/>
          <w:color w:val="000000"/>
          <w:sz w:val="28"/>
          <w:highlight w:val="white"/>
          <w:lang w:eastAsia="zh-CN"/>
        </w:rPr>
      </w:pPr>
      <w:r>
        <w:rPr>
          <w:rFonts w:hint="eastAsia" w:ascii="宋体" w:hAnsi="宋体" w:cs="Arial"/>
          <w:b/>
          <w:bCs/>
          <w:snapToGrid w:val="0"/>
          <w:color w:val="000000"/>
          <w:sz w:val="28"/>
          <w:highlight w:val="white"/>
        </w:rPr>
        <w:t>只有通过了初步评审、被判定为合格的投标方可进入</w:t>
      </w:r>
      <w:r>
        <w:rPr>
          <w:rFonts w:hint="eastAsia" w:ascii="宋体" w:hAnsi="宋体" w:cs="Arial"/>
          <w:b/>
          <w:bCs/>
          <w:snapToGrid w:val="0"/>
          <w:color w:val="000000"/>
          <w:sz w:val="28"/>
          <w:highlight w:val="none"/>
        </w:rPr>
        <w:t>详细</w:t>
      </w:r>
      <w:r>
        <w:rPr>
          <w:rFonts w:hint="eastAsia" w:ascii="宋体" w:hAnsi="宋体" w:cs="Arial"/>
          <w:b/>
          <w:bCs/>
          <w:snapToGrid w:val="0"/>
          <w:color w:val="000000"/>
          <w:sz w:val="28"/>
          <w:highlight w:val="white"/>
        </w:rPr>
        <w:t>评审。</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1</w:t>
      </w:r>
      <w:r>
        <w:rPr>
          <w:rFonts w:hint="eastAsia" w:ascii="宋体" w:hAnsi="宋体" w:cs="Arial"/>
          <w:color w:val="000000"/>
          <w:sz w:val="28"/>
          <w:highlight w:val="white"/>
        </w:rPr>
        <w:t>、投标文件提出了不能满足招标文件要求或招标人不能接受的工程验收、计量、价款结算支付办法；</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2</w:t>
      </w:r>
      <w:r>
        <w:rPr>
          <w:rFonts w:hint="eastAsia" w:ascii="宋体" w:hAnsi="宋体" w:cs="Arial"/>
          <w:color w:val="000000"/>
          <w:sz w:val="28"/>
          <w:highlight w:val="white"/>
        </w:rPr>
        <w:t>、经评标委员会认定投标人的投标报价低于成本价的；</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3</w:t>
      </w:r>
      <w:r>
        <w:rPr>
          <w:rFonts w:hint="eastAsia" w:ascii="宋体" w:hAnsi="宋体" w:cs="Arial"/>
          <w:color w:val="000000"/>
          <w:sz w:val="28"/>
          <w:highlight w:val="white"/>
        </w:rPr>
        <w:t>、投标人未按照招标文件的要求提供必须提交的相关资料的；</w:t>
      </w:r>
    </w:p>
    <w:p>
      <w:pPr>
        <w:adjustRightInd w:val="0"/>
        <w:snapToGrid w:val="0"/>
        <w:spacing w:line="440" w:lineRule="exact"/>
        <w:ind w:firstLine="560" w:firstLineChars="200"/>
        <w:rPr>
          <w:rFonts w:ascii="宋体" w:hAnsi="宋体" w:cs="TimesNewRomanPSMT"/>
          <w:color w:val="0000FF"/>
          <w:sz w:val="28"/>
          <w:szCs w:val="32"/>
          <w:highlight w:val="yellow"/>
        </w:rPr>
      </w:pPr>
      <w:r>
        <w:rPr>
          <w:rFonts w:hint="eastAsia" w:ascii="宋体" w:hAnsi="宋体" w:cs="Arial"/>
          <w:color w:val="000000"/>
          <w:sz w:val="28"/>
          <w:highlight w:val="white"/>
          <w:lang w:val="en-US" w:eastAsia="zh-CN"/>
        </w:rPr>
        <w:t>4</w:t>
      </w:r>
      <w:r>
        <w:rPr>
          <w:rFonts w:hint="eastAsia" w:ascii="宋体" w:hAnsi="宋体" w:cs="Arial"/>
          <w:color w:val="000000"/>
          <w:sz w:val="28"/>
          <w:highlight w:val="white"/>
        </w:rPr>
        <w:t>、投标文件附有招标人不能接受的条件；</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17评标标准及方法</w:t>
      </w:r>
    </w:p>
    <w:p>
      <w:pPr>
        <w:numPr>
          <w:ilvl w:val="0"/>
          <w:numId w:val="5"/>
        </w:numPr>
        <w:snapToGrid w:val="0"/>
        <w:spacing w:line="440" w:lineRule="exact"/>
        <w:ind w:left="981" w:leftChars="267" w:hanging="420" w:hangingChars="150"/>
        <w:rPr>
          <w:rFonts w:hint="eastAsia" w:ascii="宋体" w:hAnsi="宋体"/>
          <w:snapToGrid w:val="0"/>
          <w:color w:val="FF0000"/>
          <w:sz w:val="28"/>
          <w:szCs w:val="28"/>
          <w:lang w:val="en-US" w:eastAsia="zh-CN"/>
        </w:rPr>
      </w:pPr>
      <w:r>
        <w:rPr>
          <w:rFonts w:hint="eastAsia" w:ascii="宋体" w:hAnsi="宋体" w:cs="TimesNewRomanPSMT"/>
          <w:color w:val="0000FF"/>
          <w:sz w:val="28"/>
          <w:szCs w:val="32"/>
        </w:rPr>
        <w:t>综合评分法：</w:t>
      </w:r>
    </w:p>
    <w:p>
      <w:pPr>
        <w:numPr>
          <w:ilvl w:val="0"/>
          <w:numId w:val="0"/>
        </w:numPr>
        <w:snapToGrid w:val="0"/>
        <w:spacing w:line="440" w:lineRule="exact"/>
        <w:ind w:leftChars="117"/>
        <w:rPr>
          <w:rFonts w:hint="default" w:ascii="宋体" w:hAnsi="宋体"/>
          <w:snapToGrid w:val="0"/>
          <w:color w:val="FF0000"/>
          <w:sz w:val="28"/>
          <w:szCs w:val="28"/>
          <w:lang w:val="en-US" w:eastAsia="zh-CN"/>
        </w:rPr>
      </w:pPr>
      <w:r>
        <w:rPr>
          <w:rFonts w:hint="eastAsia" w:ascii="宋体" w:hAnsi="宋体"/>
          <w:snapToGrid w:val="0"/>
          <w:color w:val="FF0000"/>
          <w:sz w:val="28"/>
          <w:szCs w:val="28"/>
          <w:lang w:val="en-US" w:eastAsia="zh-CN"/>
        </w:rPr>
        <w:t xml:space="preserve">  1、</w:t>
      </w:r>
      <w:r>
        <w:rPr>
          <w:rFonts w:hint="eastAsia" w:ascii="宋体" w:hAnsi="宋体"/>
          <w:snapToGrid w:val="0"/>
          <w:color w:val="FF0000"/>
          <w:sz w:val="28"/>
          <w:szCs w:val="28"/>
        </w:rPr>
        <w:t>如果有效投标文件大于3份时，评标小组</w:t>
      </w:r>
      <w:r>
        <w:rPr>
          <w:rFonts w:hint="eastAsia" w:ascii="宋体" w:hAnsi="宋体"/>
          <w:snapToGrid w:val="0"/>
          <w:color w:val="FF0000"/>
          <w:sz w:val="28"/>
          <w:szCs w:val="28"/>
          <w:lang w:val="en-US" w:eastAsia="zh-CN"/>
        </w:rPr>
        <w:t>采用商务标得分+信用分+资源占用分的</w:t>
      </w:r>
      <w:r>
        <w:rPr>
          <w:rFonts w:hint="eastAsia" w:ascii="宋体" w:hAnsi="宋体"/>
          <w:snapToGrid w:val="0"/>
          <w:color w:val="FF0000"/>
          <w:sz w:val="28"/>
          <w:szCs w:val="28"/>
        </w:rPr>
        <w:t>综合评分法，具体评分细则如下：</w:t>
      </w:r>
    </w:p>
    <w:p>
      <w:pPr>
        <w:snapToGrid w:val="0"/>
        <w:spacing w:line="460" w:lineRule="exact"/>
        <w:ind w:firstLine="560" w:firstLineChars="200"/>
        <w:rPr>
          <w:rFonts w:hint="eastAsia" w:ascii="宋体" w:hAnsi="宋体"/>
          <w:snapToGrid w:val="0"/>
          <w:color w:val="FF0000"/>
          <w:sz w:val="28"/>
          <w:szCs w:val="28"/>
          <w:lang w:eastAsia="zh-CN"/>
        </w:rPr>
      </w:pP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1</w:t>
      </w: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商务标90分：</w:t>
      </w:r>
      <w:r>
        <w:rPr>
          <w:rFonts w:hint="eastAsia" w:ascii="宋体" w:hAnsi="宋体"/>
          <w:snapToGrid w:val="0"/>
          <w:color w:val="FF0000"/>
          <w:sz w:val="28"/>
          <w:szCs w:val="28"/>
        </w:rPr>
        <w:t>当3家&lt;有效投标文件≤5家时，评标基准价取投标价的算术平均值</w:t>
      </w: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当</w:t>
      </w:r>
      <w:r>
        <w:rPr>
          <w:rFonts w:hint="eastAsia" w:ascii="宋体" w:hAnsi="宋体"/>
          <w:snapToGrid w:val="0"/>
          <w:color w:val="FF0000"/>
          <w:sz w:val="28"/>
          <w:szCs w:val="28"/>
        </w:rPr>
        <w:t>有效投标文件&gt;5家时，评标基准价=A/K,A</w:t>
      </w:r>
      <w:r>
        <w:rPr>
          <w:rFonts w:hint="eastAsia" w:ascii="宋体" w:hAnsi="宋体"/>
          <w:snapToGrid w:val="0"/>
          <w:color w:val="FF0000"/>
          <w:sz w:val="28"/>
          <w:szCs w:val="28"/>
          <w:lang w:val="en-US" w:eastAsia="zh-CN"/>
        </w:rPr>
        <w:t>值为</w:t>
      </w:r>
      <w:r>
        <w:rPr>
          <w:rFonts w:hint="eastAsia" w:ascii="宋体" w:hAnsi="宋体"/>
          <w:snapToGrid w:val="0"/>
          <w:color w:val="FF0000"/>
          <w:sz w:val="28"/>
          <w:szCs w:val="28"/>
        </w:rPr>
        <w:t>去掉一个最低投标价和一个最高投标价，取有效投标价的算术平均值，K值</w:t>
      </w:r>
      <w:r>
        <w:rPr>
          <w:rFonts w:hint="eastAsia" w:ascii="宋体" w:hAnsi="宋体"/>
          <w:snapToGrid w:val="0"/>
          <w:color w:val="FF0000"/>
          <w:sz w:val="28"/>
          <w:szCs w:val="28"/>
          <w:lang w:val="en-US" w:eastAsia="zh-CN"/>
        </w:rPr>
        <w:t>为</w:t>
      </w:r>
      <w:r>
        <w:rPr>
          <w:rFonts w:hint="eastAsia" w:ascii="宋体" w:hAnsi="宋体"/>
          <w:snapToGrid w:val="0"/>
          <w:color w:val="FF0000"/>
          <w:sz w:val="28"/>
          <w:szCs w:val="28"/>
        </w:rPr>
        <w:t>开标现场随机产生（98%~102%之间的整数）</w:t>
      </w:r>
      <w:r>
        <w:rPr>
          <w:rFonts w:hint="eastAsia" w:ascii="宋体" w:hAnsi="宋体"/>
          <w:snapToGrid w:val="0"/>
          <w:color w:val="FF0000"/>
          <w:sz w:val="28"/>
          <w:szCs w:val="28"/>
          <w:lang w:eastAsia="zh-CN"/>
        </w:rPr>
        <w:t>。</w:t>
      </w:r>
    </w:p>
    <w:p>
      <w:pPr>
        <w:snapToGrid w:val="0"/>
        <w:spacing w:line="460" w:lineRule="exact"/>
        <w:ind w:firstLine="840" w:firstLineChars="300"/>
        <w:rPr>
          <w:rFonts w:ascii="宋体" w:hAnsi="宋体"/>
          <w:snapToGrid w:val="0"/>
          <w:color w:val="FF0000"/>
          <w:sz w:val="28"/>
          <w:szCs w:val="28"/>
        </w:rPr>
      </w:pPr>
      <w:r>
        <w:rPr>
          <w:rFonts w:hint="eastAsia" w:ascii="宋体" w:hAnsi="宋体"/>
          <w:snapToGrid w:val="0"/>
          <w:color w:val="FF0000"/>
          <w:sz w:val="28"/>
          <w:szCs w:val="28"/>
          <w:lang w:val="en-US" w:eastAsia="zh-CN"/>
        </w:rPr>
        <w:t>商务标</w:t>
      </w:r>
      <w:r>
        <w:rPr>
          <w:rFonts w:hint="eastAsia" w:ascii="宋体" w:hAnsi="宋体"/>
          <w:snapToGrid w:val="0"/>
          <w:color w:val="FF0000"/>
          <w:sz w:val="28"/>
          <w:szCs w:val="28"/>
        </w:rPr>
        <w:t>得分=</w:t>
      </w:r>
      <w:r>
        <w:rPr>
          <w:rFonts w:hint="eastAsia" w:ascii="宋体" w:hAnsi="宋体"/>
          <w:snapToGrid w:val="0"/>
          <w:color w:val="FF0000"/>
          <w:sz w:val="28"/>
          <w:szCs w:val="28"/>
          <w:lang w:val="en-US" w:eastAsia="zh-CN"/>
        </w:rPr>
        <w:t>9</w:t>
      </w:r>
      <w:r>
        <w:rPr>
          <w:rFonts w:hint="eastAsia" w:ascii="宋体" w:hAnsi="宋体"/>
          <w:snapToGrid w:val="0"/>
          <w:color w:val="FF0000"/>
          <w:sz w:val="28"/>
          <w:szCs w:val="28"/>
        </w:rPr>
        <w:t>0-|投标报价-基准值|*100/0.5</w:t>
      </w:r>
      <w:r>
        <w:rPr>
          <w:rFonts w:hint="eastAsia" w:ascii="宋体" w:hAnsi="宋体"/>
          <w:snapToGrid w:val="0"/>
          <w:color w:val="FF0000"/>
          <w:sz w:val="28"/>
          <w:szCs w:val="28"/>
          <w:lang w:eastAsia="zh-CN"/>
        </w:rPr>
        <w:t>。</w:t>
      </w:r>
    </w:p>
    <w:p>
      <w:pPr>
        <w:numPr>
          <w:ilvl w:val="0"/>
          <w:numId w:val="6"/>
        </w:numPr>
        <w:snapToGrid w:val="0"/>
        <w:spacing w:line="460" w:lineRule="exact"/>
        <w:ind w:firstLine="560" w:firstLineChars="200"/>
        <w:rPr>
          <w:rFonts w:hint="eastAsia" w:ascii="宋体" w:hAnsi="宋体"/>
          <w:snapToGrid w:val="0"/>
          <w:color w:val="FF0000"/>
          <w:sz w:val="28"/>
          <w:szCs w:val="28"/>
        </w:rPr>
      </w:pPr>
      <w:r>
        <w:rPr>
          <w:rFonts w:hint="eastAsia" w:ascii="宋体" w:hAnsi="宋体"/>
          <w:snapToGrid w:val="0"/>
          <w:color w:val="FF0000"/>
          <w:sz w:val="28"/>
          <w:szCs w:val="28"/>
        </w:rPr>
        <w:t>信用分10分。（各合格入库施工协作单位信用分动态考核）</w:t>
      </w:r>
    </w:p>
    <w:p>
      <w:pPr>
        <w:snapToGrid w:val="0"/>
        <w:spacing w:line="460" w:lineRule="exact"/>
        <w:ind w:firstLine="560" w:firstLineChars="200"/>
        <w:rPr>
          <w:rFonts w:hint="eastAsia" w:ascii="宋体" w:hAnsi="宋体"/>
          <w:snapToGrid w:val="0"/>
          <w:color w:val="FF0000"/>
          <w:sz w:val="28"/>
          <w:szCs w:val="28"/>
          <w:lang w:val="en-US" w:eastAsia="zh-CN"/>
        </w:rPr>
      </w:pPr>
      <w:r>
        <w:rPr>
          <w:rFonts w:hint="eastAsia" w:ascii="宋体" w:hAnsi="宋体"/>
          <w:snapToGrid w:val="0"/>
          <w:color w:val="FF0000"/>
          <w:sz w:val="28"/>
          <w:szCs w:val="28"/>
          <w:lang w:val="en-US" w:eastAsia="zh-CN"/>
        </w:rPr>
        <w:t>（3）资源占用分：投标人在手工程数量每登记在册1个扣减0.03分。</w:t>
      </w:r>
    </w:p>
    <w:p>
      <w:pPr>
        <w:numPr>
          <w:ilvl w:val="0"/>
          <w:numId w:val="0"/>
        </w:numPr>
        <w:snapToGrid w:val="0"/>
        <w:spacing w:line="460" w:lineRule="exact"/>
        <w:ind w:firstLine="560" w:firstLineChars="200"/>
        <w:rPr>
          <w:rFonts w:ascii="宋体" w:hAnsi="宋体"/>
          <w:snapToGrid w:val="0"/>
          <w:color w:val="FF0000"/>
          <w:sz w:val="28"/>
          <w:szCs w:val="28"/>
        </w:rPr>
      </w:pP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4</w:t>
      </w:r>
      <w:r>
        <w:rPr>
          <w:rFonts w:hint="eastAsia" w:ascii="宋体" w:hAnsi="宋体"/>
          <w:snapToGrid w:val="0"/>
          <w:color w:val="FF0000"/>
          <w:sz w:val="28"/>
          <w:szCs w:val="28"/>
          <w:lang w:eastAsia="zh-CN"/>
        </w:rPr>
        <w:t>）</w:t>
      </w:r>
      <w:r>
        <w:rPr>
          <w:rFonts w:hint="eastAsia" w:ascii="宋体" w:hAnsi="宋体"/>
          <w:snapToGrid w:val="0"/>
          <w:color w:val="FF0000"/>
          <w:sz w:val="28"/>
          <w:szCs w:val="28"/>
        </w:rPr>
        <w:t>如果遇到相同评分的情况，由招标比价小组进行评审决定。</w:t>
      </w:r>
    </w:p>
    <w:p>
      <w:pPr>
        <w:snapToGrid w:val="0"/>
        <w:spacing w:line="460" w:lineRule="exact"/>
        <w:ind w:firstLine="560" w:firstLineChars="200"/>
        <w:rPr>
          <w:rFonts w:ascii="宋体" w:hAnsi="宋体"/>
          <w:snapToGrid w:val="0"/>
          <w:color w:val="0000FF"/>
          <w:sz w:val="28"/>
          <w:szCs w:val="28"/>
        </w:rPr>
      </w:pPr>
      <w:r>
        <w:rPr>
          <w:rFonts w:hint="eastAsia" w:ascii="宋体" w:hAnsi="宋体"/>
          <w:snapToGrid w:val="0"/>
          <w:color w:val="0000FF"/>
          <w:sz w:val="28"/>
          <w:szCs w:val="28"/>
        </w:rPr>
        <w:t>二、合理低价法：</w:t>
      </w:r>
    </w:p>
    <w:p>
      <w:pPr>
        <w:numPr>
          <w:ilvl w:val="0"/>
          <w:numId w:val="7"/>
        </w:numPr>
        <w:snapToGrid w:val="0"/>
        <w:spacing w:line="460" w:lineRule="exact"/>
        <w:ind w:left="0" w:leftChars="0" w:firstLine="696" w:firstLineChars="260"/>
        <w:rPr>
          <w:rFonts w:ascii="宋体" w:hAnsi="宋体"/>
          <w:snapToGrid w:val="0"/>
          <w:color w:val="FF0000"/>
          <w:spacing w:val="-6"/>
          <w:sz w:val="28"/>
          <w:szCs w:val="28"/>
        </w:rPr>
      </w:pPr>
      <w:r>
        <w:rPr>
          <w:rFonts w:hint="eastAsia" w:ascii="宋体" w:hAnsi="宋体"/>
          <w:snapToGrid w:val="0"/>
          <w:color w:val="FF0000"/>
          <w:spacing w:val="-6"/>
          <w:sz w:val="28"/>
          <w:szCs w:val="28"/>
        </w:rPr>
        <w:t>如果有效投标文件等于3份时，评标小组则采用合理低价法确定中标人。</w:t>
      </w:r>
    </w:p>
    <w:p>
      <w:pPr>
        <w:snapToGrid w:val="0"/>
        <w:spacing w:line="460" w:lineRule="exact"/>
        <w:ind w:firstLine="560"/>
        <w:rPr>
          <w:rFonts w:ascii="宋体" w:hAnsi="宋体" w:cs="TimesNewRomanPSMT"/>
          <w:color w:val="0000FF"/>
          <w:sz w:val="28"/>
          <w:szCs w:val="32"/>
        </w:rPr>
      </w:pPr>
      <w:r>
        <w:rPr>
          <w:rFonts w:hint="eastAsia" w:ascii="宋体" w:hAnsi="宋体" w:cs="TimesNewRomanPSMT"/>
          <w:color w:val="0000FF"/>
          <w:sz w:val="28"/>
          <w:szCs w:val="32"/>
        </w:rPr>
        <w:t>三、流标条件：</w:t>
      </w:r>
    </w:p>
    <w:p>
      <w:pPr>
        <w:snapToGrid w:val="0"/>
        <w:spacing w:line="460" w:lineRule="exact"/>
        <w:ind w:firstLine="560"/>
        <w:rPr>
          <w:rFonts w:ascii="宋体" w:hAnsi="宋体"/>
          <w:snapToGrid w:val="0"/>
          <w:color w:val="FF0000"/>
          <w:sz w:val="28"/>
          <w:szCs w:val="28"/>
        </w:rPr>
      </w:pPr>
      <w:r>
        <w:rPr>
          <w:rFonts w:hint="eastAsia" w:ascii="宋体" w:hAnsi="宋体"/>
          <w:snapToGrid w:val="0"/>
          <w:color w:val="FF0000"/>
          <w:sz w:val="28"/>
          <w:szCs w:val="28"/>
        </w:rPr>
        <w:t xml:space="preserve"> 1、如果有效投标文件小于3份时，评标小组则将此工程作流标处理，并进行二次招标。</w:t>
      </w:r>
    </w:p>
    <w:p>
      <w:pPr>
        <w:spacing w:line="440" w:lineRule="exact"/>
        <w:ind w:firstLine="566"/>
        <w:rPr>
          <w:rFonts w:ascii="宋体" w:hAnsi="宋体" w:cs="Arial"/>
          <w:color w:val="000000"/>
          <w:sz w:val="28"/>
          <w:highlight w:val="white"/>
        </w:rPr>
      </w:pPr>
      <w:r>
        <w:rPr>
          <w:rFonts w:hint="eastAsia" w:ascii="宋体" w:hAnsi="宋体" w:cs="Arial"/>
          <w:color w:val="000000"/>
          <w:sz w:val="28"/>
          <w:highlight w:val="white"/>
        </w:rPr>
        <w:t>18.定标</w:t>
      </w:r>
    </w:p>
    <w:p>
      <w:pPr>
        <w:tabs>
          <w:tab w:val="left" w:pos="2127"/>
        </w:tabs>
        <w:adjustRightInd w:val="0"/>
        <w:snapToGrid w:val="0"/>
        <w:spacing w:line="440" w:lineRule="exact"/>
        <w:ind w:firstLine="560"/>
        <w:rPr>
          <w:rFonts w:ascii="宋体" w:hAnsi="宋体" w:cs="Arial"/>
          <w:color w:val="000000"/>
          <w:sz w:val="28"/>
          <w:highlight w:val="white"/>
        </w:rPr>
      </w:pPr>
      <w:r>
        <w:rPr>
          <w:rFonts w:hint="eastAsia" w:ascii="宋体" w:hAnsi="宋体" w:cs="Arial"/>
          <w:color w:val="000000"/>
          <w:sz w:val="28"/>
          <w:highlight w:val="white"/>
        </w:rPr>
        <w:t>18.1评标委员会完成评标后，应当向招标人提出书面评标报告，并按照招标文件中规定的评标方法，推荐3名有排序的合格中标候选人。</w:t>
      </w:r>
    </w:p>
    <w:p>
      <w:pPr>
        <w:adjustRightInd w:val="0"/>
        <w:snapToGrid w:val="0"/>
        <w:spacing w:line="440" w:lineRule="exact"/>
        <w:ind w:firstLine="560"/>
        <w:rPr>
          <w:rFonts w:ascii="宋体" w:hAnsi="宋体" w:cs="Arial"/>
          <w:bCs/>
          <w:color w:val="000000"/>
          <w:spacing w:val="8"/>
          <w:sz w:val="28"/>
        </w:rPr>
      </w:pPr>
      <w:r>
        <w:rPr>
          <w:rFonts w:hint="eastAsia" w:ascii="宋体" w:hAnsi="宋体" w:cs="Arial"/>
          <w:bCs/>
          <w:color w:val="000000"/>
          <w:sz w:val="28"/>
          <w:highlight w:val="white"/>
        </w:rPr>
        <w:t>18.2</w:t>
      </w:r>
      <w:r>
        <w:rPr>
          <w:rFonts w:hint="eastAsia" w:ascii="宋体" w:hAnsi="宋体" w:cs="Arial"/>
          <w:bCs/>
          <w:color w:val="000000"/>
          <w:spacing w:val="8"/>
          <w:sz w:val="28"/>
          <w:highlight w:val="white"/>
        </w:rPr>
        <w:t>排序原则：</w:t>
      </w:r>
    </w:p>
    <w:p>
      <w:pPr>
        <w:adjustRightInd w:val="0"/>
        <w:snapToGrid w:val="0"/>
        <w:spacing w:line="440" w:lineRule="exact"/>
        <w:ind w:firstLine="576"/>
        <w:rPr>
          <w:rFonts w:ascii="宋体" w:hAnsi="宋体" w:cs="Arial"/>
          <w:b/>
          <w:bCs/>
          <w:spacing w:val="8"/>
          <w:sz w:val="28"/>
          <w:highlight w:val="white"/>
        </w:rPr>
      </w:pPr>
      <w:bookmarkStart w:id="10" w:name="EBf789983cee30437ab035183346e9fc54"/>
      <w:r>
        <w:rPr>
          <w:rFonts w:hint="eastAsia" w:ascii="宋体" w:hAnsi="宋体" w:cs="Arial"/>
          <w:b/>
          <w:bCs/>
          <w:spacing w:val="8"/>
          <w:sz w:val="28"/>
          <w:highlight w:val="white"/>
        </w:rPr>
        <w:t>综合评分法：</w:t>
      </w:r>
    </w:p>
    <w:p>
      <w:pPr>
        <w:adjustRightInd w:val="0"/>
        <w:snapToGrid w:val="0"/>
        <w:spacing w:line="440" w:lineRule="exact"/>
        <w:ind w:firstLine="576"/>
        <w:rPr>
          <w:rFonts w:ascii="宋体" w:hAnsi="宋体" w:cs="Arial"/>
          <w:b/>
          <w:bCs/>
          <w:spacing w:val="8"/>
          <w:sz w:val="28"/>
          <w:highlight w:val="white"/>
        </w:rPr>
      </w:pPr>
      <w:r>
        <w:rPr>
          <w:rFonts w:hint="eastAsia" w:ascii="宋体" w:hAnsi="宋体" w:cs="Arial"/>
          <w:b/>
          <w:bCs/>
          <w:spacing w:val="8"/>
          <w:sz w:val="28"/>
          <w:highlight w:val="white"/>
        </w:rPr>
        <w:t>（1）按评分分数高低从高到低进行排序；</w:t>
      </w:r>
    </w:p>
    <w:p>
      <w:pPr>
        <w:adjustRightInd w:val="0"/>
        <w:snapToGrid w:val="0"/>
        <w:spacing w:line="440" w:lineRule="exact"/>
        <w:ind w:firstLine="576"/>
        <w:rPr>
          <w:rFonts w:ascii="宋体" w:hAnsi="宋体" w:cs="Arial"/>
          <w:b/>
          <w:bCs/>
          <w:spacing w:val="8"/>
          <w:sz w:val="28"/>
          <w:highlight w:val="white"/>
        </w:rPr>
      </w:pPr>
      <w:r>
        <w:rPr>
          <w:rFonts w:hint="eastAsia" w:ascii="宋体" w:hAnsi="宋体" w:cs="Arial"/>
          <w:b/>
          <w:bCs/>
          <w:spacing w:val="8"/>
          <w:sz w:val="28"/>
          <w:highlight w:val="white"/>
        </w:rPr>
        <w:t>（2）当评分分数相同时，由评标委员会决定</w:t>
      </w:r>
      <w:bookmarkEnd w:id="10"/>
      <w:r>
        <w:rPr>
          <w:rFonts w:hint="eastAsia" w:ascii="宋体" w:hAnsi="宋体" w:cs="Arial"/>
          <w:b/>
          <w:bCs/>
          <w:spacing w:val="8"/>
          <w:sz w:val="28"/>
          <w:highlight w:val="white"/>
        </w:rPr>
        <w:t>；</w:t>
      </w:r>
    </w:p>
    <w:p>
      <w:pPr>
        <w:tabs>
          <w:tab w:val="left" w:pos="1134"/>
        </w:tabs>
        <w:adjustRightInd w:val="0"/>
        <w:snapToGrid w:val="0"/>
        <w:spacing w:line="440" w:lineRule="exact"/>
        <w:ind w:firstLine="560"/>
        <w:rPr>
          <w:rFonts w:ascii="宋体" w:hAnsi="宋体" w:cs="Arial"/>
          <w:color w:val="000000"/>
          <w:spacing w:val="8"/>
          <w:sz w:val="28"/>
          <w:highlight w:val="white"/>
        </w:rPr>
      </w:pPr>
      <w:r>
        <w:rPr>
          <w:rFonts w:hint="eastAsia" w:ascii="宋体" w:hAnsi="宋体" w:cs="Arial"/>
          <w:color w:val="000000"/>
          <w:sz w:val="28"/>
          <w:highlight w:val="white"/>
        </w:rPr>
        <w:t>18.3确定中标人的原则：招标人按照评委会的书面评标报告中的中标候选人排序，确定排名第一的为中标人。</w:t>
      </w:r>
      <w:r>
        <w:rPr>
          <w:rFonts w:hint="eastAsia" w:ascii="宋体" w:hAnsi="宋体" w:cs="Arial"/>
          <w:color w:val="000000"/>
          <w:spacing w:val="8"/>
          <w:sz w:val="28"/>
          <w:highlight w:val="white"/>
        </w:rPr>
        <w:t>当排名第一的中标候选人放弃中标、因不可抗力提出不能履行合同，招标人可以确定排名第二的中标候选人为中标人；排名第二的中标候选人因同样的原因不能签订合同的，招标人可以确定排名第三的中标候选人为中标人。</w:t>
      </w:r>
    </w:p>
    <w:p>
      <w:pPr>
        <w:tabs>
          <w:tab w:val="left" w:pos="1134"/>
        </w:tabs>
        <w:adjustRightInd w:val="0"/>
        <w:snapToGrid w:val="0"/>
        <w:spacing w:line="440" w:lineRule="exact"/>
        <w:ind w:firstLine="560"/>
        <w:rPr>
          <w:rFonts w:ascii="宋体" w:hAnsi="宋体" w:cs="Arial"/>
          <w:color w:val="000000"/>
          <w:spacing w:val="8"/>
          <w:sz w:val="28"/>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八、授  予  合  同</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19、发放中标通知书</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20、合同签订</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20.1</w:t>
      </w:r>
      <w:r>
        <w:rPr>
          <w:rFonts w:hint="eastAsia" w:ascii="宋体" w:hAnsi="宋体" w:cs="Arial"/>
          <w:color w:val="000000"/>
          <w:spacing w:val="8"/>
          <w:sz w:val="28"/>
          <w:highlight w:val="white"/>
        </w:rPr>
        <w:t>招标人与中标人将根据</w:t>
      </w:r>
      <w:r>
        <w:rPr>
          <w:rFonts w:hint="eastAsia" w:ascii="宋体" w:hAnsi="宋体" w:eastAsia="宋体" w:cs="Times New Roman"/>
          <w:b w:val="0"/>
          <w:bCs w:val="0"/>
          <w:snapToGrid w:val="0"/>
          <w:color w:val="auto"/>
          <w:sz w:val="28"/>
          <w:highlight w:val="none"/>
          <w:lang w:val="en-US" w:eastAsia="zh-CN"/>
        </w:rPr>
        <w:t>江苏长江水务股份有限公司相关</w:t>
      </w:r>
      <w:r>
        <w:rPr>
          <w:rFonts w:hint="eastAsia" w:ascii="宋体" w:hAnsi="宋体" w:cs="Arial"/>
          <w:color w:val="000000"/>
          <w:spacing w:val="8"/>
          <w:sz w:val="28"/>
          <w:highlight w:val="white"/>
        </w:rPr>
        <w:t>规定，依据招标文件和投标文件签订</w:t>
      </w:r>
      <w:r>
        <w:rPr>
          <w:rFonts w:hint="eastAsia" w:ascii="宋体" w:hAnsi="宋体" w:cs="Arial"/>
          <w:color w:val="000000"/>
          <w:spacing w:val="8"/>
          <w:sz w:val="28"/>
          <w:highlight w:val="none"/>
          <w:lang w:val="en-US" w:eastAsia="zh-CN"/>
        </w:rPr>
        <w:t>劳务分包</w:t>
      </w:r>
      <w:r>
        <w:rPr>
          <w:rFonts w:hint="eastAsia" w:ascii="宋体" w:hAnsi="宋体" w:cs="Arial"/>
          <w:color w:val="000000"/>
          <w:spacing w:val="8"/>
          <w:sz w:val="28"/>
          <w:highlight w:val="white"/>
        </w:rPr>
        <w:t>合同，投标人的投标文件内容应作为合同的组成部分。</w:t>
      </w:r>
    </w:p>
    <w:p>
      <w:pPr>
        <w:tabs>
          <w:tab w:val="left" w:pos="1134"/>
        </w:tabs>
        <w:adjustRightInd w:val="0"/>
        <w:snapToGrid w:val="0"/>
        <w:spacing w:line="440" w:lineRule="exact"/>
        <w:ind w:firstLine="560"/>
        <w:rPr>
          <w:rFonts w:ascii="宋体" w:hAnsi="宋体" w:cs="Arial"/>
          <w:b/>
          <w:bCs/>
          <w:color w:val="000000"/>
          <w:spacing w:val="8"/>
          <w:sz w:val="28"/>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jc w:val="center"/>
        <w:rPr>
          <w:rFonts w:ascii="仿宋_GB2312" w:hAnsi="宋体" w:eastAsia="仿宋_GB2312"/>
          <w:sz w:val="36"/>
        </w:rPr>
      </w:pPr>
      <w:r>
        <w:rPr>
          <w:rFonts w:hint="eastAsia" w:ascii="仿宋_GB2312" w:hAnsi="宋体" w:eastAsia="仿宋_GB2312"/>
          <w:sz w:val="36"/>
        </w:rPr>
        <w:t>一 、投标函</w:t>
      </w:r>
    </w:p>
    <w:p>
      <w:pPr>
        <w:pStyle w:val="4"/>
        <w:spacing w:line="440" w:lineRule="exact"/>
        <w:ind w:firstLine="480" w:firstLineChars="200"/>
        <w:rPr>
          <w:rFonts w:ascii="仿宋_GB2312" w:hAnsi="宋体" w:eastAsia="仿宋_GB2312"/>
          <w:color w:val="000000"/>
          <w:sz w:val="24"/>
        </w:rPr>
      </w:pPr>
      <w:r>
        <w:rPr>
          <w:rFonts w:hint="eastAsia" w:ascii="仿宋_GB2312" w:hAnsi="宋体" w:eastAsia="仿宋_GB2312"/>
          <w:sz w:val="24"/>
        </w:rPr>
        <w:t>招标人：</w:t>
      </w:r>
    </w:p>
    <w:p>
      <w:pPr>
        <w:pStyle w:val="4"/>
        <w:spacing w:line="440" w:lineRule="exact"/>
        <w:ind w:firstLine="480" w:firstLineChars="200"/>
        <w:rPr>
          <w:rFonts w:ascii="仿宋_GB2312" w:hAnsi="宋体" w:eastAsia="仿宋_GB2312"/>
          <w:sz w:val="24"/>
        </w:rPr>
      </w:pPr>
      <w:r>
        <w:rPr>
          <w:rFonts w:ascii="仿宋_GB2312" w:hAnsi="宋体" w:eastAsia="仿宋_GB2312"/>
          <w:sz w:val="24"/>
        </w:rPr>
        <mc:AlternateContent>
          <mc:Choice Requires="wps">
            <w:drawing>
              <wp:anchor distT="0" distB="0" distL="114300" distR="114300" simplePos="0" relativeHeight="251659264" behindDoc="0" locked="0" layoutInCell="1" allowOverlap="1">
                <wp:simplePos x="0" y="0"/>
                <wp:positionH relativeFrom="column">
                  <wp:posOffset>828675</wp:posOffset>
                </wp:positionH>
                <wp:positionV relativeFrom="paragraph">
                  <wp:posOffset>13970</wp:posOffset>
                </wp:positionV>
                <wp:extent cx="2651125" cy="0"/>
                <wp:effectExtent l="0" t="0" r="0" b="0"/>
                <wp:wrapNone/>
                <wp:docPr id="1" name="直接连接符 1"/>
                <wp:cNvGraphicFramePr/>
                <a:graphic xmlns:a="http://schemas.openxmlformats.org/drawingml/2006/main">
                  <a:graphicData uri="http://schemas.microsoft.com/office/word/2010/wordprocessingShape">
                    <wps:wsp>
                      <wps:cNvCnPr/>
                      <wps:spPr>
                        <a:xfrm>
                          <a:off x="0" y="0"/>
                          <a:ext cx="2895600" cy="0"/>
                        </a:xfrm>
                        <a:prstGeom prst="line">
                          <a:avLst/>
                        </a:prstGeom>
                        <a:ln w="9525" cap="flat" cmpd="sng">
                          <a:solidFill>
                            <a:srgbClr val="000000"/>
                          </a:solidFill>
                          <a:prstDash val="solid"/>
                          <a:headEnd type="none" w="med" len="med"/>
                          <a:tailEnd type="none" w="med" len="med"/>
                        </a:ln>
                        <a:effectLst/>
                      </wps:spPr>
                      <wps:bodyPr upright="1"/>
                    </wps:wsp>
                  </a:graphicData>
                </a:graphic>
              </wp:anchor>
            </w:drawing>
          </mc:Choice>
          <mc:Fallback>
            <w:pict>
              <v:line id="_x0000_s1026" o:spid="_x0000_s1026" o:spt="20" style="position:absolute;left:0pt;margin-left:65.25pt;margin-top:1.1pt;height:0pt;width:208.75pt;z-index:251659264;mso-width-relative:page;mso-height-relative:page;" filled="f" stroked="t" coordsize="21600,21600" o:gfxdata="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gYeBYNQAAAAHAQAADwAAAAAAAAABACAAAAAiAAAAZHJzL2Rvd25yZXYueG1sUEsB&#10;AhQAFAAAAAgAh07iQHS5W6n5AQAA8gMAAA4AAAAAAAAAAQAgAAAAIwEAAGRycy9lMm9Eb2MueG1s&#10;UEsFBgAAAAAGAAYAWQEAAI4FAAAAAA==&#10;">
                <v:fill on="f" focussize="0,0"/>
                <v:stroke color="#000000" joinstyle="round"/>
                <v:imagedata o:title=""/>
                <o:lock v:ext="edit" aspectratio="f"/>
              </v:line>
            </w:pict>
          </mc:Fallback>
        </mc:AlternateContent>
      </w:r>
      <w:r>
        <w:rPr>
          <w:rFonts w:hint="eastAsia" w:ascii="仿宋_GB2312" w:hAnsi="宋体" w:eastAsia="仿宋_GB2312"/>
          <w:sz w:val="24"/>
        </w:rPr>
        <w:t>1、根据已收到的</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工程的招标文件，遵照《房屋建筑和市政基础设施工程施工招标投标管理办法》的规定，我单位经考察现场和研究上述工程招标文件的投标须知、合同条件、技术规范、图纸和其他有关文件后，我方愿以投标让利</w:t>
      </w:r>
      <w:r>
        <w:rPr>
          <w:rFonts w:hint="eastAsia" w:ascii="仿宋_GB2312" w:hAnsi="宋体" w:eastAsia="仿宋_GB2312"/>
          <w:sz w:val="24"/>
          <w:u w:val="single"/>
        </w:rPr>
        <w:t xml:space="preserve">  </w:t>
      </w:r>
      <w:r>
        <w:rPr>
          <w:rFonts w:hint="eastAsia" w:ascii="仿宋_GB2312" w:hAnsi="宋体" w:eastAsia="仿宋_GB2312"/>
          <w:sz w:val="24"/>
        </w:rPr>
        <w:t>%，按上述合同条件、技术规范、图纸、工程量清单及工程预算的条件承包上述工程的施工、竣工。</w:t>
      </w:r>
    </w:p>
    <w:p>
      <w:pPr>
        <w:pStyle w:val="4"/>
        <w:spacing w:line="440" w:lineRule="exact"/>
        <w:ind w:left="142" w:firstLine="480" w:firstLineChars="200"/>
        <w:rPr>
          <w:rFonts w:ascii="仿宋_GB2312" w:hAnsi="宋体" w:eastAsia="仿宋_GB2312"/>
          <w:color w:val="000000"/>
          <w:sz w:val="24"/>
        </w:rPr>
      </w:pPr>
      <w:r>
        <w:rPr>
          <w:rFonts w:hint="eastAsia" w:ascii="仿宋_GB2312" w:hAnsi="宋体" w:eastAsia="仿宋_GB2312"/>
          <w:color w:val="000000"/>
          <w:sz w:val="24"/>
        </w:rPr>
        <w:t xml:space="preserve">2、一旦我方中标，我方按照甲方指定日期开工， </w:t>
      </w:r>
      <w:r>
        <w:rPr>
          <w:rFonts w:hint="eastAsia" w:ascii="仿宋_GB2312" w:hAnsi="宋体" w:eastAsia="仿宋_GB2312"/>
          <w:color w:val="000000"/>
          <w:sz w:val="24"/>
          <w:u w:val="single"/>
        </w:rPr>
        <w:t xml:space="preserve"> 90 天</w:t>
      </w:r>
      <w:r>
        <w:rPr>
          <w:rFonts w:hint="eastAsia" w:ascii="仿宋_GB2312" w:hAnsi="宋体" w:eastAsia="仿宋_GB2312"/>
          <w:color w:val="000000"/>
          <w:sz w:val="24"/>
        </w:rPr>
        <w:t xml:space="preserve">(日历日)内竣工（依甲方实际工期为准），并达到 </w:t>
      </w:r>
      <w:r>
        <w:rPr>
          <w:rFonts w:hint="eastAsia" w:ascii="仿宋_GB2312" w:hAnsi="宋体" w:eastAsia="仿宋_GB2312"/>
          <w:color w:val="000000"/>
          <w:sz w:val="24"/>
          <w:u w:val="single"/>
        </w:rPr>
        <w:t xml:space="preserve">  合格 </w:t>
      </w:r>
      <w:r>
        <w:rPr>
          <w:rFonts w:hint="eastAsia" w:ascii="仿宋_GB2312" w:hAnsi="宋体" w:eastAsia="仿宋_GB2312"/>
          <w:color w:val="000000"/>
          <w:sz w:val="24"/>
        </w:rPr>
        <w:t>（质量标准）。</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3、我方同意所递交的投标文件在“投标须知”前附表规定的投标有效期内有效，在此期间内我方的投标有可能中标，我方将受此约束。</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4、除非另外达成协议并生效，你方的中标通知书和本投标文件将构成约束我们双方的合同。</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5、我方承诺经过初步评审的电子文件及按照要求对投标文件所作出的澄清、说明、补正内容，成为我方投标文件的组成部分。如果我方中标，施工合同将以包含上述文件的投标文件及招标文件内容为基准进行签订和执行。</w:t>
      </w:r>
    </w:p>
    <w:p>
      <w:pPr>
        <w:pStyle w:val="4"/>
        <w:spacing w:line="440" w:lineRule="exact"/>
        <w:ind w:firstLine="480" w:firstLineChars="200"/>
        <w:rPr>
          <w:rFonts w:ascii="仿宋_GB2312" w:hAnsi="宋体" w:eastAsia="仿宋_GB2312"/>
          <w:sz w:val="24"/>
        </w:rPr>
      </w:pPr>
      <w:r>
        <w:rPr>
          <w:rFonts w:hint="eastAsia" w:ascii="仿宋_GB2312" w:hAnsi="宋体" w:eastAsia="仿宋_GB2312"/>
          <w:vanish/>
          <w:sz w:val="24"/>
        </w:rPr>
        <w:t xml:space="preserve">按诺，6/                                                   </w:t>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sz w:val="24"/>
        </w:rPr>
        <w:t>7、我方承诺为本工程投入的项目人员符合贵公司相关规定，如有虚假，我方愿接受业主的相关处罚，并记入企业的诚信管理档案。</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投标人：</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(盖章)</w:t>
      </w:r>
    </w:p>
    <w:p>
      <w:pPr>
        <w:pStyle w:val="4"/>
        <w:spacing w:line="440" w:lineRule="exact"/>
        <w:ind w:firstLine="480" w:firstLineChars="200"/>
        <w:rPr>
          <w:rFonts w:ascii="仿宋_GB2312" w:hAnsi="宋体" w:eastAsia="仿宋_GB2312"/>
          <w:color w:val="000000"/>
          <w:sz w:val="24"/>
        </w:rPr>
      </w:pPr>
      <w:r>
        <w:rPr>
          <w:rFonts w:hint="eastAsia" w:ascii="仿宋_GB2312" w:hAnsi="宋体" w:eastAsia="仿宋_GB2312"/>
          <w:sz w:val="24"/>
        </w:rPr>
        <w:t>单位地址：</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法定代表人或委托代理人：</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(签字)</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邮政编码：</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电话：</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传真：</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开户银行名称：</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银行帐号：</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开户行地址：</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p>
    <w:p>
      <w:pPr>
        <w:pStyle w:val="4"/>
        <w:spacing w:line="440" w:lineRule="exact"/>
        <w:ind w:firstLine="3720" w:firstLineChars="1550"/>
        <w:rPr>
          <w:rFonts w:ascii="仿宋_GB2312" w:hAnsi="宋体" w:eastAsia="仿宋_GB2312"/>
          <w:sz w:val="24"/>
        </w:rPr>
      </w:pPr>
      <w:r>
        <w:rPr>
          <w:rFonts w:hint="eastAsia" w:ascii="仿宋_GB2312" w:hAnsi="宋体" w:eastAsia="仿宋_GB2312"/>
          <w:sz w:val="24"/>
        </w:rPr>
        <w:t>日期：      年      月      日</w:t>
      </w:r>
    </w:p>
    <w:p>
      <w:pPr>
        <w:spacing w:line="440" w:lineRule="exact"/>
        <w:rPr>
          <w:rFonts w:ascii="宋体" w:hAnsi="宋体"/>
          <w:color w:val="000000"/>
          <w:sz w:val="32"/>
          <w:szCs w:val="32"/>
        </w:rPr>
      </w:pPr>
    </w:p>
    <w:p>
      <w:pPr>
        <w:spacing w:line="540" w:lineRule="exact"/>
        <w:ind w:firstLine="480"/>
        <w:jc w:val="center"/>
        <w:rPr>
          <w:rFonts w:ascii="宋体" w:hAnsi="宋体"/>
          <w:color w:val="000000"/>
          <w:sz w:val="32"/>
          <w:szCs w:val="32"/>
        </w:rPr>
      </w:pPr>
    </w:p>
    <w:p>
      <w:pPr>
        <w:spacing w:line="540" w:lineRule="exact"/>
        <w:jc w:val="center"/>
        <w:rPr>
          <w:rFonts w:ascii="宋体" w:hAnsi="宋体"/>
          <w:color w:val="000000"/>
          <w:sz w:val="32"/>
          <w:szCs w:val="32"/>
        </w:rPr>
      </w:pPr>
      <w:r>
        <w:rPr>
          <w:rFonts w:hint="eastAsia" w:ascii="宋体" w:hAnsi="宋体"/>
          <w:color w:val="000000"/>
          <w:sz w:val="32"/>
          <w:szCs w:val="32"/>
        </w:rPr>
        <w:t>承  诺  书</w:t>
      </w:r>
    </w:p>
    <w:p>
      <w:pPr>
        <w:spacing w:line="540" w:lineRule="exact"/>
        <w:rPr>
          <w:rFonts w:hAnsi="Times New Roman"/>
          <w:szCs w:val="24"/>
        </w:rPr>
      </w:pPr>
    </w:p>
    <w:p>
      <w:pPr>
        <w:spacing w:line="540" w:lineRule="exact"/>
      </w:pPr>
    </w:p>
    <w:p>
      <w:pPr>
        <w:spacing w:line="540" w:lineRule="exact"/>
        <w:rPr>
          <w:sz w:val="28"/>
          <w:szCs w:val="28"/>
        </w:rPr>
      </w:pPr>
      <w:r>
        <w:rPr>
          <w:rFonts w:hint="eastAsia"/>
          <w:sz w:val="28"/>
          <w:szCs w:val="28"/>
        </w:rPr>
        <w:t>致：</w:t>
      </w:r>
      <w:r>
        <w:rPr>
          <w:rFonts w:hint="eastAsia"/>
          <w:sz w:val="28"/>
          <w:szCs w:val="28"/>
          <w:u w:val="single"/>
        </w:rPr>
        <w:t xml:space="preserve">扬州市润元给排水工程有限公司 </w:t>
      </w:r>
      <w:r>
        <w:rPr>
          <w:rFonts w:hint="eastAsia"/>
          <w:sz w:val="28"/>
          <w:szCs w:val="28"/>
        </w:rPr>
        <w:t xml:space="preserve">  （招标人名称）</w:t>
      </w:r>
    </w:p>
    <w:p>
      <w:pPr>
        <w:spacing w:line="540" w:lineRule="exact"/>
        <w:ind w:firstLine="480"/>
        <w:rPr>
          <w:rFonts w:ascii="宋体" w:hAnsi="宋体"/>
          <w:color w:val="000000"/>
          <w:sz w:val="28"/>
        </w:rPr>
      </w:pPr>
      <w:r>
        <w:rPr>
          <w:rFonts w:hint="eastAsia" w:ascii="宋体" w:hAnsi="宋体"/>
          <w:color w:val="000000"/>
          <w:sz w:val="28"/>
        </w:rPr>
        <w:t>我公司自愿参加贵单位（公司</w:t>
      </w:r>
      <w:r>
        <w:rPr>
          <w:rFonts w:hint="eastAsia" w:ascii="宋体" w:hAnsi="宋体"/>
          <w:color w:val="000000"/>
          <w:sz w:val="28"/>
          <w:szCs w:val="28"/>
        </w:rPr>
        <w:t>）</w:t>
      </w:r>
      <w:r>
        <w:rPr>
          <w:rFonts w:hint="eastAsia" w:ascii="宋体" w:hAnsi="宋体"/>
          <w:color w:val="000000"/>
          <w:sz w:val="28"/>
          <w:szCs w:val="28"/>
          <w:u w:val="single"/>
          <w:lang w:val="en-US" w:eastAsia="zh-CN"/>
        </w:rPr>
        <w:t xml:space="preserve">              </w:t>
      </w:r>
      <w:r>
        <w:rPr>
          <w:rFonts w:hint="eastAsia" w:ascii="宋体" w:hAnsi="宋体"/>
          <w:color w:val="000000"/>
          <w:sz w:val="28"/>
        </w:rPr>
        <w:t>工程的投标，并作以下承诺：</w:t>
      </w:r>
    </w:p>
    <w:p>
      <w:pPr>
        <w:spacing w:line="540" w:lineRule="exact"/>
        <w:ind w:firstLine="480"/>
        <w:rPr>
          <w:sz w:val="28"/>
          <w:szCs w:val="28"/>
        </w:rPr>
      </w:pPr>
      <w:r>
        <w:rPr>
          <w:rFonts w:hint="eastAsia" w:hAnsi="Arial" w:cs="宋体"/>
          <w:color w:val="FF0000"/>
          <w:spacing w:val="-3"/>
          <w:kern w:val="0"/>
          <w:sz w:val="28"/>
          <w:szCs w:val="28"/>
        </w:rPr>
        <w:t>本工程质保期为两年，质保期范围内发生质量问题由我公司免费维修。</w:t>
      </w:r>
    </w:p>
    <w:p>
      <w:pPr>
        <w:spacing w:line="540" w:lineRule="exact"/>
        <w:ind w:firstLine="480"/>
        <w:rPr>
          <w:sz w:val="28"/>
          <w:szCs w:val="28"/>
        </w:rPr>
      </w:pPr>
    </w:p>
    <w:p>
      <w:pPr>
        <w:spacing w:line="540" w:lineRule="exact"/>
        <w:ind w:firstLine="480"/>
        <w:rPr>
          <w:sz w:val="28"/>
          <w:szCs w:val="28"/>
        </w:rPr>
      </w:pPr>
    </w:p>
    <w:p>
      <w:pPr>
        <w:pStyle w:val="5"/>
        <w:widowControl/>
        <w:spacing w:line="540" w:lineRule="exact"/>
        <w:ind w:left="5040" w:leftChars="2400" w:firstLine="690"/>
        <w:rPr>
          <w:rFonts w:hAnsi="宋体"/>
          <w:sz w:val="28"/>
        </w:rPr>
      </w:pPr>
    </w:p>
    <w:p/>
    <w:p>
      <w:pPr>
        <w:pStyle w:val="5"/>
        <w:widowControl/>
        <w:spacing w:line="540" w:lineRule="exact"/>
        <w:ind w:right="560" w:firstLine="4200" w:firstLineChars="1500"/>
        <w:rPr>
          <w:rFonts w:hAnsi="宋体"/>
          <w:sz w:val="28"/>
        </w:rPr>
      </w:pPr>
      <w:r>
        <w:rPr>
          <w:rFonts w:hint="eastAsia" w:hAnsi="宋体"/>
          <w:sz w:val="28"/>
        </w:rPr>
        <w:t>单位：（公章）</w:t>
      </w:r>
    </w:p>
    <w:p>
      <w:pPr>
        <w:pStyle w:val="5"/>
        <w:widowControl/>
        <w:spacing w:line="540" w:lineRule="exact"/>
        <w:ind w:left="5040" w:leftChars="2400" w:firstLine="690"/>
        <w:rPr>
          <w:rFonts w:hAnsi="宋体"/>
          <w:sz w:val="28"/>
        </w:rPr>
      </w:pPr>
    </w:p>
    <w:p>
      <w:pPr>
        <w:pStyle w:val="5"/>
        <w:widowControl/>
        <w:spacing w:line="540" w:lineRule="exact"/>
        <w:ind w:right="420"/>
        <w:jc w:val="center"/>
        <w:rPr>
          <w:rFonts w:hAnsi="宋体"/>
          <w:sz w:val="28"/>
        </w:rPr>
      </w:pPr>
      <w:r>
        <w:rPr>
          <w:rFonts w:hint="eastAsia" w:hAnsi="宋体"/>
          <w:sz w:val="28"/>
        </w:rPr>
        <w:t xml:space="preserve">                            法定代表人或委托代理人：</w:t>
      </w:r>
    </w:p>
    <w:p>
      <w:pPr>
        <w:pStyle w:val="5"/>
        <w:widowControl/>
        <w:spacing w:line="540" w:lineRule="exact"/>
        <w:ind w:left="5040" w:leftChars="2400" w:firstLine="690"/>
        <w:rPr>
          <w:rFonts w:hAnsi="宋体"/>
          <w:sz w:val="28"/>
        </w:rPr>
      </w:pPr>
    </w:p>
    <w:p>
      <w:pPr>
        <w:rPr>
          <w:rFonts w:ascii="宋体" w:hAnsi="宋体"/>
          <w:color w:val="000000"/>
          <w:kern w:val="0"/>
          <w:sz w:val="28"/>
          <w:szCs w:val="28"/>
        </w:rPr>
      </w:pPr>
    </w:p>
    <w:p>
      <w:pPr>
        <w:rPr>
          <w:rFonts w:ascii="宋体" w:hAnsi="宋体"/>
          <w:color w:val="000000"/>
          <w:kern w:val="0"/>
          <w:sz w:val="28"/>
          <w:szCs w:val="28"/>
        </w:rPr>
      </w:pPr>
      <w:r>
        <w:rPr>
          <w:rFonts w:hint="eastAsia" w:ascii="宋体" w:hAnsi="宋体"/>
          <w:color w:val="000000"/>
          <w:kern w:val="0"/>
          <w:sz w:val="28"/>
          <w:szCs w:val="28"/>
        </w:rPr>
        <w:t xml:space="preserve">                               年   月   日</w:t>
      </w:r>
    </w:p>
    <w:p>
      <w:pPr>
        <w:rPr>
          <w:rFonts w:ascii="Times New Roman" w:hAnsi="Times New Roman"/>
          <w:sz w:val="28"/>
          <w:szCs w:val="28"/>
        </w:rPr>
      </w:pPr>
    </w:p>
    <w:p>
      <w:pPr>
        <w:rPr>
          <w:rFonts w:ascii="Times New Roman" w:hAnsi="Times New Roman"/>
          <w:sz w:val="28"/>
          <w:szCs w:val="28"/>
        </w:rPr>
      </w:pPr>
    </w:p>
    <w:p>
      <w:pPr>
        <w:rPr>
          <w:rFonts w:ascii="Times New Roman" w:hAnsi="Times New Roman"/>
          <w:sz w:val="28"/>
          <w:szCs w:val="28"/>
        </w:rPr>
      </w:pPr>
    </w:p>
    <w:p>
      <w:pPr>
        <w:rPr>
          <w:rFonts w:ascii="Times New Roman" w:hAnsi="Times New Roman"/>
          <w:sz w:val="28"/>
          <w:szCs w:val="28"/>
        </w:rPr>
      </w:pPr>
    </w:p>
    <w:p>
      <w:pPr>
        <w:rPr>
          <w:rFonts w:ascii="Times New Roman" w:hAnsi="Times New Roman"/>
          <w:sz w:val="28"/>
          <w:szCs w:val="28"/>
        </w:rPr>
      </w:pPr>
    </w:p>
    <w:p>
      <w:pPr>
        <w:snapToGrid w:val="0"/>
        <w:spacing w:line="400" w:lineRule="exact"/>
        <w:textAlignment w:val="center"/>
        <w:rPr>
          <w:rFonts w:ascii="黑体" w:hAnsi="黑体" w:eastAsia="黑体"/>
          <w:sz w:val="36"/>
          <w:szCs w:val="36"/>
        </w:rPr>
      </w:pPr>
    </w:p>
    <w:p>
      <w:pPr>
        <w:snapToGrid w:val="0"/>
        <w:spacing w:line="400" w:lineRule="exact"/>
        <w:textAlignment w:val="center"/>
        <w:rPr>
          <w:rFonts w:ascii="黑体" w:hAnsi="黑体" w:eastAsia="黑体"/>
          <w:sz w:val="36"/>
          <w:szCs w:val="36"/>
        </w:rPr>
      </w:pPr>
    </w:p>
    <w:p>
      <w:pPr>
        <w:snapToGrid w:val="0"/>
        <w:spacing w:line="400" w:lineRule="exact"/>
        <w:jc w:val="center"/>
        <w:textAlignment w:val="center"/>
        <w:rPr>
          <w:rFonts w:ascii="黑体" w:hAnsi="黑体" w:eastAsia="黑体"/>
          <w:sz w:val="36"/>
          <w:szCs w:val="36"/>
        </w:rPr>
      </w:pPr>
    </w:p>
    <w:p>
      <w:pPr>
        <w:snapToGrid w:val="0"/>
        <w:spacing w:line="400" w:lineRule="exact"/>
        <w:jc w:val="center"/>
        <w:textAlignment w:val="center"/>
        <w:rPr>
          <w:rFonts w:hint="eastAsia" w:ascii="黑体" w:hAnsi="黑体" w:eastAsia="黑体"/>
          <w:sz w:val="36"/>
          <w:szCs w:val="36"/>
        </w:rPr>
      </w:pPr>
    </w:p>
    <w:p>
      <w:pPr>
        <w:snapToGrid w:val="0"/>
        <w:spacing w:line="400" w:lineRule="exact"/>
        <w:jc w:val="center"/>
        <w:textAlignment w:val="center"/>
        <w:rPr>
          <w:rFonts w:ascii="黑体" w:hAnsi="黑体" w:eastAsia="黑体"/>
          <w:sz w:val="36"/>
          <w:szCs w:val="36"/>
        </w:rPr>
      </w:pPr>
      <w:r>
        <w:rPr>
          <w:rFonts w:hint="eastAsia" w:ascii="黑体" w:hAnsi="黑体" w:eastAsia="黑体"/>
          <w:sz w:val="36"/>
          <w:szCs w:val="36"/>
        </w:rPr>
        <w:t>劳务分包合同（特别条款）</w:t>
      </w:r>
    </w:p>
    <w:p>
      <w:pPr>
        <w:snapToGrid w:val="0"/>
        <w:spacing w:line="400" w:lineRule="exact"/>
        <w:ind w:left="3420" w:hanging="3420" w:hangingChars="950"/>
        <w:jc w:val="center"/>
        <w:textAlignment w:val="center"/>
        <w:rPr>
          <w:rFonts w:ascii="黑体" w:hAnsi="黑体" w:eastAsia="黑体"/>
          <w:sz w:val="36"/>
          <w:szCs w:val="36"/>
        </w:rPr>
      </w:pPr>
    </w:p>
    <w:p>
      <w:pPr>
        <w:snapToGrid w:val="0"/>
        <w:spacing w:line="400" w:lineRule="exact"/>
        <w:ind w:left="1995" w:leftChars="950" w:firstLine="3840" w:firstLineChars="1600"/>
        <w:jc w:val="left"/>
        <w:textAlignment w:val="center"/>
        <w:rPr>
          <w:rFonts w:ascii="黑体" w:hAnsi="黑体" w:eastAsia="黑体"/>
          <w:sz w:val="24"/>
        </w:rPr>
      </w:pPr>
      <w:r>
        <w:rPr>
          <w:rFonts w:hint="eastAsia" w:ascii="黑体" w:hAnsi="黑体" w:eastAsia="黑体"/>
          <w:sz w:val="24"/>
        </w:rPr>
        <w:t>合同文本号：CJ-LW-2202</w:t>
      </w:r>
    </w:p>
    <w:p>
      <w:pPr>
        <w:snapToGrid w:val="0"/>
        <w:spacing w:line="400" w:lineRule="exact"/>
        <w:ind w:left="2280" w:hanging="2280" w:hangingChars="950"/>
        <w:jc w:val="left"/>
        <w:textAlignment w:val="center"/>
        <w:rPr>
          <w:rFonts w:ascii="黑体" w:hAnsi="黑体" w:eastAsia="黑体"/>
          <w:sz w:val="24"/>
        </w:rPr>
      </w:pPr>
      <w:r>
        <w:rPr>
          <w:rFonts w:hint="eastAsia" w:ascii="黑体" w:hAnsi="黑体" w:eastAsia="黑体"/>
          <w:sz w:val="24"/>
        </w:rPr>
        <w:t>甲方：扬州市润元给排水工程有限公司</w:t>
      </w:r>
    </w:p>
    <w:p>
      <w:pPr>
        <w:snapToGrid w:val="0"/>
        <w:spacing w:line="400" w:lineRule="exact"/>
        <w:rPr>
          <w:rFonts w:ascii="黑体" w:hAnsi="黑体" w:eastAsia="黑体"/>
          <w:sz w:val="24"/>
        </w:rPr>
      </w:pPr>
      <w:r>
        <w:rPr>
          <w:rFonts w:hint="eastAsia" w:ascii="黑体" w:hAnsi="黑体" w:eastAsia="黑体"/>
          <w:sz w:val="24"/>
        </w:rPr>
        <w:t>乙方：</w:t>
      </w:r>
    </w:p>
    <w:p>
      <w:pPr>
        <w:snapToGrid w:val="0"/>
        <w:spacing w:line="400" w:lineRule="exact"/>
        <w:ind w:firstLine="420" w:firstLineChars="200"/>
        <w:rPr>
          <w:rFonts w:ascii="宋体" w:hAnsi="宋体"/>
          <w:szCs w:val="21"/>
        </w:rPr>
      </w:pPr>
      <w:r>
        <w:rPr>
          <w:rFonts w:hint="eastAsia" w:ascii="宋体" w:hAnsi="宋体"/>
          <w:szCs w:val="21"/>
        </w:rPr>
        <w:t>根据《中华人民共和国民法典》相关规定及有关法律、法规，结合本工程具体情况，为明确双方在劳务分包过程中的权利、义务和责任，经双方协商一致签订本合同，以资双方共同遵守。</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一、劳务分包项目名称：</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二、劳务分包工作地点：</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三、劳务分包范围及内容：</w:t>
      </w:r>
    </w:p>
    <w:p>
      <w:pPr>
        <w:tabs>
          <w:tab w:val="center" w:pos="4422"/>
        </w:tabs>
        <w:snapToGrid w:val="0"/>
        <w:spacing w:line="400" w:lineRule="exact"/>
        <w:ind w:firstLine="420" w:firstLineChars="200"/>
        <w:rPr>
          <w:rFonts w:ascii="宋体" w:hAnsi="宋体"/>
          <w:szCs w:val="21"/>
          <w:u w:val="single"/>
        </w:rPr>
      </w:pPr>
      <w:r>
        <w:rPr>
          <w:rFonts w:hint="eastAsia" w:ascii="宋体" w:hAnsi="宋体"/>
          <w:szCs w:val="21"/>
        </w:rPr>
        <w:t>三、计划工期：自年月日开工，至年月日完工。</w:t>
      </w:r>
    </w:p>
    <w:p>
      <w:pPr>
        <w:snapToGrid w:val="0"/>
        <w:spacing w:line="400" w:lineRule="exact"/>
        <w:ind w:firstLine="420" w:firstLineChars="200"/>
        <w:rPr>
          <w:rFonts w:ascii="宋体" w:hAnsi="宋体"/>
          <w:szCs w:val="21"/>
          <w:u w:val="single"/>
        </w:rPr>
      </w:pPr>
      <w:r>
        <w:rPr>
          <w:rFonts w:hint="eastAsia" w:ascii="宋体" w:hAnsi="宋体"/>
          <w:szCs w:val="21"/>
        </w:rPr>
        <w:t>四、合同价款及支付：</w:t>
      </w:r>
    </w:p>
    <w:p>
      <w:pPr>
        <w:spacing w:line="400" w:lineRule="exact"/>
        <w:ind w:firstLine="420"/>
        <w:rPr>
          <w:rFonts w:ascii="宋体" w:hAnsi="宋体"/>
          <w:szCs w:val="21"/>
        </w:rPr>
      </w:pPr>
      <w:r>
        <w:rPr>
          <w:rFonts w:hint="eastAsia" w:ascii="宋体" w:hAnsi="宋体"/>
          <w:szCs w:val="21"/>
        </w:rPr>
        <w:t>暂定含税合同价为人民币大写：（人民币）(¥元)。</w:t>
      </w:r>
    </w:p>
    <w:p>
      <w:pPr>
        <w:spacing w:line="400" w:lineRule="exact"/>
        <w:ind w:firstLine="420"/>
        <w:rPr>
          <w:rFonts w:ascii="宋体" w:hAnsi="宋体"/>
          <w:szCs w:val="21"/>
        </w:rPr>
      </w:pPr>
      <w:r>
        <w:rPr>
          <w:rFonts w:hint="eastAsia" w:ascii="宋体" w:hAnsi="宋体"/>
          <w:szCs w:val="21"/>
        </w:rPr>
        <w:t>工程竣工验收合格后</w:t>
      </w:r>
      <w:r>
        <w:rPr>
          <w:rFonts w:ascii="宋体" w:hAnsi="宋体"/>
          <w:szCs w:val="21"/>
        </w:rPr>
        <w:t>，</w:t>
      </w:r>
      <w:r>
        <w:rPr>
          <w:rFonts w:hint="eastAsia" w:ascii="宋体" w:hAnsi="宋体"/>
          <w:szCs w:val="21"/>
        </w:rPr>
        <w:t>由甲方确定审计单位或方式，乙方</w:t>
      </w:r>
      <w:r>
        <w:rPr>
          <w:rFonts w:ascii="宋体" w:hAnsi="宋体"/>
          <w:szCs w:val="21"/>
        </w:rPr>
        <w:t>提供符合甲方审计</w:t>
      </w:r>
      <w:r>
        <w:rPr>
          <w:rFonts w:hint="eastAsia" w:ascii="宋体" w:hAnsi="宋体"/>
          <w:szCs w:val="21"/>
        </w:rPr>
        <w:t>标准、</w:t>
      </w:r>
      <w:r>
        <w:rPr>
          <w:rFonts w:ascii="宋体" w:hAnsi="宋体"/>
          <w:szCs w:val="21"/>
        </w:rPr>
        <w:t>流程的结算资料</w:t>
      </w:r>
      <w:r>
        <w:rPr>
          <w:rFonts w:hint="eastAsia" w:ascii="宋体" w:hAnsi="宋体"/>
          <w:szCs w:val="21"/>
        </w:rPr>
        <w:t>（竣工验收单、签证、设计变更等工作量凭证）</w:t>
      </w:r>
      <w:r>
        <w:rPr>
          <w:rFonts w:ascii="宋体" w:hAnsi="宋体"/>
          <w:szCs w:val="21"/>
        </w:rPr>
        <w:t>，</w:t>
      </w:r>
      <w:r>
        <w:rPr>
          <w:rFonts w:hint="eastAsia" w:ascii="宋体" w:hAnsi="宋体"/>
          <w:szCs w:val="21"/>
        </w:rPr>
        <w:t>按照甲乙双方认可的审计价结算。</w:t>
      </w:r>
    </w:p>
    <w:p>
      <w:pPr>
        <w:spacing w:line="400" w:lineRule="exact"/>
        <w:ind w:firstLine="420" w:firstLineChars="200"/>
        <w:rPr>
          <w:rFonts w:ascii="宋体" w:hAnsi="宋体"/>
          <w:szCs w:val="21"/>
        </w:rPr>
      </w:pPr>
      <w:r>
        <w:rPr>
          <w:rFonts w:hint="eastAsia" w:ascii="宋体" w:hAnsi="宋体"/>
          <w:szCs w:val="21"/>
        </w:rPr>
        <w:t>五、本合同自甲乙双方签字和盖章之日起生效。</w:t>
      </w:r>
    </w:p>
    <w:p>
      <w:pPr>
        <w:pStyle w:val="8"/>
        <w:spacing w:after="0" w:line="400" w:lineRule="exact"/>
        <w:ind w:firstLine="420" w:firstLineChars="200"/>
        <w:rPr>
          <w:rFonts w:ascii="宋体" w:hAnsi="宋体"/>
          <w:sz w:val="21"/>
          <w:szCs w:val="21"/>
        </w:rPr>
      </w:pPr>
      <w:r>
        <w:rPr>
          <w:rFonts w:hint="eastAsia" w:ascii="宋体" w:hAnsi="宋体"/>
          <w:sz w:val="21"/>
          <w:szCs w:val="21"/>
        </w:rPr>
        <w:t>六、本合同签订后，甲乙双方如需提出补充或修改时，经双方协商一致后，可以签订补充协议，作为补充合同。</w:t>
      </w:r>
    </w:p>
    <w:p>
      <w:pPr>
        <w:spacing w:line="400" w:lineRule="exact"/>
        <w:ind w:firstLine="420" w:firstLineChars="200"/>
        <w:rPr>
          <w:rFonts w:ascii="宋体" w:hAnsi="宋体"/>
          <w:szCs w:val="21"/>
        </w:rPr>
      </w:pPr>
      <w:r>
        <w:rPr>
          <w:rFonts w:hint="eastAsia" w:ascii="宋体" w:hAnsi="宋体"/>
          <w:szCs w:val="21"/>
        </w:rPr>
        <w:t>七、本合同一式肆份，甲方贰份，乙方贰份。</w:t>
      </w:r>
    </w:p>
    <w:p>
      <w:pPr>
        <w:spacing w:line="400" w:lineRule="exact"/>
        <w:ind w:firstLine="420" w:firstLineChars="200"/>
        <w:rPr>
          <w:rFonts w:ascii="宋体" w:hAnsi="宋体"/>
          <w:szCs w:val="21"/>
        </w:rPr>
      </w:pPr>
      <w:r>
        <w:rPr>
          <w:rFonts w:hint="eastAsia" w:ascii="宋体" w:hAnsi="宋体"/>
          <w:bCs/>
          <w:szCs w:val="21"/>
        </w:rPr>
        <w:t>八、</w:t>
      </w:r>
      <w:r>
        <w:rPr>
          <w:rFonts w:hint="eastAsia" w:ascii="宋体" w:hAnsi="宋体"/>
          <w:szCs w:val="21"/>
        </w:rPr>
        <w:t>本合同为扬州市润元给排水工程有限公司劳务分包合同特别条款，其他未尽事宜按照甲乙双方签订的《202</w:t>
      </w:r>
      <w:r>
        <w:rPr>
          <w:rFonts w:hint="eastAsia" w:ascii="宋体" w:hAnsi="宋体"/>
          <w:szCs w:val="21"/>
          <w:lang w:val="en-US" w:eastAsia="zh-CN"/>
        </w:rPr>
        <w:t>3</w:t>
      </w:r>
      <w:r>
        <w:rPr>
          <w:rFonts w:hint="eastAsia" w:ascii="宋体" w:hAnsi="宋体"/>
          <w:szCs w:val="21"/>
        </w:rPr>
        <w:t>年度劳务分包合同》（一般条款）执行。</w:t>
      </w:r>
    </w:p>
    <w:p>
      <w:pPr>
        <w:tabs>
          <w:tab w:val="center" w:pos="4153"/>
        </w:tabs>
        <w:spacing w:line="400" w:lineRule="exact"/>
        <w:ind w:firstLine="420" w:firstLineChars="200"/>
        <w:rPr>
          <w:rFonts w:ascii="宋体" w:hAnsi="宋体"/>
          <w:szCs w:val="21"/>
        </w:rPr>
      </w:pPr>
    </w:p>
    <w:p>
      <w:pPr>
        <w:tabs>
          <w:tab w:val="center" w:pos="4153"/>
        </w:tabs>
        <w:spacing w:line="400" w:lineRule="exact"/>
        <w:ind w:firstLine="420" w:firstLineChars="200"/>
        <w:rPr>
          <w:rFonts w:ascii="宋体" w:hAnsi="宋体"/>
          <w:szCs w:val="21"/>
        </w:rPr>
      </w:pPr>
      <w:r>
        <w:rPr>
          <w:rFonts w:hint="eastAsia" w:ascii="宋体" w:hAnsi="宋体"/>
          <w:szCs w:val="21"/>
        </w:rPr>
        <w:t>甲方：</w:t>
      </w:r>
      <w:r>
        <w:rPr>
          <w:rFonts w:hint="eastAsia"/>
          <w:spacing w:val="-8"/>
          <w:szCs w:val="21"/>
          <w:u w:val="single"/>
        </w:rPr>
        <w:t>扬州市润元给排水工程有限公司</w:t>
      </w:r>
      <w:r>
        <w:rPr>
          <w:rFonts w:hint="eastAsia" w:ascii="宋体" w:hAnsi="宋体"/>
          <w:szCs w:val="21"/>
        </w:rPr>
        <w:t xml:space="preserve"> （公章） </w:t>
      </w:r>
      <w:r>
        <w:rPr>
          <w:rFonts w:hint="eastAsia" w:ascii="宋体" w:hAnsi="宋体"/>
          <w:szCs w:val="21"/>
          <w:lang w:val="en-US" w:eastAsia="zh-CN"/>
        </w:rPr>
        <w:t xml:space="preserve">  </w:t>
      </w:r>
      <w:r>
        <w:rPr>
          <w:rFonts w:hint="eastAsia" w:ascii="宋体" w:hAnsi="宋体"/>
          <w:szCs w:val="21"/>
        </w:rPr>
        <w:t xml:space="preserve">乙方： </w:t>
      </w:r>
      <w:r>
        <w:rPr>
          <w:rFonts w:hint="eastAsia" w:ascii="宋体" w:hAnsi="宋体"/>
          <w:szCs w:val="21"/>
          <w:lang w:val="en-US" w:eastAsia="zh-CN"/>
        </w:rPr>
        <w:t xml:space="preserve">                   </w:t>
      </w:r>
      <w:r>
        <w:rPr>
          <w:rFonts w:hint="eastAsia" w:ascii="宋体" w:hAnsi="宋体"/>
          <w:szCs w:val="21"/>
        </w:rPr>
        <w:t>（公章）</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法定代表人： </w:t>
      </w:r>
      <w:r>
        <w:rPr>
          <w:rFonts w:hint="eastAsia" w:ascii="宋体" w:hAnsi="宋体"/>
          <w:szCs w:val="21"/>
          <w:lang w:val="en-US" w:eastAsia="zh-CN"/>
        </w:rPr>
        <w:t xml:space="preserve">                   </w:t>
      </w:r>
      <w:r>
        <w:rPr>
          <w:rFonts w:hint="eastAsia" w:ascii="宋体" w:hAnsi="宋体"/>
          <w:szCs w:val="21"/>
        </w:rPr>
        <w:t xml:space="preserve">（签字）    法定代表人： </w:t>
      </w:r>
      <w:r>
        <w:rPr>
          <w:rFonts w:hint="eastAsia" w:ascii="宋体" w:hAnsi="宋体"/>
          <w:szCs w:val="21"/>
          <w:lang w:val="en-US" w:eastAsia="zh-CN"/>
        </w:rPr>
        <w:t xml:space="preserve">              </w:t>
      </w:r>
      <w:r>
        <w:rPr>
          <w:rFonts w:hint="eastAsia" w:ascii="宋体" w:hAnsi="宋体"/>
          <w:szCs w:val="21"/>
        </w:rPr>
        <w:t>（签字）</w:t>
      </w:r>
    </w:p>
    <w:p>
      <w:pPr>
        <w:tabs>
          <w:tab w:val="center" w:pos="4153"/>
        </w:tabs>
        <w:spacing w:line="400" w:lineRule="exact"/>
        <w:ind w:firstLine="420" w:firstLineChars="200"/>
        <w:rPr>
          <w:rFonts w:ascii="宋体" w:hAnsi="宋体"/>
          <w:szCs w:val="21"/>
        </w:rPr>
      </w:pPr>
      <w:r>
        <w:rPr>
          <w:rFonts w:hint="eastAsia" w:ascii="宋体" w:hAnsi="宋体"/>
          <w:szCs w:val="21"/>
        </w:rPr>
        <w:t>或委托代理人：</w:t>
      </w:r>
      <w:r>
        <w:rPr>
          <w:rFonts w:hint="eastAsia" w:ascii="宋体" w:hAnsi="宋体"/>
          <w:szCs w:val="21"/>
          <w:lang w:val="en-US" w:eastAsia="zh-CN"/>
        </w:rPr>
        <w:t xml:space="preserve">                  </w:t>
      </w:r>
      <w:r>
        <w:rPr>
          <w:rFonts w:hint="eastAsia" w:ascii="宋体" w:hAnsi="宋体"/>
          <w:szCs w:val="21"/>
        </w:rPr>
        <w:t>（签字）    或委托代理人：</w:t>
      </w:r>
      <w:r>
        <w:rPr>
          <w:rFonts w:hint="eastAsia" w:ascii="宋体" w:hAnsi="宋体"/>
          <w:szCs w:val="21"/>
          <w:lang w:val="en-US" w:eastAsia="zh-CN"/>
        </w:rPr>
        <w:t xml:space="preserve">             </w:t>
      </w:r>
      <w:r>
        <w:rPr>
          <w:rFonts w:hint="eastAsia" w:ascii="宋体" w:hAnsi="宋体"/>
          <w:szCs w:val="21"/>
        </w:rPr>
        <w:t>（签字）</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纳税人识别号：91321002MA21LM6F75 </w:t>
      </w:r>
      <w:r>
        <w:rPr>
          <w:rFonts w:hint="eastAsia" w:ascii="宋体" w:hAnsi="宋体"/>
          <w:szCs w:val="21"/>
          <w:lang w:val="en-US" w:eastAsia="zh-CN"/>
        </w:rPr>
        <w:t xml:space="preserve">           </w:t>
      </w:r>
      <w:r>
        <w:rPr>
          <w:rFonts w:hint="eastAsia" w:ascii="宋体" w:hAnsi="宋体"/>
          <w:szCs w:val="21"/>
        </w:rPr>
        <w:t xml:space="preserve">纳税人识别号: </w:t>
      </w:r>
    </w:p>
    <w:p>
      <w:pPr>
        <w:tabs>
          <w:tab w:val="center" w:pos="4153"/>
        </w:tabs>
        <w:spacing w:line="400" w:lineRule="exact"/>
        <w:ind w:left="5880" w:leftChars="200" w:hanging="5460" w:hangingChars="2600"/>
        <w:rPr>
          <w:rFonts w:hint="default" w:ascii="宋体" w:hAnsi="宋体" w:eastAsia="宋体"/>
          <w:szCs w:val="21"/>
          <w:lang w:val="en-US" w:eastAsia="zh-CN"/>
        </w:rPr>
      </w:pPr>
      <w:r>
        <w:rPr>
          <w:rFonts w:hint="eastAsia" w:ascii="宋体" w:hAnsi="宋体"/>
          <w:szCs w:val="21"/>
        </w:rPr>
        <w:t>开户行名：</w:t>
      </w:r>
      <w:r>
        <w:rPr>
          <w:rFonts w:hint="eastAsia"/>
          <w:szCs w:val="21"/>
        </w:rPr>
        <w:t>兴业银行扬州广陵支行</w:t>
      </w:r>
      <w:r>
        <w:rPr>
          <w:rFonts w:hint="eastAsia"/>
          <w:szCs w:val="21"/>
          <w:lang w:val="en-US" w:eastAsia="zh-CN"/>
        </w:rPr>
        <w:t xml:space="preserve">              </w:t>
      </w:r>
      <w:r>
        <w:rPr>
          <w:rFonts w:hint="eastAsia" w:ascii="宋体" w:hAnsi="宋体"/>
          <w:szCs w:val="21"/>
        </w:rPr>
        <w:t>开户行名：</w:t>
      </w:r>
      <w:r>
        <w:rPr>
          <w:rFonts w:hint="eastAsia" w:ascii="宋体" w:hAnsi="宋体"/>
          <w:szCs w:val="21"/>
          <w:lang w:val="en-US" w:eastAsia="zh-CN"/>
        </w:rPr>
        <w:t xml:space="preserve">  </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开户账号：403530100100062793       </w:t>
      </w:r>
      <w:r>
        <w:rPr>
          <w:rFonts w:hint="eastAsia" w:ascii="宋体" w:hAnsi="宋体"/>
          <w:szCs w:val="21"/>
          <w:lang w:val="en-US" w:eastAsia="zh-CN"/>
        </w:rPr>
        <w:t xml:space="preserve">         </w:t>
      </w:r>
      <w:r>
        <w:rPr>
          <w:rFonts w:hint="eastAsia" w:ascii="宋体" w:hAnsi="宋体"/>
          <w:szCs w:val="21"/>
        </w:rPr>
        <w:t>开户账号：</w:t>
      </w:r>
    </w:p>
    <w:p>
      <w:pPr>
        <w:tabs>
          <w:tab w:val="center" w:pos="4153"/>
        </w:tabs>
        <w:spacing w:line="400" w:lineRule="exact"/>
        <w:ind w:left="5670" w:leftChars="200" w:hanging="5250" w:hangingChars="2500"/>
        <w:rPr>
          <w:rFonts w:ascii="宋体" w:hAnsi="宋体"/>
          <w:szCs w:val="21"/>
        </w:rPr>
      </w:pPr>
      <w:r>
        <w:rPr>
          <w:rFonts w:hint="eastAsia" w:ascii="宋体" w:hAnsi="宋体"/>
          <w:szCs w:val="21"/>
        </w:rPr>
        <w:t>地    址：</w:t>
      </w:r>
      <w:r>
        <w:rPr>
          <w:rFonts w:hint="eastAsia"/>
          <w:spacing w:val="-8"/>
          <w:szCs w:val="21"/>
        </w:rPr>
        <w:t>扬州市邗江区扬子江北路1222号</w:t>
      </w:r>
      <w:r>
        <w:rPr>
          <w:rFonts w:hint="eastAsia"/>
          <w:spacing w:val="-8"/>
          <w:szCs w:val="21"/>
          <w:lang w:val="en-US" w:eastAsia="zh-CN"/>
        </w:rPr>
        <w:t xml:space="preserve">         </w:t>
      </w:r>
      <w:r>
        <w:rPr>
          <w:rFonts w:hint="eastAsia" w:ascii="宋体" w:hAnsi="宋体"/>
          <w:szCs w:val="21"/>
        </w:rPr>
        <w:t>地    址：</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电    话：0514-82980022                </w:t>
      </w:r>
      <w:r>
        <w:rPr>
          <w:rFonts w:hint="eastAsia" w:ascii="宋体" w:hAnsi="宋体"/>
          <w:szCs w:val="21"/>
          <w:lang w:val="en-US" w:eastAsia="zh-CN"/>
        </w:rPr>
        <w:t xml:space="preserve">   </w:t>
      </w:r>
      <w:r>
        <w:rPr>
          <w:rFonts w:hint="eastAsia" w:ascii="宋体" w:hAnsi="宋体"/>
          <w:szCs w:val="21"/>
        </w:rPr>
        <w:t xml:space="preserve">  电    话：</w:t>
      </w:r>
    </w:p>
    <w:p>
      <w:pPr>
        <w:tabs>
          <w:tab w:val="left" w:pos="6165"/>
        </w:tabs>
        <w:rPr>
          <w:rFonts w:ascii="宋体" w:hAnsi="宋体"/>
          <w:szCs w:val="21"/>
        </w:rPr>
      </w:pPr>
    </w:p>
    <w:p>
      <w:pPr>
        <w:tabs>
          <w:tab w:val="left" w:pos="6165"/>
        </w:tabs>
        <w:ind w:firstLine="5670" w:firstLineChars="2700"/>
      </w:pPr>
      <w:r>
        <w:rPr>
          <w:rFonts w:hint="eastAsia" w:ascii="宋体" w:hAnsi="宋体"/>
          <w:szCs w:val="21"/>
        </w:rPr>
        <w:t>签订时间：</w:t>
      </w:r>
    </w:p>
    <w:sectPr>
      <w:headerReference r:id="rId3" w:type="default"/>
      <w:footerReference r:id="rId4" w:type="default"/>
      <w:pgSz w:w="11906" w:h="16838"/>
      <w:pgMar w:top="1327" w:right="1046" w:bottom="1327" w:left="12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TimesNewRomanPSMT">
    <w:altName w:val="宋体"/>
    <w:panose1 w:val="00000000000000000000"/>
    <w:charset w:val="86"/>
    <w:family w:val="auto"/>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r>
      <w:rPr>
        <w:b/>
        <w:bCs/>
        <w:sz w:val="24"/>
        <w:szCs w:val="24"/>
      </w:rPr>
      <w:fldChar w:fldCharType="begin"/>
    </w:r>
    <w:r>
      <w:rPr>
        <w:b/>
        <w:bCs/>
      </w:rPr>
      <w:instrText xml:space="preserve">PAGE</w:instrText>
    </w:r>
    <w:r>
      <w:rPr>
        <w:b/>
        <w:bCs/>
        <w:sz w:val="24"/>
        <w:szCs w:val="24"/>
      </w:rPr>
      <w:fldChar w:fldCharType="separate"/>
    </w:r>
    <w:r>
      <w:rPr>
        <w:b/>
        <w:bCs/>
      </w:rPr>
      <w:t>10</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14</w:t>
    </w:r>
    <w:r>
      <w:rPr>
        <w:b/>
        <w:bCs/>
        <w:sz w:val="24"/>
        <w:szCs w:val="24"/>
      </w:rPr>
      <w:fldChar w:fldCharType="end"/>
    </w:r>
  </w:p>
  <w:p>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57CCAD3"/>
    <w:multiLevelType w:val="singleLevel"/>
    <w:tmpl w:val="A57CCAD3"/>
    <w:lvl w:ilvl="0" w:tentative="0">
      <w:start w:val="1"/>
      <w:numFmt w:val="decimal"/>
      <w:suff w:val="nothing"/>
      <w:lvlText w:val="%1、"/>
      <w:lvlJc w:val="left"/>
    </w:lvl>
  </w:abstractNum>
  <w:abstractNum w:abstractNumId="1">
    <w:nsid w:val="2A884BD1"/>
    <w:multiLevelType w:val="multilevel"/>
    <w:tmpl w:val="2A884BD1"/>
    <w:lvl w:ilvl="0" w:tentative="0">
      <w:start w:val="1"/>
      <w:numFmt w:val="japaneseCounting"/>
      <w:lvlText w:val="第%1章"/>
      <w:lvlJc w:val="left"/>
      <w:pPr>
        <w:tabs>
          <w:tab w:val="left" w:pos="1715"/>
        </w:tabs>
        <w:ind w:left="1715" w:hanging="1290"/>
      </w:pPr>
      <w:rPr>
        <w:rFonts w:hint="default"/>
      </w:rPr>
    </w:lvl>
    <w:lvl w:ilvl="1" w:tentative="0">
      <w:start w:val="1"/>
      <w:numFmt w:val="decimal"/>
      <w:lvlText w:val="%2、"/>
      <w:lvlJc w:val="left"/>
      <w:pPr>
        <w:tabs>
          <w:tab w:val="left" w:pos="1565"/>
        </w:tabs>
        <w:ind w:left="1565" w:hanging="720"/>
      </w:pPr>
      <w:rPr>
        <w:rFonts w:hint="default"/>
      </w:rPr>
    </w:lvl>
    <w:lvl w:ilvl="2" w:tentative="0">
      <w:start w:val="1"/>
      <w:numFmt w:val="lowerRoman"/>
      <w:lvlText w:val="%3."/>
      <w:lvlJc w:val="right"/>
      <w:pPr>
        <w:tabs>
          <w:tab w:val="left" w:pos="1685"/>
        </w:tabs>
        <w:ind w:left="1685" w:hanging="420"/>
      </w:pPr>
    </w:lvl>
    <w:lvl w:ilvl="3" w:tentative="0">
      <w:start w:val="1"/>
      <w:numFmt w:val="decimal"/>
      <w:lvlText w:val="%4."/>
      <w:lvlJc w:val="left"/>
      <w:pPr>
        <w:tabs>
          <w:tab w:val="left" w:pos="2105"/>
        </w:tabs>
        <w:ind w:left="2105" w:hanging="420"/>
      </w:pPr>
    </w:lvl>
    <w:lvl w:ilvl="4" w:tentative="0">
      <w:start w:val="1"/>
      <w:numFmt w:val="lowerLetter"/>
      <w:lvlText w:val="%5)"/>
      <w:lvlJc w:val="left"/>
      <w:pPr>
        <w:tabs>
          <w:tab w:val="left" w:pos="2525"/>
        </w:tabs>
        <w:ind w:left="2525" w:hanging="420"/>
      </w:pPr>
    </w:lvl>
    <w:lvl w:ilvl="5" w:tentative="0">
      <w:start w:val="1"/>
      <w:numFmt w:val="lowerRoman"/>
      <w:lvlText w:val="%6."/>
      <w:lvlJc w:val="right"/>
      <w:pPr>
        <w:tabs>
          <w:tab w:val="left" w:pos="2945"/>
        </w:tabs>
        <w:ind w:left="2945" w:hanging="420"/>
      </w:pPr>
    </w:lvl>
    <w:lvl w:ilvl="6" w:tentative="0">
      <w:start w:val="1"/>
      <w:numFmt w:val="decimal"/>
      <w:lvlText w:val="%7."/>
      <w:lvlJc w:val="left"/>
      <w:pPr>
        <w:tabs>
          <w:tab w:val="left" w:pos="3365"/>
        </w:tabs>
        <w:ind w:left="3365" w:hanging="420"/>
      </w:pPr>
    </w:lvl>
    <w:lvl w:ilvl="7" w:tentative="0">
      <w:start w:val="1"/>
      <w:numFmt w:val="lowerLetter"/>
      <w:lvlText w:val="%8)"/>
      <w:lvlJc w:val="left"/>
      <w:pPr>
        <w:tabs>
          <w:tab w:val="left" w:pos="3785"/>
        </w:tabs>
        <w:ind w:left="3785" w:hanging="420"/>
      </w:pPr>
    </w:lvl>
    <w:lvl w:ilvl="8" w:tentative="0">
      <w:start w:val="1"/>
      <w:numFmt w:val="lowerRoman"/>
      <w:lvlText w:val="%9."/>
      <w:lvlJc w:val="right"/>
      <w:pPr>
        <w:tabs>
          <w:tab w:val="left" w:pos="4205"/>
        </w:tabs>
        <w:ind w:left="4205" w:hanging="420"/>
      </w:pPr>
    </w:lvl>
  </w:abstractNum>
  <w:abstractNum w:abstractNumId="2">
    <w:nsid w:val="41801EA3"/>
    <w:multiLevelType w:val="multilevel"/>
    <w:tmpl w:val="41801EA3"/>
    <w:lvl w:ilvl="0" w:tentative="0">
      <w:start w:val="1"/>
      <w:numFmt w:val="japaneseCounting"/>
      <w:lvlText w:val="%1、"/>
      <w:lvlJc w:val="left"/>
      <w:pPr>
        <w:tabs>
          <w:tab w:val="left" w:pos="720"/>
        </w:tabs>
        <w:ind w:left="720" w:hanging="720"/>
      </w:pPr>
      <w:rPr>
        <w:rFonts w:hint="eastAsia"/>
      </w:rPr>
    </w:lvl>
    <w:lvl w:ilvl="1" w:tentative="0">
      <w:start w:val="1"/>
      <w:numFmt w:val="decimal"/>
      <w:lvlText w:val="%2."/>
      <w:lvlJc w:val="left"/>
      <w:pPr>
        <w:tabs>
          <w:tab w:val="left" w:pos="840"/>
        </w:tabs>
        <w:ind w:left="840" w:hanging="420"/>
      </w:pPr>
      <w:rPr>
        <w:rFonts w:hint="eastAsia"/>
      </w:rPr>
    </w:lvl>
    <w:lvl w:ilvl="2" w:tentative="0">
      <w:start w:val="1"/>
      <w:numFmt w:val="lowerLetter"/>
      <w:lvlText w:val="%3．"/>
      <w:lvlJc w:val="left"/>
      <w:pPr>
        <w:tabs>
          <w:tab w:val="left" w:pos="1560"/>
        </w:tabs>
        <w:ind w:left="1560" w:hanging="720"/>
      </w:pPr>
      <w:rPr>
        <w:rFonts w:hint="eastAsia"/>
      </w:rPr>
    </w:lvl>
    <w:lvl w:ilvl="3" w:tentative="0">
      <w:start w:val="4"/>
      <w:numFmt w:val="japaneseCounting"/>
      <w:lvlText w:val="第%4章"/>
      <w:lvlJc w:val="left"/>
      <w:pPr>
        <w:tabs>
          <w:tab w:val="left" w:pos="4056"/>
        </w:tabs>
        <w:ind w:left="4056" w:hanging="1080"/>
      </w:pPr>
      <w:rPr>
        <w:rFonts w:hint="eastAsia"/>
      </w:rPr>
    </w:lvl>
    <w:lvl w:ilvl="4" w:tentative="0">
      <w:start w:val="1"/>
      <w:numFmt w:val="decimalFullWidth"/>
      <w:lvlText w:val="%5、"/>
      <w:lvlJc w:val="left"/>
      <w:pPr>
        <w:tabs>
          <w:tab w:val="left" w:pos="1020"/>
        </w:tabs>
        <w:ind w:left="1020" w:hanging="1020"/>
      </w:pPr>
      <w:rPr>
        <w:rFonts w:hint="eastAsia"/>
      </w:rPr>
    </w:lvl>
    <w:lvl w:ilvl="5" w:tentative="0">
      <w:start w:val="1"/>
      <w:numFmt w:val="decimal"/>
      <w:lvlText w:val="%6）"/>
      <w:lvlJc w:val="left"/>
      <w:pPr>
        <w:tabs>
          <w:tab w:val="left" w:pos="6249"/>
        </w:tabs>
        <w:ind w:left="6249" w:hanging="720"/>
      </w:pPr>
      <w:rPr>
        <w:rFonts w:hint="default"/>
      </w:rPr>
    </w:lvl>
    <w:lvl w:ilvl="6" w:tentative="0">
      <w:start w:val="4"/>
      <w:numFmt w:val="decimal"/>
      <w:lvlText w:val="%7．"/>
      <w:lvlJc w:val="left"/>
      <w:pPr>
        <w:tabs>
          <w:tab w:val="left" w:pos="3240"/>
        </w:tabs>
        <w:ind w:left="3240" w:hanging="720"/>
      </w:pPr>
      <w:rPr>
        <w:rFonts w:hint="default" w:ascii="仿宋_GB2312"/>
      </w:r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3">
    <w:nsid w:val="46A90836"/>
    <w:multiLevelType w:val="multilevel"/>
    <w:tmpl w:val="46A90836"/>
    <w:lvl w:ilvl="0" w:tentative="0">
      <w:start w:val="1"/>
      <w:numFmt w:val="decimal"/>
      <w:lvlText w:val="%1."/>
      <w:lvlJc w:val="left"/>
      <w:pPr>
        <w:ind w:left="1129" w:hanging="420"/>
      </w:pPr>
    </w:lvl>
    <w:lvl w:ilvl="1" w:tentative="0">
      <w:start w:val="1"/>
      <w:numFmt w:val="lowerLetter"/>
      <w:lvlText w:val="%2)"/>
      <w:lvlJc w:val="left"/>
      <w:pPr>
        <w:ind w:left="1548" w:hanging="420"/>
      </w:pPr>
    </w:lvl>
    <w:lvl w:ilvl="2" w:tentative="0">
      <w:start w:val="1"/>
      <w:numFmt w:val="lowerRoman"/>
      <w:lvlText w:val="%3."/>
      <w:lvlJc w:val="right"/>
      <w:pPr>
        <w:ind w:left="1968" w:hanging="420"/>
      </w:pPr>
    </w:lvl>
    <w:lvl w:ilvl="3" w:tentative="0">
      <w:start w:val="1"/>
      <w:numFmt w:val="decimal"/>
      <w:lvlText w:val="%4."/>
      <w:lvlJc w:val="left"/>
      <w:pPr>
        <w:ind w:left="2388" w:hanging="420"/>
      </w:pPr>
    </w:lvl>
    <w:lvl w:ilvl="4" w:tentative="0">
      <w:start w:val="1"/>
      <w:numFmt w:val="lowerLetter"/>
      <w:lvlText w:val="%5)"/>
      <w:lvlJc w:val="left"/>
      <w:pPr>
        <w:ind w:left="2808" w:hanging="420"/>
      </w:pPr>
    </w:lvl>
    <w:lvl w:ilvl="5" w:tentative="0">
      <w:start w:val="1"/>
      <w:numFmt w:val="lowerRoman"/>
      <w:lvlText w:val="%6."/>
      <w:lvlJc w:val="right"/>
      <w:pPr>
        <w:ind w:left="3228" w:hanging="420"/>
      </w:pPr>
    </w:lvl>
    <w:lvl w:ilvl="6" w:tentative="0">
      <w:start w:val="1"/>
      <w:numFmt w:val="decimal"/>
      <w:lvlText w:val="%7."/>
      <w:lvlJc w:val="left"/>
      <w:pPr>
        <w:ind w:left="3648" w:hanging="420"/>
      </w:pPr>
    </w:lvl>
    <w:lvl w:ilvl="7" w:tentative="0">
      <w:start w:val="1"/>
      <w:numFmt w:val="lowerLetter"/>
      <w:lvlText w:val="%8)"/>
      <w:lvlJc w:val="left"/>
      <w:pPr>
        <w:ind w:left="4068" w:hanging="420"/>
      </w:pPr>
    </w:lvl>
    <w:lvl w:ilvl="8" w:tentative="0">
      <w:start w:val="1"/>
      <w:numFmt w:val="lowerRoman"/>
      <w:lvlText w:val="%9."/>
      <w:lvlJc w:val="right"/>
      <w:pPr>
        <w:ind w:left="4488" w:hanging="420"/>
      </w:pPr>
    </w:lvl>
  </w:abstractNum>
  <w:abstractNum w:abstractNumId="4">
    <w:nsid w:val="52ED1C7B"/>
    <w:multiLevelType w:val="singleLevel"/>
    <w:tmpl w:val="52ED1C7B"/>
    <w:lvl w:ilvl="0" w:tentative="0">
      <w:start w:val="1"/>
      <w:numFmt w:val="chineseCounting"/>
      <w:suff w:val="nothing"/>
      <w:lvlText w:val="%1、"/>
      <w:lvlJc w:val="left"/>
      <w:rPr>
        <w:rFonts w:hint="eastAsia"/>
      </w:rPr>
    </w:lvl>
  </w:abstractNum>
  <w:abstractNum w:abstractNumId="5">
    <w:nsid w:val="594D2225"/>
    <w:multiLevelType w:val="multilevel"/>
    <w:tmpl w:val="594D2225"/>
    <w:lvl w:ilvl="0" w:tentative="0">
      <w:start w:val="6"/>
      <w:numFmt w:val="japaneseCounting"/>
      <w:lvlText w:val="第%1章"/>
      <w:lvlJc w:val="left"/>
      <w:pPr>
        <w:tabs>
          <w:tab w:val="left" w:pos="2169"/>
        </w:tabs>
        <w:ind w:left="2169" w:hanging="1110"/>
      </w:pPr>
      <w:rPr>
        <w:rFonts w:hint="default"/>
      </w:rPr>
    </w:lvl>
    <w:lvl w:ilvl="1" w:tentative="0">
      <w:start w:val="1"/>
      <w:numFmt w:val="decimal"/>
      <w:lvlText w:val="（%2）"/>
      <w:lvlJc w:val="left"/>
      <w:pPr>
        <w:tabs>
          <w:tab w:val="left" w:pos="2199"/>
        </w:tabs>
        <w:ind w:left="2199" w:hanging="720"/>
      </w:pPr>
      <w:rPr>
        <w:rFonts w:hint="eastAsia"/>
      </w:rPr>
    </w:lvl>
    <w:lvl w:ilvl="2" w:tentative="0">
      <w:start w:val="1"/>
      <w:numFmt w:val="decimal"/>
      <w:lvlText w:val="%3."/>
      <w:lvlJc w:val="left"/>
      <w:pPr>
        <w:tabs>
          <w:tab w:val="left" w:pos="2259"/>
        </w:tabs>
        <w:ind w:left="2259" w:hanging="360"/>
      </w:pPr>
      <w:rPr>
        <w:rFonts w:hint="eastAsia"/>
      </w:rPr>
    </w:lvl>
    <w:lvl w:ilvl="3" w:tentative="0">
      <w:start w:val="1"/>
      <w:numFmt w:val="decimal"/>
      <w:lvlText w:val="%4."/>
      <w:lvlJc w:val="left"/>
      <w:pPr>
        <w:tabs>
          <w:tab w:val="left" w:pos="2739"/>
        </w:tabs>
        <w:ind w:left="2739" w:hanging="420"/>
      </w:pPr>
    </w:lvl>
    <w:lvl w:ilvl="4" w:tentative="0">
      <w:start w:val="1"/>
      <w:numFmt w:val="lowerLetter"/>
      <w:lvlText w:val="%5)"/>
      <w:lvlJc w:val="left"/>
      <w:pPr>
        <w:tabs>
          <w:tab w:val="left" w:pos="3159"/>
        </w:tabs>
        <w:ind w:left="3159" w:hanging="420"/>
      </w:pPr>
    </w:lvl>
    <w:lvl w:ilvl="5" w:tentative="0">
      <w:start w:val="1"/>
      <w:numFmt w:val="lowerRoman"/>
      <w:lvlText w:val="%6."/>
      <w:lvlJc w:val="right"/>
      <w:pPr>
        <w:tabs>
          <w:tab w:val="left" w:pos="3579"/>
        </w:tabs>
        <w:ind w:left="3579" w:hanging="420"/>
      </w:pPr>
    </w:lvl>
    <w:lvl w:ilvl="6" w:tentative="0">
      <w:start w:val="1"/>
      <w:numFmt w:val="decimal"/>
      <w:lvlText w:val="%7."/>
      <w:lvlJc w:val="left"/>
      <w:pPr>
        <w:tabs>
          <w:tab w:val="left" w:pos="3999"/>
        </w:tabs>
        <w:ind w:left="3999" w:hanging="420"/>
      </w:pPr>
    </w:lvl>
    <w:lvl w:ilvl="7" w:tentative="0">
      <w:start w:val="1"/>
      <w:numFmt w:val="lowerLetter"/>
      <w:lvlText w:val="%8)"/>
      <w:lvlJc w:val="left"/>
      <w:pPr>
        <w:tabs>
          <w:tab w:val="left" w:pos="4419"/>
        </w:tabs>
        <w:ind w:left="4419" w:hanging="420"/>
      </w:pPr>
    </w:lvl>
    <w:lvl w:ilvl="8" w:tentative="0">
      <w:start w:val="1"/>
      <w:numFmt w:val="lowerRoman"/>
      <w:lvlText w:val="%9."/>
      <w:lvlJc w:val="right"/>
      <w:pPr>
        <w:tabs>
          <w:tab w:val="left" w:pos="4839"/>
        </w:tabs>
        <w:ind w:left="4839" w:hanging="420"/>
      </w:pPr>
    </w:lvl>
  </w:abstractNum>
  <w:abstractNum w:abstractNumId="6">
    <w:nsid w:val="6918A0E9"/>
    <w:multiLevelType w:val="singleLevel"/>
    <w:tmpl w:val="6918A0E9"/>
    <w:lvl w:ilvl="0" w:tentative="0">
      <w:start w:val="2"/>
      <w:numFmt w:val="decimal"/>
      <w:suff w:val="nothing"/>
      <w:lvlText w:val="（%1）"/>
      <w:lvlJc w:val="left"/>
    </w:lvl>
  </w:abstractNum>
  <w:num w:numId="1">
    <w:abstractNumId w:val="1"/>
  </w:num>
  <w:num w:numId="2">
    <w:abstractNumId w:val="2"/>
  </w:num>
  <w:num w:numId="3">
    <w:abstractNumId w:val="5"/>
  </w:num>
  <w:num w:numId="4">
    <w:abstractNumId w:val="3"/>
  </w:num>
  <w:num w:numId="5">
    <w:abstractNumId w:val="4"/>
  </w:num>
  <w:num w:numId="6">
    <w:abstractNumId w:val="6"/>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NmNzQ2Y2Y5NTk5ZTMzZjU4YWVjNTVjNmRlN2ZiNDcifQ=="/>
  </w:docVars>
  <w:rsids>
    <w:rsidRoot w:val="4FE8524A"/>
    <w:rsid w:val="00101823"/>
    <w:rsid w:val="00412FE1"/>
    <w:rsid w:val="004279CA"/>
    <w:rsid w:val="00443FC4"/>
    <w:rsid w:val="004E347A"/>
    <w:rsid w:val="00556E93"/>
    <w:rsid w:val="007B6BEF"/>
    <w:rsid w:val="009732EA"/>
    <w:rsid w:val="00977B14"/>
    <w:rsid w:val="00A3295D"/>
    <w:rsid w:val="00B7173E"/>
    <w:rsid w:val="00CF7C03"/>
    <w:rsid w:val="00D04770"/>
    <w:rsid w:val="00DC107B"/>
    <w:rsid w:val="00DD61D2"/>
    <w:rsid w:val="00EC29C6"/>
    <w:rsid w:val="00EC3320"/>
    <w:rsid w:val="00F84733"/>
    <w:rsid w:val="00FC33DA"/>
    <w:rsid w:val="0297204E"/>
    <w:rsid w:val="02C70CC1"/>
    <w:rsid w:val="02D23086"/>
    <w:rsid w:val="03465822"/>
    <w:rsid w:val="04F35535"/>
    <w:rsid w:val="05665B8F"/>
    <w:rsid w:val="056A57F8"/>
    <w:rsid w:val="059B0ABD"/>
    <w:rsid w:val="059E5C81"/>
    <w:rsid w:val="06654211"/>
    <w:rsid w:val="06764670"/>
    <w:rsid w:val="072E0AA7"/>
    <w:rsid w:val="07630750"/>
    <w:rsid w:val="078E2CF2"/>
    <w:rsid w:val="07DB29DD"/>
    <w:rsid w:val="080C703A"/>
    <w:rsid w:val="083C3787"/>
    <w:rsid w:val="08B17BE1"/>
    <w:rsid w:val="08EB6C4F"/>
    <w:rsid w:val="09CB082F"/>
    <w:rsid w:val="0A200B7B"/>
    <w:rsid w:val="0A560A40"/>
    <w:rsid w:val="0AB62C38"/>
    <w:rsid w:val="0B2B3C7B"/>
    <w:rsid w:val="0B2B77D7"/>
    <w:rsid w:val="0BF15398"/>
    <w:rsid w:val="0BF40511"/>
    <w:rsid w:val="0C970E9C"/>
    <w:rsid w:val="0C9B70AC"/>
    <w:rsid w:val="0F4F5A5E"/>
    <w:rsid w:val="102B2027"/>
    <w:rsid w:val="10E16642"/>
    <w:rsid w:val="12C30F58"/>
    <w:rsid w:val="13E46BAF"/>
    <w:rsid w:val="13F866C4"/>
    <w:rsid w:val="14630EA8"/>
    <w:rsid w:val="14A10EFD"/>
    <w:rsid w:val="15020023"/>
    <w:rsid w:val="1505415C"/>
    <w:rsid w:val="15966195"/>
    <w:rsid w:val="15C745A0"/>
    <w:rsid w:val="15FD60CE"/>
    <w:rsid w:val="166938A9"/>
    <w:rsid w:val="169721C5"/>
    <w:rsid w:val="1715758D"/>
    <w:rsid w:val="17233A58"/>
    <w:rsid w:val="188B203C"/>
    <w:rsid w:val="18951461"/>
    <w:rsid w:val="19614D0C"/>
    <w:rsid w:val="19923117"/>
    <w:rsid w:val="1A3B730B"/>
    <w:rsid w:val="1AF45AC8"/>
    <w:rsid w:val="1C4921B3"/>
    <w:rsid w:val="1CC932F4"/>
    <w:rsid w:val="1CD6156D"/>
    <w:rsid w:val="1D4A4435"/>
    <w:rsid w:val="1D594678"/>
    <w:rsid w:val="1D5C1EA3"/>
    <w:rsid w:val="1E193E07"/>
    <w:rsid w:val="1E7159F1"/>
    <w:rsid w:val="1E9354EF"/>
    <w:rsid w:val="1EE73F05"/>
    <w:rsid w:val="1FFC753C"/>
    <w:rsid w:val="204F3B10"/>
    <w:rsid w:val="20E57FD0"/>
    <w:rsid w:val="210C37AF"/>
    <w:rsid w:val="21A86F2C"/>
    <w:rsid w:val="21C66054"/>
    <w:rsid w:val="223631D9"/>
    <w:rsid w:val="223A3836"/>
    <w:rsid w:val="22BB36DF"/>
    <w:rsid w:val="22F95FB5"/>
    <w:rsid w:val="230B570E"/>
    <w:rsid w:val="23AF34F8"/>
    <w:rsid w:val="25D50641"/>
    <w:rsid w:val="25E371D4"/>
    <w:rsid w:val="26064C71"/>
    <w:rsid w:val="265754CC"/>
    <w:rsid w:val="266A16A4"/>
    <w:rsid w:val="26E054C2"/>
    <w:rsid w:val="2900009D"/>
    <w:rsid w:val="290C4C94"/>
    <w:rsid w:val="29312005"/>
    <w:rsid w:val="29AA1DB7"/>
    <w:rsid w:val="29E7300B"/>
    <w:rsid w:val="2AFE685E"/>
    <w:rsid w:val="2B331138"/>
    <w:rsid w:val="2B4A5600"/>
    <w:rsid w:val="2BC01D66"/>
    <w:rsid w:val="2C365B84"/>
    <w:rsid w:val="2D541119"/>
    <w:rsid w:val="2D5C5ABE"/>
    <w:rsid w:val="2D7B7CF2"/>
    <w:rsid w:val="2E0028ED"/>
    <w:rsid w:val="2E2C2859"/>
    <w:rsid w:val="2E7110F5"/>
    <w:rsid w:val="2EC92CDF"/>
    <w:rsid w:val="2EDD678B"/>
    <w:rsid w:val="2F6D3FB3"/>
    <w:rsid w:val="300A4BE9"/>
    <w:rsid w:val="300F0BC6"/>
    <w:rsid w:val="30B359F5"/>
    <w:rsid w:val="30C96F69"/>
    <w:rsid w:val="30DB6CFA"/>
    <w:rsid w:val="319A0963"/>
    <w:rsid w:val="31A11CF2"/>
    <w:rsid w:val="31AF440F"/>
    <w:rsid w:val="31F97D80"/>
    <w:rsid w:val="32737B32"/>
    <w:rsid w:val="32F522F5"/>
    <w:rsid w:val="3317670F"/>
    <w:rsid w:val="33266D48"/>
    <w:rsid w:val="3337346C"/>
    <w:rsid w:val="33763832"/>
    <w:rsid w:val="338A5133"/>
    <w:rsid w:val="33C85C5B"/>
    <w:rsid w:val="33EC20BE"/>
    <w:rsid w:val="33FF1549"/>
    <w:rsid w:val="341F2703"/>
    <w:rsid w:val="3445105A"/>
    <w:rsid w:val="34E940DB"/>
    <w:rsid w:val="3514308F"/>
    <w:rsid w:val="35A40002"/>
    <w:rsid w:val="35D73F34"/>
    <w:rsid w:val="35ED3757"/>
    <w:rsid w:val="35FA7C22"/>
    <w:rsid w:val="367B6337"/>
    <w:rsid w:val="36F335AF"/>
    <w:rsid w:val="37184804"/>
    <w:rsid w:val="372238D5"/>
    <w:rsid w:val="378821CD"/>
    <w:rsid w:val="38091B02"/>
    <w:rsid w:val="387463B2"/>
    <w:rsid w:val="3914192A"/>
    <w:rsid w:val="399D36E6"/>
    <w:rsid w:val="39EE7A9E"/>
    <w:rsid w:val="3A695377"/>
    <w:rsid w:val="3A7D3745"/>
    <w:rsid w:val="3BB62604"/>
    <w:rsid w:val="3C452FAA"/>
    <w:rsid w:val="3CEA6C43"/>
    <w:rsid w:val="3DA037A5"/>
    <w:rsid w:val="3E0B50C2"/>
    <w:rsid w:val="3E7E3AE6"/>
    <w:rsid w:val="3EB017C6"/>
    <w:rsid w:val="3F2521B4"/>
    <w:rsid w:val="3F5465F5"/>
    <w:rsid w:val="3F5A2068"/>
    <w:rsid w:val="3F72413A"/>
    <w:rsid w:val="402D0592"/>
    <w:rsid w:val="40651F71"/>
    <w:rsid w:val="41182D76"/>
    <w:rsid w:val="41A26AED"/>
    <w:rsid w:val="42A11B51"/>
    <w:rsid w:val="42C45840"/>
    <w:rsid w:val="42E44134"/>
    <w:rsid w:val="42E47C90"/>
    <w:rsid w:val="42E86AEE"/>
    <w:rsid w:val="433F136A"/>
    <w:rsid w:val="434A1F8E"/>
    <w:rsid w:val="443B2418"/>
    <w:rsid w:val="44ED05EC"/>
    <w:rsid w:val="45A42A1E"/>
    <w:rsid w:val="4642189D"/>
    <w:rsid w:val="46843C64"/>
    <w:rsid w:val="474A6C5C"/>
    <w:rsid w:val="479441CF"/>
    <w:rsid w:val="47C0369D"/>
    <w:rsid w:val="48B545A9"/>
    <w:rsid w:val="49492F43"/>
    <w:rsid w:val="4A3216CC"/>
    <w:rsid w:val="4A6D4A0F"/>
    <w:rsid w:val="4A985F30"/>
    <w:rsid w:val="4B7A3887"/>
    <w:rsid w:val="4D4952BF"/>
    <w:rsid w:val="4E892FC0"/>
    <w:rsid w:val="4EDB288F"/>
    <w:rsid w:val="4F754A92"/>
    <w:rsid w:val="4F7D74A2"/>
    <w:rsid w:val="4FCD667C"/>
    <w:rsid w:val="4FE8524A"/>
    <w:rsid w:val="511931FB"/>
    <w:rsid w:val="521450B8"/>
    <w:rsid w:val="523F1387"/>
    <w:rsid w:val="5275158D"/>
    <w:rsid w:val="52E066C6"/>
    <w:rsid w:val="535350EA"/>
    <w:rsid w:val="539D0113"/>
    <w:rsid w:val="54332825"/>
    <w:rsid w:val="54913289"/>
    <w:rsid w:val="54E3424B"/>
    <w:rsid w:val="5530217C"/>
    <w:rsid w:val="55456CB4"/>
    <w:rsid w:val="55983288"/>
    <w:rsid w:val="55D122F6"/>
    <w:rsid w:val="56C67981"/>
    <w:rsid w:val="57AA2DFF"/>
    <w:rsid w:val="582B03E3"/>
    <w:rsid w:val="58F278DD"/>
    <w:rsid w:val="59D52770"/>
    <w:rsid w:val="5A0D5AB1"/>
    <w:rsid w:val="5AB57783"/>
    <w:rsid w:val="5B213D9C"/>
    <w:rsid w:val="5C606182"/>
    <w:rsid w:val="5C6D3CE5"/>
    <w:rsid w:val="5C7A5495"/>
    <w:rsid w:val="5CCD52BD"/>
    <w:rsid w:val="5CF60894"/>
    <w:rsid w:val="5D296EBB"/>
    <w:rsid w:val="5D701FED"/>
    <w:rsid w:val="5E1E4546"/>
    <w:rsid w:val="5E9B5B97"/>
    <w:rsid w:val="5ECC270A"/>
    <w:rsid w:val="5ECC3FA2"/>
    <w:rsid w:val="5F4678B1"/>
    <w:rsid w:val="5FA32F55"/>
    <w:rsid w:val="5FB7255D"/>
    <w:rsid w:val="5FD26102"/>
    <w:rsid w:val="60C96A46"/>
    <w:rsid w:val="61406271"/>
    <w:rsid w:val="617A1A94"/>
    <w:rsid w:val="61805E03"/>
    <w:rsid w:val="61A44D62"/>
    <w:rsid w:val="62031A89"/>
    <w:rsid w:val="62127A26"/>
    <w:rsid w:val="62420CF2"/>
    <w:rsid w:val="62FF60D1"/>
    <w:rsid w:val="63754C08"/>
    <w:rsid w:val="63A571A8"/>
    <w:rsid w:val="64504D2E"/>
    <w:rsid w:val="645760BC"/>
    <w:rsid w:val="64DE67DD"/>
    <w:rsid w:val="65022679"/>
    <w:rsid w:val="656A1E1F"/>
    <w:rsid w:val="65AB285B"/>
    <w:rsid w:val="660202AA"/>
    <w:rsid w:val="6639016F"/>
    <w:rsid w:val="66401F2D"/>
    <w:rsid w:val="66CC5BB1"/>
    <w:rsid w:val="671604B0"/>
    <w:rsid w:val="677376B1"/>
    <w:rsid w:val="678F0196"/>
    <w:rsid w:val="679D0A8D"/>
    <w:rsid w:val="67F24A7A"/>
    <w:rsid w:val="68CF45AF"/>
    <w:rsid w:val="69236EB5"/>
    <w:rsid w:val="697728DD"/>
    <w:rsid w:val="699E02E9"/>
    <w:rsid w:val="6A5823A3"/>
    <w:rsid w:val="6A7D43A3"/>
    <w:rsid w:val="6AA5482C"/>
    <w:rsid w:val="6AEF5A31"/>
    <w:rsid w:val="6B2B2259"/>
    <w:rsid w:val="6BEE5558"/>
    <w:rsid w:val="6E2B33DC"/>
    <w:rsid w:val="6E3160B0"/>
    <w:rsid w:val="6E4F5286"/>
    <w:rsid w:val="6E755883"/>
    <w:rsid w:val="6ECF6B20"/>
    <w:rsid w:val="6F285225"/>
    <w:rsid w:val="702473B7"/>
    <w:rsid w:val="702C2AF3"/>
    <w:rsid w:val="70615792"/>
    <w:rsid w:val="70651B61"/>
    <w:rsid w:val="708F6BDE"/>
    <w:rsid w:val="70F96E79"/>
    <w:rsid w:val="71347EB1"/>
    <w:rsid w:val="723914F7"/>
    <w:rsid w:val="726245AA"/>
    <w:rsid w:val="72676064"/>
    <w:rsid w:val="72896B52"/>
    <w:rsid w:val="72911316"/>
    <w:rsid w:val="73487C44"/>
    <w:rsid w:val="73555EBD"/>
    <w:rsid w:val="73C6500C"/>
    <w:rsid w:val="73E55492"/>
    <w:rsid w:val="7400407A"/>
    <w:rsid w:val="75B82245"/>
    <w:rsid w:val="75BC4A31"/>
    <w:rsid w:val="75FA2D4B"/>
    <w:rsid w:val="76982C90"/>
    <w:rsid w:val="77B27D81"/>
    <w:rsid w:val="77C1619A"/>
    <w:rsid w:val="78160310"/>
    <w:rsid w:val="78431408"/>
    <w:rsid w:val="78A43B6E"/>
    <w:rsid w:val="78F52CBF"/>
    <w:rsid w:val="790C526F"/>
    <w:rsid w:val="79323295"/>
    <w:rsid w:val="79A4194C"/>
    <w:rsid w:val="79B57A59"/>
    <w:rsid w:val="79C1605A"/>
    <w:rsid w:val="79E82D6D"/>
    <w:rsid w:val="7AC8166A"/>
    <w:rsid w:val="7BEE19FB"/>
    <w:rsid w:val="7C675A8A"/>
    <w:rsid w:val="7DFE2A11"/>
    <w:rsid w:val="7E1626EC"/>
    <w:rsid w:val="7E401D36"/>
    <w:rsid w:val="7E745D91"/>
    <w:rsid w:val="7FA30822"/>
    <w:rsid w:val="7FE74340"/>
    <w:rsid w:val="7FED67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qFormat="1"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3"/>
    <w:basedOn w:val="1"/>
    <w:next w:val="1"/>
    <w:qFormat/>
    <w:uiPriority w:val="0"/>
    <w:pPr>
      <w:keepNext/>
      <w:keepLines/>
      <w:spacing w:before="260" w:after="260" w:line="413" w:lineRule="auto"/>
      <w:outlineLvl w:val="2"/>
    </w:pPr>
    <w:rPr>
      <w:b/>
      <w:kern w:val="0"/>
      <w:sz w:val="32"/>
      <w:szCs w:val="20"/>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3">
    <w:name w:val="Body Text Indent"/>
    <w:basedOn w:val="1"/>
    <w:qFormat/>
    <w:uiPriority w:val="0"/>
    <w:pPr>
      <w:tabs>
        <w:tab w:val="left" w:pos="0"/>
        <w:tab w:val="left" w:pos="993"/>
        <w:tab w:val="left" w:pos="1134"/>
      </w:tabs>
      <w:spacing w:line="500" w:lineRule="exact"/>
      <w:ind w:firstLine="567"/>
    </w:pPr>
    <w:rPr>
      <w:rFonts w:ascii="宋体"/>
      <w:sz w:val="28"/>
    </w:rPr>
  </w:style>
  <w:style w:type="paragraph" w:styleId="4">
    <w:name w:val="Plain Text"/>
    <w:basedOn w:val="1"/>
    <w:qFormat/>
    <w:uiPriority w:val="0"/>
    <w:rPr>
      <w:rFonts w:ascii="宋体" w:hAnsi="Courier New" w:cs="Courier New"/>
      <w:szCs w:val="21"/>
    </w:rPr>
  </w:style>
  <w:style w:type="paragraph" w:styleId="5">
    <w:name w:val="Date"/>
    <w:basedOn w:val="1"/>
    <w:next w:val="1"/>
    <w:qFormat/>
    <w:uiPriority w:val="0"/>
    <w:rPr>
      <w:rFonts w:eastAsia="仿宋_GB2312"/>
      <w:sz w:val="30"/>
    </w:rPr>
  </w:style>
  <w:style w:type="paragraph" w:styleId="6">
    <w:name w:val="footer"/>
    <w:basedOn w:val="1"/>
    <w:qFormat/>
    <w:uiPriority w:val="99"/>
    <w:pPr>
      <w:tabs>
        <w:tab w:val="center" w:pos="4153"/>
        <w:tab w:val="right" w:pos="8306"/>
      </w:tabs>
      <w:snapToGrid w:val="0"/>
      <w:jc w:val="left"/>
    </w:pPr>
    <w:rPr>
      <w:sz w:val="18"/>
      <w:szCs w:val="18"/>
    </w:rPr>
  </w:style>
  <w:style w:type="paragraph" w:styleId="7">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8">
    <w:name w:val="Body Text Indent 3"/>
    <w:basedOn w:val="1"/>
    <w:qFormat/>
    <w:uiPriority w:val="0"/>
    <w:pPr>
      <w:spacing w:after="120"/>
      <w:ind w:left="420" w:leftChars="200"/>
    </w:pPr>
    <w:rPr>
      <w:sz w:val="16"/>
      <w:szCs w:val="16"/>
    </w:rPr>
  </w:style>
  <w:style w:type="paragraph" w:styleId="9">
    <w:name w:val="Title"/>
    <w:basedOn w:val="1"/>
    <w:qFormat/>
    <w:uiPriority w:val="0"/>
    <w:pPr>
      <w:adjustRightInd w:val="0"/>
      <w:spacing w:before="240" w:after="60" w:line="420" w:lineRule="atLeast"/>
      <w:jc w:val="center"/>
      <w:textAlignment w:val="baseline"/>
      <w:outlineLvl w:val="0"/>
    </w:pPr>
    <w:rPr>
      <w:rFonts w:ascii="Arial" w:hAnsi="Arial"/>
      <w:b/>
      <w:kern w:val="0"/>
      <w:sz w:val="32"/>
      <w:szCs w:val="20"/>
    </w:rPr>
  </w:style>
  <w:style w:type="paragraph" w:styleId="12">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13</Pages>
  <Words>5490</Words>
  <Characters>5779</Characters>
  <Lines>48</Lines>
  <Paragraphs>13</Paragraphs>
  <TotalTime>1</TotalTime>
  <ScaleCrop>false</ScaleCrop>
  <LinksUpToDate>false</LinksUpToDate>
  <CharactersWithSpaces>6494</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2022-02-16T07:55:00Z</dcterms:created>
  <dc:creator>WPS_1644976467</dc:creator>
  <cp:lastModifiedBy>焱焱ROVE</cp:lastModifiedBy>
  <cp:lastPrinted>2022-12-10T06:58:00Z</cp:lastPrinted>
  <dcterms:modified xsi:type="dcterms:W3CDTF">2023-06-06T00:57:44Z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37B73E9F7F824BABA7EF88A5EF754450_13</vt:lpwstr>
  </property>
  <property fmtid="{D5CDD505-2E9C-101B-9397-08002B2CF9AE}" pid="4" name="commondata">
    <vt:lpwstr>eyJoZGlkIjoiNmEwMjBjYmU4OWU1ZTQwMzk0NmY4ZTk3NGUwMTJjMjIifQ==</vt:lpwstr>
  </property>
</Properties>
</file>