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92F8EF">
      <w:pPr>
        <w:adjustRightInd w:val="0"/>
        <w:snapToGrid w:val="0"/>
        <w:spacing w:line="360" w:lineRule="auto"/>
        <w:jc w:val="center"/>
        <w:rPr>
          <w:rFonts w:asciiTheme="minorEastAsia" w:hAnsiTheme="minorEastAsia" w:eastAsiaTheme="minorEastAsia"/>
          <w:b/>
          <w:color w:val="auto"/>
          <w:spacing w:val="28"/>
          <w:sz w:val="32"/>
          <w:szCs w:val="32"/>
          <w:highlight w:val="none"/>
        </w:rPr>
      </w:pPr>
      <w:r>
        <w:rPr>
          <w:rFonts w:hint="eastAsia" w:asciiTheme="minorEastAsia" w:hAnsiTheme="minorEastAsia" w:eastAsiaTheme="minorEastAsia"/>
          <w:b/>
          <w:color w:val="auto"/>
          <w:spacing w:val="28"/>
          <w:sz w:val="32"/>
          <w:szCs w:val="32"/>
          <w:highlight w:val="none"/>
        </w:rPr>
        <w:t xml:space="preserve">                       </w:t>
      </w:r>
    </w:p>
    <w:p w14:paraId="3283FA9B">
      <w:pPr>
        <w:adjustRightInd w:val="0"/>
        <w:snapToGrid w:val="0"/>
        <w:spacing w:line="360" w:lineRule="auto"/>
        <w:jc w:val="center"/>
        <w:rPr>
          <w:rFonts w:ascii="宋体" w:hAnsi="宋体" w:cs="宋体"/>
          <w:b/>
          <w:color w:val="auto"/>
          <w:spacing w:val="28"/>
          <w:sz w:val="52"/>
          <w:szCs w:val="48"/>
          <w:highlight w:val="none"/>
        </w:rPr>
      </w:pPr>
      <w:r>
        <w:rPr>
          <w:rFonts w:hint="eastAsia" w:ascii="宋体" w:hAnsi="宋体" w:cs="宋体"/>
          <w:b/>
          <w:color w:val="auto"/>
          <w:spacing w:val="28"/>
          <w:sz w:val="52"/>
          <w:szCs w:val="48"/>
          <w:highlight w:val="none"/>
        </w:rPr>
        <w:t>江苏长江水务股份有限公司</w:t>
      </w:r>
    </w:p>
    <w:p w14:paraId="10D97920">
      <w:pPr>
        <w:adjustRightInd w:val="0"/>
        <w:snapToGrid w:val="0"/>
        <w:spacing w:line="360" w:lineRule="auto"/>
        <w:jc w:val="center"/>
        <w:rPr>
          <w:rFonts w:ascii="宋体" w:hAnsi="宋体" w:cs="宋体"/>
          <w:b/>
          <w:color w:val="auto"/>
          <w:sz w:val="52"/>
          <w:szCs w:val="52"/>
          <w:highlight w:val="none"/>
        </w:rPr>
      </w:pPr>
      <w:r>
        <w:rPr>
          <w:rFonts w:hint="eastAsia" w:ascii="宋体" w:hAnsi="宋体" w:cs="宋体"/>
          <w:b/>
          <w:color w:val="auto"/>
          <w:sz w:val="52"/>
          <w:szCs w:val="52"/>
          <w:highlight w:val="none"/>
        </w:rPr>
        <w:t>营业抄收管理系统升级</w:t>
      </w:r>
    </w:p>
    <w:p w14:paraId="5A9A4D47">
      <w:pPr>
        <w:adjustRightInd w:val="0"/>
        <w:snapToGrid w:val="0"/>
        <w:spacing w:line="360" w:lineRule="auto"/>
        <w:jc w:val="center"/>
        <w:rPr>
          <w:rFonts w:ascii="宋体" w:hAnsi="宋体" w:cs="宋体"/>
          <w:b/>
          <w:bCs/>
          <w:color w:val="auto"/>
          <w:sz w:val="52"/>
          <w:szCs w:val="52"/>
          <w:highlight w:val="none"/>
        </w:rPr>
      </w:pPr>
    </w:p>
    <w:p w14:paraId="3E912D83">
      <w:pPr>
        <w:adjustRightInd w:val="0"/>
        <w:snapToGrid w:val="0"/>
        <w:spacing w:line="360" w:lineRule="auto"/>
        <w:jc w:val="center"/>
        <w:rPr>
          <w:rFonts w:ascii="宋体" w:hAnsi="宋体" w:cs="宋体"/>
          <w:b/>
          <w:snapToGrid w:val="0"/>
          <w:color w:val="auto"/>
          <w:sz w:val="52"/>
          <w:szCs w:val="52"/>
          <w:highlight w:val="none"/>
        </w:rPr>
      </w:pPr>
      <w:r>
        <w:rPr>
          <w:rFonts w:hint="eastAsia" w:ascii="宋体" w:hAnsi="宋体" w:cs="宋体"/>
          <w:b/>
          <w:color w:val="auto"/>
          <w:spacing w:val="28"/>
          <w:sz w:val="52"/>
          <w:szCs w:val="48"/>
          <w:highlight w:val="none"/>
        </w:rPr>
        <w:t>招标文件</w:t>
      </w:r>
    </w:p>
    <w:p w14:paraId="5763CA98">
      <w:pPr>
        <w:adjustRightInd w:val="0"/>
        <w:snapToGrid w:val="0"/>
        <w:spacing w:line="360" w:lineRule="auto"/>
        <w:ind w:firstLine="1446" w:firstLineChars="200"/>
        <w:jc w:val="center"/>
        <w:rPr>
          <w:rFonts w:ascii="宋体" w:hAnsi="宋体" w:cs="宋体"/>
          <w:b/>
          <w:snapToGrid w:val="0"/>
          <w:color w:val="auto"/>
          <w:sz w:val="72"/>
          <w:highlight w:val="none"/>
        </w:rPr>
      </w:pPr>
    </w:p>
    <w:p w14:paraId="7AC11B74">
      <w:pPr>
        <w:adjustRightInd w:val="0"/>
        <w:snapToGrid w:val="0"/>
        <w:spacing w:line="360" w:lineRule="auto"/>
        <w:ind w:firstLine="1446" w:firstLineChars="200"/>
        <w:jc w:val="center"/>
        <w:rPr>
          <w:rFonts w:ascii="宋体" w:hAnsi="宋体" w:cs="宋体"/>
          <w:b/>
          <w:snapToGrid w:val="0"/>
          <w:color w:val="auto"/>
          <w:sz w:val="72"/>
          <w:highlight w:val="none"/>
        </w:rPr>
      </w:pPr>
    </w:p>
    <w:p w14:paraId="4E2298A4">
      <w:pPr>
        <w:adjustRightInd w:val="0"/>
        <w:snapToGrid w:val="0"/>
        <w:spacing w:line="360" w:lineRule="auto"/>
        <w:ind w:firstLine="1446" w:firstLineChars="200"/>
        <w:jc w:val="center"/>
        <w:rPr>
          <w:rFonts w:ascii="宋体" w:hAnsi="宋体" w:cs="宋体"/>
          <w:b/>
          <w:snapToGrid w:val="0"/>
          <w:color w:val="auto"/>
          <w:sz w:val="72"/>
          <w:highlight w:val="none"/>
        </w:rPr>
      </w:pPr>
    </w:p>
    <w:p w14:paraId="4B1E36E9">
      <w:pPr>
        <w:adjustRightInd w:val="0"/>
        <w:snapToGrid w:val="0"/>
        <w:spacing w:line="360" w:lineRule="auto"/>
        <w:rPr>
          <w:rFonts w:ascii="宋体" w:hAnsi="宋体" w:cs="宋体"/>
          <w:b/>
          <w:snapToGrid w:val="0"/>
          <w:color w:val="auto"/>
          <w:sz w:val="72"/>
          <w:highlight w:val="none"/>
        </w:rPr>
      </w:pPr>
    </w:p>
    <w:p w14:paraId="563DAAB6">
      <w:pPr>
        <w:adjustRightInd w:val="0"/>
        <w:snapToGrid w:val="0"/>
        <w:spacing w:line="360" w:lineRule="auto"/>
        <w:jc w:val="center"/>
        <w:rPr>
          <w:rFonts w:ascii="宋体" w:hAnsi="宋体" w:cs="宋体"/>
          <w:b/>
          <w:color w:val="auto"/>
          <w:spacing w:val="28"/>
          <w:sz w:val="30"/>
          <w:szCs w:val="30"/>
          <w:highlight w:val="none"/>
        </w:rPr>
      </w:pPr>
      <w:r>
        <w:rPr>
          <w:rFonts w:hint="eastAsia" w:ascii="宋体" w:hAnsi="宋体" w:cs="宋体"/>
          <w:b/>
          <w:bCs/>
          <w:snapToGrid w:val="0"/>
          <w:color w:val="auto"/>
          <w:sz w:val="30"/>
          <w:highlight w:val="none"/>
        </w:rPr>
        <w:t xml:space="preserve">  招   标   人：</w:t>
      </w:r>
      <w:r>
        <w:rPr>
          <w:rFonts w:hint="eastAsia" w:ascii="宋体" w:hAnsi="宋体" w:cs="宋体"/>
          <w:b/>
          <w:color w:val="auto"/>
          <w:spacing w:val="28"/>
          <w:sz w:val="30"/>
          <w:szCs w:val="30"/>
          <w:highlight w:val="none"/>
        </w:rPr>
        <w:t>江苏长江水务股份有限公司</w:t>
      </w:r>
    </w:p>
    <w:p w14:paraId="2CBE87E9">
      <w:pPr>
        <w:adjustRightInd w:val="0"/>
        <w:snapToGrid w:val="0"/>
        <w:spacing w:line="480" w:lineRule="auto"/>
        <w:ind w:firstLine="1795" w:firstLineChars="596"/>
        <w:rPr>
          <w:rFonts w:ascii="宋体" w:hAnsi="宋体" w:cs="宋体"/>
          <w:b/>
          <w:bCs/>
          <w:snapToGrid w:val="0"/>
          <w:color w:val="auto"/>
          <w:sz w:val="30"/>
          <w:highlight w:val="none"/>
        </w:rPr>
      </w:pPr>
      <w:r>
        <w:rPr>
          <w:rFonts w:hint="eastAsia" w:ascii="宋体" w:hAnsi="宋体" w:cs="宋体"/>
          <w:b/>
          <w:bCs/>
          <w:snapToGrid w:val="0"/>
          <w:color w:val="auto"/>
          <w:sz w:val="30"/>
          <w:highlight w:val="none"/>
        </w:rPr>
        <w:t xml:space="preserve">发  放 日 期： </w:t>
      </w:r>
      <w:r>
        <w:rPr>
          <w:rFonts w:hint="eastAsia" w:ascii="宋体" w:hAnsi="宋体" w:cs="宋体"/>
          <w:b/>
          <w:bCs/>
          <w:snapToGrid w:val="0"/>
          <w:color w:val="auto"/>
          <w:sz w:val="30"/>
          <w:highlight w:val="none"/>
          <w:u w:val="single"/>
        </w:rPr>
        <w:t xml:space="preserve"> 2024</w:t>
      </w:r>
      <w:r>
        <w:rPr>
          <w:rFonts w:hint="eastAsia" w:ascii="宋体" w:hAnsi="宋体" w:cs="宋体"/>
          <w:b/>
          <w:bCs/>
          <w:snapToGrid w:val="0"/>
          <w:color w:val="auto"/>
          <w:sz w:val="30"/>
          <w:highlight w:val="none"/>
        </w:rPr>
        <w:t>年</w:t>
      </w:r>
      <w:r>
        <w:rPr>
          <w:rFonts w:hint="eastAsia" w:ascii="宋体" w:hAnsi="宋体" w:cs="宋体"/>
          <w:b/>
          <w:bCs/>
          <w:snapToGrid w:val="0"/>
          <w:color w:val="auto"/>
          <w:sz w:val="30"/>
          <w:highlight w:val="none"/>
          <w:u w:val="single"/>
        </w:rPr>
        <w:t xml:space="preserve">  1</w:t>
      </w:r>
      <w:r>
        <w:rPr>
          <w:rFonts w:hint="eastAsia" w:ascii="宋体" w:hAnsi="宋体" w:cs="宋体"/>
          <w:b/>
          <w:bCs/>
          <w:snapToGrid w:val="0"/>
          <w:color w:val="auto"/>
          <w:sz w:val="30"/>
          <w:highlight w:val="none"/>
          <w:u w:val="single"/>
          <w:lang w:val="en-US" w:eastAsia="zh-CN"/>
        </w:rPr>
        <w:t>1</w:t>
      </w:r>
      <w:r>
        <w:rPr>
          <w:rFonts w:hint="eastAsia" w:ascii="宋体" w:hAnsi="宋体" w:cs="宋体"/>
          <w:b/>
          <w:bCs/>
          <w:snapToGrid w:val="0"/>
          <w:color w:val="auto"/>
          <w:sz w:val="30"/>
          <w:highlight w:val="none"/>
        </w:rPr>
        <w:t>月</w:t>
      </w:r>
      <w:r>
        <w:rPr>
          <w:rFonts w:hint="eastAsia" w:ascii="宋体" w:hAnsi="宋体" w:cs="宋体"/>
          <w:b/>
          <w:bCs/>
          <w:snapToGrid w:val="0"/>
          <w:color w:val="auto"/>
          <w:sz w:val="30"/>
          <w:highlight w:val="none"/>
          <w:u w:val="single"/>
          <w:lang w:val="en-US" w:eastAsia="zh-CN"/>
        </w:rPr>
        <w:t>5</w:t>
      </w:r>
      <w:r>
        <w:rPr>
          <w:rFonts w:hint="eastAsia" w:ascii="宋体" w:hAnsi="宋体" w:cs="宋体"/>
          <w:b/>
          <w:bCs/>
          <w:snapToGrid w:val="0"/>
          <w:color w:val="auto"/>
          <w:sz w:val="30"/>
          <w:highlight w:val="none"/>
        </w:rPr>
        <w:t>日</w:t>
      </w:r>
    </w:p>
    <w:p w14:paraId="24081233">
      <w:pPr>
        <w:adjustRightInd w:val="0"/>
        <w:snapToGrid w:val="0"/>
        <w:spacing w:line="480" w:lineRule="auto"/>
        <w:ind w:firstLine="1193" w:firstLineChars="396"/>
        <w:rPr>
          <w:rFonts w:ascii="仿宋_GB2312" w:hAnsi="宋体" w:eastAsia="仿宋_GB2312"/>
          <w:b/>
          <w:bCs/>
          <w:snapToGrid w:val="0"/>
          <w:color w:val="auto"/>
          <w:sz w:val="30"/>
          <w:highlight w:val="none"/>
        </w:rPr>
      </w:pPr>
    </w:p>
    <w:p w14:paraId="6A084243">
      <w:pPr>
        <w:adjustRightInd w:val="0"/>
        <w:snapToGrid w:val="0"/>
        <w:spacing w:line="480" w:lineRule="auto"/>
        <w:ind w:firstLine="1193" w:firstLineChars="396"/>
        <w:rPr>
          <w:rFonts w:ascii="仿宋_GB2312" w:hAnsi="宋体" w:eastAsia="仿宋_GB2312"/>
          <w:b/>
          <w:bCs/>
          <w:snapToGrid w:val="0"/>
          <w:color w:val="auto"/>
          <w:sz w:val="30"/>
          <w:highlight w:val="none"/>
        </w:rPr>
      </w:pPr>
    </w:p>
    <w:p w14:paraId="29A3AE96">
      <w:pPr>
        <w:adjustRightInd w:val="0"/>
        <w:snapToGrid w:val="0"/>
        <w:spacing w:line="480" w:lineRule="auto"/>
        <w:ind w:firstLine="1193" w:firstLineChars="396"/>
        <w:rPr>
          <w:rFonts w:ascii="仿宋_GB2312" w:hAnsi="宋体" w:eastAsia="仿宋_GB2312"/>
          <w:b/>
          <w:bCs/>
          <w:snapToGrid w:val="0"/>
          <w:color w:val="auto"/>
          <w:sz w:val="30"/>
          <w:highlight w:val="none"/>
        </w:rPr>
      </w:pPr>
    </w:p>
    <w:p w14:paraId="255CF6B7">
      <w:pPr>
        <w:adjustRightInd w:val="0"/>
        <w:snapToGrid w:val="0"/>
        <w:spacing w:line="480" w:lineRule="auto"/>
        <w:ind w:firstLine="1188" w:firstLineChars="396"/>
        <w:rPr>
          <w:rFonts w:eastAsia="仿宋_GB2312"/>
          <w:color w:val="auto"/>
          <w:sz w:val="30"/>
          <w:highlight w:val="none"/>
          <w:u w:val="single"/>
        </w:rPr>
      </w:pPr>
    </w:p>
    <w:p w14:paraId="33C3452F">
      <w:pPr>
        <w:spacing w:line="360" w:lineRule="auto"/>
        <w:jc w:val="center"/>
        <w:outlineLvl w:val="0"/>
        <w:rPr>
          <w:rFonts w:ascii="宋体" w:hAnsi="宋体"/>
          <w:b/>
          <w:color w:val="auto"/>
          <w:sz w:val="36"/>
          <w:szCs w:val="36"/>
          <w:highlight w:val="none"/>
        </w:rPr>
      </w:pPr>
      <w:r>
        <w:rPr>
          <w:rFonts w:hint="eastAsia" w:ascii="宋体" w:hAnsi="宋体"/>
          <w:b/>
          <w:color w:val="auto"/>
          <w:sz w:val="36"/>
          <w:szCs w:val="36"/>
          <w:highlight w:val="none"/>
        </w:rPr>
        <w:t>前  附  表</w:t>
      </w:r>
    </w:p>
    <w:tbl>
      <w:tblPr>
        <w:tblStyle w:val="20"/>
        <w:tblW w:w="0" w:type="auto"/>
        <w:tblInd w:w="-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8"/>
        <w:gridCol w:w="2085"/>
        <w:gridCol w:w="6852"/>
      </w:tblGrid>
      <w:tr w14:paraId="4B862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778" w:type="dxa"/>
            <w:tcBorders>
              <w:top w:val="single" w:color="auto" w:sz="4" w:space="0"/>
              <w:left w:val="single" w:color="auto" w:sz="4" w:space="0"/>
              <w:bottom w:val="single" w:color="auto" w:sz="4" w:space="0"/>
              <w:right w:val="single" w:color="auto" w:sz="4" w:space="0"/>
            </w:tcBorders>
            <w:vAlign w:val="center"/>
          </w:tcPr>
          <w:p w14:paraId="7EE64455">
            <w:pPr>
              <w:spacing w:line="360" w:lineRule="auto"/>
              <w:jc w:val="center"/>
              <w:rPr>
                <w:rFonts w:ascii="宋体" w:hAnsi="宋体"/>
                <w:color w:val="auto"/>
                <w:szCs w:val="21"/>
                <w:highlight w:val="none"/>
              </w:rPr>
            </w:pPr>
            <w:r>
              <w:rPr>
                <w:rFonts w:hint="eastAsia" w:ascii="宋体" w:hAnsi="宋体"/>
                <w:color w:val="auto"/>
                <w:szCs w:val="21"/>
                <w:highlight w:val="none"/>
              </w:rPr>
              <w:t>序号</w:t>
            </w:r>
          </w:p>
        </w:tc>
        <w:tc>
          <w:tcPr>
            <w:tcW w:w="2085" w:type="dxa"/>
            <w:tcBorders>
              <w:top w:val="single" w:color="auto" w:sz="4" w:space="0"/>
              <w:left w:val="single" w:color="auto" w:sz="4" w:space="0"/>
              <w:bottom w:val="single" w:color="auto" w:sz="4" w:space="0"/>
              <w:right w:val="single" w:color="auto" w:sz="4" w:space="0"/>
            </w:tcBorders>
            <w:vAlign w:val="center"/>
          </w:tcPr>
          <w:p w14:paraId="00FDFB09">
            <w:pPr>
              <w:spacing w:line="360" w:lineRule="auto"/>
              <w:jc w:val="center"/>
              <w:rPr>
                <w:rFonts w:ascii="宋体" w:hAnsi="宋体"/>
                <w:color w:val="auto"/>
                <w:szCs w:val="21"/>
                <w:highlight w:val="none"/>
              </w:rPr>
            </w:pPr>
            <w:r>
              <w:rPr>
                <w:rFonts w:hint="eastAsia" w:ascii="宋体" w:hAnsi="宋体"/>
                <w:color w:val="auto"/>
                <w:szCs w:val="21"/>
                <w:highlight w:val="none"/>
              </w:rPr>
              <w:t>项    目</w:t>
            </w:r>
          </w:p>
        </w:tc>
        <w:tc>
          <w:tcPr>
            <w:tcW w:w="6852" w:type="dxa"/>
            <w:tcBorders>
              <w:top w:val="single" w:color="auto" w:sz="4" w:space="0"/>
              <w:left w:val="single" w:color="auto" w:sz="4" w:space="0"/>
              <w:bottom w:val="single" w:color="auto" w:sz="4" w:space="0"/>
              <w:right w:val="single" w:color="auto" w:sz="4" w:space="0"/>
            </w:tcBorders>
            <w:vAlign w:val="center"/>
          </w:tcPr>
          <w:p w14:paraId="3C683CFF">
            <w:pPr>
              <w:spacing w:line="360" w:lineRule="auto"/>
              <w:ind w:firstLine="2415" w:firstLineChars="1150"/>
              <w:rPr>
                <w:rFonts w:ascii="宋体" w:hAnsi="宋体"/>
                <w:color w:val="auto"/>
                <w:szCs w:val="21"/>
                <w:highlight w:val="none"/>
              </w:rPr>
            </w:pPr>
            <w:r>
              <w:rPr>
                <w:rFonts w:hint="eastAsia" w:ascii="宋体" w:hAnsi="宋体"/>
                <w:color w:val="auto"/>
                <w:szCs w:val="21"/>
                <w:highlight w:val="none"/>
              </w:rPr>
              <w:t>内    容</w:t>
            </w:r>
          </w:p>
        </w:tc>
      </w:tr>
      <w:tr w14:paraId="4350A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778" w:type="dxa"/>
            <w:tcBorders>
              <w:top w:val="single" w:color="auto" w:sz="4" w:space="0"/>
              <w:left w:val="single" w:color="auto" w:sz="4" w:space="0"/>
              <w:bottom w:val="single" w:color="auto" w:sz="4" w:space="0"/>
              <w:right w:val="single" w:color="auto" w:sz="4" w:space="0"/>
            </w:tcBorders>
            <w:vAlign w:val="center"/>
          </w:tcPr>
          <w:p w14:paraId="7EC5FB71">
            <w:pPr>
              <w:spacing w:line="360" w:lineRule="auto"/>
              <w:jc w:val="center"/>
              <w:rPr>
                <w:rFonts w:ascii="宋体" w:hAnsi="宋体"/>
                <w:color w:val="auto"/>
                <w:szCs w:val="21"/>
                <w:highlight w:val="none"/>
              </w:rPr>
            </w:pPr>
            <w:r>
              <w:rPr>
                <w:rFonts w:hint="eastAsia" w:ascii="宋体" w:hAnsi="宋体"/>
                <w:color w:val="auto"/>
                <w:szCs w:val="21"/>
                <w:highlight w:val="none"/>
              </w:rPr>
              <w:t>1</w:t>
            </w:r>
          </w:p>
        </w:tc>
        <w:tc>
          <w:tcPr>
            <w:tcW w:w="2085" w:type="dxa"/>
            <w:tcBorders>
              <w:top w:val="single" w:color="auto" w:sz="4" w:space="0"/>
              <w:left w:val="single" w:color="auto" w:sz="4" w:space="0"/>
              <w:bottom w:val="single" w:color="auto" w:sz="4" w:space="0"/>
              <w:right w:val="single" w:color="auto" w:sz="4" w:space="0"/>
            </w:tcBorders>
            <w:vAlign w:val="center"/>
          </w:tcPr>
          <w:p w14:paraId="67683B6E">
            <w:pPr>
              <w:spacing w:line="360" w:lineRule="auto"/>
              <w:jc w:val="center"/>
              <w:rPr>
                <w:rFonts w:ascii="宋体" w:hAnsi="宋体"/>
                <w:color w:val="auto"/>
                <w:szCs w:val="21"/>
                <w:highlight w:val="none"/>
              </w:rPr>
            </w:pPr>
            <w:r>
              <w:rPr>
                <w:rFonts w:hint="eastAsia" w:ascii="宋体" w:hAnsi="宋体"/>
                <w:color w:val="auto"/>
                <w:szCs w:val="21"/>
                <w:highlight w:val="none"/>
              </w:rPr>
              <w:t>项目名称</w:t>
            </w:r>
          </w:p>
        </w:tc>
        <w:tc>
          <w:tcPr>
            <w:tcW w:w="6852" w:type="dxa"/>
            <w:tcBorders>
              <w:top w:val="single" w:color="auto" w:sz="4" w:space="0"/>
              <w:left w:val="single" w:color="auto" w:sz="4" w:space="0"/>
              <w:bottom w:val="single" w:color="auto" w:sz="4" w:space="0"/>
              <w:right w:val="single" w:color="auto" w:sz="4" w:space="0"/>
            </w:tcBorders>
            <w:vAlign w:val="center"/>
          </w:tcPr>
          <w:p w14:paraId="3BF136F2">
            <w:pPr>
              <w:spacing w:line="360" w:lineRule="auto"/>
              <w:rPr>
                <w:rFonts w:ascii="宋体" w:hAnsi="宋体"/>
                <w:color w:val="auto"/>
                <w:szCs w:val="21"/>
                <w:highlight w:val="none"/>
              </w:rPr>
            </w:pPr>
            <w:r>
              <w:rPr>
                <w:rFonts w:hint="eastAsia" w:ascii="宋体" w:hAnsi="宋体"/>
                <w:color w:val="auto"/>
                <w:spacing w:val="28"/>
                <w:szCs w:val="21"/>
                <w:highlight w:val="none"/>
              </w:rPr>
              <w:t>江苏长江水务股份有限公司营业抄收管理系统升级</w:t>
            </w:r>
          </w:p>
        </w:tc>
      </w:tr>
      <w:tr w14:paraId="1FB67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778" w:type="dxa"/>
            <w:tcBorders>
              <w:top w:val="single" w:color="auto" w:sz="4" w:space="0"/>
              <w:left w:val="single" w:color="auto" w:sz="4" w:space="0"/>
              <w:bottom w:val="single" w:color="auto" w:sz="4" w:space="0"/>
              <w:right w:val="single" w:color="auto" w:sz="4" w:space="0"/>
            </w:tcBorders>
            <w:vAlign w:val="center"/>
          </w:tcPr>
          <w:p w14:paraId="37AD3226">
            <w:pPr>
              <w:spacing w:line="360" w:lineRule="auto"/>
              <w:jc w:val="center"/>
              <w:rPr>
                <w:rFonts w:ascii="宋体" w:hAnsi="宋体"/>
                <w:color w:val="auto"/>
                <w:szCs w:val="21"/>
                <w:highlight w:val="none"/>
              </w:rPr>
            </w:pPr>
            <w:r>
              <w:rPr>
                <w:rFonts w:hint="eastAsia" w:ascii="宋体" w:hAnsi="宋体"/>
                <w:color w:val="auto"/>
                <w:szCs w:val="21"/>
                <w:highlight w:val="none"/>
              </w:rPr>
              <w:t>2</w:t>
            </w:r>
          </w:p>
        </w:tc>
        <w:tc>
          <w:tcPr>
            <w:tcW w:w="2085" w:type="dxa"/>
            <w:tcBorders>
              <w:top w:val="single" w:color="auto" w:sz="4" w:space="0"/>
              <w:left w:val="single" w:color="auto" w:sz="4" w:space="0"/>
              <w:bottom w:val="single" w:color="auto" w:sz="4" w:space="0"/>
              <w:right w:val="single" w:color="auto" w:sz="4" w:space="0"/>
            </w:tcBorders>
            <w:vAlign w:val="center"/>
          </w:tcPr>
          <w:p w14:paraId="1A4E6F8A">
            <w:pPr>
              <w:spacing w:line="360" w:lineRule="auto"/>
              <w:jc w:val="center"/>
              <w:rPr>
                <w:rFonts w:ascii="宋体" w:hAnsi="宋体"/>
                <w:color w:val="auto"/>
                <w:szCs w:val="21"/>
                <w:highlight w:val="none"/>
              </w:rPr>
            </w:pPr>
            <w:r>
              <w:rPr>
                <w:rFonts w:hint="eastAsia" w:ascii="宋体" w:hAnsi="宋体"/>
                <w:color w:val="auto"/>
                <w:szCs w:val="21"/>
                <w:highlight w:val="none"/>
              </w:rPr>
              <w:t>招标方式</w:t>
            </w:r>
          </w:p>
        </w:tc>
        <w:tc>
          <w:tcPr>
            <w:tcW w:w="6852" w:type="dxa"/>
            <w:tcBorders>
              <w:top w:val="single" w:color="auto" w:sz="4" w:space="0"/>
              <w:left w:val="single" w:color="auto" w:sz="4" w:space="0"/>
              <w:bottom w:val="single" w:color="auto" w:sz="4" w:space="0"/>
              <w:right w:val="single" w:color="auto" w:sz="4" w:space="0"/>
            </w:tcBorders>
            <w:vAlign w:val="center"/>
          </w:tcPr>
          <w:p w14:paraId="5F13BDFC">
            <w:pPr>
              <w:spacing w:line="360" w:lineRule="auto"/>
              <w:rPr>
                <w:rFonts w:ascii="宋体" w:hAnsi="宋体"/>
                <w:color w:val="auto"/>
                <w:szCs w:val="21"/>
                <w:highlight w:val="none"/>
              </w:rPr>
            </w:pPr>
            <w:r>
              <w:rPr>
                <w:rFonts w:hint="eastAsia" w:ascii="宋体" w:hAnsi="宋体"/>
                <w:color w:val="auto"/>
                <w:szCs w:val="21"/>
                <w:highlight w:val="none"/>
              </w:rPr>
              <w:t>公开招标</w:t>
            </w:r>
          </w:p>
        </w:tc>
      </w:tr>
      <w:tr w14:paraId="3D38C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778" w:type="dxa"/>
            <w:tcBorders>
              <w:top w:val="single" w:color="auto" w:sz="4" w:space="0"/>
              <w:left w:val="single" w:color="auto" w:sz="4" w:space="0"/>
              <w:bottom w:val="single" w:color="auto" w:sz="4" w:space="0"/>
              <w:right w:val="single" w:color="auto" w:sz="4" w:space="0"/>
            </w:tcBorders>
            <w:vAlign w:val="center"/>
          </w:tcPr>
          <w:p w14:paraId="4D51E392">
            <w:pPr>
              <w:spacing w:line="360" w:lineRule="auto"/>
              <w:jc w:val="center"/>
              <w:rPr>
                <w:rFonts w:ascii="宋体" w:hAnsi="宋体"/>
                <w:color w:val="auto"/>
                <w:szCs w:val="21"/>
                <w:highlight w:val="none"/>
              </w:rPr>
            </w:pPr>
            <w:r>
              <w:rPr>
                <w:rFonts w:hint="eastAsia" w:ascii="宋体" w:hAnsi="宋体"/>
                <w:color w:val="auto"/>
                <w:szCs w:val="21"/>
                <w:highlight w:val="none"/>
              </w:rPr>
              <w:t>3</w:t>
            </w:r>
          </w:p>
        </w:tc>
        <w:tc>
          <w:tcPr>
            <w:tcW w:w="2085" w:type="dxa"/>
            <w:tcBorders>
              <w:top w:val="single" w:color="auto" w:sz="4" w:space="0"/>
              <w:left w:val="single" w:color="auto" w:sz="4" w:space="0"/>
              <w:bottom w:val="single" w:color="auto" w:sz="4" w:space="0"/>
              <w:right w:val="single" w:color="auto" w:sz="4" w:space="0"/>
            </w:tcBorders>
            <w:vAlign w:val="center"/>
          </w:tcPr>
          <w:p w14:paraId="2C9027D8">
            <w:pPr>
              <w:spacing w:line="360" w:lineRule="auto"/>
              <w:jc w:val="center"/>
              <w:rPr>
                <w:rFonts w:ascii="宋体" w:hAnsi="宋体"/>
                <w:color w:val="auto"/>
                <w:szCs w:val="21"/>
                <w:highlight w:val="none"/>
              </w:rPr>
            </w:pPr>
            <w:r>
              <w:rPr>
                <w:rFonts w:hint="eastAsia" w:ascii="宋体" w:hAnsi="宋体"/>
                <w:color w:val="auto"/>
                <w:szCs w:val="21"/>
                <w:highlight w:val="none"/>
              </w:rPr>
              <w:t>招标内容</w:t>
            </w:r>
          </w:p>
        </w:tc>
        <w:tc>
          <w:tcPr>
            <w:tcW w:w="6852" w:type="dxa"/>
            <w:tcBorders>
              <w:top w:val="single" w:color="auto" w:sz="4" w:space="0"/>
              <w:left w:val="single" w:color="auto" w:sz="4" w:space="0"/>
              <w:bottom w:val="single" w:color="auto" w:sz="4" w:space="0"/>
              <w:right w:val="single" w:color="auto" w:sz="4" w:space="0"/>
            </w:tcBorders>
            <w:vAlign w:val="center"/>
          </w:tcPr>
          <w:p w14:paraId="5B1B4D35">
            <w:pPr>
              <w:spacing w:line="360" w:lineRule="auto"/>
              <w:rPr>
                <w:rFonts w:ascii="宋体" w:hAnsi="宋体"/>
                <w:color w:val="auto"/>
                <w:szCs w:val="21"/>
                <w:highlight w:val="none"/>
              </w:rPr>
            </w:pPr>
            <w:r>
              <w:rPr>
                <w:rFonts w:hint="eastAsia" w:ascii="宋体" w:hAnsi="宋体"/>
                <w:color w:val="auto"/>
                <w:szCs w:val="21"/>
                <w:highlight w:val="none"/>
              </w:rPr>
              <w:t>见附件</w:t>
            </w:r>
          </w:p>
        </w:tc>
      </w:tr>
      <w:tr w14:paraId="37AC8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778" w:type="dxa"/>
            <w:tcBorders>
              <w:top w:val="single" w:color="auto" w:sz="4" w:space="0"/>
              <w:left w:val="single" w:color="auto" w:sz="4" w:space="0"/>
              <w:bottom w:val="single" w:color="auto" w:sz="4" w:space="0"/>
              <w:right w:val="single" w:color="auto" w:sz="4" w:space="0"/>
            </w:tcBorders>
            <w:vAlign w:val="center"/>
          </w:tcPr>
          <w:p w14:paraId="2EDAAC84">
            <w:pPr>
              <w:spacing w:line="360" w:lineRule="auto"/>
              <w:jc w:val="center"/>
              <w:rPr>
                <w:rFonts w:ascii="宋体" w:hAnsi="宋体"/>
                <w:color w:val="auto"/>
                <w:szCs w:val="21"/>
                <w:highlight w:val="none"/>
              </w:rPr>
            </w:pPr>
            <w:r>
              <w:rPr>
                <w:rFonts w:hint="eastAsia" w:ascii="宋体" w:hAnsi="宋体"/>
                <w:color w:val="auto"/>
                <w:szCs w:val="21"/>
                <w:highlight w:val="none"/>
              </w:rPr>
              <w:t>4</w:t>
            </w:r>
          </w:p>
        </w:tc>
        <w:tc>
          <w:tcPr>
            <w:tcW w:w="2085" w:type="dxa"/>
            <w:tcBorders>
              <w:top w:val="single" w:color="auto" w:sz="4" w:space="0"/>
              <w:left w:val="single" w:color="auto" w:sz="4" w:space="0"/>
              <w:bottom w:val="single" w:color="auto" w:sz="4" w:space="0"/>
              <w:right w:val="single" w:color="auto" w:sz="4" w:space="0"/>
            </w:tcBorders>
            <w:vAlign w:val="center"/>
          </w:tcPr>
          <w:p w14:paraId="3F66BB05">
            <w:pPr>
              <w:spacing w:line="360" w:lineRule="auto"/>
              <w:jc w:val="center"/>
              <w:rPr>
                <w:rFonts w:ascii="宋体" w:hAnsi="宋体"/>
                <w:color w:val="auto"/>
                <w:szCs w:val="21"/>
                <w:highlight w:val="none"/>
              </w:rPr>
            </w:pPr>
            <w:r>
              <w:rPr>
                <w:rFonts w:hint="eastAsia" w:ascii="宋体" w:hAnsi="宋体"/>
                <w:color w:val="auto"/>
                <w:szCs w:val="21"/>
                <w:highlight w:val="none"/>
              </w:rPr>
              <w:t>质保期</w:t>
            </w:r>
          </w:p>
        </w:tc>
        <w:tc>
          <w:tcPr>
            <w:tcW w:w="6852" w:type="dxa"/>
            <w:tcBorders>
              <w:top w:val="single" w:color="auto" w:sz="4" w:space="0"/>
              <w:left w:val="single" w:color="auto" w:sz="4" w:space="0"/>
              <w:bottom w:val="single" w:color="auto" w:sz="4" w:space="0"/>
              <w:right w:val="single" w:color="auto" w:sz="4" w:space="0"/>
            </w:tcBorders>
            <w:vAlign w:val="center"/>
          </w:tcPr>
          <w:p w14:paraId="3DFF3CC9">
            <w:pPr>
              <w:spacing w:line="360" w:lineRule="auto"/>
              <w:rPr>
                <w:rFonts w:ascii="宋体" w:hAnsi="宋体"/>
                <w:color w:val="auto"/>
                <w:szCs w:val="21"/>
                <w:highlight w:val="none"/>
              </w:rPr>
            </w:pPr>
            <w:r>
              <w:rPr>
                <w:rFonts w:hint="eastAsia" w:ascii="Arial" w:hAnsi="宋体"/>
                <w:bCs/>
                <w:iCs/>
                <w:color w:val="auto"/>
                <w:szCs w:val="28"/>
                <w:highlight w:val="none"/>
              </w:rPr>
              <w:t>质保期为完成安装调试并</w:t>
            </w:r>
            <w:r>
              <w:rPr>
                <w:rFonts w:hint="eastAsia" w:ascii="宋体" w:hAnsi="宋体" w:cs="宋体"/>
                <w:bCs/>
                <w:iCs/>
                <w:color w:val="auto"/>
                <w:szCs w:val="28"/>
                <w:highlight w:val="none"/>
              </w:rPr>
              <w:t>试运行三个月</w:t>
            </w:r>
            <w:r>
              <w:rPr>
                <w:rFonts w:hint="eastAsia" w:ascii="Arial" w:hAnsi="宋体"/>
                <w:bCs/>
                <w:iCs/>
                <w:color w:val="auto"/>
                <w:szCs w:val="28"/>
                <w:highlight w:val="none"/>
              </w:rPr>
              <w:t>经甲方组织联合验收</w:t>
            </w:r>
            <w:r>
              <w:rPr>
                <w:rFonts w:hint="eastAsia" w:ascii="宋体" w:hAnsi="宋体" w:cs="宋体"/>
                <w:bCs/>
                <w:iCs/>
                <w:color w:val="auto"/>
                <w:szCs w:val="28"/>
                <w:highlight w:val="none"/>
              </w:rPr>
              <w:t>合格后</w:t>
            </w:r>
            <w:r>
              <w:rPr>
                <w:rFonts w:hint="eastAsia" w:ascii="Arial" w:hAnsi="宋体"/>
                <w:bCs/>
                <w:iCs/>
                <w:color w:val="auto"/>
                <w:szCs w:val="28"/>
                <w:highlight w:val="none"/>
              </w:rPr>
              <w:t>12个月。</w:t>
            </w:r>
          </w:p>
        </w:tc>
      </w:tr>
      <w:tr w14:paraId="0561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778" w:type="dxa"/>
            <w:tcBorders>
              <w:top w:val="single" w:color="auto" w:sz="4" w:space="0"/>
              <w:left w:val="single" w:color="auto" w:sz="4" w:space="0"/>
              <w:bottom w:val="single" w:color="auto" w:sz="4" w:space="0"/>
              <w:right w:val="single" w:color="auto" w:sz="4" w:space="0"/>
            </w:tcBorders>
            <w:vAlign w:val="center"/>
          </w:tcPr>
          <w:p w14:paraId="6D7D082F">
            <w:pPr>
              <w:spacing w:line="360" w:lineRule="auto"/>
              <w:jc w:val="center"/>
              <w:rPr>
                <w:rFonts w:ascii="宋体" w:hAnsi="宋体"/>
                <w:color w:val="auto"/>
                <w:szCs w:val="21"/>
                <w:highlight w:val="none"/>
              </w:rPr>
            </w:pPr>
            <w:r>
              <w:rPr>
                <w:rFonts w:hint="eastAsia" w:ascii="宋体" w:hAnsi="宋体"/>
                <w:color w:val="auto"/>
                <w:szCs w:val="21"/>
                <w:highlight w:val="none"/>
              </w:rPr>
              <w:t>5</w:t>
            </w:r>
          </w:p>
        </w:tc>
        <w:tc>
          <w:tcPr>
            <w:tcW w:w="2085" w:type="dxa"/>
            <w:tcBorders>
              <w:top w:val="single" w:color="auto" w:sz="4" w:space="0"/>
              <w:left w:val="single" w:color="auto" w:sz="4" w:space="0"/>
              <w:bottom w:val="single" w:color="auto" w:sz="4" w:space="0"/>
              <w:right w:val="single" w:color="auto" w:sz="4" w:space="0"/>
            </w:tcBorders>
            <w:vAlign w:val="center"/>
          </w:tcPr>
          <w:p w14:paraId="18A5BDD1">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最高限价</w:t>
            </w:r>
          </w:p>
        </w:tc>
        <w:tc>
          <w:tcPr>
            <w:tcW w:w="6852" w:type="dxa"/>
            <w:tcBorders>
              <w:top w:val="single" w:color="auto" w:sz="4" w:space="0"/>
              <w:left w:val="single" w:color="auto" w:sz="4" w:space="0"/>
              <w:bottom w:val="single" w:color="auto" w:sz="4" w:space="0"/>
              <w:right w:val="single" w:color="auto" w:sz="4" w:space="0"/>
            </w:tcBorders>
            <w:vAlign w:val="center"/>
          </w:tcPr>
          <w:p w14:paraId="28D58966">
            <w:pPr>
              <w:spacing w:line="360" w:lineRule="auto"/>
              <w:rPr>
                <w:color w:val="auto"/>
                <w:highlight w:val="none"/>
              </w:rPr>
            </w:pPr>
            <w:r>
              <w:rPr>
                <w:rFonts w:hint="eastAsia"/>
                <w:color w:val="auto"/>
                <w:highlight w:val="none"/>
                <w:lang w:val="en-US" w:eastAsia="zh-CN"/>
              </w:rPr>
              <w:t>40</w:t>
            </w:r>
            <w:r>
              <w:rPr>
                <w:rFonts w:hint="eastAsia"/>
                <w:color w:val="auto"/>
                <w:highlight w:val="none"/>
              </w:rPr>
              <w:t>万元</w:t>
            </w:r>
          </w:p>
        </w:tc>
      </w:tr>
      <w:tr w14:paraId="7D724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778" w:type="dxa"/>
            <w:tcBorders>
              <w:top w:val="single" w:color="auto" w:sz="4" w:space="0"/>
              <w:left w:val="single" w:color="auto" w:sz="4" w:space="0"/>
              <w:bottom w:val="single" w:color="auto" w:sz="4" w:space="0"/>
              <w:right w:val="single" w:color="auto" w:sz="4" w:space="0"/>
            </w:tcBorders>
            <w:vAlign w:val="center"/>
          </w:tcPr>
          <w:p w14:paraId="06FD4CE9">
            <w:pPr>
              <w:spacing w:line="360" w:lineRule="auto"/>
              <w:jc w:val="center"/>
              <w:rPr>
                <w:rFonts w:ascii="宋体" w:hAnsi="宋体"/>
                <w:color w:val="auto"/>
                <w:szCs w:val="21"/>
                <w:highlight w:val="none"/>
              </w:rPr>
            </w:pPr>
            <w:r>
              <w:rPr>
                <w:rFonts w:hint="eastAsia" w:ascii="宋体" w:hAnsi="宋体"/>
                <w:color w:val="auto"/>
                <w:szCs w:val="21"/>
                <w:highlight w:val="none"/>
              </w:rPr>
              <w:t>6</w:t>
            </w:r>
          </w:p>
        </w:tc>
        <w:tc>
          <w:tcPr>
            <w:tcW w:w="2085" w:type="dxa"/>
            <w:tcBorders>
              <w:top w:val="single" w:color="auto" w:sz="4" w:space="0"/>
              <w:left w:val="single" w:color="auto" w:sz="4" w:space="0"/>
              <w:bottom w:val="single" w:color="auto" w:sz="4" w:space="0"/>
              <w:right w:val="single" w:color="auto" w:sz="4" w:space="0"/>
            </w:tcBorders>
            <w:vAlign w:val="center"/>
          </w:tcPr>
          <w:p w14:paraId="5F5964BE">
            <w:pPr>
              <w:spacing w:line="360" w:lineRule="auto"/>
              <w:jc w:val="center"/>
              <w:rPr>
                <w:rFonts w:ascii="宋体" w:hAnsi="宋体"/>
                <w:color w:val="auto"/>
                <w:szCs w:val="21"/>
                <w:highlight w:val="none"/>
              </w:rPr>
            </w:pPr>
            <w:r>
              <w:rPr>
                <w:rFonts w:hint="eastAsia" w:ascii="宋体" w:hAnsi="宋体"/>
                <w:color w:val="auto"/>
                <w:szCs w:val="21"/>
                <w:highlight w:val="none"/>
              </w:rPr>
              <w:t>交货期/供货期</w:t>
            </w:r>
          </w:p>
        </w:tc>
        <w:tc>
          <w:tcPr>
            <w:tcW w:w="6852" w:type="dxa"/>
            <w:tcBorders>
              <w:top w:val="single" w:color="auto" w:sz="4" w:space="0"/>
              <w:left w:val="single" w:color="auto" w:sz="4" w:space="0"/>
              <w:bottom w:val="single" w:color="auto" w:sz="4" w:space="0"/>
              <w:right w:val="single" w:color="auto" w:sz="4" w:space="0"/>
            </w:tcBorders>
            <w:vAlign w:val="center"/>
          </w:tcPr>
          <w:p w14:paraId="00611403">
            <w:pPr>
              <w:spacing w:line="360" w:lineRule="auto"/>
              <w:rPr>
                <w:rFonts w:ascii="宋体" w:hAnsi="宋体"/>
                <w:b/>
                <w:color w:val="auto"/>
                <w:szCs w:val="21"/>
                <w:highlight w:val="none"/>
              </w:rPr>
            </w:pPr>
            <w:r>
              <w:rPr>
                <w:rFonts w:hint="eastAsia" w:ascii="Arial" w:hAnsi="宋体"/>
                <w:bCs/>
                <w:iCs/>
                <w:color w:val="auto"/>
                <w:szCs w:val="28"/>
                <w:highlight w:val="none"/>
              </w:rPr>
              <w:t>合同签订后60日内完成安装调试并交付使用</w:t>
            </w:r>
          </w:p>
        </w:tc>
      </w:tr>
      <w:tr w14:paraId="4F53F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778" w:type="dxa"/>
            <w:tcBorders>
              <w:top w:val="single" w:color="auto" w:sz="4" w:space="0"/>
              <w:left w:val="single" w:color="auto" w:sz="4" w:space="0"/>
              <w:bottom w:val="single" w:color="auto" w:sz="4" w:space="0"/>
              <w:right w:val="single" w:color="auto" w:sz="4" w:space="0"/>
            </w:tcBorders>
            <w:vAlign w:val="center"/>
          </w:tcPr>
          <w:p w14:paraId="517C685A">
            <w:pPr>
              <w:spacing w:line="360" w:lineRule="auto"/>
              <w:jc w:val="center"/>
              <w:rPr>
                <w:rFonts w:ascii="宋体" w:hAnsi="宋体"/>
                <w:color w:val="auto"/>
                <w:szCs w:val="21"/>
                <w:highlight w:val="none"/>
              </w:rPr>
            </w:pPr>
            <w:r>
              <w:rPr>
                <w:rFonts w:hint="eastAsia" w:ascii="宋体" w:hAnsi="宋体"/>
                <w:color w:val="auto"/>
                <w:szCs w:val="21"/>
                <w:highlight w:val="none"/>
              </w:rPr>
              <w:t>7</w:t>
            </w:r>
          </w:p>
        </w:tc>
        <w:tc>
          <w:tcPr>
            <w:tcW w:w="2085" w:type="dxa"/>
            <w:tcBorders>
              <w:top w:val="single" w:color="auto" w:sz="4" w:space="0"/>
              <w:left w:val="single" w:color="auto" w:sz="4" w:space="0"/>
              <w:bottom w:val="single" w:color="auto" w:sz="4" w:space="0"/>
              <w:right w:val="single" w:color="auto" w:sz="4" w:space="0"/>
            </w:tcBorders>
            <w:vAlign w:val="center"/>
          </w:tcPr>
          <w:p w14:paraId="62A46395">
            <w:pPr>
              <w:spacing w:line="360" w:lineRule="auto"/>
              <w:jc w:val="center"/>
              <w:rPr>
                <w:rFonts w:ascii="宋体" w:hAnsi="宋体"/>
                <w:color w:val="auto"/>
                <w:szCs w:val="21"/>
                <w:highlight w:val="none"/>
              </w:rPr>
            </w:pPr>
            <w:r>
              <w:rPr>
                <w:rFonts w:hint="eastAsia" w:ascii="宋体" w:hAnsi="宋体"/>
                <w:color w:val="auto"/>
                <w:szCs w:val="21"/>
                <w:highlight w:val="none"/>
              </w:rPr>
              <w:t>目的地</w:t>
            </w:r>
          </w:p>
        </w:tc>
        <w:tc>
          <w:tcPr>
            <w:tcW w:w="6852" w:type="dxa"/>
            <w:tcBorders>
              <w:top w:val="single" w:color="auto" w:sz="4" w:space="0"/>
              <w:left w:val="single" w:color="auto" w:sz="4" w:space="0"/>
              <w:bottom w:val="single" w:color="auto" w:sz="4" w:space="0"/>
              <w:right w:val="single" w:color="auto" w:sz="4" w:space="0"/>
            </w:tcBorders>
            <w:vAlign w:val="center"/>
          </w:tcPr>
          <w:p w14:paraId="2A0B4C71">
            <w:pPr>
              <w:spacing w:line="360" w:lineRule="auto"/>
              <w:rPr>
                <w:rFonts w:ascii="宋体" w:hAnsi="宋体"/>
                <w:color w:val="auto"/>
                <w:szCs w:val="21"/>
                <w:highlight w:val="none"/>
              </w:rPr>
            </w:pPr>
            <w:r>
              <w:rPr>
                <w:rFonts w:hint="eastAsia" w:ascii="宋体" w:hAnsi="宋体"/>
                <w:color w:val="auto"/>
                <w:spacing w:val="28"/>
                <w:szCs w:val="21"/>
                <w:highlight w:val="none"/>
              </w:rPr>
              <w:t>江苏长江水务股份有限公司指定地点</w:t>
            </w:r>
          </w:p>
        </w:tc>
      </w:tr>
      <w:tr w14:paraId="56218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778" w:type="dxa"/>
            <w:tcBorders>
              <w:top w:val="single" w:color="auto" w:sz="4" w:space="0"/>
              <w:left w:val="single" w:color="auto" w:sz="4" w:space="0"/>
              <w:bottom w:val="single" w:color="auto" w:sz="4" w:space="0"/>
              <w:right w:val="single" w:color="auto" w:sz="4" w:space="0"/>
            </w:tcBorders>
            <w:vAlign w:val="center"/>
          </w:tcPr>
          <w:p w14:paraId="7F2E093D">
            <w:pPr>
              <w:spacing w:line="360" w:lineRule="auto"/>
              <w:jc w:val="center"/>
              <w:rPr>
                <w:rFonts w:ascii="宋体" w:hAnsi="宋体"/>
                <w:color w:val="auto"/>
                <w:szCs w:val="21"/>
                <w:highlight w:val="none"/>
              </w:rPr>
            </w:pPr>
            <w:r>
              <w:rPr>
                <w:rFonts w:hint="eastAsia" w:ascii="宋体" w:hAnsi="宋体"/>
                <w:color w:val="auto"/>
                <w:szCs w:val="21"/>
                <w:highlight w:val="none"/>
              </w:rPr>
              <w:t>8</w:t>
            </w:r>
          </w:p>
        </w:tc>
        <w:tc>
          <w:tcPr>
            <w:tcW w:w="2085" w:type="dxa"/>
            <w:tcBorders>
              <w:top w:val="single" w:color="auto" w:sz="4" w:space="0"/>
              <w:left w:val="single" w:color="auto" w:sz="4" w:space="0"/>
              <w:bottom w:val="single" w:color="auto" w:sz="4" w:space="0"/>
              <w:right w:val="single" w:color="auto" w:sz="4" w:space="0"/>
            </w:tcBorders>
            <w:vAlign w:val="center"/>
          </w:tcPr>
          <w:p w14:paraId="3DA7C0CC">
            <w:pPr>
              <w:spacing w:line="360" w:lineRule="auto"/>
              <w:jc w:val="center"/>
              <w:rPr>
                <w:rFonts w:ascii="宋体" w:hAnsi="宋体"/>
                <w:color w:val="auto"/>
                <w:szCs w:val="21"/>
                <w:highlight w:val="none"/>
              </w:rPr>
            </w:pPr>
            <w:r>
              <w:rPr>
                <w:rFonts w:hint="eastAsia" w:ascii="宋体" w:hAnsi="宋体"/>
                <w:color w:val="auto"/>
                <w:szCs w:val="21"/>
                <w:highlight w:val="none"/>
              </w:rPr>
              <w:t>投标文件份数</w:t>
            </w:r>
          </w:p>
        </w:tc>
        <w:tc>
          <w:tcPr>
            <w:tcW w:w="6852" w:type="dxa"/>
            <w:tcBorders>
              <w:top w:val="single" w:color="auto" w:sz="4" w:space="0"/>
              <w:left w:val="single" w:color="auto" w:sz="4" w:space="0"/>
              <w:bottom w:val="single" w:color="auto" w:sz="4" w:space="0"/>
              <w:right w:val="single" w:color="auto" w:sz="4" w:space="0"/>
            </w:tcBorders>
            <w:vAlign w:val="center"/>
          </w:tcPr>
          <w:p w14:paraId="0A6078E0">
            <w:pPr>
              <w:spacing w:line="360" w:lineRule="auto"/>
              <w:rPr>
                <w:rFonts w:ascii="宋体" w:hAnsi="宋体"/>
                <w:color w:val="auto"/>
                <w:szCs w:val="21"/>
                <w:highlight w:val="none"/>
              </w:rPr>
            </w:pPr>
            <w:r>
              <w:rPr>
                <w:rFonts w:hint="eastAsia" w:ascii="宋体" w:hAnsi="宋体"/>
                <w:color w:val="auto"/>
                <w:szCs w:val="21"/>
                <w:highlight w:val="none"/>
              </w:rPr>
              <w:t>正本一份，副本四份</w:t>
            </w:r>
          </w:p>
        </w:tc>
      </w:tr>
      <w:tr w14:paraId="2FFBF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778" w:type="dxa"/>
            <w:tcBorders>
              <w:top w:val="single" w:color="auto" w:sz="4" w:space="0"/>
              <w:left w:val="single" w:color="auto" w:sz="4" w:space="0"/>
              <w:bottom w:val="single" w:color="auto" w:sz="4" w:space="0"/>
              <w:right w:val="single" w:color="auto" w:sz="4" w:space="0"/>
            </w:tcBorders>
            <w:vAlign w:val="center"/>
          </w:tcPr>
          <w:p w14:paraId="7811D6B7">
            <w:pPr>
              <w:spacing w:line="360" w:lineRule="auto"/>
              <w:jc w:val="center"/>
              <w:rPr>
                <w:rFonts w:ascii="宋体" w:hAnsi="宋体"/>
                <w:color w:val="auto"/>
                <w:szCs w:val="21"/>
                <w:highlight w:val="none"/>
              </w:rPr>
            </w:pPr>
            <w:r>
              <w:rPr>
                <w:rFonts w:hint="eastAsia" w:ascii="宋体" w:hAnsi="宋体"/>
                <w:color w:val="auto"/>
                <w:szCs w:val="21"/>
                <w:highlight w:val="none"/>
              </w:rPr>
              <w:t>9</w:t>
            </w:r>
          </w:p>
        </w:tc>
        <w:tc>
          <w:tcPr>
            <w:tcW w:w="2085" w:type="dxa"/>
            <w:tcBorders>
              <w:top w:val="single" w:color="auto" w:sz="4" w:space="0"/>
              <w:left w:val="single" w:color="auto" w:sz="4" w:space="0"/>
              <w:bottom w:val="single" w:color="auto" w:sz="4" w:space="0"/>
              <w:right w:val="single" w:color="auto" w:sz="4" w:space="0"/>
            </w:tcBorders>
            <w:vAlign w:val="center"/>
          </w:tcPr>
          <w:p w14:paraId="2C118A0E">
            <w:pPr>
              <w:spacing w:line="360" w:lineRule="auto"/>
              <w:jc w:val="center"/>
              <w:rPr>
                <w:rFonts w:ascii="宋体" w:hAnsi="宋体"/>
                <w:color w:val="auto"/>
                <w:szCs w:val="21"/>
                <w:highlight w:val="none"/>
              </w:rPr>
            </w:pPr>
            <w:r>
              <w:rPr>
                <w:rFonts w:hint="eastAsia" w:ascii="宋体" w:hAnsi="宋体"/>
                <w:color w:val="auto"/>
                <w:szCs w:val="21"/>
                <w:highlight w:val="none"/>
              </w:rPr>
              <w:t>投标有效期</w:t>
            </w:r>
          </w:p>
        </w:tc>
        <w:tc>
          <w:tcPr>
            <w:tcW w:w="6852" w:type="dxa"/>
            <w:tcBorders>
              <w:top w:val="single" w:color="auto" w:sz="4" w:space="0"/>
              <w:left w:val="single" w:color="auto" w:sz="4" w:space="0"/>
              <w:bottom w:val="single" w:color="auto" w:sz="4" w:space="0"/>
              <w:right w:val="single" w:color="auto" w:sz="4" w:space="0"/>
            </w:tcBorders>
            <w:vAlign w:val="center"/>
          </w:tcPr>
          <w:p w14:paraId="083E4492">
            <w:pPr>
              <w:spacing w:line="360" w:lineRule="auto"/>
              <w:jc w:val="left"/>
              <w:rPr>
                <w:rFonts w:ascii="宋体" w:hAnsi="宋体"/>
                <w:color w:val="auto"/>
                <w:szCs w:val="21"/>
                <w:highlight w:val="none"/>
              </w:rPr>
            </w:pPr>
            <w:r>
              <w:rPr>
                <w:rFonts w:hint="eastAsia" w:ascii="宋体" w:hAnsi="宋体"/>
                <w:color w:val="auto"/>
                <w:szCs w:val="21"/>
                <w:highlight w:val="none"/>
              </w:rPr>
              <w:t>从投标截止日起90天内有效，如中标有效期延止合同终止。</w:t>
            </w:r>
          </w:p>
        </w:tc>
      </w:tr>
      <w:tr w14:paraId="2C127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778" w:type="dxa"/>
            <w:tcBorders>
              <w:top w:val="single" w:color="auto" w:sz="4" w:space="0"/>
              <w:left w:val="single" w:color="auto" w:sz="4" w:space="0"/>
              <w:bottom w:val="single" w:color="auto" w:sz="4" w:space="0"/>
              <w:right w:val="single" w:color="auto" w:sz="4" w:space="0"/>
            </w:tcBorders>
            <w:vAlign w:val="center"/>
          </w:tcPr>
          <w:p w14:paraId="68B977A5">
            <w:pPr>
              <w:spacing w:line="360" w:lineRule="auto"/>
              <w:jc w:val="center"/>
              <w:rPr>
                <w:rFonts w:ascii="宋体" w:hAnsi="宋体"/>
                <w:color w:val="auto"/>
                <w:szCs w:val="21"/>
                <w:highlight w:val="none"/>
              </w:rPr>
            </w:pPr>
            <w:r>
              <w:rPr>
                <w:rFonts w:hint="eastAsia" w:ascii="宋体" w:hAnsi="宋体"/>
                <w:color w:val="auto"/>
                <w:szCs w:val="21"/>
                <w:highlight w:val="none"/>
              </w:rPr>
              <w:t>10</w:t>
            </w:r>
          </w:p>
        </w:tc>
        <w:tc>
          <w:tcPr>
            <w:tcW w:w="2085" w:type="dxa"/>
            <w:tcBorders>
              <w:top w:val="single" w:color="auto" w:sz="4" w:space="0"/>
              <w:left w:val="single" w:color="auto" w:sz="4" w:space="0"/>
              <w:bottom w:val="single" w:color="auto" w:sz="4" w:space="0"/>
              <w:right w:val="single" w:color="auto" w:sz="4" w:space="0"/>
            </w:tcBorders>
            <w:vAlign w:val="center"/>
          </w:tcPr>
          <w:p w14:paraId="130B5B52">
            <w:pPr>
              <w:spacing w:line="360" w:lineRule="auto"/>
              <w:jc w:val="center"/>
              <w:rPr>
                <w:rFonts w:ascii="宋体" w:hAnsi="宋体"/>
                <w:color w:val="auto"/>
                <w:szCs w:val="21"/>
                <w:highlight w:val="none"/>
              </w:rPr>
            </w:pPr>
            <w:r>
              <w:rPr>
                <w:rFonts w:hint="eastAsia" w:ascii="宋体" w:hAnsi="宋体"/>
                <w:color w:val="auto"/>
                <w:szCs w:val="21"/>
                <w:highlight w:val="none"/>
              </w:rPr>
              <w:t>投标/开标截止时间</w:t>
            </w:r>
          </w:p>
        </w:tc>
        <w:tc>
          <w:tcPr>
            <w:tcW w:w="6852" w:type="dxa"/>
            <w:tcBorders>
              <w:top w:val="single" w:color="auto" w:sz="4" w:space="0"/>
              <w:left w:val="single" w:color="auto" w:sz="4" w:space="0"/>
              <w:bottom w:val="single" w:color="auto" w:sz="4" w:space="0"/>
              <w:right w:val="single" w:color="auto" w:sz="4" w:space="0"/>
            </w:tcBorders>
            <w:vAlign w:val="center"/>
          </w:tcPr>
          <w:p w14:paraId="1A35BA9E">
            <w:pPr>
              <w:spacing w:line="360" w:lineRule="auto"/>
              <w:rPr>
                <w:rFonts w:ascii="宋体" w:hAnsi="宋体"/>
                <w:color w:val="auto"/>
                <w:szCs w:val="21"/>
                <w:highlight w:val="none"/>
              </w:rPr>
            </w:pPr>
            <w:r>
              <w:rPr>
                <w:rFonts w:hint="eastAsia" w:ascii="宋体" w:hAnsi="宋体"/>
                <w:color w:val="auto"/>
                <w:szCs w:val="21"/>
                <w:highlight w:val="none"/>
              </w:rPr>
              <w:t>2024年1</w:t>
            </w:r>
            <w:r>
              <w:rPr>
                <w:rFonts w:hint="eastAsia" w:ascii="宋体" w:hAnsi="宋体"/>
                <w:color w:val="auto"/>
                <w:szCs w:val="21"/>
                <w:highlight w:val="none"/>
                <w:lang w:val="en-US" w:eastAsia="zh-CN"/>
              </w:rPr>
              <w:t>1</w:t>
            </w:r>
            <w:r>
              <w:rPr>
                <w:rFonts w:hint="eastAsia" w:ascii="宋体" w:hAnsi="宋体"/>
                <w:color w:val="auto"/>
                <w:szCs w:val="21"/>
                <w:highlight w:val="none"/>
              </w:rPr>
              <w:t>月</w:t>
            </w:r>
            <w:r>
              <w:rPr>
                <w:rFonts w:hint="eastAsia" w:ascii="宋体" w:hAnsi="宋体"/>
                <w:color w:val="auto"/>
                <w:szCs w:val="21"/>
                <w:highlight w:val="none"/>
                <w:lang w:val="en-US" w:eastAsia="zh-CN"/>
              </w:rPr>
              <w:t>13</w:t>
            </w:r>
            <w:bookmarkStart w:id="6" w:name="_GoBack"/>
            <w:bookmarkEnd w:id="6"/>
            <w:r>
              <w:rPr>
                <w:rFonts w:hint="eastAsia" w:ascii="宋体" w:hAnsi="宋体"/>
                <w:color w:val="auto"/>
                <w:szCs w:val="21"/>
                <w:highlight w:val="none"/>
              </w:rPr>
              <w:t>日上午9:30</w:t>
            </w:r>
            <w:r>
              <w:rPr>
                <w:rFonts w:hint="eastAsia" w:ascii="宋体" w:hAnsi="宋体" w:cs="宋体"/>
                <w:color w:val="auto"/>
                <w:kern w:val="0"/>
                <w:szCs w:val="21"/>
                <w:highlight w:val="none"/>
              </w:rPr>
              <w:t>（北京时间）</w:t>
            </w:r>
          </w:p>
        </w:tc>
      </w:tr>
      <w:tr w14:paraId="67DAB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778" w:type="dxa"/>
            <w:tcBorders>
              <w:top w:val="single" w:color="auto" w:sz="4" w:space="0"/>
              <w:left w:val="single" w:color="auto" w:sz="4" w:space="0"/>
              <w:bottom w:val="single" w:color="auto" w:sz="4" w:space="0"/>
              <w:right w:val="single" w:color="auto" w:sz="4" w:space="0"/>
            </w:tcBorders>
            <w:vAlign w:val="center"/>
          </w:tcPr>
          <w:p w14:paraId="4F645DCF">
            <w:pPr>
              <w:spacing w:line="360" w:lineRule="auto"/>
              <w:jc w:val="center"/>
              <w:rPr>
                <w:rFonts w:ascii="宋体" w:hAnsi="宋体"/>
                <w:bCs/>
                <w:color w:val="auto"/>
                <w:szCs w:val="21"/>
                <w:highlight w:val="none"/>
              </w:rPr>
            </w:pPr>
            <w:r>
              <w:rPr>
                <w:rFonts w:hint="eastAsia" w:ascii="宋体" w:hAnsi="宋体"/>
                <w:bCs/>
                <w:color w:val="auto"/>
                <w:szCs w:val="21"/>
                <w:highlight w:val="none"/>
              </w:rPr>
              <w:t>11</w:t>
            </w:r>
          </w:p>
        </w:tc>
        <w:tc>
          <w:tcPr>
            <w:tcW w:w="2085" w:type="dxa"/>
            <w:tcBorders>
              <w:top w:val="single" w:color="auto" w:sz="4" w:space="0"/>
              <w:left w:val="single" w:color="auto" w:sz="4" w:space="0"/>
              <w:bottom w:val="single" w:color="auto" w:sz="4" w:space="0"/>
              <w:right w:val="single" w:color="auto" w:sz="4" w:space="0"/>
            </w:tcBorders>
            <w:vAlign w:val="center"/>
          </w:tcPr>
          <w:p w14:paraId="42E40922">
            <w:pPr>
              <w:spacing w:line="360" w:lineRule="auto"/>
              <w:jc w:val="center"/>
              <w:rPr>
                <w:rFonts w:ascii="宋体" w:hAnsi="宋体"/>
                <w:bCs/>
                <w:color w:val="auto"/>
                <w:szCs w:val="21"/>
                <w:highlight w:val="none"/>
              </w:rPr>
            </w:pPr>
            <w:r>
              <w:rPr>
                <w:rFonts w:hint="eastAsia" w:ascii="宋体" w:hAnsi="宋体"/>
                <w:bCs/>
                <w:color w:val="auto"/>
                <w:szCs w:val="21"/>
                <w:highlight w:val="none"/>
              </w:rPr>
              <w:t>澄清和答疑</w:t>
            </w:r>
          </w:p>
        </w:tc>
        <w:tc>
          <w:tcPr>
            <w:tcW w:w="6852" w:type="dxa"/>
            <w:tcBorders>
              <w:top w:val="single" w:color="auto" w:sz="4" w:space="0"/>
              <w:left w:val="single" w:color="auto" w:sz="4" w:space="0"/>
              <w:bottom w:val="single" w:color="auto" w:sz="4" w:space="0"/>
              <w:right w:val="single" w:color="auto" w:sz="4" w:space="0"/>
            </w:tcBorders>
            <w:vAlign w:val="center"/>
          </w:tcPr>
          <w:p w14:paraId="555AB17B">
            <w:pPr>
              <w:spacing w:line="360" w:lineRule="auto"/>
              <w:jc w:val="left"/>
              <w:rPr>
                <w:rFonts w:ascii="宋体" w:hAnsi="宋体"/>
                <w:bCs/>
                <w:color w:val="auto"/>
                <w:szCs w:val="21"/>
                <w:highlight w:val="none"/>
              </w:rPr>
            </w:pPr>
            <w:r>
              <w:rPr>
                <w:rFonts w:hint="eastAsia" w:ascii="宋体" w:hAnsi="宋体"/>
                <w:bCs/>
                <w:color w:val="auto"/>
                <w:szCs w:val="21"/>
                <w:highlight w:val="none"/>
              </w:rPr>
              <w:t>投标截止日前三天</w:t>
            </w:r>
          </w:p>
        </w:tc>
      </w:tr>
      <w:tr w14:paraId="1FF2AC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778" w:type="dxa"/>
            <w:tcBorders>
              <w:top w:val="single" w:color="auto" w:sz="4" w:space="0"/>
              <w:left w:val="single" w:color="auto" w:sz="8" w:space="0"/>
              <w:bottom w:val="single" w:color="auto" w:sz="4" w:space="0"/>
              <w:right w:val="single" w:color="auto" w:sz="4" w:space="0"/>
            </w:tcBorders>
            <w:vAlign w:val="center"/>
          </w:tcPr>
          <w:p w14:paraId="6A0487FA">
            <w:pPr>
              <w:spacing w:line="360" w:lineRule="auto"/>
              <w:jc w:val="center"/>
              <w:rPr>
                <w:rFonts w:ascii="宋体" w:hAnsi="宋体"/>
                <w:color w:val="auto"/>
                <w:szCs w:val="21"/>
                <w:highlight w:val="none"/>
              </w:rPr>
            </w:pPr>
            <w:r>
              <w:rPr>
                <w:rFonts w:hint="eastAsia" w:ascii="宋体" w:hAnsi="宋体"/>
                <w:color w:val="auto"/>
                <w:szCs w:val="21"/>
                <w:highlight w:val="none"/>
              </w:rPr>
              <w:t>12</w:t>
            </w:r>
          </w:p>
        </w:tc>
        <w:tc>
          <w:tcPr>
            <w:tcW w:w="2085" w:type="dxa"/>
            <w:tcBorders>
              <w:top w:val="single" w:color="auto" w:sz="4" w:space="0"/>
              <w:left w:val="single" w:color="auto" w:sz="8" w:space="0"/>
              <w:bottom w:val="single" w:color="auto" w:sz="4" w:space="0"/>
              <w:right w:val="single" w:color="auto" w:sz="4" w:space="0"/>
            </w:tcBorders>
            <w:vAlign w:val="center"/>
          </w:tcPr>
          <w:p w14:paraId="2634CE36">
            <w:pPr>
              <w:spacing w:line="360" w:lineRule="auto"/>
              <w:jc w:val="center"/>
              <w:rPr>
                <w:rFonts w:ascii="宋体" w:hAnsi="宋体"/>
                <w:color w:val="auto"/>
                <w:szCs w:val="21"/>
                <w:highlight w:val="none"/>
              </w:rPr>
            </w:pPr>
            <w:r>
              <w:rPr>
                <w:rFonts w:hint="eastAsia" w:ascii="宋体" w:hAnsi="宋体"/>
                <w:color w:val="auto"/>
                <w:szCs w:val="21"/>
                <w:highlight w:val="none"/>
              </w:rPr>
              <w:t>投标文件递交</w:t>
            </w:r>
          </w:p>
        </w:tc>
        <w:tc>
          <w:tcPr>
            <w:tcW w:w="6852" w:type="dxa"/>
            <w:tcBorders>
              <w:top w:val="single" w:color="auto" w:sz="4" w:space="0"/>
              <w:left w:val="single" w:color="auto" w:sz="4" w:space="0"/>
              <w:bottom w:val="single" w:color="auto" w:sz="4" w:space="0"/>
              <w:right w:val="single" w:color="auto" w:sz="8" w:space="0"/>
            </w:tcBorders>
            <w:vAlign w:val="center"/>
          </w:tcPr>
          <w:p w14:paraId="3B915BF3">
            <w:pPr>
              <w:spacing w:line="360" w:lineRule="auto"/>
              <w:rPr>
                <w:rFonts w:ascii="宋体" w:hAnsi="宋体"/>
                <w:color w:val="auto"/>
                <w:szCs w:val="21"/>
                <w:highlight w:val="none"/>
              </w:rPr>
            </w:pPr>
            <w:r>
              <w:rPr>
                <w:rFonts w:hint="eastAsia" w:ascii="宋体" w:hAnsi="宋体"/>
                <w:color w:val="auto"/>
                <w:szCs w:val="21"/>
                <w:highlight w:val="none"/>
              </w:rPr>
              <w:t>扬州市文汇东路249号江苏长江水务股份有限公司物资供应处307室</w:t>
            </w:r>
          </w:p>
        </w:tc>
      </w:tr>
      <w:tr w14:paraId="4FD2B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778" w:type="dxa"/>
            <w:tcBorders>
              <w:top w:val="single" w:color="auto" w:sz="4" w:space="0"/>
              <w:left w:val="single" w:color="auto" w:sz="4" w:space="0"/>
              <w:bottom w:val="single" w:color="auto" w:sz="4" w:space="0"/>
              <w:right w:val="single" w:color="auto" w:sz="4" w:space="0"/>
            </w:tcBorders>
            <w:vAlign w:val="center"/>
          </w:tcPr>
          <w:p w14:paraId="084A5231">
            <w:pPr>
              <w:spacing w:line="360" w:lineRule="auto"/>
              <w:jc w:val="center"/>
              <w:rPr>
                <w:rFonts w:ascii="宋体" w:hAnsi="宋体"/>
                <w:color w:val="auto"/>
                <w:szCs w:val="21"/>
                <w:highlight w:val="none"/>
              </w:rPr>
            </w:pPr>
            <w:r>
              <w:rPr>
                <w:rFonts w:hint="eastAsia" w:ascii="宋体" w:hAnsi="宋体"/>
                <w:color w:val="auto"/>
                <w:szCs w:val="21"/>
                <w:highlight w:val="none"/>
              </w:rPr>
              <w:t>13</w:t>
            </w:r>
          </w:p>
        </w:tc>
        <w:tc>
          <w:tcPr>
            <w:tcW w:w="2085" w:type="dxa"/>
            <w:tcBorders>
              <w:top w:val="single" w:color="auto" w:sz="4" w:space="0"/>
              <w:left w:val="single" w:color="auto" w:sz="4" w:space="0"/>
              <w:bottom w:val="single" w:color="auto" w:sz="4" w:space="0"/>
              <w:right w:val="single" w:color="auto" w:sz="4" w:space="0"/>
            </w:tcBorders>
            <w:vAlign w:val="center"/>
          </w:tcPr>
          <w:p w14:paraId="68661336">
            <w:pPr>
              <w:spacing w:line="360" w:lineRule="auto"/>
              <w:jc w:val="center"/>
              <w:rPr>
                <w:rFonts w:ascii="宋体" w:hAnsi="宋体"/>
                <w:color w:val="auto"/>
                <w:szCs w:val="21"/>
                <w:highlight w:val="none"/>
              </w:rPr>
            </w:pPr>
            <w:r>
              <w:rPr>
                <w:rFonts w:hint="eastAsia" w:ascii="宋体" w:hAnsi="宋体"/>
                <w:color w:val="auto"/>
                <w:szCs w:val="21"/>
                <w:highlight w:val="none"/>
              </w:rPr>
              <w:t>标书装订及</w:t>
            </w:r>
          </w:p>
          <w:p w14:paraId="331D117D">
            <w:pPr>
              <w:spacing w:line="360" w:lineRule="auto"/>
              <w:jc w:val="center"/>
              <w:rPr>
                <w:rFonts w:ascii="宋体" w:hAnsi="宋体"/>
                <w:color w:val="auto"/>
                <w:szCs w:val="21"/>
                <w:highlight w:val="none"/>
              </w:rPr>
            </w:pPr>
            <w:r>
              <w:rPr>
                <w:rFonts w:hint="eastAsia" w:ascii="宋体" w:hAnsi="宋体"/>
                <w:color w:val="auto"/>
                <w:szCs w:val="21"/>
                <w:highlight w:val="none"/>
              </w:rPr>
              <w:t>密封要求</w:t>
            </w:r>
          </w:p>
        </w:tc>
        <w:tc>
          <w:tcPr>
            <w:tcW w:w="6852" w:type="dxa"/>
            <w:tcBorders>
              <w:top w:val="single" w:color="auto" w:sz="4" w:space="0"/>
              <w:left w:val="single" w:color="auto" w:sz="4" w:space="0"/>
              <w:bottom w:val="single" w:color="auto" w:sz="4" w:space="0"/>
              <w:right w:val="single" w:color="auto" w:sz="4" w:space="0"/>
            </w:tcBorders>
            <w:vAlign w:val="center"/>
          </w:tcPr>
          <w:p w14:paraId="22F76D0F">
            <w:pPr>
              <w:spacing w:line="360" w:lineRule="auto"/>
              <w:rPr>
                <w:rFonts w:ascii="宋体" w:hAnsi="宋体"/>
                <w:color w:val="auto"/>
                <w:szCs w:val="21"/>
                <w:highlight w:val="none"/>
              </w:rPr>
            </w:pPr>
            <w:r>
              <w:rPr>
                <w:rFonts w:hint="eastAsia" w:ascii="宋体" w:hAnsi="宋体"/>
                <w:color w:val="auto"/>
                <w:szCs w:val="21"/>
                <w:highlight w:val="none"/>
              </w:rPr>
              <w:t xml:space="preserve"> 所有封袋上应写明招标人名称、工程名称和标段及投标人的名称。</w:t>
            </w:r>
          </w:p>
          <w:p w14:paraId="525AC7FC">
            <w:pPr>
              <w:spacing w:line="360" w:lineRule="auto"/>
              <w:rPr>
                <w:rFonts w:ascii="宋体" w:hAnsi="宋体"/>
                <w:color w:val="auto"/>
                <w:szCs w:val="21"/>
                <w:highlight w:val="none"/>
              </w:rPr>
            </w:pPr>
            <w:r>
              <w:rPr>
                <w:rFonts w:hint="eastAsia" w:ascii="宋体" w:hAnsi="宋体"/>
                <w:color w:val="auto"/>
                <w:szCs w:val="21"/>
                <w:highlight w:val="none"/>
              </w:rPr>
              <w:t>所有投标文件都必须在封袋加盖投标单位法人公章</w:t>
            </w:r>
          </w:p>
        </w:tc>
      </w:tr>
      <w:tr w14:paraId="7748B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778" w:type="dxa"/>
            <w:tcBorders>
              <w:top w:val="single" w:color="auto" w:sz="4" w:space="0"/>
              <w:left w:val="single" w:color="auto" w:sz="4" w:space="0"/>
              <w:bottom w:val="single" w:color="auto" w:sz="4" w:space="0"/>
              <w:right w:val="single" w:color="auto" w:sz="4" w:space="0"/>
            </w:tcBorders>
            <w:vAlign w:val="center"/>
          </w:tcPr>
          <w:p w14:paraId="01141844">
            <w:pPr>
              <w:spacing w:line="360" w:lineRule="auto"/>
              <w:jc w:val="center"/>
              <w:rPr>
                <w:rFonts w:ascii="宋体" w:hAnsi="宋体"/>
                <w:color w:val="auto"/>
                <w:szCs w:val="21"/>
                <w:highlight w:val="none"/>
              </w:rPr>
            </w:pPr>
            <w:r>
              <w:rPr>
                <w:rFonts w:hint="eastAsia" w:ascii="宋体" w:hAnsi="宋体"/>
                <w:color w:val="auto"/>
                <w:szCs w:val="21"/>
                <w:highlight w:val="none"/>
              </w:rPr>
              <w:t>14</w:t>
            </w:r>
          </w:p>
        </w:tc>
        <w:tc>
          <w:tcPr>
            <w:tcW w:w="2085" w:type="dxa"/>
            <w:tcBorders>
              <w:top w:val="single" w:color="auto" w:sz="4" w:space="0"/>
              <w:left w:val="single" w:color="auto" w:sz="4" w:space="0"/>
              <w:bottom w:val="single" w:color="auto" w:sz="4" w:space="0"/>
              <w:right w:val="single" w:color="auto" w:sz="4" w:space="0"/>
            </w:tcBorders>
            <w:vAlign w:val="center"/>
          </w:tcPr>
          <w:p w14:paraId="2B3D7965">
            <w:pPr>
              <w:spacing w:line="360" w:lineRule="auto"/>
              <w:jc w:val="center"/>
              <w:rPr>
                <w:rFonts w:ascii="宋体" w:hAnsi="宋体"/>
                <w:color w:val="auto"/>
                <w:szCs w:val="21"/>
                <w:highlight w:val="none"/>
              </w:rPr>
            </w:pPr>
            <w:r>
              <w:rPr>
                <w:rFonts w:hint="eastAsia" w:ascii="宋体" w:hAnsi="宋体"/>
                <w:color w:val="auto"/>
                <w:szCs w:val="21"/>
                <w:highlight w:val="none"/>
              </w:rPr>
              <w:t>其他</w:t>
            </w:r>
          </w:p>
        </w:tc>
        <w:tc>
          <w:tcPr>
            <w:tcW w:w="6852" w:type="dxa"/>
            <w:tcBorders>
              <w:top w:val="single" w:color="auto" w:sz="4" w:space="0"/>
              <w:left w:val="single" w:color="auto" w:sz="4" w:space="0"/>
              <w:bottom w:val="single" w:color="auto" w:sz="4" w:space="0"/>
              <w:right w:val="single" w:color="auto" w:sz="4" w:space="0"/>
            </w:tcBorders>
            <w:vAlign w:val="center"/>
          </w:tcPr>
          <w:p w14:paraId="4A86B21F">
            <w:pPr>
              <w:numPr>
                <w:ilvl w:val="0"/>
                <w:numId w:val="1"/>
              </w:numPr>
              <w:spacing w:line="360" w:lineRule="auto"/>
              <w:rPr>
                <w:rFonts w:ascii="宋体" w:hAnsi="宋体"/>
                <w:color w:val="auto"/>
                <w:szCs w:val="21"/>
                <w:highlight w:val="none"/>
              </w:rPr>
            </w:pPr>
            <w:r>
              <w:rPr>
                <w:rFonts w:hint="eastAsia" w:ascii="宋体" w:hAnsi="宋体"/>
                <w:color w:val="auto"/>
                <w:szCs w:val="21"/>
                <w:highlight w:val="none"/>
              </w:rPr>
              <w:t>下文中与“前附表”内容不一致的，以“前附表”为准；</w:t>
            </w:r>
          </w:p>
          <w:p w14:paraId="71307FBB">
            <w:pPr>
              <w:numPr>
                <w:ilvl w:val="0"/>
                <w:numId w:val="1"/>
              </w:numPr>
              <w:spacing w:line="360" w:lineRule="auto"/>
              <w:rPr>
                <w:rFonts w:ascii="宋体" w:hAnsi="宋体"/>
                <w:color w:val="auto"/>
                <w:szCs w:val="21"/>
                <w:highlight w:val="none"/>
              </w:rPr>
            </w:pPr>
            <w:r>
              <w:rPr>
                <w:rFonts w:hint="eastAsia" w:ascii="宋体" w:hAnsi="宋体"/>
                <w:color w:val="auto"/>
                <w:szCs w:val="21"/>
                <w:highlight w:val="none"/>
              </w:rPr>
              <w:t>本招标文件的解释权属于江苏长江水务股份有限公司</w:t>
            </w:r>
          </w:p>
        </w:tc>
      </w:tr>
      <w:tr w14:paraId="56012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78" w:type="dxa"/>
            <w:tcBorders>
              <w:top w:val="single" w:color="auto" w:sz="4" w:space="0"/>
              <w:left w:val="single" w:color="auto" w:sz="4" w:space="0"/>
              <w:bottom w:val="single" w:color="auto" w:sz="4" w:space="0"/>
              <w:right w:val="single" w:color="auto" w:sz="4" w:space="0"/>
            </w:tcBorders>
            <w:vAlign w:val="center"/>
          </w:tcPr>
          <w:p w14:paraId="023FBBBA">
            <w:pPr>
              <w:spacing w:line="360" w:lineRule="auto"/>
              <w:jc w:val="center"/>
              <w:rPr>
                <w:rFonts w:ascii="宋体" w:hAnsi="宋体"/>
                <w:color w:val="auto"/>
                <w:szCs w:val="21"/>
                <w:highlight w:val="none"/>
              </w:rPr>
            </w:pPr>
            <w:r>
              <w:rPr>
                <w:rFonts w:hint="eastAsia" w:ascii="宋体" w:hAnsi="宋体"/>
                <w:color w:val="auto"/>
                <w:szCs w:val="21"/>
                <w:highlight w:val="none"/>
              </w:rPr>
              <w:t>15</w:t>
            </w:r>
          </w:p>
        </w:tc>
        <w:tc>
          <w:tcPr>
            <w:tcW w:w="2085" w:type="dxa"/>
            <w:tcBorders>
              <w:top w:val="single" w:color="auto" w:sz="4" w:space="0"/>
              <w:left w:val="single" w:color="auto" w:sz="4" w:space="0"/>
              <w:bottom w:val="single" w:color="auto" w:sz="4" w:space="0"/>
              <w:right w:val="single" w:color="auto" w:sz="4" w:space="0"/>
            </w:tcBorders>
            <w:vAlign w:val="center"/>
          </w:tcPr>
          <w:p w14:paraId="50C5D861">
            <w:pPr>
              <w:spacing w:line="360" w:lineRule="auto"/>
              <w:jc w:val="center"/>
              <w:rPr>
                <w:rFonts w:ascii="宋体" w:hAnsi="宋体"/>
                <w:color w:val="auto"/>
                <w:szCs w:val="21"/>
                <w:highlight w:val="none"/>
              </w:rPr>
            </w:pPr>
            <w:r>
              <w:rPr>
                <w:rFonts w:hint="eastAsia" w:ascii="宋体" w:hAnsi="宋体"/>
                <w:color w:val="auto"/>
                <w:szCs w:val="21"/>
                <w:highlight w:val="none"/>
              </w:rPr>
              <w:t>联系方式</w:t>
            </w:r>
          </w:p>
        </w:tc>
        <w:tc>
          <w:tcPr>
            <w:tcW w:w="6852" w:type="dxa"/>
            <w:tcBorders>
              <w:top w:val="single" w:color="auto" w:sz="4" w:space="0"/>
              <w:left w:val="single" w:color="auto" w:sz="4" w:space="0"/>
              <w:bottom w:val="single" w:color="auto" w:sz="4" w:space="0"/>
              <w:right w:val="single" w:color="auto" w:sz="4" w:space="0"/>
            </w:tcBorders>
            <w:vAlign w:val="center"/>
          </w:tcPr>
          <w:p w14:paraId="514335E2">
            <w:pPr>
              <w:adjustRightInd w:val="0"/>
              <w:spacing w:line="360" w:lineRule="auto"/>
              <w:rPr>
                <w:rFonts w:ascii="宋体" w:hAnsi="宋体"/>
                <w:color w:val="auto"/>
                <w:szCs w:val="21"/>
                <w:highlight w:val="none"/>
              </w:rPr>
            </w:pPr>
            <w:r>
              <w:rPr>
                <w:rFonts w:hint="eastAsia" w:ascii="宋体" w:hAnsi="宋体"/>
                <w:color w:val="auto"/>
                <w:szCs w:val="21"/>
                <w:highlight w:val="none"/>
              </w:rPr>
              <w:t>招标人：江苏长江水务股份有限公司</w:t>
            </w:r>
          </w:p>
          <w:p w14:paraId="6CC40754">
            <w:pPr>
              <w:adjustRightInd w:val="0"/>
              <w:spacing w:line="360" w:lineRule="auto"/>
              <w:rPr>
                <w:rFonts w:ascii="宋体" w:hAnsi="宋体"/>
                <w:color w:val="auto"/>
                <w:szCs w:val="21"/>
                <w:highlight w:val="none"/>
              </w:rPr>
            </w:pPr>
            <w:r>
              <w:rPr>
                <w:rFonts w:hint="eastAsia" w:ascii="宋体" w:hAnsi="宋体"/>
                <w:color w:val="auto"/>
                <w:szCs w:val="21"/>
                <w:highlight w:val="none"/>
              </w:rPr>
              <w:t>地  址：扬州文汇东路249号</w:t>
            </w:r>
          </w:p>
          <w:p w14:paraId="36EA7C36">
            <w:pPr>
              <w:adjustRightInd w:val="0"/>
              <w:spacing w:line="360" w:lineRule="auto"/>
              <w:rPr>
                <w:rFonts w:ascii="宋体" w:hAnsi="宋体"/>
                <w:color w:val="auto"/>
                <w:szCs w:val="21"/>
                <w:highlight w:val="none"/>
              </w:rPr>
            </w:pPr>
            <w:r>
              <w:rPr>
                <w:rFonts w:hint="eastAsia" w:ascii="宋体" w:hAnsi="宋体"/>
                <w:color w:val="auto"/>
                <w:szCs w:val="21"/>
                <w:highlight w:val="none"/>
              </w:rPr>
              <w:t>电  话：0514-82980012</w:t>
            </w:r>
          </w:p>
          <w:p w14:paraId="467D38F1">
            <w:pPr>
              <w:adjustRightInd w:val="0"/>
              <w:spacing w:line="360" w:lineRule="auto"/>
              <w:rPr>
                <w:rFonts w:ascii="宋体" w:hAnsi="宋体"/>
                <w:color w:val="auto"/>
                <w:szCs w:val="21"/>
                <w:highlight w:val="none"/>
              </w:rPr>
            </w:pPr>
            <w:r>
              <w:rPr>
                <w:rFonts w:hint="eastAsia" w:ascii="宋体" w:hAnsi="宋体"/>
                <w:color w:val="auto"/>
                <w:szCs w:val="21"/>
                <w:highlight w:val="none"/>
              </w:rPr>
              <w:t>联系人：朱华卿</w:t>
            </w:r>
          </w:p>
        </w:tc>
      </w:tr>
    </w:tbl>
    <w:p w14:paraId="6D583B9B">
      <w:pPr>
        <w:autoSpaceDE w:val="0"/>
        <w:autoSpaceDN w:val="0"/>
        <w:adjustRightInd w:val="0"/>
        <w:snapToGrid w:val="0"/>
        <w:spacing w:line="480" w:lineRule="exact"/>
        <w:rPr>
          <w:rFonts w:ascii="宋体" w:hAnsi="宋体"/>
          <w:color w:val="auto"/>
          <w:szCs w:val="21"/>
          <w:highlight w:val="none"/>
        </w:rPr>
      </w:pPr>
    </w:p>
    <w:p w14:paraId="64738D4C">
      <w:pPr>
        <w:autoSpaceDE w:val="0"/>
        <w:autoSpaceDN w:val="0"/>
        <w:adjustRightInd w:val="0"/>
        <w:snapToGrid w:val="0"/>
        <w:spacing w:line="480" w:lineRule="exact"/>
        <w:ind w:firstLine="561"/>
        <w:rPr>
          <w:rFonts w:ascii="宋体" w:hAnsi="宋体"/>
          <w:color w:val="auto"/>
          <w:szCs w:val="21"/>
          <w:highlight w:val="none"/>
        </w:rPr>
      </w:pPr>
    </w:p>
    <w:p w14:paraId="0C00D68F">
      <w:pPr>
        <w:pStyle w:val="9"/>
        <w:rPr>
          <w:color w:val="auto"/>
          <w:highlight w:val="none"/>
        </w:rPr>
      </w:pPr>
    </w:p>
    <w:p w14:paraId="31E4BB4C">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一、总    则</w:t>
      </w:r>
    </w:p>
    <w:p w14:paraId="05BD44FD">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1、招标项目概况</w:t>
      </w:r>
    </w:p>
    <w:p w14:paraId="10FC414D">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1.1、因我公司营业抄收管理系统升级实施需要，现就本项目进行公开招标。</w:t>
      </w:r>
    </w:p>
    <w:p w14:paraId="5C2476EC">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2、投标费用</w:t>
      </w:r>
    </w:p>
    <w:p w14:paraId="4BFA8EE5">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2.1投标人应承担其编制投标文件与递交投标文件所涉及的一切费用。不管投标结果如何，招标人对上述费用不负任何责任。</w:t>
      </w:r>
    </w:p>
    <w:p w14:paraId="2179F154">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3、保密</w:t>
      </w:r>
    </w:p>
    <w:p w14:paraId="6CF1B3C9">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参与招标投标活动的各方应对招标文件和投标文件中的商业和技术等秘密保密，违者应对由此造成的后果承担法律责任。</w:t>
      </w:r>
    </w:p>
    <w:p w14:paraId="0293DFF1">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4、合格的投标人</w:t>
      </w:r>
    </w:p>
    <w:p w14:paraId="39507D2C">
      <w:pPr>
        <w:spacing w:line="440" w:lineRule="exact"/>
        <w:ind w:firstLine="420" w:firstLineChars="200"/>
        <w:rPr>
          <w:rFonts w:ascii="宋体" w:hAnsi="宋体"/>
          <w:bCs/>
          <w:color w:val="auto"/>
          <w:szCs w:val="21"/>
          <w:highlight w:val="none"/>
        </w:rPr>
      </w:pPr>
      <w:r>
        <w:rPr>
          <w:rFonts w:hint="eastAsia" w:ascii="宋体" w:hAnsi="宋体"/>
          <w:bCs/>
          <w:color w:val="auto"/>
          <w:szCs w:val="21"/>
          <w:highlight w:val="none"/>
        </w:rPr>
        <w:t>（</w:t>
      </w:r>
      <w:r>
        <w:rPr>
          <w:rFonts w:ascii="宋体" w:hAnsi="宋体"/>
          <w:bCs/>
          <w:color w:val="auto"/>
          <w:szCs w:val="21"/>
          <w:highlight w:val="none"/>
        </w:rPr>
        <w:t>1</w:t>
      </w:r>
      <w:r>
        <w:rPr>
          <w:rFonts w:hint="eastAsia" w:ascii="宋体" w:hAnsi="宋体"/>
          <w:bCs/>
          <w:color w:val="auto"/>
          <w:szCs w:val="21"/>
          <w:highlight w:val="none"/>
        </w:rPr>
        <w:t>）、投标人应为在中华人民共和国境内注册的企业法人，应遵守中国有关的法律、法规，有能力提供本项目中所采购的货物及服务、具有独立承担民事责任的独立法人。</w:t>
      </w:r>
    </w:p>
    <w:p w14:paraId="1BF3ADD4">
      <w:pPr>
        <w:spacing w:line="440" w:lineRule="exact"/>
        <w:ind w:firstLine="420" w:firstLineChars="200"/>
        <w:rPr>
          <w:rFonts w:ascii="宋体" w:hAnsi="宋体"/>
          <w:bCs/>
          <w:color w:val="auto"/>
          <w:szCs w:val="21"/>
          <w:highlight w:val="none"/>
        </w:rPr>
      </w:pPr>
      <w:r>
        <w:rPr>
          <w:rFonts w:hint="eastAsia" w:ascii="宋体" w:hAnsi="宋体"/>
          <w:bCs/>
          <w:color w:val="auto"/>
          <w:szCs w:val="21"/>
          <w:highlight w:val="none"/>
        </w:rPr>
        <w:t>（2）、若是代理人投标，则须有针对本项目投标的授权委托书（复印件加盖公章，原件备查）。</w:t>
      </w:r>
    </w:p>
    <w:p w14:paraId="4B2F32C8">
      <w:pPr>
        <w:spacing w:line="440" w:lineRule="exact"/>
        <w:ind w:firstLine="420" w:firstLineChars="200"/>
        <w:rPr>
          <w:rFonts w:ascii="宋体" w:hAnsi="宋体" w:cs="宋体"/>
          <w:bCs/>
          <w:color w:val="auto"/>
          <w:szCs w:val="21"/>
          <w:highlight w:val="none"/>
        </w:rPr>
      </w:pPr>
      <w:r>
        <w:rPr>
          <w:rFonts w:hint="eastAsia" w:ascii="宋体" w:hAnsi="宋体"/>
          <w:bCs/>
          <w:color w:val="auto"/>
          <w:szCs w:val="21"/>
          <w:highlight w:val="none"/>
        </w:rPr>
        <w:t>（3）、</w:t>
      </w:r>
      <w:r>
        <w:rPr>
          <w:rFonts w:hint="eastAsia" w:ascii="宋体" w:hAnsi="宋体" w:cs="宋体"/>
          <w:bCs/>
          <w:color w:val="auto"/>
          <w:szCs w:val="21"/>
          <w:highlight w:val="none"/>
        </w:rPr>
        <w:t>投标人企业财务和经营状况良好，具备履行合同能力，</w:t>
      </w:r>
      <w:r>
        <w:rPr>
          <w:rFonts w:hint="eastAsia" w:ascii="宋体" w:hAnsi="宋体" w:cs="宋体"/>
          <w:bCs/>
          <w:color w:val="auto"/>
          <w:kern w:val="0"/>
          <w:szCs w:val="21"/>
          <w:highlight w:val="none"/>
        </w:rPr>
        <w:t>参加本项目采购活动前三年内无重大违法记录声明；</w:t>
      </w:r>
      <w:r>
        <w:rPr>
          <w:rFonts w:hint="eastAsia" w:ascii="宋体" w:hAnsi="宋体" w:cs="宋体"/>
          <w:bCs/>
          <w:color w:val="auto"/>
          <w:szCs w:val="21"/>
          <w:highlight w:val="none"/>
        </w:rPr>
        <w:t>未被列入失信被执行人、重大税收违法案件当事人名单、政府采购严重失信行为记录名单；</w:t>
      </w:r>
    </w:p>
    <w:p w14:paraId="45BFBB3C">
      <w:pPr>
        <w:autoSpaceDE w:val="0"/>
        <w:autoSpaceDN w:val="0"/>
        <w:adjustRightInd w:val="0"/>
        <w:snapToGrid w:val="0"/>
        <w:spacing w:line="440" w:lineRule="exact"/>
        <w:ind w:firstLine="561"/>
        <w:rPr>
          <w:rFonts w:ascii="宋体" w:hAnsi="宋体"/>
          <w:b/>
          <w:color w:val="auto"/>
          <w:szCs w:val="21"/>
          <w:highlight w:val="none"/>
        </w:rPr>
      </w:pPr>
      <w:r>
        <w:rPr>
          <w:rFonts w:hint="eastAsia" w:ascii="宋体" w:hAnsi="宋体"/>
          <w:color w:val="auto"/>
          <w:szCs w:val="21"/>
          <w:highlight w:val="none"/>
        </w:rPr>
        <w:t>二、招标内容及技术要求：</w:t>
      </w:r>
      <w:r>
        <w:rPr>
          <w:rFonts w:hint="eastAsia" w:ascii="宋体" w:hAnsi="宋体"/>
          <w:b/>
          <w:bCs/>
          <w:color w:val="auto"/>
          <w:szCs w:val="21"/>
          <w:highlight w:val="none"/>
        </w:rPr>
        <w:t>详</w:t>
      </w:r>
      <w:r>
        <w:rPr>
          <w:rFonts w:hint="eastAsia" w:ascii="宋体" w:hAnsi="宋体"/>
          <w:b/>
          <w:color w:val="auto"/>
          <w:szCs w:val="21"/>
          <w:highlight w:val="none"/>
        </w:rPr>
        <w:t>见附件。</w:t>
      </w:r>
    </w:p>
    <w:p w14:paraId="0381BDF1">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三、投标须知：</w:t>
      </w:r>
    </w:p>
    <w:p w14:paraId="712683FF">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1、投标单位必须提供①资料证明材料：企业营业执照、各类认证证书。②企业业绩表、社会信誉、资信证明等资料。（复印件加盖企业公章，原件备查）</w:t>
      </w:r>
    </w:p>
    <w:p w14:paraId="00D1955F">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2、投标报价为完成系统安装调试并运行成功通过联合验收后的价格(含6%税率的增值税专用发票）。</w:t>
      </w:r>
    </w:p>
    <w:p w14:paraId="51C78485">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3、安装要求：</w:t>
      </w:r>
    </w:p>
    <w:p w14:paraId="5571C388">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系统现场安装并对买方使用人员进行培训，卖方应对所供产品和服务负责，确保系统按招标方要求按期投入使用，在质保期内按招标方业务要求进行调整，满足招标方业务需求。</w:t>
      </w:r>
    </w:p>
    <w:p w14:paraId="1978DC95">
      <w:pPr>
        <w:spacing w:line="440" w:lineRule="exact"/>
        <w:ind w:left="0" w:leftChars="0" w:firstLine="638" w:firstLineChars="304"/>
        <w:rPr>
          <w:rFonts w:ascii="宋体" w:hAnsi="宋体"/>
          <w:color w:val="auto"/>
          <w:szCs w:val="21"/>
          <w:highlight w:val="none"/>
        </w:rPr>
      </w:pPr>
      <w:r>
        <w:rPr>
          <w:rFonts w:hint="eastAsia" w:ascii="宋体" w:hAnsi="宋体"/>
          <w:color w:val="auto"/>
          <w:szCs w:val="21"/>
          <w:highlight w:val="none"/>
        </w:rPr>
        <w:t>4、本招标项目不接受联合体投标。</w:t>
      </w:r>
    </w:p>
    <w:p w14:paraId="5582EF0F">
      <w:pPr>
        <w:pStyle w:val="9"/>
        <w:spacing w:line="440" w:lineRule="exact"/>
        <w:ind w:firstLine="420" w:firstLineChars="200"/>
        <w:rPr>
          <w:rFonts w:ascii="宋体" w:hAnsi="宋体" w:eastAsia="宋体" w:cs="宋体"/>
          <w:color w:val="auto"/>
          <w:sz w:val="21"/>
          <w:szCs w:val="21"/>
          <w:highlight w:val="none"/>
        </w:rPr>
      </w:pPr>
      <w:r>
        <w:rPr>
          <w:rFonts w:hint="eastAsia"/>
          <w:color w:val="auto"/>
          <w:sz w:val="21"/>
          <w:szCs w:val="21"/>
          <w:highlight w:val="none"/>
        </w:rPr>
        <w:t xml:space="preserve">  </w:t>
      </w:r>
      <w:r>
        <w:rPr>
          <w:rFonts w:hint="eastAsia" w:ascii="宋体" w:hAnsi="宋体" w:eastAsia="宋体" w:cs="宋体"/>
          <w:color w:val="auto"/>
          <w:sz w:val="21"/>
          <w:szCs w:val="21"/>
          <w:highlight w:val="none"/>
        </w:rPr>
        <w:t>5、付款方式：无预付款，在合同规定的时间内完成系统的安装调试并试运行三个月后，买方进行联合验收，经验收合格后，系统投入正式运行，卖方向买方开具合同总金额的增值税全额发票（税率6%），买方在一个月内付至发票总金额的95%，余款5%作为质保金，在合同约定的质保期满且系统运行无故障后一个月内无息付清。</w:t>
      </w:r>
    </w:p>
    <w:p w14:paraId="7A170CED">
      <w:pPr>
        <w:pStyle w:val="9"/>
        <w:spacing w:line="440" w:lineRule="exact"/>
        <w:ind w:firstLine="420" w:firstLineChars="200"/>
        <w:rPr>
          <w:rFonts w:ascii="宋体" w:hAnsi="宋体" w:eastAsia="宋体" w:cs="宋体"/>
          <w:color w:val="auto"/>
          <w:sz w:val="21"/>
          <w:szCs w:val="21"/>
          <w:highlight w:val="none"/>
        </w:rPr>
      </w:pPr>
    </w:p>
    <w:p w14:paraId="6AA55444">
      <w:pPr>
        <w:pStyle w:val="9"/>
        <w:spacing w:line="440" w:lineRule="exact"/>
        <w:ind w:firstLine="630" w:firstLineChars="30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四、投标文件的密封与递交</w:t>
      </w:r>
    </w:p>
    <w:p w14:paraId="497BB8C5">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1、投标文件的份数和签署</w:t>
      </w:r>
    </w:p>
    <w:p w14:paraId="78772D6B">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投标文件正本一份、副本四份，正本必须用不能擦去的墨水书写或打印，副本可以复印。正本、副本都应装订成册，并在封面上正确标明“正 本”、“副本”字样，正、副本不一致时，以正本为准，由投标人加盖法人公章和法定代表人或法定代表人委托的代理人印鉴或签字。</w:t>
      </w:r>
    </w:p>
    <w:p w14:paraId="24A41F50">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2、投标文件的密封与标志</w:t>
      </w:r>
    </w:p>
    <w:p w14:paraId="627E4D31">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所有封袋上都应写明招标人名称、工程项目名称、投标人名称、卷别；</w:t>
      </w:r>
    </w:p>
    <w:p w14:paraId="4259D5FD">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所有投标文件都必须在封袋上加盖投标单位法人公章。</w:t>
      </w:r>
    </w:p>
    <w:p w14:paraId="5973BB0E">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3、投标截止期</w:t>
      </w:r>
    </w:p>
    <w:p w14:paraId="135AF3E2">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3.1投标人应在投标须知中规定的时间之前将投标文件递交到招标文件前附表指定地点。</w:t>
      </w:r>
    </w:p>
    <w:p w14:paraId="4FC6D615">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3.2招标人可以按本文件规定以修改通知的方式，延长递交投标文件的截止日期。在上述情况下，招标人与投标人以前的在投标截止期方面的全部权力、责任和义务，将适用于延长后新的投标截止期。</w:t>
      </w:r>
    </w:p>
    <w:p w14:paraId="5F9506FC">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4、投标文件的修改与撤回</w:t>
      </w:r>
    </w:p>
    <w:p w14:paraId="5027AD0B">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4.1投标人可以在递交投标文件以后，在规定的投标截止期之前，以书面形式向招标人递交修改或撤回其投标文件的通知。在投标截止期以后，不得更改、撤回投标文件。</w:t>
      </w:r>
    </w:p>
    <w:p w14:paraId="233153A8">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4.2投标文件的修改应按本文件相关条款规定的要求编制、密封、标志和递交（密封袋上应标明“修改”字样）。</w:t>
      </w:r>
    </w:p>
    <w:p w14:paraId="59BD5F0A">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4.3投标截止以后,在投标有效期内，未确定中标人前，投标人不得撤回投标文件。</w:t>
      </w:r>
      <w:bookmarkStart w:id="0" w:name="EB66450c37613b4d8bb5d2ef34d49a190f"/>
      <w:r>
        <w:rPr>
          <w:rFonts w:ascii="宋体" w:hAnsi="宋体"/>
          <w:color w:val="auto"/>
          <w:szCs w:val="21"/>
          <w:highlight w:val="none"/>
        </w:rPr>
        <w:t xml:space="preserve"> </w:t>
      </w:r>
      <w:bookmarkEnd w:id="0"/>
      <w:bookmarkStart w:id="1" w:name="EB0f01764a82a04f44abcb858eaf46c6a5"/>
      <w:r>
        <w:rPr>
          <w:rFonts w:ascii="宋体" w:hAnsi="宋体"/>
          <w:color w:val="auto"/>
          <w:szCs w:val="21"/>
          <w:highlight w:val="none"/>
        </w:rPr>
        <w:t xml:space="preserve"> </w:t>
      </w:r>
      <w:bookmarkEnd w:id="1"/>
    </w:p>
    <w:p w14:paraId="6AA0D784">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五、评标</w:t>
      </w:r>
    </w:p>
    <w:p w14:paraId="0AA0D739">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2FEBF385">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1.1评标委员会</w:t>
      </w:r>
    </w:p>
    <w:p w14:paraId="775C6D23">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评标由招标人依法组建的评标委员会负责。评标委员会由有关技术、经济等方面的专家组成。</w:t>
      </w:r>
    </w:p>
    <w:p w14:paraId="4F6E7FC7">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1.2评审程序</w:t>
      </w:r>
    </w:p>
    <w:p w14:paraId="0FDC01E2">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评标按照下列程序进行：1）评标准备；2）初步评审；3）详细评审；4）推荐中标候选人，撰写评标报告。</w:t>
      </w:r>
    </w:p>
    <w:p w14:paraId="6B1856EC">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1.3评标准备</w:t>
      </w:r>
    </w:p>
    <w:p w14:paraId="4C95C98C">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1.3.1评标委员会成员签到</w:t>
      </w:r>
    </w:p>
    <w:p w14:paraId="4EACE8ED">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评标委员会成员到达评标现场时应在签到表上签到以证明出席。</w:t>
      </w:r>
    </w:p>
    <w:p w14:paraId="5BA264D4">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1.3.2 评标委员会的分工</w:t>
      </w:r>
    </w:p>
    <w:p w14:paraId="6377B38E">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评标委员会首先推选一名评标委员会负责人。评标委员会负责人负责评标活动的组织领导工作。评标委员会负责人在与其他评标委员会成员商议的基础上可以将评标委员会划分为技术组和商务组。</w:t>
      </w:r>
    </w:p>
    <w:p w14:paraId="62902CDC">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1.3.3 熟悉文件资料</w:t>
      </w:r>
    </w:p>
    <w:p w14:paraId="3EC853EE">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703E568A">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1.4初步评审</w:t>
      </w:r>
    </w:p>
    <w:p w14:paraId="38C3C37B">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1.4.1响应性评审</w:t>
      </w:r>
    </w:p>
    <w:p w14:paraId="2304FBB5">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1.4.2算术错误修正</w:t>
      </w:r>
    </w:p>
    <w:p w14:paraId="18F4A614">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1.4.3澄清、说明或补正</w:t>
      </w:r>
    </w:p>
    <w:p w14:paraId="36A7E418">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在初步评审过程中，评标委员会应当就投标文件中不明确的内容要求投标人进行澄清．</w:t>
      </w:r>
    </w:p>
    <w:p w14:paraId="02673D12">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1.5投标过程中出现下列情况之一的将作为无效投标处理：</w:t>
      </w:r>
    </w:p>
    <w:p w14:paraId="620BFA02">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1投标书未加盖单位法人章，无法定代表人或其授权委托人的签字；</w:t>
      </w:r>
    </w:p>
    <w:p w14:paraId="5049D2AA">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2、投标文件载明的货物包装方式、检验标准和方法等不符合招标文件的要求；</w:t>
      </w:r>
    </w:p>
    <w:p w14:paraId="69DF2F22">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3、投标文件提出了不能满足招标文件要求或招标人不能接受的工程验收、计量、价款结算支付办法；</w:t>
      </w:r>
    </w:p>
    <w:p w14:paraId="2B81A5B9">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4、经评标委员会认定投标人的投标报价低于成本价的；</w:t>
      </w:r>
    </w:p>
    <w:p w14:paraId="7F04BDB7">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5、投标人未按照招标文件的要求提供必须提交的相关资料的；</w:t>
      </w:r>
    </w:p>
    <w:p w14:paraId="57EB8BA3">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6、投标文件附有招标人不能接受的条件；</w:t>
      </w:r>
    </w:p>
    <w:p w14:paraId="1A2DAE16">
      <w:pPr>
        <w:autoSpaceDE w:val="0"/>
        <w:autoSpaceDN w:val="0"/>
        <w:adjustRightInd w:val="0"/>
        <w:snapToGrid w:val="0"/>
        <w:spacing w:line="440" w:lineRule="exact"/>
        <w:ind w:firstLine="561"/>
        <w:rPr>
          <w:rFonts w:ascii="宋体" w:hAnsi="宋体"/>
          <w:b/>
          <w:color w:val="auto"/>
          <w:szCs w:val="21"/>
          <w:highlight w:val="none"/>
        </w:rPr>
      </w:pPr>
      <w:r>
        <w:rPr>
          <w:rFonts w:hint="eastAsia" w:ascii="宋体" w:hAnsi="宋体"/>
          <w:b/>
          <w:color w:val="auto"/>
          <w:szCs w:val="21"/>
          <w:highlight w:val="none"/>
        </w:rPr>
        <w:t>六、评标细则（满分100分）</w:t>
      </w:r>
    </w:p>
    <w:p w14:paraId="3C8744FB">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本次评标采用综合评分法，评标委员会通过对商务、技术等因素的综合评审进行打分，综合得分最高的投标人排名第一，依此类推确定排名顺序，按排名顺序先后推荐为中标候选人。</w:t>
      </w:r>
    </w:p>
    <w:p w14:paraId="1262DB5D">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本次评标按百分制评分，其中商务评审为60分，技术评审为40分。具体评分细则如下：</w:t>
      </w:r>
    </w:p>
    <w:p w14:paraId="12A9A905">
      <w:pPr>
        <w:autoSpaceDE w:val="0"/>
        <w:autoSpaceDN w:val="0"/>
        <w:adjustRightInd w:val="0"/>
        <w:snapToGrid w:val="0"/>
        <w:spacing w:line="440" w:lineRule="exact"/>
        <w:ind w:firstLine="561"/>
        <w:rPr>
          <w:rFonts w:ascii="宋体" w:hAnsi="宋体"/>
          <w:b/>
          <w:color w:val="auto"/>
          <w:szCs w:val="21"/>
          <w:highlight w:val="none"/>
        </w:rPr>
      </w:pPr>
      <w:r>
        <w:rPr>
          <w:rFonts w:hint="eastAsia" w:ascii="宋体" w:hAnsi="宋体"/>
          <w:b/>
          <w:color w:val="auto"/>
          <w:szCs w:val="21"/>
          <w:highlight w:val="none"/>
        </w:rPr>
        <w:t>总则</w:t>
      </w:r>
    </w:p>
    <w:p w14:paraId="3695ED46">
      <w:pPr>
        <w:spacing w:line="440" w:lineRule="exact"/>
        <w:ind w:firstLine="420" w:firstLineChars="200"/>
        <w:rPr>
          <w:rFonts w:ascii="宋体" w:hAnsi="宋体"/>
          <w:color w:val="auto"/>
          <w:szCs w:val="21"/>
          <w:highlight w:val="none"/>
        </w:rPr>
      </w:pPr>
      <w:r>
        <w:rPr>
          <w:rFonts w:hint="eastAsia" w:ascii="宋体" w:hAnsi="宋体"/>
          <w:color w:val="auto"/>
          <w:szCs w:val="21"/>
          <w:highlight w:val="none"/>
        </w:rPr>
        <w:t>评委会成员应严格按下列具体评审内容及相应分值客观、公正地进行评分。计算每个投标人的得分时，</w:t>
      </w:r>
      <w:r>
        <w:rPr>
          <w:rFonts w:hAnsi="宋体"/>
          <w:color w:val="auto"/>
          <w:szCs w:val="21"/>
          <w:highlight w:val="none"/>
        </w:rPr>
        <w:t>结果保留两位小数</w:t>
      </w:r>
      <w:r>
        <w:rPr>
          <w:rFonts w:hint="eastAsia" w:hAnsi="宋体"/>
          <w:color w:val="auto"/>
          <w:szCs w:val="21"/>
          <w:highlight w:val="none"/>
        </w:rPr>
        <w:t>，</w:t>
      </w:r>
      <w:r>
        <w:rPr>
          <w:rFonts w:hint="eastAsia" w:ascii="宋体" w:hAnsi="宋体"/>
          <w:color w:val="auto"/>
          <w:szCs w:val="21"/>
          <w:highlight w:val="none"/>
        </w:rPr>
        <w:t>对所有评委的评分计算算术平均值作为该投标人的最终得分。</w:t>
      </w:r>
    </w:p>
    <w:p w14:paraId="360270DC">
      <w:pPr>
        <w:spacing w:line="440" w:lineRule="exact"/>
        <w:ind w:firstLine="422" w:firstLineChars="200"/>
        <w:rPr>
          <w:rFonts w:hAnsi="宋体"/>
          <w:color w:val="auto"/>
          <w:szCs w:val="21"/>
          <w:highlight w:val="none"/>
        </w:rPr>
      </w:pPr>
      <w:r>
        <w:rPr>
          <w:rFonts w:hint="eastAsia"/>
          <w:b/>
          <w:bCs/>
          <w:color w:val="auto"/>
          <w:highlight w:val="none"/>
        </w:rPr>
        <w:t xml:space="preserve"> </w:t>
      </w:r>
      <w:r>
        <w:rPr>
          <w:rFonts w:hint="eastAsia" w:hAnsi="宋体"/>
          <w:b/>
          <w:bCs/>
          <w:color w:val="auto"/>
          <w:szCs w:val="21"/>
          <w:highlight w:val="none"/>
        </w:rPr>
        <w:t>一、</w:t>
      </w:r>
      <w:r>
        <w:rPr>
          <w:rFonts w:hAnsi="宋体"/>
          <w:b/>
          <w:bCs/>
          <w:color w:val="auto"/>
          <w:szCs w:val="21"/>
          <w:highlight w:val="none"/>
        </w:rPr>
        <w:t>商务评审得分</w:t>
      </w:r>
      <w:r>
        <w:rPr>
          <w:rFonts w:hint="eastAsia" w:hAnsi="宋体"/>
          <w:b/>
          <w:bCs/>
          <w:color w:val="auto"/>
          <w:szCs w:val="21"/>
          <w:highlight w:val="none"/>
        </w:rPr>
        <w:t>（60</w:t>
      </w:r>
      <w:r>
        <w:rPr>
          <w:rFonts w:hAnsi="宋体"/>
          <w:b/>
          <w:bCs/>
          <w:color w:val="auto"/>
          <w:szCs w:val="21"/>
          <w:highlight w:val="none"/>
        </w:rPr>
        <w:t>分</w:t>
      </w:r>
      <w:r>
        <w:rPr>
          <w:rFonts w:hint="eastAsia" w:hAnsi="宋体"/>
          <w:b/>
          <w:bCs/>
          <w:color w:val="auto"/>
          <w:szCs w:val="21"/>
          <w:highlight w:val="none"/>
        </w:rPr>
        <w:t>）</w:t>
      </w:r>
    </w:p>
    <w:p w14:paraId="1C85BA93">
      <w:pPr>
        <w:spacing w:line="440" w:lineRule="exact"/>
        <w:ind w:firstLine="420" w:firstLineChars="200"/>
        <w:rPr>
          <w:rFonts w:hAnsi="宋体"/>
          <w:color w:val="auto"/>
          <w:szCs w:val="21"/>
          <w:highlight w:val="none"/>
        </w:rPr>
      </w:pPr>
      <w:r>
        <w:rPr>
          <w:rFonts w:hAnsi="宋体"/>
          <w:color w:val="auto"/>
          <w:szCs w:val="21"/>
          <w:highlight w:val="none"/>
        </w:rPr>
        <w:t>1、价格评审得分（满分</w:t>
      </w:r>
      <w:r>
        <w:rPr>
          <w:rFonts w:hint="eastAsia" w:hAnsi="宋体"/>
          <w:color w:val="auto"/>
          <w:szCs w:val="21"/>
          <w:highlight w:val="none"/>
        </w:rPr>
        <w:t>40</w:t>
      </w:r>
      <w:r>
        <w:rPr>
          <w:rFonts w:hAnsi="宋体"/>
          <w:color w:val="auto"/>
          <w:szCs w:val="21"/>
          <w:highlight w:val="none"/>
        </w:rPr>
        <w:t>分）</w:t>
      </w:r>
    </w:p>
    <w:p w14:paraId="5F22EA89">
      <w:pPr>
        <w:spacing w:line="440" w:lineRule="exact"/>
        <w:ind w:firstLine="420" w:firstLineChars="200"/>
        <w:rPr>
          <w:rFonts w:hAnsi="宋体"/>
          <w:color w:val="auto"/>
          <w:szCs w:val="21"/>
          <w:highlight w:val="none"/>
        </w:rPr>
      </w:pPr>
      <w:r>
        <w:rPr>
          <w:rFonts w:hAnsi="宋体"/>
          <w:color w:val="auto"/>
          <w:szCs w:val="21"/>
          <w:highlight w:val="none"/>
        </w:rPr>
        <w:t>以所有有效投标人评标价的算术平均值（如投标人超过5家（含5家），则去掉一个最高价和一个最低价后计算算术平均值）下浮</w:t>
      </w:r>
      <w:r>
        <w:rPr>
          <w:rFonts w:hint="eastAsia" w:hAnsi="宋体"/>
          <w:color w:val="auto"/>
          <w:szCs w:val="21"/>
          <w:highlight w:val="none"/>
        </w:rPr>
        <w:t>5</w:t>
      </w:r>
      <w:r>
        <w:rPr>
          <w:rFonts w:hAnsi="宋体"/>
          <w:color w:val="auto"/>
          <w:szCs w:val="21"/>
          <w:highlight w:val="none"/>
        </w:rPr>
        <w:t>%作为基准价得满分</w:t>
      </w:r>
      <w:r>
        <w:rPr>
          <w:rFonts w:hint="eastAsia" w:hAnsi="宋体"/>
          <w:color w:val="auto"/>
          <w:szCs w:val="21"/>
          <w:highlight w:val="none"/>
        </w:rPr>
        <w:t>40</w:t>
      </w:r>
      <w:r>
        <w:rPr>
          <w:rFonts w:hAnsi="宋体"/>
          <w:color w:val="auto"/>
          <w:szCs w:val="21"/>
          <w:highlight w:val="none"/>
        </w:rPr>
        <w:t>分，其余投标人的评标价与基准价相比，投标人评标价每高基准价1%扣</w:t>
      </w:r>
      <w:r>
        <w:rPr>
          <w:rFonts w:hint="eastAsia" w:hAnsi="宋体"/>
          <w:color w:val="auto"/>
          <w:szCs w:val="21"/>
          <w:highlight w:val="none"/>
        </w:rPr>
        <w:t>1</w:t>
      </w:r>
      <w:r>
        <w:rPr>
          <w:rFonts w:hAnsi="宋体"/>
          <w:color w:val="auto"/>
          <w:szCs w:val="21"/>
          <w:highlight w:val="none"/>
        </w:rPr>
        <w:t>分，每低基准价1%的扣0.</w:t>
      </w:r>
      <w:r>
        <w:rPr>
          <w:rFonts w:hint="eastAsia" w:hAnsi="宋体"/>
          <w:color w:val="auto"/>
          <w:szCs w:val="21"/>
          <w:highlight w:val="none"/>
        </w:rPr>
        <w:t>3</w:t>
      </w:r>
      <w:r>
        <w:rPr>
          <w:rFonts w:hAnsi="宋体"/>
          <w:color w:val="auto"/>
          <w:szCs w:val="21"/>
          <w:highlight w:val="none"/>
        </w:rPr>
        <w:t xml:space="preserve">分，扣完为止（保留两位小数）。 </w:t>
      </w:r>
    </w:p>
    <w:p w14:paraId="68617774">
      <w:pPr>
        <w:spacing w:line="440" w:lineRule="exact"/>
        <w:ind w:firstLine="420" w:firstLineChars="200"/>
        <w:rPr>
          <w:rFonts w:hAnsi="宋体"/>
          <w:color w:val="auto"/>
          <w:szCs w:val="21"/>
          <w:highlight w:val="none"/>
        </w:rPr>
      </w:pPr>
      <w:r>
        <w:rPr>
          <w:rFonts w:hAnsi="宋体"/>
          <w:color w:val="auto"/>
          <w:szCs w:val="21"/>
          <w:highlight w:val="none"/>
        </w:rPr>
        <w:t>2、商务条款评审得分（满分</w:t>
      </w:r>
      <w:r>
        <w:rPr>
          <w:rFonts w:hint="eastAsia" w:hAnsi="宋体"/>
          <w:color w:val="auto"/>
          <w:szCs w:val="21"/>
          <w:highlight w:val="none"/>
        </w:rPr>
        <w:t>10</w:t>
      </w:r>
      <w:r>
        <w:rPr>
          <w:rFonts w:hAnsi="宋体"/>
          <w:color w:val="auto"/>
          <w:szCs w:val="21"/>
          <w:highlight w:val="none"/>
        </w:rPr>
        <w:t>分）</w:t>
      </w:r>
    </w:p>
    <w:p w14:paraId="4E89E502">
      <w:pPr>
        <w:spacing w:line="440" w:lineRule="exact"/>
        <w:ind w:firstLine="420" w:firstLineChars="200"/>
        <w:rPr>
          <w:rFonts w:hAnsi="宋体"/>
          <w:color w:val="auto"/>
          <w:szCs w:val="21"/>
          <w:highlight w:val="none"/>
        </w:rPr>
      </w:pPr>
      <w:r>
        <w:rPr>
          <w:rFonts w:hAnsi="宋体"/>
          <w:color w:val="auto"/>
          <w:szCs w:val="21"/>
          <w:highlight w:val="none"/>
        </w:rPr>
        <w:t>A、交货期</w:t>
      </w:r>
      <w:r>
        <w:rPr>
          <w:rFonts w:hint="eastAsia" w:hAnsi="宋体"/>
          <w:color w:val="auto"/>
          <w:szCs w:val="21"/>
          <w:highlight w:val="none"/>
        </w:rPr>
        <w:t>：</w:t>
      </w:r>
      <w:r>
        <w:rPr>
          <w:rFonts w:hAnsi="宋体"/>
          <w:color w:val="auto"/>
          <w:szCs w:val="21"/>
          <w:highlight w:val="none"/>
        </w:rPr>
        <w:t>满足招标文件要求得</w:t>
      </w:r>
      <w:r>
        <w:rPr>
          <w:rFonts w:hint="eastAsia" w:hAnsi="宋体"/>
          <w:color w:val="auto"/>
          <w:szCs w:val="21"/>
          <w:highlight w:val="none"/>
        </w:rPr>
        <w:t>基本分</w:t>
      </w:r>
      <w:r>
        <w:rPr>
          <w:rFonts w:hAnsi="宋体"/>
          <w:color w:val="auto"/>
          <w:szCs w:val="21"/>
          <w:highlight w:val="none"/>
        </w:rPr>
        <w:t>1分，不满足招标文件要求得0分</w:t>
      </w:r>
      <w:r>
        <w:rPr>
          <w:rFonts w:hint="eastAsia" w:hAnsi="宋体"/>
          <w:color w:val="auto"/>
          <w:szCs w:val="21"/>
          <w:highlight w:val="none"/>
        </w:rPr>
        <w:t>，每提前一周加1分，</w:t>
      </w:r>
      <w:r>
        <w:rPr>
          <w:rFonts w:hAnsi="宋体"/>
          <w:color w:val="auto"/>
          <w:szCs w:val="21"/>
          <w:highlight w:val="none"/>
        </w:rPr>
        <w:t>满分</w:t>
      </w:r>
      <w:r>
        <w:rPr>
          <w:rFonts w:hint="eastAsia" w:hAnsi="宋体"/>
          <w:color w:val="auto"/>
          <w:szCs w:val="21"/>
          <w:highlight w:val="none"/>
        </w:rPr>
        <w:t>3</w:t>
      </w:r>
      <w:r>
        <w:rPr>
          <w:rFonts w:hAnsi="宋体"/>
          <w:color w:val="auto"/>
          <w:szCs w:val="21"/>
          <w:highlight w:val="none"/>
        </w:rPr>
        <w:t>分。</w:t>
      </w:r>
    </w:p>
    <w:p w14:paraId="625BE5BC">
      <w:pPr>
        <w:spacing w:line="440" w:lineRule="exact"/>
        <w:ind w:firstLine="420" w:firstLineChars="200"/>
        <w:rPr>
          <w:rFonts w:hAnsi="宋体"/>
          <w:color w:val="auto"/>
          <w:szCs w:val="21"/>
          <w:highlight w:val="none"/>
        </w:rPr>
      </w:pPr>
      <w:r>
        <w:rPr>
          <w:rFonts w:hAnsi="宋体"/>
          <w:color w:val="auto"/>
          <w:szCs w:val="21"/>
          <w:highlight w:val="none"/>
        </w:rPr>
        <w:t>B、投标人的财务实力与资信，满分</w:t>
      </w:r>
      <w:r>
        <w:rPr>
          <w:rFonts w:hint="eastAsia" w:hAnsi="宋体"/>
          <w:color w:val="auto"/>
          <w:szCs w:val="21"/>
          <w:highlight w:val="none"/>
        </w:rPr>
        <w:t>2</w:t>
      </w:r>
      <w:r>
        <w:rPr>
          <w:rFonts w:hAnsi="宋体"/>
          <w:color w:val="auto"/>
          <w:szCs w:val="21"/>
          <w:highlight w:val="none"/>
        </w:rPr>
        <w:t>分。以各投标人投标文件中所提供和其他所有公开披露的财务实力、资信情况进行打分。</w:t>
      </w:r>
    </w:p>
    <w:p w14:paraId="2D9D3AD8">
      <w:pPr>
        <w:spacing w:line="440" w:lineRule="exact"/>
        <w:ind w:firstLine="420" w:firstLineChars="200"/>
        <w:rPr>
          <w:rFonts w:hAnsi="宋体"/>
          <w:color w:val="auto"/>
          <w:szCs w:val="21"/>
          <w:highlight w:val="none"/>
        </w:rPr>
      </w:pPr>
      <w:r>
        <w:rPr>
          <w:rFonts w:hint="eastAsia" w:hAnsi="宋体"/>
          <w:color w:val="auto"/>
          <w:szCs w:val="21"/>
          <w:highlight w:val="none"/>
        </w:rPr>
        <w:t>C、投标人的认证及专利情况，满分5分。（复印件加盖企业公章，原件备查），</w:t>
      </w:r>
    </w:p>
    <w:p w14:paraId="3761A76A">
      <w:pPr>
        <w:spacing w:line="440" w:lineRule="exact"/>
        <w:ind w:firstLine="420" w:firstLineChars="200"/>
        <w:rPr>
          <w:color w:val="auto"/>
          <w:highlight w:val="none"/>
        </w:rPr>
      </w:pPr>
      <w:r>
        <w:rPr>
          <w:rFonts w:hint="eastAsia"/>
          <w:color w:val="auto"/>
          <w:highlight w:val="none"/>
        </w:rPr>
        <w:t>根据投标人近3年内的认证及专利情况进行打分，有1个得1分，如有自来水营收管理系统方面的软著或专利的，有一个得2分。（</w:t>
      </w:r>
      <w:r>
        <w:rPr>
          <w:rFonts w:hint="eastAsia" w:ascii="宋体" w:hAnsi="宋体" w:cs="宋体"/>
          <w:bCs/>
          <w:color w:val="auto"/>
          <w:kern w:val="0"/>
          <w:szCs w:val="21"/>
          <w:highlight w:val="none"/>
        </w:rPr>
        <w:t>复印件加盖企业公章，原件备查）</w:t>
      </w:r>
    </w:p>
    <w:p w14:paraId="1A78289D">
      <w:pPr>
        <w:spacing w:line="440" w:lineRule="exact"/>
        <w:ind w:firstLine="420" w:firstLineChars="200"/>
        <w:rPr>
          <w:rFonts w:hAnsi="宋体"/>
          <w:color w:val="auto"/>
          <w:szCs w:val="21"/>
          <w:highlight w:val="none"/>
        </w:rPr>
      </w:pPr>
      <w:r>
        <w:rPr>
          <w:rFonts w:hAnsi="宋体"/>
          <w:color w:val="auto"/>
          <w:szCs w:val="21"/>
          <w:highlight w:val="none"/>
        </w:rPr>
        <w:t>3、销售业绩得分（满分</w:t>
      </w:r>
      <w:r>
        <w:rPr>
          <w:rFonts w:hint="eastAsia" w:hAnsi="宋体"/>
          <w:color w:val="auto"/>
          <w:szCs w:val="21"/>
          <w:highlight w:val="none"/>
        </w:rPr>
        <w:t>10</w:t>
      </w:r>
      <w:r>
        <w:rPr>
          <w:rFonts w:hAnsi="宋体"/>
          <w:color w:val="auto"/>
          <w:szCs w:val="21"/>
          <w:highlight w:val="none"/>
        </w:rPr>
        <w:t>分）</w:t>
      </w:r>
    </w:p>
    <w:p w14:paraId="2F865947">
      <w:pPr>
        <w:spacing w:line="440" w:lineRule="exact"/>
        <w:ind w:firstLine="420" w:firstLineChars="200"/>
        <w:rPr>
          <w:rFonts w:hAnsi="宋体"/>
          <w:color w:val="auto"/>
          <w:szCs w:val="21"/>
          <w:highlight w:val="none"/>
        </w:rPr>
      </w:pPr>
      <w:r>
        <w:rPr>
          <w:rFonts w:hAnsi="宋体"/>
          <w:color w:val="auto"/>
          <w:szCs w:val="21"/>
          <w:highlight w:val="none"/>
        </w:rPr>
        <w:t>根据投标人201</w:t>
      </w:r>
      <w:r>
        <w:rPr>
          <w:rFonts w:hint="eastAsia" w:hAnsi="宋体"/>
          <w:color w:val="auto"/>
          <w:szCs w:val="21"/>
          <w:highlight w:val="none"/>
        </w:rPr>
        <w:t>8</w:t>
      </w:r>
      <w:r>
        <w:rPr>
          <w:rFonts w:hAnsi="宋体"/>
          <w:color w:val="auto"/>
          <w:szCs w:val="21"/>
          <w:highlight w:val="none"/>
        </w:rPr>
        <w:t>年至今（以合同签订时间为准）</w:t>
      </w:r>
      <w:r>
        <w:rPr>
          <w:rFonts w:hint="eastAsia" w:hAnsi="宋体"/>
          <w:color w:val="auto"/>
          <w:szCs w:val="21"/>
          <w:highlight w:val="none"/>
        </w:rPr>
        <w:t>本招标项目</w:t>
      </w:r>
      <w:r>
        <w:rPr>
          <w:rFonts w:hAnsi="宋体"/>
          <w:color w:val="auto"/>
          <w:szCs w:val="21"/>
          <w:highlight w:val="none"/>
        </w:rPr>
        <w:t>类似</w:t>
      </w:r>
      <w:r>
        <w:rPr>
          <w:rFonts w:hint="eastAsia" w:hAnsi="宋体"/>
          <w:color w:val="auto"/>
          <w:szCs w:val="21"/>
          <w:highlight w:val="none"/>
        </w:rPr>
        <w:t>服务</w:t>
      </w:r>
      <w:r>
        <w:rPr>
          <w:rFonts w:hAnsi="宋体"/>
          <w:color w:val="auto"/>
          <w:szCs w:val="21"/>
          <w:highlight w:val="none"/>
        </w:rPr>
        <w:t>销售业绩情况</w:t>
      </w:r>
      <w:r>
        <w:rPr>
          <w:rFonts w:hint="eastAsia" w:hAnsi="宋体"/>
          <w:color w:val="auto"/>
          <w:szCs w:val="21"/>
          <w:highlight w:val="none"/>
        </w:rPr>
        <w:t>打分</w:t>
      </w:r>
      <w:r>
        <w:rPr>
          <w:rFonts w:hAnsi="宋体"/>
          <w:color w:val="auto"/>
          <w:szCs w:val="21"/>
          <w:highlight w:val="none"/>
        </w:rPr>
        <w:t>，</w:t>
      </w:r>
      <w:r>
        <w:rPr>
          <w:rFonts w:hint="eastAsia" w:hAnsi="宋体"/>
          <w:color w:val="auto"/>
          <w:szCs w:val="21"/>
          <w:highlight w:val="none"/>
        </w:rPr>
        <w:t>每提供一项业绩得1分，如</w:t>
      </w:r>
      <w:r>
        <w:rPr>
          <w:rFonts w:hint="eastAsia"/>
          <w:color w:val="auto"/>
          <w:highlight w:val="none"/>
        </w:rPr>
        <w:t>有自来水软件相关系统开发实施项目业绩的，每提供1个得2分</w:t>
      </w:r>
      <w:r>
        <w:rPr>
          <w:rFonts w:hint="eastAsia" w:hAnsi="宋体"/>
          <w:color w:val="auto"/>
          <w:szCs w:val="21"/>
          <w:highlight w:val="none"/>
        </w:rPr>
        <w:t>；</w:t>
      </w:r>
      <w:r>
        <w:rPr>
          <w:rFonts w:hint="eastAsia"/>
          <w:color w:val="auto"/>
          <w:highlight w:val="none"/>
        </w:rPr>
        <w:t>（</w:t>
      </w:r>
      <w:r>
        <w:rPr>
          <w:rFonts w:hAnsi="宋体"/>
          <w:color w:val="auto"/>
          <w:szCs w:val="21"/>
          <w:highlight w:val="none"/>
        </w:rPr>
        <w:t>提供</w:t>
      </w:r>
      <w:r>
        <w:rPr>
          <w:rFonts w:hint="eastAsia" w:ascii="宋体" w:hAnsi="宋体" w:cs="宋体"/>
          <w:bCs/>
          <w:color w:val="auto"/>
          <w:kern w:val="0"/>
          <w:szCs w:val="21"/>
          <w:highlight w:val="none"/>
        </w:rPr>
        <w:t>合同复印件并加盖企业公章，原件备查，未提供者不得分）</w:t>
      </w:r>
    </w:p>
    <w:p w14:paraId="4B7A506B">
      <w:pPr>
        <w:spacing w:line="440" w:lineRule="exact"/>
        <w:ind w:firstLine="422" w:firstLineChars="200"/>
        <w:rPr>
          <w:rFonts w:hAnsi="宋体"/>
          <w:b/>
          <w:bCs/>
          <w:color w:val="auto"/>
          <w:szCs w:val="21"/>
          <w:highlight w:val="none"/>
        </w:rPr>
      </w:pPr>
      <w:r>
        <w:rPr>
          <w:rFonts w:hint="eastAsia" w:hAnsi="宋体"/>
          <w:b/>
          <w:bCs/>
          <w:color w:val="auto"/>
          <w:szCs w:val="21"/>
          <w:highlight w:val="none"/>
        </w:rPr>
        <w:t>二、</w:t>
      </w:r>
      <w:r>
        <w:rPr>
          <w:rFonts w:hAnsi="宋体"/>
          <w:b/>
          <w:bCs/>
          <w:color w:val="auto"/>
          <w:szCs w:val="21"/>
          <w:highlight w:val="none"/>
        </w:rPr>
        <w:t>技术评审得分（满分</w:t>
      </w:r>
      <w:r>
        <w:rPr>
          <w:rFonts w:hint="eastAsia" w:hAnsi="宋体"/>
          <w:b/>
          <w:bCs/>
          <w:color w:val="auto"/>
          <w:szCs w:val="21"/>
          <w:highlight w:val="none"/>
        </w:rPr>
        <w:t>40</w:t>
      </w:r>
      <w:r>
        <w:rPr>
          <w:rFonts w:hAnsi="宋体"/>
          <w:b/>
          <w:bCs/>
          <w:color w:val="auto"/>
          <w:szCs w:val="21"/>
          <w:highlight w:val="none"/>
        </w:rPr>
        <w:t>分）</w:t>
      </w:r>
    </w:p>
    <w:p w14:paraId="603407E0">
      <w:pPr>
        <w:spacing w:line="440" w:lineRule="exact"/>
        <w:ind w:firstLine="420" w:firstLineChars="200"/>
        <w:rPr>
          <w:rFonts w:ascii="宋体" w:hAnsi="宋体" w:cs="宋体"/>
          <w:color w:val="auto"/>
          <w:szCs w:val="21"/>
          <w:highlight w:val="none"/>
        </w:rPr>
      </w:pPr>
      <w:r>
        <w:rPr>
          <w:rFonts w:hint="eastAsia" w:hAnsi="宋体"/>
          <w:color w:val="auto"/>
          <w:szCs w:val="21"/>
          <w:highlight w:val="none"/>
        </w:rPr>
        <w:t>1、</w:t>
      </w:r>
      <w:r>
        <w:rPr>
          <w:rFonts w:hAnsi="宋体"/>
          <w:color w:val="auto"/>
          <w:szCs w:val="21"/>
          <w:highlight w:val="none"/>
        </w:rPr>
        <w:t>技术文件编制齐全性和响应性</w:t>
      </w:r>
      <w:r>
        <w:rPr>
          <w:rFonts w:hint="eastAsia" w:hAnsi="宋体"/>
          <w:color w:val="auto"/>
          <w:szCs w:val="21"/>
          <w:highlight w:val="none"/>
        </w:rPr>
        <w:t>（</w:t>
      </w:r>
      <w:r>
        <w:rPr>
          <w:rFonts w:hAnsi="宋体"/>
          <w:color w:val="auto"/>
          <w:szCs w:val="21"/>
          <w:highlight w:val="none"/>
        </w:rPr>
        <w:t xml:space="preserve"> 满分</w:t>
      </w:r>
      <w:r>
        <w:rPr>
          <w:rFonts w:hint="eastAsia" w:hAnsi="宋体"/>
          <w:color w:val="auto"/>
          <w:szCs w:val="21"/>
          <w:highlight w:val="none"/>
        </w:rPr>
        <w:t>2</w:t>
      </w:r>
      <w:r>
        <w:rPr>
          <w:rFonts w:hAnsi="宋体"/>
          <w:color w:val="auto"/>
          <w:szCs w:val="21"/>
          <w:highlight w:val="none"/>
        </w:rPr>
        <w:t>分</w:t>
      </w:r>
      <w:r>
        <w:rPr>
          <w:rFonts w:hint="eastAsia" w:hAnsi="宋体"/>
          <w:color w:val="auto"/>
          <w:szCs w:val="21"/>
          <w:highlight w:val="none"/>
        </w:rPr>
        <w:t>）</w:t>
      </w:r>
      <w:r>
        <w:rPr>
          <w:rFonts w:hint="eastAsia" w:ascii="宋体" w:hAnsi="宋体" w:cs="宋体"/>
          <w:color w:val="auto"/>
          <w:szCs w:val="21"/>
          <w:highlight w:val="none"/>
        </w:rPr>
        <w:t xml:space="preserve"> </w:t>
      </w:r>
    </w:p>
    <w:p w14:paraId="47424C38">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根据技术文件编制的齐全性酌情打分，基本分1分。</w:t>
      </w:r>
    </w:p>
    <w:p w14:paraId="5C5D0DDF">
      <w:pPr>
        <w:spacing w:line="440" w:lineRule="exact"/>
        <w:ind w:firstLine="420" w:firstLineChars="200"/>
        <w:rPr>
          <w:rFonts w:hAnsi="宋体"/>
          <w:color w:val="auto"/>
          <w:szCs w:val="21"/>
          <w:highlight w:val="none"/>
        </w:rPr>
      </w:pPr>
      <w:r>
        <w:rPr>
          <w:rFonts w:hint="eastAsia"/>
          <w:color w:val="auto"/>
          <w:highlight w:val="none"/>
        </w:rPr>
        <w:t>2、技术响应、设计方案及质量保证措施等</w:t>
      </w:r>
      <w:r>
        <w:rPr>
          <w:rFonts w:hAnsi="宋体"/>
          <w:color w:val="auto"/>
          <w:szCs w:val="21"/>
          <w:highlight w:val="none"/>
        </w:rPr>
        <w:t>，满分</w:t>
      </w:r>
      <w:r>
        <w:rPr>
          <w:rFonts w:hint="eastAsia" w:hAnsi="宋体"/>
          <w:color w:val="auto"/>
          <w:szCs w:val="21"/>
          <w:highlight w:val="none"/>
        </w:rPr>
        <w:t>38</w:t>
      </w:r>
      <w:r>
        <w:rPr>
          <w:rFonts w:hAnsi="宋体"/>
          <w:color w:val="auto"/>
          <w:szCs w:val="21"/>
          <w:highlight w:val="none"/>
        </w:rPr>
        <w:t>分。</w:t>
      </w:r>
    </w:p>
    <w:p w14:paraId="7482A2B3">
      <w:pPr>
        <w:spacing w:line="440" w:lineRule="exact"/>
        <w:ind w:firstLine="420" w:firstLineChars="200"/>
        <w:rPr>
          <w:rFonts w:hAnsi="宋体"/>
          <w:color w:val="auto"/>
          <w:szCs w:val="21"/>
          <w:highlight w:val="none"/>
        </w:rPr>
      </w:pPr>
      <w:r>
        <w:rPr>
          <w:rFonts w:hint="eastAsia" w:hAnsi="宋体"/>
          <w:color w:val="auto"/>
          <w:szCs w:val="21"/>
          <w:highlight w:val="none"/>
        </w:rPr>
        <w:t>2.1 根据投标文件中提供的</w:t>
      </w:r>
      <w:r>
        <w:rPr>
          <w:rFonts w:hAnsi="宋体"/>
          <w:color w:val="auto"/>
          <w:szCs w:val="21"/>
          <w:highlight w:val="none"/>
        </w:rPr>
        <w:t>技术指标、参数响应招标文件的情况评审</w:t>
      </w:r>
      <w:r>
        <w:rPr>
          <w:rFonts w:hint="eastAsia" w:hAnsi="宋体"/>
          <w:color w:val="auto"/>
          <w:szCs w:val="21"/>
          <w:highlight w:val="none"/>
        </w:rPr>
        <w:t>（满分25</w:t>
      </w:r>
      <w:r>
        <w:rPr>
          <w:rFonts w:hAnsi="宋体"/>
          <w:color w:val="auto"/>
          <w:szCs w:val="21"/>
          <w:highlight w:val="none"/>
        </w:rPr>
        <w:t>分</w:t>
      </w:r>
      <w:r>
        <w:rPr>
          <w:rFonts w:hint="eastAsia" w:hAnsi="宋体"/>
          <w:color w:val="auto"/>
          <w:szCs w:val="21"/>
          <w:highlight w:val="none"/>
        </w:rPr>
        <w:t>）</w:t>
      </w:r>
    </w:p>
    <w:p w14:paraId="3C69B7FF">
      <w:pPr>
        <w:spacing w:line="440" w:lineRule="exact"/>
        <w:ind w:firstLine="420" w:firstLineChars="200"/>
        <w:rPr>
          <w:rFonts w:hAnsi="宋体"/>
          <w:color w:val="auto"/>
          <w:szCs w:val="21"/>
          <w:highlight w:val="none"/>
        </w:rPr>
      </w:pPr>
      <w:r>
        <w:rPr>
          <w:rFonts w:hint="eastAsia" w:hAnsi="宋体"/>
          <w:color w:val="auto"/>
          <w:szCs w:val="21"/>
          <w:highlight w:val="none"/>
        </w:rPr>
        <w:t>全部响应</w:t>
      </w:r>
      <w:r>
        <w:rPr>
          <w:rFonts w:hAnsi="宋体"/>
          <w:color w:val="auto"/>
          <w:szCs w:val="21"/>
          <w:highlight w:val="none"/>
        </w:rPr>
        <w:t>招标文件要</w:t>
      </w:r>
      <w:r>
        <w:rPr>
          <w:rFonts w:hint="eastAsia" w:hAnsi="宋体"/>
          <w:color w:val="auto"/>
          <w:szCs w:val="21"/>
          <w:highlight w:val="none"/>
        </w:rPr>
        <w:t>求</w:t>
      </w:r>
      <w:r>
        <w:rPr>
          <w:rFonts w:hAnsi="宋体"/>
          <w:color w:val="auto"/>
          <w:szCs w:val="21"/>
          <w:highlight w:val="none"/>
        </w:rPr>
        <w:t>的技术指标、参数要求的得基本分</w:t>
      </w:r>
      <w:r>
        <w:rPr>
          <w:rFonts w:hint="eastAsia" w:hAnsi="宋体"/>
          <w:color w:val="auto"/>
          <w:szCs w:val="21"/>
          <w:highlight w:val="none"/>
        </w:rPr>
        <w:t>20</w:t>
      </w:r>
      <w:r>
        <w:rPr>
          <w:rFonts w:hAnsi="宋体"/>
          <w:color w:val="auto"/>
          <w:szCs w:val="21"/>
          <w:highlight w:val="none"/>
        </w:rPr>
        <w:t>分</w:t>
      </w:r>
      <w:r>
        <w:rPr>
          <w:rFonts w:hint="eastAsia" w:hAnsi="宋体"/>
          <w:color w:val="auto"/>
          <w:szCs w:val="21"/>
          <w:highlight w:val="none"/>
        </w:rPr>
        <w:t>，技术指标、参数优于招标文件要求的，可适当加分；有三条以上未响应的该项得零分，其余酌情打分</w:t>
      </w:r>
      <w:r>
        <w:rPr>
          <w:rFonts w:hAnsi="宋体"/>
          <w:color w:val="auto"/>
          <w:szCs w:val="21"/>
          <w:highlight w:val="none"/>
        </w:rPr>
        <w:t>。</w:t>
      </w:r>
    </w:p>
    <w:p w14:paraId="605A6080">
      <w:pPr>
        <w:pStyle w:val="9"/>
        <w:spacing w:line="440" w:lineRule="exact"/>
        <w:ind w:firstLine="420" w:firstLineChars="20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2.2 根据投标文件中提供的设计方案和质量保证措施进行评审（满分8分）</w:t>
      </w:r>
    </w:p>
    <w:p w14:paraId="27CCFE6B">
      <w:pPr>
        <w:pStyle w:val="9"/>
        <w:spacing w:line="440" w:lineRule="exact"/>
        <w:ind w:firstLine="420" w:firstLineChars="20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技术方案合理、内容充实，可操作性强，质量保证措施合理、可行，优秀得6-8分，良好得3-5分，一般1-2分，没有内容不得分。</w:t>
      </w:r>
    </w:p>
    <w:p w14:paraId="1C0F3318">
      <w:pPr>
        <w:autoSpaceDE w:val="0"/>
        <w:autoSpaceDN w:val="0"/>
        <w:adjustRightInd w:val="0"/>
        <w:snapToGrid w:val="0"/>
        <w:spacing w:line="440" w:lineRule="exact"/>
        <w:ind w:firstLine="420" w:firstLineChars="200"/>
        <w:rPr>
          <w:rFonts w:ascii="宋体" w:hAnsi="宋体" w:cs="宋体"/>
          <w:b/>
          <w:bCs/>
          <w:color w:val="auto"/>
          <w:szCs w:val="21"/>
          <w:highlight w:val="none"/>
        </w:rPr>
      </w:pPr>
      <w:r>
        <w:rPr>
          <w:rFonts w:hint="eastAsia" w:ascii="宋体" w:hAnsi="宋体"/>
          <w:color w:val="auto"/>
          <w:szCs w:val="21"/>
          <w:highlight w:val="none"/>
        </w:rPr>
        <w:t xml:space="preserve">2.3 </w:t>
      </w:r>
      <w:r>
        <w:rPr>
          <w:rFonts w:hint="eastAsia" w:ascii="宋体" w:hAnsi="宋体" w:cs="宋体"/>
          <w:color w:val="auto"/>
          <w:szCs w:val="21"/>
          <w:highlight w:val="none"/>
        </w:rPr>
        <w:t>售后服务得分（满分5分）</w:t>
      </w:r>
    </w:p>
    <w:p w14:paraId="427613F1">
      <w:pPr>
        <w:autoSpaceDE w:val="0"/>
        <w:autoSpaceDN w:val="0"/>
        <w:adjustRightInd w:val="0"/>
        <w:snapToGrid w:val="0"/>
        <w:spacing w:line="440" w:lineRule="exact"/>
        <w:ind w:firstLine="420" w:firstLineChars="200"/>
        <w:rPr>
          <w:rFonts w:ascii="宋体" w:hAnsi="宋体"/>
          <w:color w:val="auto"/>
          <w:szCs w:val="21"/>
          <w:highlight w:val="none"/>
        </w:rPr>
      </w:pPr>
      <w:r>
        <w:rPr>
          <w:rFonts w:hint="eastAsia" w:ascii="宋体" w:hAnsi="宋体" w:cs="宋体"/>
          <w:color w:val="auto"/>
          <w:szCs w:val="21"/>
          <w:highlight w:val="none"/>
        </w:rPr>
        <w:t>评委会将根据售后服务的响应时间、方式以及良好的售后服务体系及措施进行打分。</w:t>
      </w:r>
    </w:p>
    <w:p w14:paraId="33A8B52A">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七、定标</w:t>
      </w:r>
    </w:p>
    <w:p w14:paraId="662BFFF3">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1、评标委员会完成评标后，应当向招标人提出书面评标报告，阐明评标委员会对各投标文件的评审和比较意见，并按照招标文件中规定的评标方法，推荐1名有排序的合格中标候选人。</w:t>
      </w:r>
    </w:p>
    <w:p w14:paraId="21FAFCB7">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2、排序原则：</w:t>
      </w:r>
      <w:bookmarkStart w:id="2" w:name="EBf789983cee30437ab035183346e9fc54"/>
      <w:r>
        <w:rPr>
          <w:rFonts w:hint="eastAsia" w:ascii="宋体" w:hAnsi="宋体"/>
          <w:color w:val="auto"/>
          <w:szCs w:val="21"/>
          <w:highlight w:val="none"/>
        </w:rPr>
        <w:t>（1）能够满足招标文件的实质性要求；（2）经评审的得分高低。</w:t>
      </w:r>
      <w:bookmarkEnd w:id="2"/>
    </w:p>
    <w:p w14:paraId="5E08C05B">
      <w:pPr>
        <w:autoSpaceDE w:val="0"/>
        <w:autoSpaceDN w:val="0"/>
        <w:adjustRightInd w:val="0"/>
        <w:snapToGrid w:val="0"/>
        <w:spacing w:line="440" w:lineRule="exact"/>
        <w:ind w:firstLine="561"/>
        <w:rPr>
          <w:rFonts w:ascii="宋体" w:hAnsi="宋体"/>
          <w:color w:val="auto"/>
          <w:szCs w:val="21"/>
          <w:highlight w:val="none"/>
        </w:rPr>
      </w:pPr>
      <w:r>
        <w:rPr>
          <w:rFonts w:hint="eastAsia" w:ascii="宋体" w:hAnsi="宋体"/>
          <w:color w:val="auto"/>
          <w:szCs w:val="21"/>
          <w:highlight w:val="none"/>
        </w:rPr>
        <w:t>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5B2661AF">
      <w:pPr>
        <w:autoSpaceDE w:val="0"/>
        <w:autoSpaceDN w:val="0"/>
        <w:adjustRightInd w:val="0"/>
        <w:snapToGrid w:val="0"/>
        <w:spacing w:line="440" w:lineRule="exact"/>
        <w:ind w:firstLine="561"/>
        <w:rPr>
          <w:rFonts w:ascii="宋体" w:hAnsi="宋体"/>
          <w:color w:val="auto"/>
          <w:szCs w:val="21"/>
          <w:highlight w:val="none"/>
        </w:rPr>
      </w:pPr>
    </w:p>
    <w:p w14:paraId="69721B68">
      <w:pPr>
        <w:autoSpaceDE w:val="0"/>
        <w:autoSpaceDN w:val="0"/>
        <w:adjustRightInd w:val="0"/>
        <w:snapToGrid w:val="0"/>
        <w:spacing w:line="440" w:lineRule="exact"/>
        <w:ind w:firstLine="561"/>
        <w:rPr>
          <w:rFonts w:ascii="宋体" w:hAnsi="宋体"/>
          <w:color w:val="auto"/>
          <w:szCs w:val="21"/>
          <w:highlight w:val="none"/>
        </w:rPr>
      </w:pPr>
    </w:p>
    <w:p w14:paraId="0F07D69C">
      <w:pPr>
        <w:autoSpaceDE w:val="0"/>
        <w:autoSpaceDN w:val="0"/>
        <w:adjustRightInd w:val="0"/>
        <w:snapToGrid w:val="0"/>
        <w:spacing w:line="440" w:lineRule="exact"/>
        <w:ind w:firstLine="561"/>
        <w:rPr>
          <w:rFonts w:ascii="宋体" w:hAnsi="宋体"/>
          <w:color w:val="auto"/>
          <w:szCs w:val="21"/>
          <w:highlight w:val="none"/>
        </w:rPr>
      </w:pPr>
    </w:p>
    <w:p w14:paraId="06B41775">
      <w:pPr>
        <w:autoSpaceDE w:val="0"/>
        <w:autoSpaceDN w:val="0"/>
        <w:adjustRightInd w:val="0"/>
        <w:snapToGrid w:val="0"/>
        <w:spacing w:line="440" w:lineRule="exact"/>
        <w:ind w:firstLine="561"/>
        <w:rPr>
          <w:rFonts w:ascii="宋体" w:hAnsi="宋体"/>
          <w:color w:val="auto"/>
          <w:szCs w:val="21"/>
          <w:highlight w:val="none"/>
        </w:rPr>
      </w:pPr>
    </w:p>
    <w:p w14:paraId="1C69DC82">
      <w:pPr>
        <w:autoSpaceDE w:val="0"/>
        <w:autoSpaceDN w:val="0"/>
        <w:adjustRightInd w:val="0"/>
        <w:snapToGrid w:val="0"/>
        <w:spacing w:line="440" w:lineRule="exact"/>
        <w:ind w:firstLine="561"/>
        <w:rPr>
          <w:rFonts w:ascii="宋体" w:hAnsi="宋体"/>
          <w:b/>
          <w:bCs/>
          <w:color w:val="auto"/>
          <w:sz w:val="36"/>
          <w:szCs w:val="36"/>
          <w:highlight w:val="none"/>
        </w:rPr>
      </w:pPr>
    </w:p>
    <w:p w14:paraId="2F07D908">
      <w:pPr>
        <w:autoSpaceDE w:val="0"/>
        <w:autoSpaceDN w:val="0"/>
        <w:adjustRightInd w:val="0"/>
        <w:snapToGrid w:val="0"/>
        <w:spacing w:line="440" w:lineRule="exact"/>
        <w:ind w:firstLine="561"/>
        <w:rPr>
          <w:rFonts w:ascii="宋体" w:hAnsi="宋体"/>
          <w:b/>
          <w:bCs/>
          <w:color w:val="auto"/>
          <w:sz w:val="36"/>
          <w:szCs w:val="36"/>
          <w:highlight w:val="none"/>
        </w:rPr>
      </w:pPr>
      <w:r>
        <w:rPr>
          <w:rFonts w:hint="eastAsia" w:ascii="宋体" w:hAnsi="宋体"/>
          <w:b/>
          <w:bCs/>
          <w:color w:val="auto"/>
          <w:sz w:val="36"/>
          <w:szCs w:val="36"/>
          <w:highlight w:val="none"/>
        </w:rPr>
        <w:t>八、合同格式及条款：</w:t>
      </w:r>
    </w:p>
    <w:p w14:paraId="56B3B68D">
      <w:pPr>
        <w:jc w:val="center"/>
        <w:outlineLvl w:val="0"/>
        <w:rPr>
          <w:b/>
          <w:bCs/>
          <w:color w:val="auto"/>
          <w:sz w:val="32"/>
          <w:szCs w:val="32"/>
          <w:highlight w:val="none"/>
        </w:rPr>
      </w:pPr>
      <w:r>
        <w:rPr>
          <w:rFonts w:hint="eastAsia" w:ascii="宋体" w:hAnsi="宋体"/>
          <w:b/>
          <w:bCs/>
          <w:color w:val="auto"/>
          <w:spacing w:val="28"/>
          <w:sz w:val="32"/>
          <w:szCs w:val="32"/>
          <w:highlight w:val="none"/>
        </w:rPr>
        <w:t>营业抄收管理系统升级</w:t>
      </w:r>
      <w:r>
        <w:rPr>
          <w:rFonts w:hint="eastAsia"/>
          <w:b/>
          <w:bCs/>
          <w:color w:val="auto"/>
          <w:sz w:val="32"/>
          <w:szCs w:val="32"/>
          <w:highlight w:val="none"/>
        </w:rPr>
        <w:t>开发和维护合同</w:t>
      </w:r>
    </w:p>
    <w:p w14:paraId="70403853">
      <w:pPr>
        <w:spacing w:line="440" w:lineRule="exact"/>
        <w:outlineLvl w:val="0"/>
        <w:rPr>
          <w:rFonts w:ascii="宋体" w:hAnsi="宋体"/>
          <w:b/>
          <w:color w:val="auto"/>
          <w:sz w:val="28"/>
          <w:szCs w:val="28"/>
          <w:highlight w:val="none"/>
        </w:rPr>
      </w:pPr>
    </w:p>
    <w:p w14:paraId="1912DC0D">
      <w:pPr>
        <w:spacing w:line="440" w:lineRule="exact"/>
        <w:outlineLvl w:val="0"/>
        <w:rPr>
          <w:rFonts w:ascii="宋体" w:hAnsi="宋体"/>
          <w:b/>
          <w:color w:val="auto"/>
          <w:szCs w:val="21"/>
          <w:highlight w:val="none"/>
        </w:rPr>
      </w:pPr>
      <w:r>
        <w:rPr>
          <w:rFonts w:hint="eastAsia" w:ascii="宋体" w:hAnsi="宋体"/>
          <w:b/>
          <w:color w:val="auto"/>
          <w:szCs w:val="21"/>
          <w:highlight w:val="none"/>
        </w:rPr>
        <w:t>甲方：</w:t>
      </w:r>
      <w:r>
        <w:rPr>
          <w:rFonts w:hint="eastAsia" w:ascii="宋体" w:hAnsi="宋体"/>
          <w:b/>
          <w:bCs/>
          <w:color w:val="auto"/>
          <w:szCs w:val="21"/>
          <w:highlight w:val="none"/>
        </w:rPr>
        <w:t>江苏长江水务股份有限公司</w:t>
      </w:r>
    </w:p>
    <w:p w14:paraId="20A4A0D6">
      <w:pPr>
        <w:spacing w:line="440" w:lineRule="exact"/>
        <w:rPr>
          <w:rFonts w:ascii="宋体" w:hAnsi="宋体"/>
          <w:b/>
          <w:color w:val="auto"/>
          <w:szCs w:val="21"/>
          <w:highlight w:val="none"/>
        </w:rPr>
      </w:pPr>
      <w:r>
        <w:rPr>
          <w:rFonts w:hint="eastAsia" w:ascii="宋体" w:hAnsi="宋体"/>
          <w:b/>
          <w:color w:val="auto"/>
          <w:szCs w:val="21"/>
          <w:highlight w:val="none"/>
        </w:rPr>
        <w:t>乙方：</w:t>
      </w:r>
    </w:p>
    <w:p w14:paraId="1900CA30">
      <w:pPr>
        <w:spacing w:line="440" w:lineRule="exact"/>
        <w:ind w:firstLine="420" w:firstLineChars="200"/>
        <w:rPr>
          <w:rFonts w:ascii="宋体" w:hAnsi="宋体"/>
          <w:color w:val="auto"/>
          <w:szCs w:val="21"/>
          <w:highlight w:val="none"/>
        </w:rPr>
      </w:pPr>
      <w:r>
        <w:rPr>
          <w:rFonts w:hint="eastAsia" w:ascii="宋体" w:hAnsi="宋体"/>
          <w:color w:val="auto"/>
          <w:szCs w:val="21"/>
          <w:highlight w:val="none"/>
        </w:rPr>
        <w:t>双方经过平等协商，现就甲方委托乙方</w:t>
      </w:r>
      <w:r>
        <w:rPr>
          <w:rFonts w:hint="eastAsia" w:ascii="宋体" w:hAnsi="宋体"/>
          <w:color w:val="auto"/>
          <w:szCs w:val="21"/>
          <w:highlight w:val="none"/>
          <w:u w:val="single"/>
        </w:rPr>
        <w:t xml:space="preserve">           签</w:t>
      </w:r>
      <w:r>
        <w:rPr>
          <w:rFonts w:hint="eastAsia" w:ascii="宋体" w:hAnsi="宋体"/>
          <w:color w:val="auto"/>
          <w:szCs w:val="21"/>
          <w:highlight w:val="none"/>
        </w:rPr>
        <w:t>定如下合同：</w:t>
      </w:r>
    </w:p>
    <w:p w14:paraId="3F869C23">
      <w:pPr>
        <w:spacing w:line="480" w:lineRule="exact"/>
        <w:rPr>
          <w:rFonts w:ascii="宋体" w:hAnsi="宋体"/>
          <w:b/>
          <w:bCs/>
          <w:color w:val="auto"/>
          <w:szCs w:val="21"/>
          <w:highlight w:val="none"/>
        </w:rPr>
      </w:pPr>
      <w:r>
        <w:rPr>
          <w:rFonts w:hint="eastAsia" w:ascii="宋体" w:hAnsi="宋体"/>
          <w:b/>
          <w:bCs/>
          <w:color w:val="auto"/>
          <w:szCs w:val="21"/>
          <w:highlight w:val="none"/>
        </w:rPr>
        <w:t>一、合同内容</w:t>
      </w:r>
    </w:p>
    <w:p w14:paraId="51C7483E">
      <w:pPr>
        <w:spacing w:line="480" w:lineRule="exact"/>
        <w:ind w:firstLine="420" w:firstLineChars="200"/>
        <w:rPr>
          <w:rFonts w:ascii="宋体" w:hAnsi="宋体"/>
          <w:color w:val="auto"/>
          <w:szCs w:val="21"/>
          <w:highlight w:val="none"/>
        </w:rPr>
      </w:pPr>
      <w:r>
        <w:rPr>
          <w:rFonts w:hint="eastAsia" w:ascii="宋体" w:hAnsi="宋体"/>
          <w:color w:val="auto"/>
          <w:szCs w:val="21"/>
          <w:highlight w:val="none"/>
        </w:rPr>
        <w:t>根据</w:t>
      </w:r>
      <w:r>
        <w:rPr>
          <w:rFonts w:hint="eastAsia" w:ascii="宋体" w:hAnsi="宋体"/>
          <w:bCs/>
          <w:color w:val="auto"/>
          <w:szCs w:val="21"/>
          <w:highlight w:val="none"/>
        </w:rPr>
        <w:t>江苏长江水务股份有限公司</w:t>
      </w:r>
      <w:r>
        <w:rPr>
          <w:rFonts w:hint="eastAsia" w:ascii="宋体" w:hAnsi="宋体"/>
          <w:color w:val="auto"/>
          <w:szCs w:val="21"/>
          <w:highlight w:val="none"/>
        </w:rPr>
        <w:t>招标文件相关要求，本合同的服务内容如下：</w:t>
      </w:r>
    </w:p>
    <w:tbl>
      <w:tblPr>
        <w:tblStyle w:val="20"/>
        <w:tblW w:w="9690"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179"/>
        <w:gridCol w:w="3846"/>
        <w:gridCol w:w="1395"/>
        <w:gridCol w:w="1635"/>
        <w:gridCol w:w="1635"/>
      </w:tblGrid>
      <w:tr w14:paraId="5A89412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91" w:hRule="atLeast"/>
        </w:trPr>
        <w:tc>
          <w:tcPr>
            <w:tcW w:w="1179" w:type="dxa"/>
            <w:vAlign w:val="center"/>
          </w:tcPr>
          <w:p w14:paraId="3A5EB47F">
            <w:pPr>
              <w:tabs>
                <w:tab w:val="left" w:pos="180"/>
                <w:tab w:val="left" w:pos="540"/>
                <w:tab w:val="left" w:pos="900"/>
                <w:tab w:val="left" w:pos="1260"/>
                <w:tab w:val="left" w:pos="1800"/>
              </w:tabs>
              <w:spacing w:line="480" w:lineRule="exact"/>
              <w:jc w:val="center"/>
              <w:rPr>
                <w:rFonts w:ascii="宋体" w:hAnsi="宋体"/>
                <w:bCs/>
                <w:color w:val="auto"/>
                <w:szCs w:val="21"/>
                <w:highlight w:val="none"/>
              </w:rPr>
            </w:pPr>
            <w:r>
              <w:rPr>
                <w:rFonts w:hint="eastAsia" w:ascii="宋体" w:hAnsi="宋体"/>
                <w:bCs/>
                <w:color w:val="auto"/>
                <w:szCs w:val="21"/>
                <w:highlight w:val="none"/>
              </w:rPr>
              <w:t>序号</w:t>
            </w:r>
          </w:p>
        </w:tc>
        <w:tc>
          <w:tcPr>
            <w:tcW w:w="3846" w:type="dxa"/>
            <w:vAlign w:val="center"/>
          </w:tcPr>
          <w:p w14:paraId="20C23379">
            <w:pPr>
              <w:tabs>
                <w:tab w:val="left" w:pos="180"/>
                <w:tab w:val="left" w:pos="540"/>
                <w:tab w:val="left" w:pos="900"/>
                <w:tab w:val="left" w:pos="1260"/>
                <w:tab w:val="left" w:pos="1800"/>
              </w:tabs>
              <w:spacing w:line="480" w:lineRule="exact"/>
              <w:jc w:val="center"/>
              <w:rPr>
                <w:rFonts w:ascii="宋体" w:hAnsi="宋体"/>
                <w:bCs/>
                <w:color w:val="auto"/>
                <w:szCs w:val="21"/>
                <w:highlight w:val="none"/>
              </w:rPr>
            </w:pPr>
            <w:r>
              <w:rPr>
                <w:rFonts w:hint="eastAsia" w:ascii="宋体" w:hAnsi="宋体"/>
                <w:bCs/>
                <w:color w:val="auto"/>
                <w:szCs w:val="21"/>
                <w:highlight w:val="none"/>
              </w:rPr>
              <w:t>服务项目名称</w:t>
            </w:r>
          </w:p>
        </w:tc>
        <w:tc>
          <w:tcPr>
            <w:tcW w:w="1395" w:type="dxa"/>
            <w:vAlign w:val="center"/>
          </w:tcPr>
          <w:p w14:paraId="57B81C55">
            <w:pPr>
              <w:tabs>
                <w:tab w:val="left" w:pos="180"/>
                <w:tab w:val="left" w:pos="540"/>
                <w:tab w:val="left" w:pos="900"/>
                <w:tab w:val="left" w:pos="1260"/>
                <w:tab w:val="left" w:pos="1800"/>
              </w:tabs>
              <w:spacing w:line="480" w:lineRule="exact"/>
              <w:jc w:val="center"/>
              <w:rPr>
                <w:rFonts w:ascii="宋体" w:hAnsi="宋体"/>
                <w:bCs/>
                <w:color w:val="auto"/>
                <w:szCs w:val="21"/>
                <w:highlight w:val="none"/>
              </w:rPr>
            </w:pPr>
            <w:r>
              <w:rPr>
                <w:rFonts w:hint="eastAsia" w:ascii="宋体" w:hAnsi="宋体"/>
                <w:bCs/>
                <w:color w:val="auto"/>
                <w:szCs w:val="21"/>
                <w:highlight w:val="none"/>
              </w:rPr>
              <w:t>单位</w:t>
            </w:r>
          </w:p>
        </w:tc>
        <w:tc>
          <w:tcPr>
            <w:tcW w:w="1635" w:type="dxa"/>
            <w:vAlign w:val="center"/>
          </w:tcPr>
          <w:p w14:paraId="0FEC4912">
            <w:pPr>
              <w:tabs>
                <w:tab w:val="left" w:pos="180"/>
                <w:tab w:val="left" w:pos="540"/>
                <w:tab w:val="left" w:pos="900"/>
                <w:tab w:val="left" w:pos="1260"/>
                <w:tab w:val="left" w:pos="1800"/>
              </w:tabs>
              <w:spacing w:line="480" w:lineRule="exact"/>
              <w:jc w:val="center"/>
              <w:rPr>
                <w:rFonts w:ascii="宋体" w:hAnsi="宋体"/>
                <w:bCs/>
                <w:color w:val="auto"/>
                <w:szCs w:val="21"/>
                <w:highlight w:val="none"/>
              </w:rPr>
            </w:pPr>
            <w:r>
              <w:rPr>
                <w:rFonts w:hint="eastAsia" w:ascii="宋体" w:hAnsi="宋体"/>
                <w:bCs/>
                <w:color w:val="auto"/>
                <w:szCs w:val="21"/>
                <w:highlight w:val="none"/>
              </w:rPr>
              <w:t>数量</w:t>
            </w:r>
          </w:p>
        </w:tc>
        <w:tc>
          <w:tcPr>
            <w:tcW w:w="1635" w:type="dxa"/>
            <w:vAlign w:val="center"/>
          </w:tcPr>
          <w:p w14:paraId="7C5678CA">
            <w:pPr>
              <w:tabs>
                <w:tab w:val="left" w:pos="180"/>
                <w:tab w:val="left" w:pos="540"/>
                <w:tab w:val="left" w:pos="900"/>
                <w:tab w:val="left" w:pos="1260"/>
                <w:tab w:val="left" w:pos="1800"/>
              </w:tabs>
              <w:spacing w:line="480" w:lineRule="exact"/>
              <w:jc w:val="center"/>
              <w:rPr>
                <w:rFonts w:ascii="宋体" w:hAnsi="宋体"/>
                <w:bCs/>
                <w:color w:val="auto"/>
                <w:szCs w:val="21"/>
                <w:highlight w:val="none"/>
              </w:rPr>
            </w:pPr>
            <w:r>
              <w:rPr>
                <w:rFonts w:hint="eastAsia" w:ascii="宋体" w:hAnsi="宋体"/>
                <w:bCs/>
                <w:color w:val="auto"/>
                <w:szCs w:val="21"/>
                <w:highlight w:val="none"/>
              </w:rPr>
              <w:t>金额</w:t>
            </w:r>
          </w:p>
        </w:tc>
      </w:tr>
      <w:tr w14:paraId="7F20AA0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91" w:hRule="atLeast"/>
        </w:trPr>
        <w:tc>
          <w:tcPr>
            <w:tcW w:w="1179" w:type="dxa"/>
            <w:vAlign w:val="center"/>
          </w:tcPr>
          <w:p w14:paraId="3ADAF045">
            <w:pPr>
              <w:tabs>
                <w:tab w:val="left" w:pos="180"/>
                <w:tab w:val="left" w:pos="540"/>
                <w:tab w:val="left" w:pos="900"/>
                <w:tab w:val="left" w:pos="1260"/>
                <w:tab w:val="left" w:pos="1800"/>
              </w:tabs>
              <w:spacing w:line="480" w:lineRule="exact"/>
              <w:jc w:val="center"/>
              <w:rPr>
                <w:rFonts w:ascii="宋体" w:hAnsi="宋体"/>
                <w:bCs/>
                <w:color w:val="auto"/>
                <w:szCs w:val="21"/>
                <w:highlight w:val="none"/>
              </w:rPr>
            </w:pPr>
            <w:r>
              <w:rPr>
                <w:rFonts w:hint="eastAsia" w:ascii="宋体" w:hAnsi="宋体"/>
                <w:bCs/>
                <w:color w:val="auto"/>
                <w:szCs w:val="21"/>
                <w:highlight w:val="none"/>
              </w:rPr>
              <w:t>1</w:t>
            </w:r>
          </w:p>
        </w:tc>
        <w:tc>
          <w:tcPr>
            <w:tcW w:w="3846" w:type="dxa"/>
            <w:vAlign w:val="center"/>
          </w:tcPr>
          <w:p w14:paraId="6696913C">
            <w:pPr>
              <w:tabs>
                <w:tab w:val="left" w:pos="180"/>
                <w:tab w:val="left" w:pos="540"/>
                <w:tab w:val="left" w:pos="900"/>
                <w:tab w:val="left" w:pos="1260"/>
                <w:tab w:val="left" w:pos="1800"/>
              </w:tabs>
              <w:spacing w:line="480" w:lineRule="exact"/>
              <w:jc w:val="center"/>
              <w:rPr>
                <w:rFonts w:ascii="宋体" w:hAnsi="宋体"/>
                <w:bCs/>
                <w:color w:val="auto"/>
                <w:szCs w:val="21"/>
                <w:highlight w:val="none"/>
              </w:rPr>
            </w:pPr>
            <w:r>
              <w:rPr>
                <w:rFonts w:hint="eastAsia" w:ascii="宋体" w:hAnsi="宋体"/>
                <w:bCs/>
                <w:color w:val="auto"/>
                <w:szCs w:val="21"/>
                <w:highlight w:val="none"/>
              </w:rPr>
              <w:t>营业抄收管理系统升级</w:t>
            </w:r>
          </w:p>
        </w:tc>
        <w:tc>
          <w:tcPr>
            <w:tcW w:w="1395" w:type="dxa"/>
            <w:vAlign w:val="center"/>
          </w:tcPr>
          <w:p w14:paraId="2BE0C529">
            <w:pPr>
              <w:tabs>
                <w:tab w:val="left" w:pos="180"/>
                <w:tab w:val="left" w:pos="540"/>
                <w:tab w:val="left" w:pos="900"/>
                <w:tab w:val="left" w:pos="1260"/>
                <w:tab w:val="left" w:pos="1800"/>
              </w:tabs>
              <w:spacing w:line="480" w:lineRule="exact"/>
              <w:jc w:val="center"/>
              <w:rPr>
                <w:rFonts w:ascii="宋体" w:hAnsi="宋体"/>
                <w:bCs/>
                <w:color w:val="auto"/>
                <w:szCs w:val="21"/>
                <w:highlight w:val="none"/>
              </w:rPr>
            </w:pPr>
            <w:r>
              <w:rPr>
                <w:rFonts w:hint="eastAsia" w:ascii="宋体" w:hAnsi="宋体"/>
                <w:bCs/>
                <w:color w:val="auto"/>
                <w:szCs w:val="21"/>
                <w:highlight w:val="none"/>
              </w:rPr>
              <w:t>套</w:t>
            </w:r>
          </w:p>
        </w:tc>
        <w:tc>
          <w:tcPr>
            <w:tcW w:w="1635" w:type="dxa"/>
            <w:vAlign w:val="center"/>
          </w:tcPr>
          <w:p w14:paraId="290AB7DC">
            <w:pPr>
              <w:tabs>
                <w:tab w:val="left" w:pos="180"/>
                <w:tab w:val="left" w:pos="540"/>
                <w:tab w:val="left" w:pos="900"/>
                <w:tab w:val="left" w:pos="1260"/>
                <w:tab w:val="left" w:pos="1800"/>
              </w:tabs>
              <w:spacing w:line="480" w:lineRule="exact"/>
              <w:jc w:val="center"/>
              <w:rPr>
                <w:rFonts w:ascii="宋体" w:hAnsi="宋体"/>
                <w:bCs/>
                <w:color w:val="auto"/>
                <w:szCs w:val="21"/>
                <w:highlight w:val="none"/>
              </w:rPr>
            </w:pPr>
            <w:r>
              <w:rPr>
                <w:rFonts w:hint="eastAsia" w:ascii="宋体" w:hAnsi="宋体"/>
                <w:bCs/>
                <w:color w:val="auto"/>
                <w:szCs w:val="21"/>
                <w:highlight w:val="none"/>
              </w:rPr>
              <w:t>1</w:t>
            </w:r>
          </w:p>
        </w:tc>
        <w:tc>
          <w:tcPr>
            <w:tcW w:w="1635" w:type="dxa"/>
            <w:vAlign w:val="center"/>
          </w:tcPr>
          <w:p w14:paraId="67C6C84F">
            <w:pPr>
              <w:tabs>
                <w:tab w:val="left" w:pos="180"/>
                <w:tab w:val="left" w:pos="540"/>
                <w:tab w:val="left" w:pos="900"/>
                <w:tab w:val="left" w:pos="1260"/>
                <w:tab w:val="left" w:pos="1800"/>
              </w:tabs>
              <w:spacing w:line="480" w:lineRule="exact"/>
              <w:jc w:val="center"/>
              <w:rPr>
                <w:rFonts w:ascii="宋体" w:hAnsi="宋体"/>
                <w:bCs/>
                <w:color w:val="auto"/>
                <w:szCs w:val="21"/>
                <w:highlight w:val="none"/>
              </w:rPr>
            </w:pPr>
          </w:p>
        </w:tc>
      </w:tr>
      <w:tr w14:paraId="57A77AE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91" w:hRule="atLeast"/>
        </w:trPr>
        <w:tc>
          <w:tcPr>
            <w:tcW w:w="1179" w:type="dxa"/>
            <w:vAlign w:val="center"/>
          </w:tcPr>
          <w:p w14:paraId="720A3D2B">
            <w:pPr>
              <w:tabs>
                <w:tab w:val="left" w:pos="180"/>
                <w:tab w:val="left" w:pos="540"/>
                <w:tab w:val="left" w:pos="900"/>
                <w:tab w:val="left" w:pos="1260"/>
                <w:tab w:val="left" w:pos="1800"/>
              </w:tabs>
              <w:spacing w:line="480" w:lineRule="exact"/>
              <w:jc w:val="center"/>
              <w:rPr>
                <w:rFonts w:ascii="宋体" w:hAnsi="宋体"/>
                <w:bCs/>
                <w:color w:val="auto"/>
                <w:szCs w:val="21"/>
                <w:highlight w:val="none"/>
              </w:rPr>
            </w:pPr>
            <w:r>
              <w:rPr>
                <w:rFonts w:hint="eastAsia" w:ascii="宋体" w:hAnsi="宋体"/>
                <w:bCs/>
                <w:color w:val="auto"/>
                <w:szCs w:val="21"/>
                <w:highlight w:val="none"/>
              </w:rPr>
              <w:t>2</w:t>
            </w:r>
          </w:p>
        </w:tc>
        <w:tc>
          <w:tcPr>
            <w:tcW w:w="3846" w:type="dxa"/>
            <w:vAlign w:val="center"/>
          </w:tcPr>
          <w:p w14:paraId="459E8B0A">
            <w:pPr>
              <w:tabs>
                <w:tab w:val="left" w:pos="180"/>
                <w:tab w:val="left" w:pos="540"/>
                <w:tab w:val="left" w:pos="900"/>
                <w:tab w:val="left" w:pos="1260"/>
                <w:tab w:val="left" w:pos="1800"/>
              </w:tabs>
              <w:spacing w:line="480" w:lineRule="exact"/>
              <w:jc w:val="center"/>
              <w:rPr>
                <w:rFonts w:ascii="宋体" w:hAnsi="宋体"/>
                <w:bCs/>
                <w:color w:val="auto"/>
                <w:szCs w:val="21"/>
                <w:highlight w:val="none"/>
              </w:rPr>
            </w:pPr>
            <w:r>
              <w:rPr>
                <w:rFonts w:hint="eastAsia" w:ascii="宋体" w:hAnsi="宋体"/>
                <w:bCs/>
                <w:color w:val="auto"/>
                <w:szCs w:val="21"/>
                <w:highlight w:val="none"/>
              </w:rPr>
              <w:t>质保期后的年度维护费用</w:t>
            </w:r>
          </w:p>
        </w:tc>
        <w:tc>
          <w:tcPr>
            <w:tcW w:w="1395" w:type="dxa"/>
            <w:vAlign w:val="center"/>
          </w:tcPr>
          <w:p w14:paraId="740EABB8">
            <w:pPr>
              <w:tabs>
                <w:tab w:val="left" w:pos="180"/>
                <w:tab w:val="left" w:pos="540"/>
                <w:tab w:val="left" w:pos="900"/>
                <w:tab w:val="left" w:pos="1260"/>
                <w:tab w:val="left" w:pos="1800"/>
              </w:tabs>
              <w:spacing w:line="480" w:lineRule="exact"/>
              <w:jc w:val="center"/>
              <w:rPr>
                <w:rFonts w:ascii="宋体" w:hAnsi="宋体"/>
                <w:bCs/>
                <w:color w:val="auto"/>
                <w:szCs w:val="21"/>
                <w:highlight w:val="none"/>
              </w:rPr>
            </w:pPr>
            <w:r>
              <w:rPr>
                <w:rFonts w:hint="eastAsia" w:ascii="宋体" w:hAnsi="宋体"/>
                <w:bCs/>
                <w:color w:val="auto"/>
                <w:szCs w:val="21"/>
                <w:highlight w:val="none"/>
              </w:rPr>
              <w:t>年</w:t>
            </w:r>
          </w:p>
        </w:tc>
        <w:tc>
          <w:tcPr>
            <w:tcW w:w="1635" w:type="dxa"/>
            <w:vAlign w:val="center"/>
          </w:tcPr>
          <w:p w14:paraId="4706536B">
            <w:pPr>
              <w:tabs>
                <w:tab w:val="left" w:pos="180"/>
                <w:tab w:val="left" w:pos="540"/>
                <w:tab w:val="left" w:pos="900"/>
                <w:tab w:val="left" w:pos="1260"/>
                <w:tab w:val="left" w:pos="1800"/>
              </w:tabs>
              <w:spacing w:line="480" w:lineRule="exact"/>
              <w:jc w:val="center"/>
              <w:rPr>
                <w:rFonts w:ascii="宋体" w:hAnsi="宋体"/>
                <w:bCs/>
                <w:color w:val="auto"/>
                <w:szCs w:val="21"/>
                <w:highlight w:val="none"/>
              </w:rPr>
            </w:pPr>
            <w:r>
              <w:rPr>
                <w:rFonts w:hint="eastAsia" w:ascii="宋体" w:hAnsi="宋体"/>
                <w:bCs/>
                <w:color w:val="auto"/>
                <w:szCs w:val="21"/>
                <w:highlight w:val="none"/>
              </w:rPr>
              <w:t>1</w:t>
            </w:r>
          </w:p>
        </w:tc>
        <w:tc>
          <w:tcPr>
            <w:tcW w:w="1635" w:type="dxa"/>
            <w:vAlign w:val="center"/>
          </w:tcPr>
          <w:p w14:paraId="081EFE99">
            <w:pPr>
              <w:tabs>
                <w:tab w:val="left" w:pos="180"/>
                <w:tab w:val="left" w:pos="540"/>
                <w:tab w:val="left" w:pos="900"/>
                <w:tab w:val="left" w:pos="1260"/>
                <w:tab w:val="left" w:pos="1800"/>
              </w:tabs>
              <w:spacing w:line="480" w:lineRule="exact"/>
              <w:jc w:val="center"/>
              <w:rPr>
                <w:rFonts w:ascii="宋体" w:hAnsi="宋体"/>
                <w:bCs/>
                <w:color w:val="auto"/>
                <w:szCs w:val="21"/>
                <w:highlight w:val="none"/>
              </w:rPr>
            </w:pPr>
          </w:p>
        </w:tc>
      </w:tr>
    </w:tbl>
    <w:p w14:paraId="518C1BF2">
      <w:pPr>
        <w:spacing w:line="480" w:lineRule="exact"/>
        <w:rPr>
          <w:rFonts w:ascii="宋体" w:hAnsi="宋体"/>
          <w:color w:val="auto"/>
          <w:szCs w:val="21"/>
          <w:highlight w:val="none"/>
        </w:rPr>
      </w:pPr>
    </w:p>
    <w:p w14:paraId="1A88EF85">
      <w:pPr>
        <w:spacing w:line="480" w:lineRule="exact"/>
        <w:rPr>
          <w:rFonts w:ascii="宋体" w:hAnsi="宋体"/>
          <w:b/>
          <w:bCs/>
          <w:color w:val="auto"/>
          <w:szCs w:val="21"/>
          <w:highlight w:val="none"/>
        </w:rPr>
      </w:pPr>
      <w:r>
        <w:rPr>
          <w:rFonts w:hint="eastAsia" w:ascii="宋体" w:hAnsi="宋体"/>
          <w:b/>
          <w:bCs/>
          <w:color w:val="auto"/>
          <w:szCs w:val="21"/>
          <w:highlight w:val="none"/>
        </w:rPr>
        <w:t>二、下列文件为本合同不可分割部分：</w:t>
      </w:r>
    </w:p>
    <w:p w14:paraId="5AEC9A74">
      <w:pPr>
        <w:pStyle w:val="9"/>
        <w:spacing w:line="480" w:lineRule="exact"/>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（一）招标文件及补充通知；</w:t>
      </w:r>
    </w:p>
    <w:p w14:paraId="31CA458D">
      <w:pPr>
        <w:spacing w:line="480" w:lineRule="exact"/>
        <w:rPr>
          <w:color w:val="auto"/>
          <w:highlight w:val="none"/>
        </w:rPr>
      </w:pPr>
      <w:r>
        <w:rPr>
          <w:rFonts w:hint="eastAsia"/>
          <w:color w:val="auto"/>
          <w:highlight w:val="none"/>
        </w:rPr>
        <w:t xml:space="preserve">  （二）中标文件和其它承诺、书面澄清等；</w:t>
      </w:r>
    </w:p>
    <w:p w14:paraId="7C900497">
      <w:pPr>
        <w:pStyle w:val="9"/>
        <w:spacing w:line="480" w:lineRule="exact"/>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（三）其它约定文件等；</w:t>
      </w:r>
    </w:p>
    <w:p w14:paraId="28BD3B17">
      <w:pPr>
        <w:spacing w:line="480" w:lineRule="exact"/>
        <w:rPr>
          <w:color w:val="auto"/>
          <w:highlight w:val="none"/>
        </w:rPr>
      </w:pPr>
      <w:r>
        <w:rPr>
          <w:rFonts w:hint="eastAsia"/>
          <w:color w:val="auto"/>
          <w:highlight w:val="none"/>
        </w:rPr>
        <w:t xml:space="preserve">  （四）中标通知书。</w:t>
      </w:r>
    </w:p>
    <w:p w14:paraId="7F7EF845">
      <w:pPr>
        <w:spacing w:line="480" w:lineRule="exact"/>
        <w:rPr>
          <w:rFonts w:ascii="宋体" w:hAnsi="宋体"/>
          <w:b/>
          <w:bCs/>
          <w:color w:val="auto"/>
          <w:szCs w:val="21"/>
          <w:highlight w:val="none"/>
        </w:rPr>
      </w:pPr>
      <w:r>
        <w:rPr>
          <w:rFonts w:hint="eastAsia" w:ascii="宋体" w:hAnsi="宋体"/>
          <w:b/>
          <w:bCs/>
          <w:color w:val="auto"/>
          <w:szCs w:val="21"/>
          <w:highlight w:val="none"/>
        </w:rPr>
        <w:t>三、合同金额</w:t>
      </w:r>
    </w:p>
    <w:p w14:paraId="36A9DA7C">
      <w:pPr>
        <w:spacing w:line="480" w:lineRule="exact"/>
        <w:ind w:firstLine="420" w:firstLineChars="200"/>
        <w:rPr>
          <w:rFonts w:ascii="宋体" w:hAnsi="宋体"/>
          <w:color w:val="auto"/>
          <w:szCs w:val="21"/>
          <w:highlight w:val="none"/>
        </w:rPr>
      </w:pPr>
      <w:r>
        <w:rPr>
          <w:rFonts w:hint="eastAsia" w:ascii="宋体" w:hAnsi="宋体"/>
          <w:color w:val="auto"/>
          <w:szCs w:val="21"/>
          <w:highlight w:val="none"/>
        </w:rPr>
        <w:t>本合同软件服务酬金双方商定为</w:t>
      </w:r>
      <w:r>
        <w:rPr>
          <w:rFonts w:hint="eastAsia" w:ascii="宋体" w:hAnsi="宋体"/>
          <w:color w:val="auto"/>
          <w:szCs w:val="21"/>
          <w:highlight w:val="none"/>
          <w:u w:val="single"/>
        </w:rPr>
        <w:t xml:space="preserve">       </w:t>
      </w:r>
      <w:r>
        <w:rPr>
          <w:rFonts w:hint="eastAsia" w:ascii="宋体" w:hAnsi="宋体"/>
          <w:color w:val="auto"/>
          <w:szCs w:val="21"/>
          <w:highlight w:val="none"/>
        </w:rPr>
        <w:t>元人民币（大写：    ），质保期后的年度维护费用为</w:t>
      </w:r>
      <w:r>
        <w:rPr>
          <w:rFonts w:hint="eastAsia" w:ascii="宋体" w:hAnsi="宋体"/>
          <w:color w:val="auto"/>
          <w:szCs w:val="21"/>
          <w:highlight w:val="none"/>
          <w:u w:val="single"/>
        </w:rPr>
        <w:t xml:space="preserve">      </w:t>
      </w:r>
      <w:r>
        <w:rPr>
          <w:rFonts w:hint="eastAsia" w:ascii="宋体" w:hAnsi="宋体"/>
          <w:color w:val="auto"/>
          <w:szCs w:val="21"/>
          <w:highlight w:val="none"/>
        </w:rPr>
        <w:t>元人民币（大写：    ）。甲方付款前乙方向甲方开具现代服务业6%增值税专用发票（专用发票含抵扣联）。</w:t>
      </w:r>
    </w:p>
    <w:p w14:paraId="7F7E43EF">
      <w:pPr>
        <w:spacing w:line="480" w:lineRule="exact"/>
        <w:rPr>
          <w:rFonts w:ascii="宋体" w:hAnsi="宋体"/>
          <w:b/>
          <w:bCs/>
          <w:color w:val="auto"/>
          <w:szCs w:val="21"/>
          <w:highlight w:val="none"/>
        </w:rPr>
      </w:pPr>
      <w:r>
        <w:rPr>
          <w:rFonts w:hint="eastAsia" w:ascii="宋体" w:hAnsi="宋体"/>
          <w:b/>
          <w:bCs/>
          <w:color w:val="auto"/>
          <w:szCs w:val="21"/>
          <w:highlight w:val="none"/>
        </w:rPr>
        <w:t>四、开发周期</w:t>
      </w:r>
    </w:p>
    <w:p w14:paraId="1286FC1F">
      <w:pPr>
        <w:spacing w:line="480" w:lineRule="exact"/>
        <w:ind w:left="2" w:leftChars="1" w:firstLine="420" w:firstLineChars="200"/>
        <w:rPr>
          <w:rFonts w:ascii="宋体" w:hAnsi="宋体"/>
          <w:color w:val="auto"/>
          <w:szCs w:val="21"/>
          <w:highlight w:val="none"/>
        </w:rPr>
      </w:pPr>
      <w:r>
        <w:rPr>
          <w:rFonts w:hint="eastAsia" w:ascii="宋体" w:hAnsi="宋体"/>
          <w:color w:val="auto"/>
          <w:szCs w:val="21"/>
          <w:highlight w:val="none"/>
        </w:rPr>
        <w:t>自合同生效之日起，乙方现场调研并在10个工作日内完成系统需求分析， （     ）个工作日内完成系统交付甲方投入试运行。</w:t>
      </w:r>
    </w:p>
    <w:p w14:paraId="4C5CC834">
      <w:pPr>
        <w:spacing w:line="480" w:lineRule="exact"/>
        <w:rPr>
          <w:rFonts w:ascii="宋体" w:hAnsi="宋体"/>
          <w:b/>
          <w:bCs/>
          <w:color w:val="auto"/>
          <w:szCs w:val="21"/>
          <w:highlight w:val="none"/>
        </w:rPr>
      </w:pPr>
      <w:r>
        <w:rPr>
          <w:rFonts w:hint="eastAsia" w:ascii="宋体" w:hAnsi="宋体"/>
          <w:b/>
          <w:bCs/>
          <w:color w:val="auto"/>
          <w:szCs w:val="21"/>
          <w:highlight w:val="none"/>
        </w:rPr>
        <w:t>五、技术及服务要求</w:t>
      </w:r>
    </w:p>
    <w:p w14:paraId="23C63760">
      <w:pPr>
        <w:spacing w:line="480" w:lineRule="exact"/>
        <w:ind w:firstLine="420" w:firstLineChars="200"/>
        <w:rPr>
          <w:rFonts w:ascii="宋体" w:hAnsi="宋体"/>
          <w:color w:val="auto"/>
          <w:szCs w:val="21"/>
          <w:highlight w:val="none"/>
        </w:rPr>
      </w:pPr>
      <w:r>
        <w:rPr>
          <w:rFonts w:hint="eastAsia" w:ascii="宋体" w:hAnsi="宋体"/>
          <w:color w:val="auto"/>
          <w:szCs w:val="21"/>
          <w:highlight w:val="none"/>
        </w:rPr>
        <w:t>1、接口接入定于2024年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日之前完成并投入运行，如因甲方实施准备工作原因造成系统实施延期，乙方不承担任何责任，并且实际投入运行时间顺延；</w:t>
      </w:r>
    </w:p>
    <w:p w14:paraId="42D9E7D8">
      <w:pPr>
        <w:spacing w:line="480" w:lineRule="exact"/>
        <w:ind w:firstLine="420" w:firstLineChars="200"/>
        <w:rPr>
          <w:rFonts w:ascii="宋体" w:hAnsi="宋体"/>
          <w:color w:val="auto"/>
          <w:szCs w:val="21"/>
          <w:highlight w:val="none"/>
        </w:rPr>
      </w:pPr>
      <w:r>
        <w:rPr>
          <w:rFonts w:hint="eastAsia" w:ascii="宋体" w:hAnsi="宋体"/>
          <w:color w:val="auto"/>
          <w:szCs w:val="21"/>
          <w:highlight w:val="none"/>
        </w:rPr>
        <w:t>2、乙方负责</w:t>
      </w:r>
      <w:r>
        <w:rPr>
          <w:rFonts w:hint="eastAsia" w:ascii="宋体" w:hAnsi="宋体"/>
          <w:bCs/>
          <w:color w:val="auto"/>
          <w:szCs w:val="21"/>
          <w:highlight w:val="none"/>
        </w:rPr>
        <w:t>江苏长江水务股份有限公司</w:t>
      </w:r>
      <w:r>
        <w:rPr>
          <w:rFonts w:hint="eastAsia" w:ascii="宋体" w:hAnsi="宋体"/>
          <w:color w:val="auto"/>
          <w:spacing w:val="28"/>
          <w:szCs w:val="21"/>
          <w:highlight w:val="none"/>
          <w:u w:val="single"/>
        </w:rPr>
        <w:t>营业抄收管理系统升级</w:t>
      </w:r>
      <w:r>
        <w:rPr>
          <w:rFonts w:hint="eastAsia" w:ascii="宋体" w:hAnsi="宋体"/>
          <w:color w:val="auto"/>
          <w:szCs w:val="21"/>
          <w:highlight w:val="none"/>
        </w:rPr>
        <w:t>，必须实现招标文件规定功能要求</w:t>
      </w:r>
    </w:p>
    <w:p w14:paraId="122C05C1">
      <w:pPr>
        <w:spacing w:line="480" w:lineRule="exact"/>
        <w:ind w:firstLine="420" w:firstLineChars="200"/>
        <w:rPr>
          <w:rFonts w:ascii="宋体" w:hAnsi="宋体"/>
          <w:color w:val="auto"/>
          <w:szCs w:val="21"/>
          <w:highlight w:val="none"/>
        </w:rPr>
      </w:pPr>
      <w:r>
        <w:rPr>
          <w:rFonts w:hint="eastAsia" w:ascii="宋体" w:hAnsi="宋体"/>
          <w:color w:val="auto"/>
          <w:szCs w:val="21"/>
          <w:highlight w:val="none"/>
        </w:rPr>
        <w:t>3、乙方应指导甲方系统管理人员做好系统备份，以便在因病毒、硬件故障、误操作或他方恶意破坏等造成系统瘫痪的情况下，能在最短时间内根据甲方的备份全面恢复（最长不超过24小时）。如甲方系统管理人员未按乙方指导做好系统备份，乙方不承担相应责任；乙方未按规定在24小内根据甲方备份全面恢复系统，乙方需延长服务时间2个月。</w:t>
      </w:r>
    </w:p>
    <w:p w14:paraId="73405653">
      <w:pPr>
        <w:spacing w:line="480" w:lineRule="exact"/>
        <w:ind w:firstLine="420" w:firstLineChars="200"/>
        <w:rPr>
          <w:rFonts w:ascii="宋体" w:hAnsi="宋体"/>
          <w:color w:val="auto"/>
          <w:szCs w:val="21"/>
          <w:highlight w:val="none"/>
        </w:rPr>
      </w:pPr>
      <w:r>
        <w:rPr>
          <w:rFonts w:hint="eastAsia" w:ascii="宋体" w:hAnsi="宋体"/>
          <w:color w:val="auto"/>
          <w:szCs w:val="21"/>
          <w:highlight w:val="none"/>
        </w:rPr>
        <w:t>4、乙方必须对甲方的数据信息保密,未经甲方许可不得提供、泄露给第三方。</w:t>
      </w:r>
    </w:p>
    <w:p w14:paraId="6489E900">
      <w:pPr>
        <w:spacing w:line="480" w:lineRule="exact"/>
        <w:ind w:firstLine="420" w:firstLineChars="200"/>
        <w:rPr>
          <w:rFonts w:ascii="宋体" w:hAnsi="宋体"/>
          <w:color w:val="auto"/>
          <w:szCs w:val="21"/>
          <w:highlight w:val="none"/>
        </w:rPr>
      </w:pPr>
      <w:r>
        <w:rPr>
          <w:rFonts w:hint="eastAsia" w:ascii="宋体" w:hAnsi="宋体"/>
          <w:color w:val="auto"/>
          <w:szCs w:val="21"/>
          <w:highlight w:val="none"/>
        </w:rPr>
        <w:t>5、质保期为安装调试运行三个月联合验收合格后</w:t>
      </w:r>
      <w:r>
        <w:rPr>
          <w:rFonts w:hint="eastAsia" w:ascii="宋体" w:hAnsi="宋体"/>
          <w:color w:val="auto"/>
          <w:szCs w:val="21"/>
          <w:highlight w:val="none"/>
          <w:u w:val="single"/>
        </w:rPr>
        <w:t xml:space="preserve"> 12 </w:t>
      </w:r>
      <w:r>
        <w:rPr>
          <w:rFonts w:hint="eastAsia" w:ascii="宋体" w:hAnsi="宋体"/>
          <w:color w:val="auto"/>
          <w:szCs w:val="21"/>
          <w:highlight w:val="none"/>
        </w:rPr>
        <w:t>个月。</w:t>
      </w:r>
      <w:r>
        <w:rPr>
          <w:rFonts w:hint="eastAsia" w:ascii="宋体" w:hAnsi="宋体"/>
          <w:color w:val="auto"/>
          <w:szCs w:val="21"/>
          <w:highlight w:val="none"/>
          <w:u w:val="single"/>
        </w:rPr>
        <w:t>质保期内</w:t>
      </w:r>
      <w:r>
        <w:rPr>
          <w:rFonts w:hint="eastAsia" w:ascii="宋体" w:hAnsi="宋体"/>
          <w:color w:val="auto"/>
          <w:szCs w:val="21"/>
          <w:highlight w:val="none"/>
        </w:rPr>
        <w:t>乙方按甲方的需求，乙方有义务满足甲方提出的对软件的修改的合理要求，不再收取其他费用；质保期后，如甲方有修改要求，双方另行签署协议；对甲方的服务要求乙方须保证及时响应。</w:t>
      </w:r>
    </w:p>
    <w:p w14:paraId="1D723251">
      <w:pPr>
        <w:spacing w:line="480" w:lineRule="exact"/>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6、提供质保期满后的年度软件维护服务（包括软件改进、日常维护等）；</w:t>
      </w:r>
    </w:p>
    <w:p w14:paraId="0EB8456B">
      <w:pPr>
        <w:spacing w:line="480" w:lineRule="exact"/>
        <w:ind w:firstLine="420" w:firstLineChars="200"/>
        <w:rPr>
          <w:rFonts w:ascii="宋体" w:hAnsi="宋体"/>
          <w:color w:val="auto"/>
          <w:szCs w:val="21"/>
          <w:highlight w:val="none"/>
        </w:rPr>
      </w:pPr>
      <w:r>
        <w:rPr>
          <w:rFonts w:hint="eastAsia" w:ascii="宋体" w:hAnsi="宋体"/>
          <w:color w:val="auto"/>
          <w:szCs w:val="21"/>
          <w:highlight w:val="none"/>
        </w:rPr>
        <w:t>7、系统运行期间，乙方须</w:t>
      </w:r>
      <w:r>
        <w:rPr>
          <w:rFonts w:hint="eastAsia" w:asciiTheme="minorEastAsia" w:hAnsiTheme="minorEastAsia" w:eastAsiaTheme="minorEastAsia"/>
          <w:color w:val="auto"/>
          <w:highlight w:val="none"/>
        </w:rPr>
        <w:t>提供永久性</w:t>
      </w:r>
      <w:r>
        <w:rPr>
          <w:rFonts w:hint="eastAsia" w:asciiTheme="minorEastAsia" w:hAnsiTheme="minorEastAsia" w:eastAsiaTheme="minorEastAsia"/>
          <w:b/>
          <w:color w:val="auto"/>
          <w:highlight w:val="none"/>
          <w:u w:val="single"/>
        </w:rPr>
        <w:t>7×24小时</w:t>
      </w:r>
      <w:r>
        <w:rPr>
          <w:rFonts w:hint="eastAsia" w:asciiTheme="minorEastAsia" w:hAnsiTheme="minorEastAsia" w:eastAsiaTheme="minorEastAsia"/>
          <w:color w:val="auto"/>
          <w:highlight w:val="none"/>
        </w:rPr>
        <w:t>技术支持，包括各种软件系统故障及对各种突发事件采取应急措施等，服务响应时间为</w:t>
      </w:r>
      <w:r>
        <w:rPr>
          <w:rFonts w:hint="eastAsia" w:asciiTheme="minorEastAsia" w:hAnsiTheme="minorEastAsia" w:eastAsiaTheme="minorEastAsia"/>
          <w:b/>
          <w:color w:val="auto"/>
          <w:highlight w:val="none"/>
          <w:u w:val="single"/>
        </w:rPr>
        <w:t>1小时</w:t>
      </w:r>
      <w:r>
        <w:rPr>
          <w:rFonts w:hint="eastAsia" w:asciiTheme="minorEastAsia" w:hAnsiTheme="minorEastAsia" w:eastAsiaTheme="minorEastAsia"/>
          <w:color w:val="auto"/>
          <w:highlight w:val="none"/>
        </w:rPr>
        <w:t>。乙方须及时为甲方提供解决方案，或者利用远程维护方式解决问题。若不能在2小时内解决故障问题，乙方应在</w:t>
      </w:r>
      <w:r>
        <w:rPr>
          <w:rFonts w:hint="eastAsia" w:asciiTheme="minorEastAsia" w:hAnsiTheme="minorEastAsia" w:eastAsiaTheme="minorEastAsia"/>
          <w:b/>
          <w:color w:val="auto"/>
          <w:highlight w:val="none"/>
          <w:u w:val="single"/>
        </w:rPr>
        <w:t xml:space="preserve"> 24小时内 </w:t>
      </w:r>
      <w:r>
        <w:rPr>
          <w:rFonts w:hint="eastAsia" w:asciiTheme="minorEastAsia" w:hAnsiTheme="minorEastAsia" w:eastAsiaTheme="minorEastAsia"/>
          <w:color w:val="auto"/>
          <w:highlight w:val="none"/>
        </w:rPr>
        <w:t>派人到现场上门服务，排除故障，并分析故障原因，提出书面故障分析报告及防范措施。</w:t>
      </w:r>
      <w:r>
        <w:rPr>
          <w:rFonts w:hint="eastAsia" w:ascii="宋体" w:hAnsi="宋体"/>
          <w:color w:val="auto"/>
          <w:szCs w:val="21"/>
          <w:highlight w:val="none"/>
        </w:rPr>
        <w:t>以保持系统正常运行；如因乙方接口设计原因造成系统不能正常运行，其责任由乙方承担；</w:t>
      </w:r>
    </w:p>
    <w:p w14:paraId="3AFEF611">
      <w:pPr>
        <w:spacing w:line="480" w:lineRule="exact"/>
        <w:ind w:firstLine="420" w:firstLineChars="200"/>
        <w:rPr>
          <w:rFonts w:ascii="宋体" w:hAnsi="宋体"/>
          <w:color w:val="auto"/>
          <w:szCs w:val="21"/>
          <w:highlight w:val="none"/>
        </w:rPr>
      </w:pPr>
      <w:r>
        <w:rPr>
          <w:rFonts w:hint="eastAsia" w:ascii="宋体" w:hAnsi="宋体"/>
          <w:color w:val="auto"/>
          <w:szCs w:val="21"/>
          <w:highlight w:val="none"/>
        </w:rPr>
        <w:t>8、甲方一侧的系统安全由甲方自行负责保障，与乙方无关。</w:t>
      </w:r>
    </w:p>
    <w:p w14:paraId="03137FC1">
      <w:pPr>
        <w:spacing w:line="480" w:lineRule="exact"/>
        <w:ind w:firstLine="420" w:firstLineChars="200"/>
        <w:rPr>
          <w:rFonts w:ascii="宋体" w:hAnsi="宋体"/>
          <w:color w:val="auto"/>
          <w:szCs w:val="21"/>
          <w:highlight w:val="none"/>
        </w:rPr>
      </w:pPr>
      <w:r>
        <w:rPr>
          <w:rFonts w:hint="eastAsia" w:ascii="宋体" w:hAnsi="宋体"/>
          <w:color w:val="auto"/>
          <w:szCs w:val="21"/>
          <w:highlight w:val="none"/>
        </w:rPr>
        <w:t>9、乙方保证研发的本合同项目不侵犯第三方的知识产权，如甲方因本系统的使用遇有侵权指控，乙方承担全部经济赔偿和法律后果。</w:t>
      </w:r>
    </w:p>
    <w:p w14:paraId="661759CC">
      <w:pPr>
        <w:pStyle w:val="9"/>
        <w:spacing w:line="480" w:lineRule="exact"/>
        <w:ind w:firstLine="42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10、项目终验、付清不含质保金的全部款项后，甲方是本项目全部成果的唯一所有者和使用者。</w:t>
      </w:r>
    </w:p>
    <w:p w14:paraId="3D75F717">
      <w:pPr>
        <w:spacing w:line="480" w:lineRule="exact"/>
        <w:rPr>
          <w:rFonts w:ascii="宋体" w:hAnsi="宋体" w:cs="宋体"/>
          <w:color w:val="auto"/>
          <w:szCs w:val="21"/>
          <w:highlight w:val="none"/>
        </w:rPr>
      </w:pPr>
      <w:r>
        <w:rPr>
          <w:rFonts w:hint="eastAsia" w:ascii="宋体" w:hAnsi="宋体"/>
          <w:b/>
          <w:bCs/>
          <w:color w:val="auto"/>
          <w:szCs w:val="21"/>
          <w:highlight w:val="none"/>
        </w:rPr>
        <w:t>六、</w:t>
      </w:r>
      <w:r>
        <w:rPr>
          <w:rFonts w:hint="eastAsia" w:ascii="宋体" w:hAnsi="宋体" w:cs="宋体"/>
          <w:b/>
          <w:color w:val="auto"/>
          <w:szCs w:val="21"/>
          <w:highlight w:val="none"/>
        </w:rPr>
        <w:t>付款方式</w:t>
      </w:r>
      <w:r>
        <w:rPr>
          <w:rFonts w:hint="eastAsia" w:ascii="宋体" w:hAnsi="宋体" w:cs="宋体"/>
          <w:color w:val="auto"/>
          <w:szCs w:val="21"/>
          <w:highlight w:val="none"/>
        </w:rPr>
        <w:t>：</w:t>
      </w:r>
    </w:p>
    <w:p w14:paraId="0D648091">
      <w:pPr>
        <w:pStyle w:val="9"/>
        <w:spacing w:line="480" w:lineRule="exact"/>
        <w:ind w:firstLine="420" w:firstLineChars="20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无预付款，在合同规定的时间内完成系统的安装调试并试运行三个月后，买方进行联合验收，经验收合格后，系统投入正式运行，卖方向买方开具合同总金额的增值税全额发票（税率6%），买方在一个月内付至发票总金额的95%，余款5%作为质保金，在合同约定的质保期满且系统运行无故障后一个月内无息付清。</w:t>
      </w:r>
    </w:p>
    <w:p w14:paraId="35EF2AF5">
      <w:pPr>
        <w:spacing w:line="480" w:lineRule="exact"/>
        <w:rPr>
          <w:rFonts w:ascii="宋体" w:hAnsi="宋体"/>
          <w:b/>
          <w:bCs/>
          <w:color w:val="auto"/>
          <w:szCs w:val="21"/>
          <w:highlight w:val="none"/>
        </w:rPr>
      </w:pPr>
      <w:r>
        <w:rPr>
          <w:rFonts w:hint="eastAsia" w:ascii="宋体" w:hAnsi="宋体"/>
          <w:b/>
          <w:bCs/>
          <w:color w:val="auto"/>
          <w:szCs w:val="21"/>
          <w:highlight w:val="none"/>
        </w:rPr>
        <w:t>七、违约责任：</w:t>
      </w:r>
    </w:p>
    <w:p w14:paraId="28B03AC0">
      <w:pPr>
        <w:spacing w:line="480" w:lineRule="exact"/>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（1）</w:t>
      </w:r>
      <w:r>
        <w:rPr>
          <w:rFonts w:hint="eastAsia" w:ascii="宋体" w:hAnsi="宋体" w:cs="宋体"/>
          <w:color w:val="auto"/>
          <w:szCs w:val="21"/>
          <w:highlight w:val="none"/>
          <w:u w:val="single"/>
        </w:rPr>
        <w:t>因乙方履行不能或拒绝履行、或履行不符合约定，导致合同目的不能实现、或迟延进场调研超过7日，甲方有权解除合同并要求乙方承担合同总价30%的赔偿；</w:t>
      </w:r>
    </w:p>
    <w:p w14:paraId="1CEAAA09">
      <w:pPr>
        <w:spacing w:line="480" w:lineRule="exact"/>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（2）乙方未按合同约定的期限交付甲方使用的的，每逾期一天，甲方有权要求乙方每日按合同总额的3%支付违约金；</w:t>
      </w:r>
    </w:p>
    <w:p w14:paraId="2347E19C">
      <w:pPr>
        <w:spacing w:line="4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u w:val="single"/>
        </w:rPr>
        <w:t>（3）乙方在质保期内未能履行质保义务，除承担第三方替代履行的费用外，还需承担合同总价款5%的违约金。</w:t>
      </w:r>
      <w:r>
        <w:rPr>
          <w:rFonts w:hint="eastAsia" w:ascii="宋体" w:hAnsi="宋体" w:cs="宋体"/>
          <w:color w:val="auto"/>
          <w:szCs w:val="21"/>
          <w:highlight w:val="none"/>
        </w:rPr>
        <w:t xml:space="preserve">  </w:t>
      </w:r>
    </w:p>
    <w:p w14:paraId="0A91E2F0">
      <w:pPr>
        <w:spacing w:line="4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u w:val="single"/>
        </w:rPr>
        <w:t>（4）因向违约方主张权利而产生的费用，包括但不限于鉴定费、公证费、诉讼费、律师费、差旅费、交通费等费用，均由违约方承担。</w:t>
      </w:r>
    </w:p>
    <w:p w14:paraId="263458A0">
      <w:pPr>
        <w:spacing w:line="480" w:lineRule="exact"/>
        <w:rPr>
          <w:rFonts w:ascii="宋体" w:hAnsi="宋体"/>
          <w:color w:val="auto"/>
          <w:szCs w:val="21"/>
          <w:highlight w:val="none"/>
        </w:rPr>
      </w:pPr>
      <w:r>
        <w:rPr>
          <w:rFonts w:hint="eastAsia" w:ascii="宋体" w:hAnsi="宋体"/>
          <w:color w:val="auto"/>
          <w:szCs w:val="21"/>
          <w:highlight w:val="none"/>
        </w:rPr>
        <w:t>九、未尽事宜，由双方友好协商解决；发生争议协商未果，可向扬州仲裁委员会提请仲裁。</w:t>
      </w:r>
    </w:p>
    <w:p w14:paraId="4A54E952">
      <w:pPr>
        <w:spacing w:line="480" w:lineRule="exact"/>
        <w:rPr>
          <w:rFonts w:ascii="宋体" w:hAnsi="宋体" w:cs="宋体"/>
          <w:color w:val="auto"/>
          <w:szCs w:val="21"/>
          <w:highlight w:val="none"/>
        </w:rPr>
      </w:pPr>
      <w:r>
        <w:rPr>
          <w:rFonts w:hint="eastAsia" w:ascii="宋体" w:hAnsi="宋体"/>
          <w:color w:val="auto"/>
          <w:szCs w:val="21"/>
          <w:highlight w:val="none"/>
        </w:rPr>
        <w:t>十、 本合同一式六份，甲方执肆份，乙方执两份；有效期自双方签字盖章之日起生效。</w:t>
      </w:r>
    </w:p>
    <w:p w14:paraId="22513E68">
      <w:pPr>
        <w:spacing w:line="440" w:lineRule="exact"/>
        <w:rPr>
          <w:rFonts w:ascii="宋体" w:hAnsi="宋体" w:cs="宋体"/>
          <w:color w:val="auto"/>
          <w:szCs w:val="21"/>
          <w:highlight w:val="none"/>
        </w:rPr>
      </w:pPr>
      <w:r>
        <w:rPr>
          <w:rFonts w:hint="eastAsia" w:ascii="宋体" w:hAnsi="宋体" w:cs="宋体"/>
          <w:color w:val="auto"/>
          <w:szCs w:val="21"/>
          <w:highlight w:val="none"/>
        </w:rPr>
        <w:t xml:space="preserve">                                                                         </w:t>
      </w:r>
    </w:p>
    <w:tbl>
      <w:tblPr>
        <w:tblStyle w:val="20"/>
        <w:tblW w:w="0" w:type="auto"/>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0"/>
        <w:gridCol w:w="4755"/>
      </w:tblGrid>
      <w:tr w14:paraId="30408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0" w:hRule="atLeast"/>
        </w:trPr>
        <w:tc>
          <w:tcPr>
            <w:tcW w:w="4140" w:type="dxa"/>
          </w:tcPr>
          <w:p w14:paraId="7650CBF1">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甲      方</w:t>
            </w:r>
          </w:p>
          <w:p w14:paraId="0FE0368F">
            <w:pPr>
              <w:spacing w:line="440" w:lineRule="exact"/>
              <w:rPr>
                <w:rFonts w:ascii="宋体" w:hAnsi="宋体" w:cs="宋体"/>
                <w:color w:val="auto"/>
                <w:szCs w:val="21"/>
                <w:highlight w:val="none"/>
              </w:rPr>
            </w:pPr>
            <w:r>
              <w:rPr>
                <w:rFonts w:hint="eastAsia" w:ascii="宋体" w:hAnsi="宋体" w:cs="宋体"/>
                <w:color w:val="auto"/>
                <w:szCs w:val="21"/>
                <w:highlight w:val="none"/>
              </w:rPr>
              <w:t>单位名称（章）：</w:t>
            </w:r>
          </w:p>
          <w:p w14:paraId="692D73F8">
            <w:pPr>
              <w:spacing w:line="440" w:lineRule="exact"/>
              <w:rPr>
                <w:rFonts w:ascii="宋体" w:hAnsi="宋体" w:cs="宋体"/>
                <w:color w:val="auto"/>
                <w:szCs w:val="21"/>
                <w:highlight w:val="none"/>
              </w:rPr>
            </w:pPr>
            <w:r>
              <w:rPr>
                <w:rFonts w:hint="eastAsia" w:ascii="宋体" w:hAnsi="宋体" w:cs="宋体"/>
                <w:color w:val="auto"/>
                <w:szCs w:val="21"/>
                <w:highlight w:val="none"/>
              </w:rPr>
              <w:t>单位地址：</w:t>
            </w:r>
          </w:p>
          <w:p w14:paraId="41AB8122">
            <w:pPr>
              <w:spacing w:line="440" w:lineRule="exact"/>
              <w:rPr>
                <w:rFonts w:ascii="宋体" w:hAnsi="宋体" w:cs="宋体"/>
                <w:color w:val="auto"/>
                <w:szCs w:val="21"/>
                <w:highlight w:val="none"/>
              </w:rPr>
            </w:pPr>
            <w:r>
              <w:rPr>
                <w:rFonts w:hint="eastAsia" w:ascii="宋体" w:hAnsi="宋体" w:cs="宋体"/>
                <w:color w:val="auto"/>
                <w:szCs w:val="21"/>
                <w:highlight w:val="none"/>
              </w:rPr>
              <w:t>法定代表人：</w:t>
            </w:r>
          </w:p>
          <w:p w14:paraId="135BEB50">
            <w:pPr>
              <w:spacing w:line="440" w:lineRule="exact"/>
              <w:rPr>
                <w:rFonts w:ascii="宋体" w:hAnsi="宋体" w:cs="宋体"/>
                <w:color w:val="auto"/>
                <w:szCs w:val="21"/>
                <w:highlight w:val="none"/>
              </w:rPr>
            </w:pPr>
            <w:r>
              <w:rPr>
                <w:rFonts w:hint="eastAsia" w:ascii="宋体" w:hAnsi="宋体" w:cs="宋体"/>
                <w:color w:val="auto"/>
                <w:szCs w:val="21"/>
                <w:highlight w:val="none"/>
              </w:rPr>
              <w:t>委托代理人:</w:t>
            </w:r>
          </w:p>
          <w:p w14:paraId="583B07B5">
            <w:pPr>
              <w:spacing w:line="440" w:lineRule="exact"/>
              <w:rPr>
                <w:rFonts w:ascii="宋体" w:hAnsi="宋体" w:cs="宋体"/>
                <w:color w:val="auto"/>
                <w:szCs w:val="21"/>
                <w:highlight w:val="none"/>
              </w:rPr>
            </w:pPr>
            <w:r>
              <w:rPr>
                <w:rFonts w:hint="eastAsia" w:ascii="宋体" w:hAnsi="宋体" w:cs="宋体"/>
                <w:color w:val="auto"/>
                <w:szCs w:val="21"/>
                <w:highlight w:val="none"/>
              </w:rPr>
              <w:t>电  话：0514-82980068</w:t>
            </w:r>
          </w:p>
          <w:p w14:paraId="5C223C83">
            <w:pPr>
              <w:spacing w:line="440" w:lineRule="exact"/>
              <w:rPr>
                <w:rFonts w:ascii="宋体" w:hAnsi="宋体" w:cs="宋体"/>
                <w:color w:val="auto"/>
                <w:szCs w:val="21"/>
                <w:highlight w:val="none"/>
              </w:rPr>
            </w:pPr>
            <w:r>
              <w:rPr>
                <w:rFonts w:hint="eastAsia" w:ascii="宋体" w:hAnsi="宋体" w:cs="宋体"/>
                <w:color w:val="auto"/>
                <w:szCs w:val="21"/>
                <w:highlight w:val="none"/>
              </w:rPr>
              <w:t>传  真：0514-82980115</w:t>
            </w:r>
          </w:p>
          <w:p w14:paraId="7DF839B3">
            <w:pPr>
              <w:spacing w:line="440" w:lineRule="exact"/>
              <w:rPr>
                <w:rFonts w:ascii="宋体" w:hAnsi="宋体" w:cs="宋体"/>
                <w:color w:val="auto"/>
                <w:szCs w:val="21"/>
                <w:highlight w:val="none"/>
              </w:rPr>
            </w:pPr>
            <w:r>
              <w:rPr>
                <w:rFonts w:hint="eastAsia" w:ascii="宋体" w:hAnsi="宋体" w:cs="宋体"/>
                <w:color w:val="auto"/>
                <w:szCs w:val="21"/>
                <w:highlight w:val="none"/>
              </w:rPr>
              <w:t>开户银行：</w:t>
            </w:r>
          </w:p>
          <w:p w14:paraId="54141012">
            <w:pPr>
              <w:spacing w:line="440" w:lineRule="exact"/>
              <w:rPr>
                <w:rFonts w:ascii="宋体" w:hAnsi="宋体" w:cs="宋体"/>
                <w:color w:val="auto"/>
                <w:szCs w:val="21"/>
                <w:highlight w:val="none"/>
              </w:rPr>
            </w:pPr>
            <w:r>
              <w:rPr>
                <w:rFonts w:hint="eastAsia" w:ascii="宋体" w:hAnsi="宋体" w:cs="宋体"/>
                <w:color w:val="auto"/>
                <w:szCs w:val="21"/>
                <w:highlight w:val="none"/>
              </w:rPr>
              <w:t>帐号：</w:t>
            </w:r>
          </w:p>
        </w:tc>
        <w:tc>
          <w:tcPr>
            <w:tcW w:w="4755" w:type="dxa"/>
          </w:tcPr>
          <w:p w14:paraId="4CBEF844">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乙      方</w:t>
            </w:r>
          </w:p>
          <w:p w14:paraId="0B44965D">
            <w:pPr>
              <w:spacing w:line="440" w:lineRule="exact"/>
              <w:rPr>
                <w:rFonts w:ascii="宋体" w:hAnsi="宋体" w:cs="宋体"/>
                <w:color w:val="auto"/>
                <w:szCs w:val="21"/>
                <w:highlight w:val="none"/>
              </w:rPr>
            </w:pPr>
            <w:r>
              <w:rPr>
                <w:rFonts w:hint="eastAsia" w:ascii="宋体" w:hAnsi="宋体" w:cs="宋体"/>
                <w:color w:val="auto"/>
                <w:szCs w:val="21"/>
                <w:highlight w:val="none"/>
              </w:rPr>
              <w:t xml:space="preserve">单位名称(章)： </w:t>
            </w:r>
          </w:p>
          <w:p w14:paraId="7DC7310C">
            <w:pPr>
              <w:spacing w:line="440" w:lineRule="exact"/>
              <w:ind w:left="1050" w:hanging="1050" w:hangingChars="500"/>
              <w:rPr>
                <w:rFonts w:ascii="宋体" w:hAnsi="宋体" w:cs="宋体"/>
                <w:color w:val="auto"/>
                <w:szCs w:val="21"/>
                <w:highlight w:val="none"/>
              </w:rPr>
            </w:pPr>
            <w:r>
              <w:rPr>
                <w:rFonts w:hint="eastAsia" w:ascii="宋体" w:hAnsi="宋体" w:cs="宋体"/>
                <w:color w:val="auto"/>
                <w:szCs w:val="21"/>
                <w:highlight w:val="none"/>
              </w:rPr>
              <w:t xml:space="preserve">单位地址： </w:t>
            </w:r>
          </w:p>
          <w:p w14:paraId="222BF106">
            <w:pPr>
              <w:spacing w:line="440" w:lineRule="exact"/>
              <w:rPr>
                <w:rFonts w:ascii="宋体" w:hAnsi="宋体" w:cs="宋体"/>
                <w:color w:val="auto"/>
                <w:szCs w:val="21"/>
                <w:highlight w:val="none"/>
              </w:rPr>
            </w:pPr>
            <w:r>
              <w:rPr>
                <w:rFonts w:hint="eastAsia" w:ascii="宋体" w:hAnsi="宋体" w:cs="宋体"/>
                <w:color w:val="auto"/>
                <w:szCs w:val="21"/>
                <w:highlight w:val="none"/>
              </w:rPr>
              <w:t xml:space="preserve">法定代表人： </w:t>
            </w:r>
          </w:p>
          <w:p w14:paraId="641A995D">
            <w:pPr>
              <w:spacing w:line="440" w:lineRule="exact"/>
              <w:rPr>
                <w:rFonts w:ascii="宋体" w:hAnsi="宋体" w:cs="宋体"/>
                <w:color w:val="auto"/>
                <w:szCs w:val="21"/>
                <w:highlight w:val="none"/>
              </w:rPr>
            </w:pPr>
            <w:r>
              <w:rPr>
                <w:rFonts w:hint="eastAsia" w:ascii="宋体" w:hAnsi="宋体" w:cs="宋体"/>
                <w:color w:val="auto"/>
                <w:szCs w:val="21"/>
                <w:highlight w:val="none"/>
              </w:rPr>
              <w:t xml:space="preserve">委托代理人： </w:t>
            </w:r>
          </w:p>
          <w:p w14:paraId="140B0987">
            <w:pPr>
              <w:spacing w:line="440" w:lineRule="exact"/>
              <w:rPr>
                <w:rFonts w:ascii="宋体" w:hAnsi="宋体" w:cs="宋体"/>
                <w:color w:val="auto"/>
                <w:szCs w:val="21"/>
                <w:highlight w:val="none"/>
              </w:rPr>
            </w:pPr>
            <w:r>
              <w:rPr>
                <w:rFonts w:hint="eastAsia" w:ascii="宋体" w:hAnsi="宋体" w:cs="宋体"/>
                <w:color w:val="auto"/>
                <w:szCs w:val="21"/>
                <w:highlight w:val="none"/>
              </w:rPr>
              <w:t xml:space="preserve">电  话： </w:t>
            </w:r>
          </w:p>
          <w:p w14:paraId="45C85DFA">
            <w:pPr>
              <w:spacing w:line="440" w:lineRule="exact"/>
              <w:rPr>
                <w:rFonts w:ascii="宋体" w:hAnsi="宋体" w:cs="宋体"/>
                <w:color w:val="auto"/>
                <w:szCs w:val="21"/>
                <w:highlight w:val="none"/>
              </w:rPr>
            </w:pPr>
            <w:r>
              <w:rPr>
                <w:rFonts w:hint="eastAsia" w:ascii="宋体" w:hAnsi="宋体" w:cs="宋体"/>
                <w:color w:val="auto"/>
                <w:szCs w:val="21"/>
                <w:highlight w:val="none"/>
              </w:rPr>
              <w:t xml:space="preserve">传  真： </w:t>
            </w:r>
          </w:p>
          <w:p w14:paraId="096F6466">
            <w:pPr>
              <w:spacing w:line="440" w:lineRule="exact"/>
              <w:rPr>
                <w:rFonts w:ascii="宋体" w:hAnsi="宋体" w:cs="宋体"/>
                <w:color w:val="auto"/>
                <w:szCs w:val="21"/>
                <w:highlight w:val="none"/>
              </w:rPr>
            </w:pPr>
            <w:r>
              <w:rPr>
                <w:rFonts w:hint="eastAsia" w:ascii="宋体" w:hAnsi="宋体" w:cs="宋体"/>
                <w:color w:val="auto"/>
                <w:szCs w:val="21"/>
                <w:highlight w:val="none"/>
              </w:rPr>
              <w:t xml:space="preserve">开户银行： </w:t>
            </w:r>
          </w:p>
          <w:p w14:paraId="16B80BA8">
            <w:pPr>
              <w:spacing w:line="440" w:lineRule="exact"/>
              <w:rPr>
                <w:rFonts w:ascii="宋体" w:hAnsi="宋体" w:cs="宋体"/>
                <w:color w:val="auto"/>
                <w:szCs w:val="21"/>
                <w:highlight w:val="none"/>
              </w:rPr>
            </w:pPr>
            <w:r>
              <w:rPr>
                <w:rFonts w:hint="eastAsia" w:ascii="宋体" w:hAnsi="宋体" w:cs="宋体"/>
                <w:color w:val="auto"/>
                <w:szCs w:val="21"/>
                <w:highlight w:val="none"/>
              </w:rPr>
              <w:t>帐号：</w:t>
            </w:r>
          </w:p>
        </w:tc>
      </w:tr>
    </w:tbl>
    <w:p w14:paraId="3FBCE555">
      <w:pPr>
        <w:spacing w:line="440" w:lineRule="exact"/>
        <w:jc w:val="center"/>
        <w:rPr>
          <w:rFonts w:hint="eastAsia" w:ascii="宋体" w:hAnsi="宋体" w:cs="宋体"/>
          <w:color w:val="auto"/>
          <w:szCs w:val="21"/>
          <w:highlight w:val="none"/>
        </w:rPr>
      </w:pPr>
      <w:r>
        <w:rPr>
          <w:rFonts w:hint="eastAsia" w:ascii="宋体" w:hAnsi="宋体" w:cs="宋体"/>
          <w:color w:val="auto"/>
          <w:szCs w:val="21"/>
          <w:highlight w:val="none"/>
        </w:rPr>
        <w:t xml:space="preserve">              合同期限：20    年   月   日-20    年   月   日</w:t>
      </w:r>
    </w:p>
    <w:p w14:paraId="0B5AA94A">
      <w:pPr>
        <w:rPr>
          <w:rFonts w:hint="eastAsia" w:ascii="宋体" w:hAnsi="宋体" w:cs="宋体"/>
          <w:color w:val="auto"/>
          <w:szCs w:val="21"/>
          <w:highlight w:val="none"/>
        </w:rPr>
      </w:pPr>
      <w:r>
        <w:rPr>
          <w:rFonts w:hint="eastAsia" w:ascii="宋体" w:hAnsi="宋体" w:cs="宋体"/>
          <w:color w:val="auto"/>
          <w:szCs w:val="21"/>
          <w:highlight w:val="none"/>
        </w:rPr>
        <w:br w:type="page"/>
      </w:r>
    </w:p>
    <w:p w14:paraId="56C7642E">
      <w:pPr>
        <w:spacing w:line="360" w:lineRule="auto"/>
        <w:rPr>
          <w:rFonts w:hint="eastAsia" w:ascii="宋体" w:hAnsi="宋体" w:cs="宋体"/>
          <w:b/>
          <w:bCs/>
          <w:color w:val="auto"/>
          <w:kern w:val="0"/>
          <w:szCs w:val="21"/>
          <w:highlight w:val="none"/>
        </w:rPr>
      </w:pPr>
      <w:r>
        <w:rPr>
          <w:rFonts w:hint="eastAsia" w:ascii="宋体" w:hAnsi="宋体" w:cs="宋体"/>
          <w:b/>
          <w:bCs/>
          <w:color w:val="auto"/>
          <w:kern w:val="0"/>
          <w:szCs w:val="21"/>
          <w:highlight w:val="none"/>
        </w:rPr>
        <w:t>附件：</w:t>
      </w:r>
    </w:p>
    <w:p w14:paraId="5DBC6AC7">
      <w:pPr>
        <w:spacing w:line="360" w:lineRule="auto"/>
        <w:ind w:firstLine="562" w:firstLineChars="200"/>
        <w:jc w:val="center"/>
        <w:rPr>
          <w:b/>
          <w:bCs/>
          <w:color w:val="auto"/>
          <w:sz w:val="28"/>
          <w:szCs w:val="28"/>
          <w:highlight w:val="none"/>
        </w:rPr>
      </w:pPr>
      <w:r>
        <w:rPr>
          <w:rFonts w:hint="eastAsia"/>
          <w:b/>
          <w:bCs/>
          <w:color w:val="auto"/>
          <w:sz w:val="28"/>
          <w:szCs w:val="28"/>
          <w:highlight w:val="none"/>
        </w:rPr>
        <w:t>廉洁协议书</w:t>
      </w:r>
    </w:p>
    <w:p w14:paraId="4DB8FFCD">
      <w:pPr>
        <w:spacing w:line="312" w:lineRule="auto"/>
        <w:ind w:firstLine="422" w:firstLineChars="200"/>
        <w:rPr>
          <w:b/>
          <w:bCs/>
          <w:color w:val="auto"/>
          <w:szCs w:val="21"/>
          <w:highlight w:val="none"/>
        </w:rPr>
      </w:pPr>
      <w:r>
        <w:rPr>
          <w:rFonts w:hint="eastAsia"/>
          <w:b/>
          <w:bCs/>
          <w:color w:val="auto"/>
          <w:szCs w:val="21"/>
          <w:highlight w:val="none"/>
        </w:rPr>
        <w:t>甲  方：</w:t>
      </w:r>
      <w:r>
        <w:rPr>
          <w:rFonts w:hint="eastAsia" w:ascii="宋体" w:hAnsi="宋体"/>
          <w:color w:val="auto"/>
          <w:szCs w:val="21"/>
          <w:highlight w:val="none"/>
        </w:rPr>
        <w:t>江苏长江水务股份有限公司</w:t>
      </w:r>
    </w:p>
    <w:p w14:paraId="45BADC84">
      <w:pPr>
        <w:spacing w:line="312" w:lineRule="auto"/>
        <w:ind w:firstLine="422" w:firstLineChars="200"/>
        <w:rPr>
          <w:rFonts w:ascii="宋体" w:hAnsi="宋体"/>
          <w:color w:val="auto"/>
          <w:szCs w:val="21"/>
          <w:highlight w:val="none"/>
        </w:rPr>
      </w:pPr>
      <w:r>
        <w:rPr>
          <w:rFonts w:hint="eastAsia"/>
          <w:b/>
          <w:bCs/>
          <w:color w:val="auto"/>
          <w:szCs w:val="21"/>
          <w:highlight w:val="none"/>
        </w:rPr>
        <w:t>乙  方：</w:t>
      </w:r>
    </w:p>
    <w:p w14:paraId="0F3E3C9D">
      <w:pPr>
        <w:spacing w:line="312" w:lineRule="auto"/>
        <w:ind w:firstLine="422" w:firstLineChars="200"/>
        <w:rPr>
          <w:b/>
          <w:bCs/>
          <w:color w:val="auto"/>
          <w:szCs w:val="21"/>
          <w:highlight w:val="none"/>
        </w:rPr>
      </w:pPr>
      <w:r>
        <w:rPr>
          <w:rFonts w:hint="eastAsia"/>
          <w:b/>
          <w:bCs/>
          <w:color w:val="auto"/>
          <w:szCs w:val="21"/>
          <w:highlight w:val="none"/>
        </w:rPr>
        <w:t>项目名称：</w:t>
      </w:r>
    </w:p>
    <w:p w14:paraId="52265FA6">
      <w:pPr>
        <w:spacing w:line="312" w:lineRule="auto"/>
        <w:ind w:firstLine="420" w:firstLineChars="200"/>
        <w:rPr>
          <w:color w:val="auto"/>
          <w:szCs w:val="21"/>
          <w:highlight w:val="none"/>
        </w:rPr>
      </w:pPr>
      <w:r>
        <w:rPr>
          <w:rFonts w:hint="eastAsia"/>
          <w:color w:val="auto"/>
          <w:szCs w:val="21"/>
          <w:highlight w:val="none"/>
        </w:rPr>
        <w:t>甲乙双方在订立合同、履行过程中，为保持廉洁自律的工作作风，营造守法诚信、廉洁高效的工作环境，防止各种违规违纪违法行为的发生，保护国家、集体和双方当事人的合法权益，根据国家有关法律法规，经买受人双方同意，订立本廉洁协议：</w:t>
      </w:r>
    </w:p>
    <w:p w14:paraId="4A52DAE0">
      <w:pPr>
        <w:spacing w:line="312" w:lineRule="auto"/>
        <w:ind w:firstLine="422" w:firstLineChars="200"/>
        <w:rPr>
          <w:color w:val="auto"/>
          <w:szCs w:val="21"/>
          <w:highlight w:val="none"/>
        </w:rPr>
      </w:pPr>
      <w:r>
        <w:rPr>
          <w:rFonts w:hint="eastAsia"/>
          <w:b/>
          <w:bCs/>
          <w:color w:val="auto"/>
          <w:szCs w:val="21"/>
          <w:highlight w:val="none"/>
        </w:rPr>
        <w:t>第一条 甲、乙双方的共同责任</w:t>
      </w:r>
    </w:p>
    <w:p w14:paraId="47B38EA1">
      <w:pPr>
        <w:spacing w:line="312" w:lineRule="auto"/>
        <w:ind w:firstLine="420" w:firstLineChars="200"/>
        <w:rPr>
          <w:color w:val="auto"/>
          <w:szCs w:val="21"/>
          <w:highlight w:val="none"/>
        </w:rPr>
      </w:pPr>
      <w:r>
        <w:rPr>
          <w:rFonts w:hint="eastAsia"/>
          <w:color w:val="auto"/>
          <w:szCs w:val="21"/>
          <w:highlight w:val="none"/>
        </w:rPr>
        <w:t>1、应自觉遵守国家、地方及建设单位有关廉政建设的各项制度和规定。</w:t>
      </w:r>
    </w:p>
    <w:p w14:paraId="2AAE9ED8">
      <w:pPr>
        <w:spacing w:line="312" w:lineRule="auto"/>
        <w:ind w:firstLine="420" w:firstLineChars="200"/>
        <w:rPr>
          <w:color w:val="auto"/>
          <w:szCs w:val="21"/>
          <w:highlight w:val="none"/>
        </w:rPr>
      </w:pPr>
      <w:r>
        <w:rPr>
          <w:rFonts w:hint="eastAsia"/>
          <w:color w:val="auto"/>
          <w:szCs w:val="21"/>
          <w:highlight w:val="none"/>
        </w:rPr>
        <w:t>2、严格履行合同约定，自觉承担合同义务。</w:t>
      </w:r>
    </w:p>
    <w:p w14:paraId="79597971">
      <w:pPr>
        <w:spacing w:line="312" w:lineRule="auto"/>
        <w:ind w:firstLine="420" w:firstLineChars="200"/>
        <w:rPr>
          <w:color w:val="auto"/>
          <w:szCs w:val="21"/>
          <w:highlight w:val="none"/>
        </w:rPr>
      </w:pPr>
      <w:r>
        <w:rPr>
          <w:rFonts w:hint="eastAsia"/>
          <w:color w:val="auto"/>
          <w:szCs w:val="21"/>
          <w:highlight w:val="none"/>
        </w:rPr>
        <w:t>3、开展业务活动必须坚持自愿、公平、公开、公正和诚实守信的原则，不得为谋取不正当利益损害国家、集体和双方权益。</w:t>
      </w:r>
    </w:p>
    <w:p w14:paraId="513EE6BA">
      <w:pPr>
        <w:spacing w:line="312" w:lineRule="auto"/>
        <w:ind w:firstLine="420" w:firstLineChars="200"/>
        <w:rPr>
          <w:color w:val="auto"/>
          <w:szCs w:val="21"/>
          <w:highlight w:val="none"/>
        </w:rPr>
      </w:pPr>
      <w:r>
        <w:rPr>
          <w:rFonts w:hint="eastAsia"/>
          <w:color w:val="auto"/>
          <w:szCs w:val="21"/>
          <w:highlight w:val="none"/>
        </w:rPr>
        <w:t>4、建立健全自我制约制度，开展廉洁教育，增强廉洁意识，公布举报电话，监督并认真查处违规违纪违法行为。</w:t>
      </w:r>
    </w:p>
    <w:p w14:paraId="42E8D9F2">
      <w:pPr>
        <w:spacing w:line="312" w:lineRule="auto"/>
        <w:ind w:firstLine="420" w:firstLineChars="200"/>
        <w:rPr>
          <w:color w:val="auto"/>
          <w:szCs w:val="21"/>
          <w:highlight w:val="none"/>
        </w:rPr>
      </w:pPr>
      <w:r>
        <w:rPr>
          <w:rFonts w:hint="eastAsia"/>
          <w:color w:val="auto"/>
          <w:szCs w:val="21"/>
          <w:highlight w:val="none"/>
        </w:rPr>
        <w:t>5、不得有其他妨碍正常交易的违法行为。</w:t>
      </w:r>
    </w:p>
    <w:p w14:paraId="4EA2987F">
      <w:pPr>
        <w:spacing w:line="312" w:lineRule="auto"/>
        <w:ind w:firstLine="422" w:firstLineChars="200"/>
        <w:rPr>
          <w:b/>
          <w:bCs/>
          <w:color w:val="auto"/>
          <w:szCs w:val="21"/>
          <w:highlight w:val="none"/>
        </w:rPr>
      </w:pPr>
      <w:r>
        <w:rPr>
          <w:rFonts w:hint="eastAsia"/>
          <w:b/>
          <w:bCs/>
          <w:color w:val="auto"/>
          <w:szCs w:val="21"/>
          <w:highlight w:val="none"/>
        </w:rPr>
        <w:t>第二条 买受人的责任</w:t>
      </w:r>
    </w:p>
    <w:p w14:paraId="6AA99BA6">
      <w:pPr>
        <w:spacing w:line="312" w:lineRule="auto"/>
        <w:ind w:firstLine="420" w:firstLineChars="200"/>
        <w:rPr>
          <w:color w:val="auto"/>
          <w:szCs w:val="21"/>
          <w:highlight w:val="none"/>
        </w:rPr>
      </w:pPr>
      <w:r>
        <w:rPr>
          <w:rFonts w:hint="eastAsia"/>
          <w:color w:val="auto"/>
          <w:szCs w:val="21"/>
          <w:highlight w:val="none"/>
        </w:rPr>
        <w:t>1、买受人应按照自愿、公平、公正、公开和诚实守信的原则开展各项业务活动，为乙方提供公平的竞争环境与平台。</w:t>
      </w:r>
    </w:p>
    <w:p w14:paraId="63580050">
      <w:pPr>
        <w:spacing w:line="312" w:lineRule="auto"/>
        <w:ind w:firstLine="420" w:firstLineChars="200"/>
        <w:rPr>
          <w:color w:val="auto"/>
          <w:szCs w:val="21"/>
          <w:highlight w:val="none"/>
        </w:rPr>
      </w:pPr>
      <w:r>
        <w:rPr>
          <w:rFonts w:hint="eastAsia"/>
          <w:color w:val="auto"/>
          <w:szCs w:val="21"/>
          <w:highlight w:val="none"/>
        </w:rPr>
        <w:t>2、买受人应严格遵守公司对外服务“五条禁令”：严禁接受服务对象、业务单位的礼金、宴请；严禁违规收费；严禁越权动用供水设施；严禁私揽供水工程；严禁工作期间饮酒和擅离岗位。</w:t>
      </w:r>
    </w:p>
    <w:p w14:paraId="505259A4">
      <w:pPr>
        <w:spacing w:line="312" w:lineRule="auto"/>
        <w:ind w:firstLine="420" w:firstLineChars="200"/>
        <w:rPr>
          <w:color w:val="auto"/>
          <w:szCs w:val="21"/>
          <w:highlight w:val="none"/>
        </w:rPr>
      </w:pPr>
      <w:r>
        <w:rPr>
          <w:rFonts w:hint="eastAsia"/>
          <w:color w:val="auto"/>
          <w:szCs w:val="21"/>
          <w:highlight w:val="none"/>
        </w:rPr>
        <w:t>3、买受人不得以任何理由要求乙方为其亲属、朋友等安排工作。</w:t>
      </w:r>
    </w:p>
    <w:p w14:paraId="1B7F44B7">
      <w:pPr>
        <w:spacing w:line="312" w:lineRule="auto"/>
        <w:ind w:firstLine="420" w:firstLineChars="200"/>
        <w:rPr>
          <w:color w:val="auto"/>
          <w:szCs w:val="21"/>
          <w:highlight w:val="none"/>
        </w:rPr>
      </w:pPr>
      <w:r>
        <w:rPr>
          <w:rFonts w:hint="eastAsia"/>
          <w:color w:val="auto"/>
          <w:szCs w:val="21"/>
          <w:highlight w:val="none"/>
        </w:rPr>
        <w:t>4、买受人不得要求乙方及相关单位报销任何应由买受人或个人支付的费用。</w:t>
      </w:r>
    </w:p>
    <w:p w14:paraId="4956148A">
      <w:pPr>
        <w:spacing w:line="312" w:lineRule="auto"/>
        <w:ind w:firstLine="420" w:firstLineChars="200"/>
        <w:rPr>
          <w:color w:val="auto"/>
          <w:szCs w:val="21"/>
          <w:highlight w:val="none"/>
        </w:rPr>
      </w:pPr>
      <w:r>
        <w:rPr>
          <w:rFonts w:hint="eastAsia"/>
          <w:color w:val="auto"/>
          <w:szCs w:val="21"/>
          <w:highlight w:val="none"/>
        </w:rPr>
        <w:t>5、买受人不得参与影响相关双方正常工作和公正开展的其他活动。</w:t>
      </w:r>
    </w:p>
    <w:p w14:paraId="5164579D">
      <w:pPr>
        <w:spacing w:line="312" w:lineRule="auto"/>
        <w:ind w:firstLine="420" w:firstLineChars="200"/>
        <w:rPr>
          <w:color w:val="auto"/>
          <w:szCs w:val="21"/>
          <w:highlight w:val="none"/>
        </w:rPr>
      </w:pPr>
      <w:r>
        <w:rPr>
          <w:rFonts w:hint="eastAsia"/>
          <w:color w:val="auto"/>
          <w:szCs w:val="21"/>
          <w:highlight w:val="none"/>
        </w:rPr>
        <w:t>6、买受人不得向乙方泄露涉及有关业务活动的秘密。</w:t>
      </w:r>
    </w:p>
    <w:p w14:paraId="31FEE5FB">
      <w:pPr>
        <w:spacing w:line="312" w:lineRule="auto"/>
        <w:ind w:firstLine="420" w:firstLineChars="200"/>
        <w:rPr>
          <w:color w:val="auto"/>
          <w:szCs w:val="21"/>
          <w:highlight w:val="none"/>
        </w:rPr>
      </w:pPr>
      <w:r>
        <w:rPr>
          <w:rFonts w:hint="eastAsia"/>
          <w:color w:val="auto"/>
          <w:szCs w:val="21"/>
          <w:highlight w:val="none"/>
        </w:rPr>
        <w:t>7、买受人要求参与公司业务活动的本公司员工主动申报与乙方的关联关系，包括但不限于存在亲属关系、利益关联体等。</w:t>
      </w:r>
    </w:p>
    <w:p w14:paraId="06C7749D">
      <w:pPr>
        <w:spacing w:line="312" w:lineRule="auto"/>
        <w:ind w:firstLine="420" w:firstLineChars="200"/>
        <w:rPr>
          <w:color w:val="auto"/>
          <w:szCs w:val="21"/>
          <w:highlight w:val="none"/>
        </w:rPr>
      </w:pPr>
      <w:r>
        <w:rPr>
          <w:rFonts w:hint="eastAsia"/>
          <w:color w:val="auto"/>
          <w:szCs w:val="21"/>
          <w:highlight w:val="none"/>
        </w:rPr>
        <w:t>8、在双方合作过程中，买受人有权依据公司相关规章制度对任何重要的流程节点，采取由买受人相关领导小组集体决策的方式作出决定，确保不因任何人的个人利益因素而对乙方提供特别的照顾、优惠、变通、变更。</w:t>
      </w:r>
    </w:p>
    <w:p w14:paraId="0DDC2674">
      <w:pPr>
        <w:spacing w:line="312" w:lineRule="auto"/>
        <w:ind w:firstLine="420" w:firstLineChars="200"/>
        <w:rPr>
          <w:color w:val="auto"/>
          <w:szCs w:val="21"/>
          <w:highlight w:val="none"/>
        </w:rPr>
      </w:pPr>
      <w:r>
        <w:rPr>
          <w:rFonts w:hint="eastAsia"/>
          <w:color w:val="auto"/>
          <w:szCs w:val="21"/>
          <w:highlight w:val="none"/>
        </w:rPr>
        <w:t>9、在合同订立及履行过程中，如乙方人员有行贿行为的，买受人应坚决拒绝，及时向公司领导、纪检监察部门或乙方上级领导或有关部门举报，并向双方单位通报。</w:t>
      </w:r>
    </w:p>
    <w:p w14:paraId="74C1C914">
      <w:pPr>
        <w:spacing w:line="312" w:lineRule="auto"/>
        <w:ind w:firstLine="422" w:firstLineChars="200"/>
        <w:rPr>
          <w:b/>
          <w:bCs/>
          <w:color w:val="auto"/>
          <w:szCs w:val="21"/>
          <w:highlight w:val="none"/>
        </w:rPr>
      </w:pPr>
      <w:r>
        <w:rPr>
          <w:rFonts w:hint="eastAsia"/>
          <w:b/>
          <w:bCs/>
          <w:color w:val="auto"/>
          <w:szCs w:val="21"/>
          <w:highlight w:val="none"/>
        </w:rPr>
        <w:t>第三条 乙方的责任</w:t>
      </w:r>
    </w:p>
    <w:p w14:paraId="76F1942E">
      <w:pPr>
        <w:spacing w:line="312" w:lineRule="auto"/>
        <w:ind w:firstLine="420" w:firstLineChars="200"/>
        <w:rPr>
          <w:color w:val="auto"/>
          <w:szCs w:val="21"/>
          <w:highlight w:val="none"/>
        </w:rPr>
      </w:pPr>
      <w:r>
        <w:rPr>
          <w:rFonts w:hint="eastAsia"/>
          <w:color w:val="auto"/>
          <w:szCs w:val="21"/>
          <w:highlight w:val="none"/>
        </w:rPr>
        <w:t>1、乙方应主动如实向买受人申报是否与买受人员工存在亲属关系、利益关联体关系，是否有买受人在岗或离职人员担任乙方重要岗位等情况。</w:t>
      </w:r>
    </w:p>
    <w:p w14:paraId="2167F1CF">
      <w:pPr>
        <w:spacing w:line="312" w:lineRule="auto"/>
        <w:ind w:firstLine="420" w:firstLineChars="200"/>
        <w:rPr>
          <w:color w:val="auto"/>
          <w:szCs w:val="21"/>
          <w:highlight w:val="none"/>
        </w:rPr>
      </w:pPr>
      <w:r>
        <w:rPr>
          <w:rFonts w:hint="eastAsia"/>
          <w:color w:val="auto"/>
          <w:szCs w:val="21"/>
          <w:highlight w:val="none"/>
        </w:rPr>
        <w:t>2、乙方不得接受买受人工作人员介绍的家属或者亲友从事与合同相关的业务，包括但不限于作为乙方的材料供应方、服务提供方等。</w:t>
      </w:r>
    </w:p>
    <w:p w14:paraId="6EFFDFDC">
      <w:pPr>
        <w:spacing w:line="312" w:lineRule="auto"/>
        <w:ind w:firstLine="420" w:firstLineChars="200"/>
        <w:rPr>
          <w:color w:val="auto"/>
          <w:szCs w:val="21"/>
          <w:highlight w:val="none"/>
        </w:rPr>
      </w:pPr>
      <w:r>
        <w:rPr>
          <w:rFonts w:hint="eastAsia"/>
          <w:color w:val="auto"/>
          <w:szCs w:val="21"/>
          <w:highlight w:val="none"/>
        </w:rPr>
        <w:t>3、乙方不得为谋取利益擅自与买受人就工程承包、工程费用、材料设备供应、工程量变动、工程验收、工程质量问题处理进行私下商谈或者达成默契。</w:t>
      </w:r>
    </w:p>
    <w:p w14:paraId="140C5A32">
      <w:pPr>
        <w:spacing w:line="312" w:lineRule="auto"/>
        <w:ind w:firstLine="420" w:firstLineChars="200"/>
        <w:rPr>
          <w:color w:val="auto"/>
          <w:szCs w:val="21"/>
          <w:highlight w:val="none"/>
        </w:rPr>
      </w:pPr>
      <w:r>
        <w:rPr>
          <w:rFonts w:hint="eastAsia"/>
          <w:color w:val="auto"/>
          <w:szCs w:val="21"/>
          <w:highlight w:val="none"/>
        </w:rPr>
        <w:t>4、乙方不得与其他单位串通投标、不得采取恶性竞争等不正当手段竞争业务。</w:t>
      </w:r>
    </w:p>
    <w:p w14:paraId="74140007">
      <w:pPr>
        <w:spacing w:line="312" w:lineRule="auto"/>
        <w:ind w:firstLine="420" w:firstLineChars="200"/>
        <w:rPr>
          <w:color w:val="auto"/>
          <w:szCs w:val="21"/>
          <w:highlight w:val="none"/>
        </w:rPr>
      </w:pPr>
      <w:r>
        <w:rPr>
          <w:rFonts w:hint="eastAsia"/>
          <w:color w:val="auto"/>
          <w:szCs w:val="21"/>
          <w:highlight w:val="none"/>
        </w:rPr>
        <w:t>5、乙方应当通过正常途径开展相关工作，不得以任何理由或者形式向买受人工作人员（含配偶、子女及其他特定关系人，同下）提供或赠送礼金、有价证券、贵重物品及手续费、回扣、好处费、感谢费等。</w:t>
      </w:r>
    </w:p>
    <w:p w14:paraId="0C984F8A">
      <w:pPr>
        <w:spacing w:line="312" w:lineRule="auto"/>
        <w:ind w:firstLine="420" w:firstLineChars="200"/>
        <w:rPr>
          <w:color w:val="auto"/>
          <w:szCs w:val="21"/>
          <w:highlight w:val="none"/>
        </w:rPr>
      </w:pPr>
      <w:r>
        <w:rPr>
          <w:rFonts w:hint="eastAsia"/>
          <w:color w:val="auto"/>
          <w:szCs w:val="21"/>
          <w:highlight w:val="none"/>
        </w:rPr>
        <w:t>6、乙方不得以任何理由或任何形式邀请买受人工作人员参加有可能影响廉洁、公正的宴请、健身、旅游、娱乐活动。</w:t>
      </w:r>
    </w:p>
    <w:p w14:paraId="11AD8E70">
      <w:pPr>
        <w:spacing w:line="312" w:lineRule="auto"/>
        <w:ind w:firstLine="420" w:firstLineChars="200"/>
        <w:rPr>
          <w:color w:val="auto"/>
          <w:szCs w:val="21"/>
          <w:highlight w:val="none"/>
        </w:rPr>
      </w:pPr>
      <w:r>
        <w:rPr>
          <w:rFonts w:hint="eastAsia"/>
          <w:color w:val="auto"/>
          <w:szCs w:val="21"/>
          <w:highlight w:val="none"/>
        </w:rPr>
        <w:t>7、乙方不得和买受人人员及其亲属发生任何形式的经济往来，包含但不限于个人借款、任何形式的费用报销、婚丧嫁娶、工作安排、出国、留学等。</w:t>
      </w:r>
    </w:p>
    <w:p w14:paraId="518ECB43">
      <w:pPr>
        <w:spacing w:line="312" w:lineRule="auto"/>
        <w:ind w:firstLine="420" w:firstLineChars="200"/>
        <w:rPr>
          <w:color w:val="auto"/>
          <w:szCs w:val="21"/>
          <w:highlight w:val="none"/>
        </w:rPr>
      </w:pPr>
      <w:r>
        <w:rPr>
          <w:rFonts w:hint="eastAsia"/>
          <w:color w:val="auto"/>
          <w:szCs w:val="21"/>
          <w:highlight w:val="none"/>
        </w:rPr>
        <w:t>8、乙方不得向买受人员工及其家属购置、提供任何住房、装修、交通工具、通讯工具、家电、高档办公用品等物品。</w:t>
      </w:r>
    </w:p>
    <w:p w14:paraId="0F110EA0">
      <w:pPr>
        <w:spacing w:line="312" w:lineRule="auto"/>
        <w:ind w:firstLine="420" w:firstLineChars="200"/>
        <w:rPr>
          <w:color w:val="auto"/>
          <w:szCs w:val="21"/>
          <w:highlight w:val="none"/>
        </w:rPr>
      </w:pPr>
      <w:r>
        <w:rPr>
          <w:rFonts w:hint="eastAsia"/>
          <w:color w:val="auto"/>
          <w:szCs w:val="21"/>
          <w:highlight w:val="none"/>
        </w:rPr>
        <w:t>9、乙方有义务监督买受人员工廉洁从业，对违反者，有向买受人反馈和举报的权利和义务。</w:t>
      </w:r>
    </w:p>
    <w:p w14:paraId="12514965">
      <w:pPr>
        <w:spacing w:line="312" w:lineRule="auto"/>
        <w:ind w:firstLine="420" w:firstLineChars="200"/>
        <w:rPr>
          <w:color w:val="auto"/>
          <w:szCs w:val="21"/>
          <w:highlight w:val="none"/>
        </w:rPr>
      </w:pPr>
      <w:r>
        <w:rPr>
          <w:rFonts w:hint="eastAsia"/>
          <w:color w:val="auto"/>
          <w:szCs w:val="21"/>
          <w:highlight w:val="none"/>
        </w:rPr>
        <w:t>10、乙方应当确保乙方人员了解并自觉遵守本协议，发现乙方任何人员有向买受人员工行贿倾向、建议或行为的，应予以制止、批评教育。乙方发现买受人员工有索贿、受贿行为的，应坚决拒绝，并向买受人审计、纪检监察部门进行举报。</w:t>
      </w:r>
    </w:p>
    <w:p w14:paraId="5FCC797F">
      <w:pPr>
        <w:spacing w:line="312" w:lineRule="auto"/>
        <w:ind w:firstLine="422" w:firstLineChars="200"/>
        <w:rPr>
          <w:b/>
          <w:bCs/>
          <w:color w:val="auto"/>
          <w:szCs w:val="21"/>
          <w:highlight w:val="none"/>
        </w:rPr>
      </w:pPr>
      <w:r>
        <w:rPr>
          <w:rFonts w:hint="eastAsia"/>
          <w:b/>
          <w:bCs/>
          <w:color w:val="auto"/>
          <w:szCs w:val="21"/>
          <w:highlight w:val="none"/>
        </w:rPr>
        <w:t xml:space="preserve">第四条 违约责任 </w:t>
      </w:r>
    </w:p>
    <w:p w14:paraId="0886C469">
      <w:pPr>
        <w:spacing w:line="312" w:lineRule="auto"/>
        <w:ind w:firstLine="420" w:firstLineChars="200"/>
        <w:rPr>
          <w:color w:val="auto"/>
          <w:szCs w:val="21"/>
          <w:highlight w:val="none"/>
        </w:rPr>
      </w:pPr>
      <w:r>
        <w:rPr>
          <w:rFonts w:hint="eastAsia"/>
          <w:color w:val="auto"/>
          <w:szCs w:val="21"/>
          <w:highlight w:val="none"/>
        </w:rPr>
        <w:t>1、如乙方出现违反本协议约定的行为，买受人有权根据具体情节的严重程度和造成的后果要求乙方按照合同总金额的1-5%向买受人支付违约金，并承担因此给买受人造成的全部损失，买受人有权从双方已签订的其他正在履行的合同中乙方未结算款项里优先予以扣除且无需承担任何违约责任，如果其他正在履行的合同中乙方未结算款项不足以支付违约金的，乙方应按买受人要求，补足违约金差额。</w:t>
      </w:r>
    </w:p>
    <w:p w14:paraId="10CBC76E">
      <w:pPr>
        <w:spacing w:line="312" w:lineRule="auto"/>
        <w:ind w:firstLine="420" w:firstLineChars="200"/>
        <w:rPr>
          <w:color w:val="auto"/>
          <w:szCs w:val="21"/>
          <w:highlight w:val="none"/>
        </w:rPr>
      </w:pPr>
      <w:r>
        <w:rPr>
          <w:rFonts w:hint="eastAsia"/>
          <w:color w:val="auto"/>
          <w:szCs w:val="21"/>
          <w:highlight w:val="none"/>
        </w:rPr>
        <w:t>2、若买受人发现乙方工作人员为谋取自身不正当利益有违反廉政规定的行为，买受人有权要求乙方撤回该人员，并不再安排该人员从事与买受人有关的任何工作。根据情节严重程度及双方合作态度，买受人有权采取以下一种或多种措施：终止或解除合同，限制乙方后续投标资格、将乙方列入供应商黑名单不再合作等。</w:t>
      </w:r>
    </w:p>
    <w:p w14:paraId="0CCB547D">
      <w:pPr>
        <w:spacing w:line="312" w:lineRule="auto"/>
        <w:ind w:firstLine="420" w:firstLineChars="200"/>
        <w:rPr>
          <w:color w:val="auto"/>
          <w:szCs w:val="21"/>
          <w:highlight w:val="none"/>
        </w:rPr>
      </w:pPr>
      <w:r>
        <w:rPr>
          <w:rFonts w:hint="eastAsia"/>
          <w:color w:val="auto"/>
          <w:szCs w:val="21"/>
          <w:highlight w:val="none"/>
        </w:rPr>
        <w:t>3、如买受人出现违反本协议约定的行为，鼓励乙方进行举报，买受人将对乙方投诉人及投诉内容（举报人、陈述人、证人等）予以严格保密，并在接到乙方书面投诉后的15个工作日内给予乙方反馈。经查实买受人工作人员确有违反廉政规定行为的，买受人将根据有关规定对其进行严肃处理。</w:t>
      </w:r>
    </w:p>
    <w:p w14:paraId="275CEBAB">
      <w:pPr>
        <w:spacing w:line="312" w:lineRule="auto"/>
        <w:ind w:firstLine="422" w:firstLineChars="200"/>
        <w:rPr>
          <w:b/>
          <w:bCs/>
          <w:color w:val="auto"/>
          <w:szCs w:val="21"/>
          <w:highlight w:val="none"/>
        </w:rPr>
      </w:pPr>
      <w:r>
        <w:rPr>
          <w:rFonts w:hint="eastAsia"/>
          <w:b/>
          <w:bCs/>
          <w:color w:val="auto"/>
          <w:szCs w:val="21"/>
          <w:highlight w:val="none"/>
        </w:rPr>
        <w:t>第五条 其他约定</w:t>
      </w:r>
    </w:p>
    <w:p w14:paraId="71D8873E">
      <w:pPr>
        <w:spacing w:line="312" w:lineRule="auto"/>
        <w:ind w:firstLine="420" w:firstLineChars="200"/>
        <w:rPr>
          <w:color w:val="auto"/>
          <w:szCs w:val="21"/>
          <w:highlight w:val="none"/>
        </w:rPr>
      </w:pPr>
      <w:r>
        <w:rPr>
          <w:rFonts w:hint="eastAsia"/>
          <w:color w:val="auto"/>
          <w:szCs w:val="21"/>
          <w:highlight w:val="none"/>
        </w:rPr>
        <w:t>1、本协议作为                                （＊项目全称）合同的附件应一并签订、保管，与该合同具有同等法律效力，经双方签署后立即生效。</w:t>
      </w:r>
    </w:p>
    <w:p w14:paraId="21540050">
      <w:pPr>
        <w:spacing w:line="312" w:lineRule="auto"/>
        <w:ind w:firstLine="420" w:firstLineChars="200"/>
        <w:rPr>
          <w:color w:val="auto"/>
          <w:szCs w:val="21"/>
          <w:highlight w:val="none"/>
        </w:rPr>
      </w:pPr>
      <w:r>
        <w:rPr>
          <w:rFonts w:hint="eastAsia"/>
          <w:color w:val="auto"/>
          <w:szCs w:val="21"/>
          <w:highlight w:val="none"/>
        </w:rPr>
        <w:t>2、本协议未尽事宜，双方可增补条款，增补内容如下：</w:t>
      </w:r>
    </w:p>
    <w:p w14:paraId="4FE7DA91">
      <w:pPr>
        <w:spacing w:line="312" w:lineRule="auto"/>
        <w:ind w:firstLine="420" w:firstLineChars="200"/>
        <w:rPr>
          <w:color w:val="auto"/>
          <w:szCs w:val="21"/>
          <w:highlight w:val="none"/>
          <w:u w:val="single"/>
        </w:rPr>
      </w:pPr>
      <w:r>
        <w:rPr>
          <w:rFonts w:hint="eastAsia"/>
          <w:color w:val="auto"/>
          <w:szCs w:val="21"/>
          <w:highlight w:val="none"/>
          <w:u w:val="single"/>
        </w:rPr>
        <w:t xml:space="preserve">（1）                                           </w:t>
      </w:r>
    </w:p>
    <w:p w14:paraId="493C7FA5">
      <w:pPr>
        <w:spacing w:line="312" w:lineRule="auto"/>
        <w:ind w:firstLine="420" w:firstLineChars="200"/>
        <w:rPr>
          <w:color w:val="auto"/>
          <w:szCs w:val="21"/>
          <w:highlight w:val="none"/>
          <w:u w:val="single"/>
        </w:rPr>
      </w:pPr>
      <w:r>
        <w:rPr>
          <w:rFonts w:hint="eastAsia"/>
          <w:color w:val="auto"/>
          <w:szCs w:val="21"/>
          <w:highlight w:val="none"/>
          <w:u w:val="single"/>
        </w:rPr>
        <w:t xml:space="preserve">（2）                                           </w:t>
      </w:r>
    </w:p>
    <w:p w14:paraId="2557A1C0">
      <w:pPr>
        <w:spacing w:line="312" w:lineRule="auto"/>
        <w:ind w:firstLine="420" w:firstLineChars="200"/>
        <w:rPr>
          <w:color w:val="auto"/>
          <w:szCs w:val="21"/>
          <w:highlight w:val="none"/>
          <w:u w:val="single"/>
        </w:rPr>
      </w:pPr>
      <w:r>
        <w:rPr>
          <w:rFonts w:hint="eastAsia"/>
          <w:color w:val="auto"/>
          <w:szCs w:val="21"/>
          <w:highlight w:val="none"/>
          <w:u w:val="single"/>
        </w:rPr>
        <w:t xml:space="preserve">（3）                                           </w:t>
      </w:r>
    </w:p>
    <w:p w14:paraId="61169296">
      <w:pPr>
        <w:spacing w:line="312" w:lineRule="auto"/>
        <w:ind w:firstLine="420" w:firstLineChars="200"/>
        <w:rPr>
          <w:color w:val="auto"/>
          <w:szCs w:val="21"/>
          <w:highlight w:val="none"/>
        </w:rPr>
      </w:pPr>
      <w:r>
        <w:rPr>
          <w:rFonts w:hint="eastAsia"/>
          <w:color w:val="auto"/>
          <w:szCs w:val="21"/>
          <w:highlight w:val="none"/>
        </w:rPr>
        <w:t>......</w:t>
      </w:r>
    </w:p>
    <w:p w14:paraId="02CB8154">
      <w:pPr>
        <w:spacing w:line="312" w:lineRule="auto"/>
        <w:ind w:firstLine="420" w:firstLineChars="200"/>
        <w:rPr>
          <w:color w:val="auto"/>
          <w:szCs w:val="21"/>
          <w:highlight w:val="none"/>
        </w:rPr>
      </w:pPr>
      <w:r>
        <w:rPr>
          <w:rFonts w:hint="eastAsia"/>
          <w:color w:val="auto"/>
          <w:szCs w:val="21"/>
          <w:highlight w:val="none"/>
        </w:rPr>
        <w:t>3、本协议的有效期为双方签字盖章之日起至项目合同履行完成时止。</w:t>
      </w:r>
    </w:p>
    <w:p w14:paraId="4D26BBD5">
      <w:pPr>
        <w:spacing w:line="312" w:lineRule="auto"/>
        <w:ind w:firstLine="420" w:firstLineChars="200"/>
        <w:rPr>
          <w:color w:val="auto"/>
          <w:szCs w:val="21"/>
          <w:highlight w:val="none"/>
        </w:rPr>
      </w:pPr>
      <w:r>
        <w:rPr>
          <w:rFonts w:hint="eastAsia"/>
          <w:color w:val="auto"/>
          <w:szCs w:val="21"/>
          <w:highlight w:val="none"/>
        </w:rPr>
        <w:t>4、为增进双方的沟通了解，买受人审计、纪检监察部门会与乙方进行非定期的访谈，乙方需予以配合。</w:t>
      </w:r>
    </w:p>
    <w:p w14:paraId="1A31F9BC">
      <w:pPr>
        <w:spacing w:line="312" w:lineRule="auto"/>
        <w:ind w:firstLine="420" w:firstLineChars="200"/>
        <w:rPr>
          <w:color w:val="auto"/>
          <w:szCs w:val="21"/>
          <w:highlight w:val="none"/>
        </w:rPr>
      </w:pPr>
      <w:r>
        <w:rPr>
          <w:rFonts w:hint="eastAsia"/>
          <w:color w:val="auto"/>
          <w:szCs w:val="21"/>
          <w:highlight w:val="none"/>
        </w:rPr>
        <w:t>5、乙方对买受人员工有任何意见、建议等，可向买受人审计、纪检监察部门反映，买受人将按规定对反映人、反映情况及个人联系方式进行保密。</w:t>
      </w:r>
    </w:p>
    <w:p w14:paraId="1EF72AD9">
      <w:pPr>
        <w:spacing w:line="312" w:lineRule="auto"/>
        <w:ind w:firstLine="420" w:firstLineChars="200"/>
        <w:rPr>
          <w:color w:val="auto"/>
          <w:szCs w:val="21"/>
          <w:highlight w:val="none"/>
        </w:rPr>
      </w:pPr>
      <w:r>
        <w:rPr>
          <w:rFonts w:hint="eastAsia"/>
          <w:color w:val="auto"/>
          <w:szCs w:val="21"/>
          <w:highlight w:val="none"/>
        </w:rPr>
        <w:t>6、对于支持审计、纪检监察工作和敢于揭露买受人有廉洁违规行为的乙方，买受人将优先考虑与其合作。</w:t>
      </w:r>
    </w:p>
    <w:p w14:paraId="7D4D7C6F">
      <w:pPr>
        <w:spacing w:line="312" w:lineRule="auto"/>
        <w:ind w:firstLine="420" w:firstLineChars="200"/>
        <w:rPr>
          <w:color w:val="auto"/>
          <w:szCs w:val="21"/>
          <w:highlight w:val="none"/>
        </w:rPr>
      </w:pPr>
      <w:r>
        <w:rPr>
          <w:rFonts w:hint="eastAsia"/>
          <w:color w:val="auto"/>
          <w:szCs w:val="21"/>
          <w:highlight w:val="none"/>
        </w:rPr>
        <w:t>7、买受人举报电话：0514-82883093；邮箱：</w:t>
      </w:r>
      <w:r>
        <w:rPr>
          <w:color w:val="auto"/>
          <w:highlight w:val="none"/>
        </w:rPr>
        <w:fldChar w:fldCharType="begin"/>
      </w:r>
      <w:r>
        <w:rPr>
          <w:color w:val="auto"/>
          <w:highlight w:val="none"/>
        </w:rPr>
        <w:instrText xml:space="preserve"> HYPERLINK "mailto:cjswjw@163.com" </w:instrText>
      </w:r>
      <w:r>
        <w:rPr>
          <w:color w:val="auto"/>
          <w:highlight w:val="none"/>
        </w:rPr>
        <w:fldChar w:fldCharType="separate"/>
      </w:r>
      <w:r>
        <w:rPr>
          <w:rFonts w:hint="eastAsia"/>
          <w:color w:val="auto"/>
          <w:szCs w:val="21"/>
          <w:highlight w:val="none"/>
        </w:rPr>
        <w:t>cjswjw@163.com</w:t>
      </w:r>
      <w:r>
        <w:rPr>
          <w:rFonts w:hint="eastAsia"/>
          <w:color w:val="auto"/>
          <w:szCs w:val="21"/>
          <w:highlight w:val="none"/>
        </w:rPr>
        <w:fldChar w:fldCharType="end"/>
      </w:r>
      <w:r>
        <w:rPr>
          <w:rFonts w:hint="eastAsia"/>
          <w:color w:val="auto"/>
          <w:szCs w:val="21"/>
          <w:highlight w:val="none"/>
        </w:rPr>
        <w:t>。</w:t>
      </w:r>
    </w:p>
    <w:p w14:paraId="6A394CFA">
      <w:pPr>
        <w:spacing w:line="312" w:lineRule="auto"/>
        <w:ind w:firstLine="420" w:firstLineChars="200"/>
        <w:rPr>
          <w:color w:val="auto"/>
          <w:szCs w:val="21"/>
          <w:highlight w:val="none"/>
        </w:rPr>
      </w:pPr>
      <w:r>
        <w:rPr>
          <w:rFonts w:hint="eastAsia"/>
          <w:color w:val="auto"/>
          <w:szCs w:val="21"/>
          <w:highlight w:val="none"/>
        </w:rPr>
        <w:t xml:space="preserve">   乙方举报电话：             ；邮箱：              。</w:t>
      </w:r>
    </w:p>
    <w:p w14:paraId="6EFFAAC0">
      <w:pPr>
        <w:numPr>
          <w:ilvl w:val="0"/>
          <w:numId w:val="2"/>
        </w:numPr>
        <w:spacing w:line="312" w:lineRule="auto"/>
        <w:ind w:firstLine="420" w:firstLineChars="200"/>
        <w:rPr>
          <w:color w:val="auto"/>
          <w:szCs w:val="21"/>
          <w:highlight w:val="none"/>
        </w:rPr>
      </w:pPr>
      <w:r>
        <w:rPr>
          <w:rFonts w:hint="eastAsia"/>
          <w:color w:val="auto"/>
          <w:szCs w:val="21"/>
          <w:highlight w:val="none"/>
        </w:rPr>
        <w:t>本协议书一式六份，甲（纪委办留存一份）执四份，乙方执两份。</w:t>
      </w:r>
    </w:p>
    <w:tbl>
      <w:tblPr>
        <w:tblStyle w:val="20"/>
        <w:tblpPr w:leftFromText="180" w:rightFromText="180" w:vertAnchor="text" w:horzAnchor="margin" w:tblpXSpec="center" w:tblpY="90"/>
        <w:tblW w:w="90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1"/>
        <w:gridCol w:w="4463"/>
      </w:tblGrid>
      <w:tr w14:paraId="7AB87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4" w:hRule="atLeast"/>
        </w:trPr>
        <w:tc>
          <w:tcPr>
            <w:tcW w:w="4621" w:type="dxa"/>
            <w:noWrap w:val="0"/>
            <w:vAlign w:val="top"/>
          </w:tcPr>
          <w:p w14:paraId="1B71E4B2">
            <w:pPr>
              <w:spacing w:line="312" w:lineRule="auto"/>
              <w:jc w:val="center"/>
              <w:rPr>
                <w:rFonts w:hint="eastAsia" w:ascii="宋体" w:hAnsi="宋体" w:cs="宋体"/>
                <w:color w:val="auto"/>
                <w:szCs w:val="21"/>
                <w:highlight w:val="none"/>
              </w:rPr>
            </w:pPr>
            <w:r>
              <w:rPr>
                <w:rFonts w:hint="eastAsia" w:ascii="宋体" w:hAnsi="宋体" w:cs="宋体"/>
                <w:color w:val="auto"/>
                <w:szCs w:val="21"/>
                <w:highlight w:val="none"/>
              </w:rPr>
              <w:t>甲     方</w:t>
            </w:r>
          </w:p>
          <w:p w14:paraId="409371EF">
            <w:pPr>
              <w:spacing w:line="312" w:lineRule="auto"/>
              <w:rPr>
                <w:rFonts w:hint="eastAsia" w:ascii="宋体" w:hAnsi="宋体" w:cs="宋体"/>
                <w:color w:val="auto"/>
                <w:szCs w:val="21"/>
                <w:highlight w:val="none"/>
              </w:rPr>
            </w:pPr>
            <w:r>
              <w:rPr>
                <w:rFonts w:hint="eastAsia" w:ascii="宋体" w:hAnsi="宋体" w:cs="宋体"/>
                <w:color w:val="auto"/>
                <w:szCs w:val="21"/>
                <w:highlight w:val="none"/>
              </w:rPr>
              <w:t>买受人单位（盖章）：江苏长江水务股份有限公司</w:t>
            </w:r>
          </w:p>
          <w:p w14:paraId="61878263">
            <w:pPr>
              <w:pStyle w:val="18"/>
              <w:spacing w:line="312" w:lineRule="auto"/>
              <w:ind w:firstLine="0"/>
              <w:rPr>
                <w:rFonts w:hint="eastAsia" w:ascii="宋体" w:hAnsi="宋体" w:cs="宋体"/>
                <w:color w:val="auto"/>
                <w:sz w:val="21"/>
                <w:szCs w:val="21"/>
                <w:highlight w:val="none"/>
              </w:rPr>
            </w:pPr>
            <w:r>
              <w:rPr>
                <w:rFonts w:hint="eastAsia" w:ascii="宋体" w:hAnsi="宋体" w:cs="宋体"/>
                <w:color w:val="auto"/>
                <w:sz w:val="21"/>
                <w:szCs w:val="21"/>
                <w:highlight w:val="none"/>
              </w:rPr>
              <w:t>法定代表人（签字）：</w:t>
            </w:r>
          </w:p>
          <w:p w14:paraId="6AE51C24">
            <w:pPr>
              <w:pStyle w:val="19"/>
              <w:spacing w:line="312" w:lineRule="auto"/>
              <w:ind w:firstLine="0"/>
              <w:rPr>
                <w:rFonts w:hint="eastAsia" w:hAnsi="宋体" w:cs="宋体"/>
                <w:color w:val="auto"/>
                <w:sz w:val="21"/>
                <w:szCs w:val="21"/>
                <w:highlight w:val="none"/>
                <w:lang w:val="en-US" w:eastAsia="zh-CN"/>
              </w:rPr>
            </w:pPr>
            <w:r>
              <w:rPr>
                <w:rFonts w:hint="eastAsia" w:hAnsi="宋体" w:cs="宋体"/>
                <w:color w:val="auto"/>
                <w:sz w:val="21"/>
                <w:szCs w:val="21"/>
                <w:highlight w:val="none"/>
                <w:lang w:val="en-US" w:eastAsia="zh-CN"/>
              </w:rPr>
              <w:t>委托代理人（签字）：</w:t>
            </w:r>
          </w:p>
          <w:p w14:paraId="7A0456A4">
            <w:pPr>
              <w:spacing w:line="312" w:lineRule="auto"/>
              <w:rPr>
                <w:rFonts w:hint="eastAsia" w:ascii="宋体" w:hAnsi="宋体" w:cs="宋体"/>
                <w:color w:val="auto"/>
                <w:szCs w:val="21"/>
                <w:highlight w:val="none"/>
              </w:rPr>
            </w:pPr>
            <w:r>
              <w:rPr>
                <w:rFonts w:hint="eastAsia" w:ascii="宋体" w:hAnsi="宋体" w:cs="宋体"/>
                <w:color w:val="auto"/>
                <w:szCs w:val="21"/>
                <w:highlight w:val="none"/>
              </w:rPr>
              <w:t>地  址：</w:t>
            </w:r>
          </w:p>
          <w:p w14:paraId="016B6463">
            <w:pPr>
              <w:pStyle w:val="18"/>
              <w:spacing w:line="312" w:lineRule="auto"/>
              <w:ind w:firstLine="0"/>
              <w:rPr>
                <w:rFonts w:ascii="宋体" w:hAnsi="宋体" w:cs="宋体"/>
                <w:color w:val="auto"/>
                <w:sz w:val="21"/>
                <w:szCs w:val="21"/>
                <w:highlight w:val="none"/>
              </w:rPr>
            </w:pPr>
            <w:r>
              <w:rPr>
                <w:rFonts w:hint="eastAsia" w:ascii="宋体" w:hAnsi="宋体" w:cs="宋体"/>
                <w:color w:val="auto"/>
                <w:sz w:val="21"/>
                <w:szCs w:val="21"/>
                <w:highlight w:val="none"/>
              </w:rPr>
              <w:t>＊联系方式：0514-82980012</w:t>
            </w:r>
          </w:p>
          <w:p w14:paraId="4436587F">
            <w:pPr>
              <w:pStyle w:val="19"/>
              <w:spacing w:line="312" w:lineRule="auto"/>
              <w:rPr>
                <w:rFonts w:hint="eastAsia" w:hAnsi="宋体" w:cs="宋体"/>
                <w:color w:val="auto"/>
                <w:sz w:val="21"/>
                <w:szCs w:val="21"/>
                <w:highlight w:val="none"/>
                <w:lang w:val="en-US" w:eastAsia="zh-CN"/>
              </w:rPr>
            </w:pPr>
            <w:r>
              <w:rPr>
                <w:rFonts w:hint="eastAsia" w:hAnsi="宋体" w:cs="宋体"/>
                <w:color w:val="auto"/>
                <w:sz w:val="21"/>
                <w:szCs w:val="21"/>
                <w:highlight w:val="none"/>
                <w:lang w:val="en-US" w:eastAsia="zh-CN"/>
              </w:rPr>
              <w:t xml:space="preserve">年  月  日  </w:t>
            </w:r>
          </w:p>
        </w:tc>
        <w:tc>
          <w:tcPr>
            <w:tcW w:w="4463" w:type="dxa"/>
            <w:noWrap w:val="0"/>
            <w:vAlign w:val="top"/>
          </w:tcPr>
          <w:p w14:paraId="780E01B2">
            <w:pPr>
              <w:spacing w:line="312" w:lineRule="auto"/>
              <w:jc w:val="center"/>
              <w:rPr>
                <w:rFonts w:hint="eastAsia" w:ascii="宋体" w:hAnsi="宋体" w:cs="宋体"/>
                <w:color w:val="auto"/>
                <w:szCs w:val="21"/>
                <w:highlight w:val="none"/>
              </w:rPr>
            </w:pPr>
            <w:r>
              <w:rPr>
                <w:rFonts w:hint="eastAsia" w:ascii="宋体" w:hAnsi="宋体" w:cs="宋体"/>
                <w:color w:val="auto"/>
                <w:szCs w:val="21"/>
                <w:highlight w:val="none"/>
              </w:rPr>
              <w:t>乙    方</w:t>
            </w:r>
          </w:p>
          <w:p w14:paraId="1B6A3B56">
            <w:pPr>
              <w:spacing w:line="312" w:lineRule="auto"/>
              <w:rPr>
                <w:rFonts w:hint="eastAsia" w:ascii="宋体" w:hAnsi="宋体" w:cs="宋体"/>
                <w:color w:val="auto"/>
                <w:szCs w:val="21"/>
                <w:highlight w:val="none"/>
              </w:rPr>
            </w:pPr>
            <w:r>
              <w:rPr>
                <w:rFonts w:hint="eastAsia" w:ascii="宋体" w:hAnsi="宋体" w:cs="宋体"/>
                <w:color w:val="auto"/>
                <w:szCs w:val="21"/>
                <w:highlight w:val="none"/>
              </w:rPr>
              <w:t>乙方单位（盖章）：</w:t>
            </w:r>
          </w:p>
          <w:p w14:paraId="5F7CA138">
            <w:pPr>
              <w:pStyle w:val="18"/>
              <w:spacing w:line="312" w:lineRule="auto"/>
              <w:ind w:firstLine="0"/>
              <w:rPr>
                <w:rFonts w:hint="eastAsia" w:ascii="宋体" w:hAnsi="宋体" w:cs="宋体"/>
                <w:color w:val="auto"/>
                <w:sz w:val="21"/>
                <w:szCs w:val="21"/>
                <w:highlight w:val="none"/>
              </w:rPr>
            </w:pPr>
            <w:r>
              <w:rPr>
                <w:rFonts w:hint="eastAsia" w:ascii="宋体" w:hAnsi="宋体" w:cs="宋体"/>
                <w:color w:val="auto"/>
                <w:sz w:val="21"/>
                <w:szCs w:val="21"/>
                <w:highlight w:val="none"/>
              </w:rPr>
              <w:t>法定代表人（签字）：</w:t>
            </w:r>
          </w:p>
          <w:p w14:paraId="41F06323">
            <w:pPr>
              <w:pStyle w:val="19"/>
              <w:spacing w:line="312" w:lineRule="auto"/>
              <w:ind w:firstLine="0"/>
              <w:rPr>
                <w:rFonts w:hint="eastAsia" w:hAnsi="宋体" w:cs="宋体"/>
                <w:color w:val="auto"/>
                <w:sz w:val="21"/>
                <w:szCs w:val="21"/>
                <w:highlight w:val="none"/>
                <w:lang w:val="en-US" w:eastAsia="zh-CN"/>
              </w:rPr>
            </w:pPr>
            <w:r>
              <w:rPr>
                <w:rFonts w:hint="eastAsia" w:hAnsi="宋体" w:cs="宋体"/>
                <w:color w:val="auto"/>
                <w:sz w:val="21"/>
                <w:szCs w:val="21"/>
                <w:highlight w:val="none"/>
                <w:lang w:val="en-US" w:eastAsia="zh-CN"/>
              </w:rPr>
              <w:t>委托代理人（签字）：</w:t>
            </w:r>
          </w:p>
          <w:p w14:paraId="38A0BE1B">
            <w:pPr>
              <w:spacing w:line="312" w:lineRule="auto"/>
              <w:rPr>
                <w:rFonts w:hint="eastAsia" w:ascii="宋体" w:hAnsi="宋体" w:cs="宋体"/>
                <w:color w:val="auto"/>
                <w:szCs w:val="21"/>
                <w:highlight w:val="none"/>
              </w:rPr>
            </w:pPr>
            <w:r>
              <w:rPr>
                <w:rFonts w:hint="eastAsia" w:ascii="宋体" w:hAnsi="宋体" w:cs="宋体"/>
                <w:color w:val="auto"/>
                <w:szCs w:val="21"/>
                <w:highlight w:val="none"/>
              </w:rPr>
              <w:t>地  址：</w:t>
            </w:r>
          </w:p>
          <w:p w14:paraId="79873AF1">
            <w:pPr>
              <w:pStyle w:val="18"/>
              <w:spacing w:line="312" w:lineRule="auto"/>
              <w:ind w:firstLine="0"/>
              <w:rPr>
                <w:rFonts w:hint="eastAsia" w:ascii="宋体" w:hAnsi="宋体" w:cs="宋体"/>
                <w:color w:val="auto"/>
                <w:sz w:val="21"/>
                <w:szCs w:val="21"/>
                <w:highlight w:val="none"/>
              </w:rPr>
            </w:pPr>
            <w:r>
              <w:rPr>
                <w:rFonts w:hint="eastAsia" w:ascii="宋体" w:hAnsi="宋体" w:cs="宋体"/>
                <w:color w:val="auto"/>
                <w:sz w:val="21"/>
                <w:szCs w:val="21"/>
                <w:highlight w:val="none"/>
              </w:rPr>
              <w:t>＊联系方式：</w:t>
            </w:r>
          </w:p>
          <w:p w14:paraId="77D22EC3">
            <w:pPr>
              <w:pStyle w:val="18"/>
              <w:spacing w:line="312" w:lineRule="auto"/>
              <w:ind w:firstLine="210"/>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年  月  日  </w:t>
            </w:r>
          </w:p>
        </w:tc>
      </w:tr>
    </w:tbl>
    <w:p w14:paraId="02DF5286">
      <w:pPr>
        <w:spacing w:line="312" w:lineRule="auto"/>
        <w:rPr>
          <w:color w:val="auto"/>
          <w:szCs w:val="21"/>
          <w:highlight w:val="none"/>
        </w:rPr>
      </w:pPr>
      <w:r>
        <w:rPr>
          <w:rFonts w:hint="eastAsia"/>
          <w:color w:val="auto"/>
          <w:szCs w:val="21"/>
          <w:highlight w:val="none"/>
        </w:rPr>
        <w:t>“＊”为必填项</w:t>
      </w:r>
    </w:p>
    <w:p w14:paraId="2B1E22E0">
      <w:pPr>
        <w:pStyle w:val="9"/>
        <w:rPr>
          <w:color w:val="auto"/>
          <w:highlight w:val="none"/>
        </w:rPr>
      </w:pPr>
    </w:p>
    <w:p w14:paraId="55772A87">
      <w:pPr>
        <w:autoSpaceDE w:val="0"/>
        <w:autoSpaceDN w:val="0"/>
        <w:adjustRightInd w:val="0"/>
        <w:snapToGrid w:val="0"/>
        <w:spacing w:line="440" w:lineRule="exact"/>
        <w:ind w:firstLine="561"/>
        <w:rPr>
          <w:rFonts w:ascii="宋体" w:hAnsi="宋体"/>
          <w:b/>
          <w:color w:val="auto"/>
          <w:szCs w:val="21"/>
          <w:highlight w:val="none"/>
        </w:rPr>
      </w:pPr>
    </w:p>
    <w:p w14:paraId="6705EBF4">
      <w:pPr>
        <w:autoSpaceDE w:val="0"/>
        <w:autoSpaceDN w:val="0"/>
        <w:adjustRightInd w:val="0"/>
        <w:snapToGrid w:val="0"/>
        <w:spacing w:line="440" w:lineRule="exact"/>
        <w:ind w:firstLine="561"/>
        <w:rPr>
          <w:rFonts w:ascii="宋体" w:hAnsi="宋体"/>
          <w:b/>
          <w:color w:val="auto"/>
          <w:szCs w:val="21"/>
          <w:highlight w:val="none"/>
        </w:rPr>
      </w:pPr>
    </w:p>
    <w:p w14:paraId="55D24456">
      <w:pPr>
        <w:autoSpaceDE w:val="0"/>
        <w:autoSpaceDN w:val="0"/>
        <w:adjustRightInd w:val="0"/>
        <w:snapToGrid w:val="0"/>
        <w:spacing w:line="440" w:lineRule="exact"/>
        <w:ind w:firstLine="561"/>
        <w:rPr>
          <w:rFonts w:ascii="宋体" w:hAnsi="宋体"/>
          <w:b/>
          <w:color w:val="auto"/>
          <w:szCs w:val="21"/>
          <w:highlight w:val="none"/>
        </w:rPr>
      </w:pPr>
    </w:p>
    <w:p w14:paraId="6CDDD31C">
      <w:pPr>
        <w:autoSpaceDE w:val="0"/>
        <w:autoSpaceDN w:val="0"/>
        <w:adjustRightInd w:val="0"/>
        <w:snapToGrid w:val="0"/>
        <w:spacing w:line="440" w:lineRule="exact"/>
        <w:ind w:firstLine="561"/>
        <w:rPr>
          <w:rFonts w:ascii="宋体" w:hAnsi="宋体"/>
          <w:b/>
          <w:color w:val="auto"/>
          <w:szCs w:val="21"/>
          <w:highlight w:val="none"/>
        </w:rPr>
      </w:pPr>
    </w:p>
    <w:p w14:paraId="08450FE6">
      <w:pPr>
        <w:autoSpaceDE w:val="0"/>
        <w:autoSpaceDN w:val="0"/>
        <w:adjustRightInd w:val="0"/>
        <w:snapToGrid w:val="0"/>
        <w:spacing w:line="440" w:lineRule="exact"/>
        <w:ind w:firstLine="561"/>
        <w:rPr>
          <w:rFonts w:ascii="宋体" w:hAnsi="宋体"/>
          <w:b/>
          <w:color w:val="auto"/>
          <w:szCs w:val="21"/>
          <w:highlight w:val="none"/>
        </w:rPr>
      </w:pPr>
    </w:p>
    <w:p w14:paraId="5284A153">
      <w:pPr>
        <w:autoSpaceDE w:val="0"/>
        <w:autoSpaceDN w:val="0"/>
        <w:adjustRightInd w:val="0"/>
        <w:snapToGrid w:val="0"/>
        <w:spacing w:line="440" w:lineRule="exact"/>
        <w:ind w:firstLine="561"/>
        <w:rPr>
          <w:rFonts w:ascii="宋体" w:hAnsi="宋体"/>
          <w:b/>
          <w:color w:val="auto"/>
          <w:szCs w:val="21"/>
          <w:highlight w:val="none"/>
        </w:rPr>
      </w:pPr>
    </w:p>
    <w:p w14:paraId="32B0D528">
      <w:pPr>
        <w:autoSpaceDE w:val="0"/>
        <w:autoSpaceDN w:val="0"/>
        <w:adjustRightInd w:val="0"/>
        <w:snapToGrid w:val="0"/>
        <w:spacing w:line="440" w:lineRule="exact"/>
        <w:ind w:firstLine="561"/>
        <w:rPr>
          <w:rFonts w:ascii="宋体" w:hAnsi="宋体"/>
          <w:b/>
          <w:color w:val="auto"/>
          <w:szCs w:val="21"/>
          <w:highlight w:val="none"/>
        </w:rPr>
      </w:pPr>
    </w:p>
    <w:p w14:paraId="4E4E1DDF">
      <w:pPr>
        <w:autoSpaceDE w:val="0"/>
        <w:autoSpaceDN w:val="0"/>
        <w:adjustRightInd w:val="0"/>
        <w:snapToGrid w:val="0"/>
        <w:spacing w:line="440" w:lineRule="exact"/>
        <w:ind w:firstLine="561"/>
        <w:rPr>
          <w:rFonts w:ascii="宋体" w:hAnsi="宋体"/>
          <w:b/>
          <w:color w:val="auto"/>
          <w:szCs w:val="21"/>
          <w:highlight w:val="none"/>
        </w:rPr>
      </w:pPr>
    </w:p>
    <w:p w14:paraId="3C9F605B">
      <w:pPr>
        <w:autoSpaceDE w:val="0"/>
        <w:autoSpaceDN w:val="0"/>
        <w:adjustRightInd w:val="0"/>
        <w:snapToGrid w:val="0"/>
        <w:spacing w:line="440" w:lineRule="exact"/>
        <w:ind w:firstLine="561"/>
        <w:rPr>
          <w:rFonts w:ascii="宋体" w:hAnsi="宋体"/>
          <w:b/>
          <w:color w:val="auto"/>
          <w:szCs w:val="21"/>
          <w:highlight w:val="none"/>
        </w:rPr>
      </w:pPr>
    </w:p>
    <w:p w14:paraId="12CCD1DA">
      <w:pPr>
        <w:autoSpaceDE w:val="0"/>
        <w:autoSpaceDN w:val="0"/>
        <w:adjustRightInd w:val="0"/>
        <w:snapToGrid w:val="0"/>
        <w:spacing w:line="440" w:lineRule="exact"/>
        <w:rPr>
          <w:rFonts w:ascii="宋体" w:hAnsi="宋体"/>
          <w:b/>
          <w:color w:val="auto"/>
          <w:szCs w:val="21"/>
          <w:highlight w:val="none"/>
        </w:rPr>
      </w:pPr>
    </w:p>
    <w:p w14:paraId="227EBAF9">
      <w:pPr>
        <w:autoSpaceDE w:val="0"/>
        <w:autoSpaceDN w:val="0"/>
        <w:adjustRightInd w:val="0"/>
        <w:snapToGrid w:val="0"/>
        <w:spacing w:line="440" w:lineRule="exact"/>
        <w:ind w:firstLine="561"/>
        <w:rPr>
          <w:rFonts w:ascii="宋体" w:hAnsi="宋体"/>
          <w:b/>
          <w:color w:val="auto"/>
          <w:szCs w:val="21"/>
          <w:highlight w:val="none"/>
        </w:rPr>
      </w:pPr>
      <w:r>
        <w:rPr>
          <w:rFonts w:hint="eastAsia" w:ascii="宋体" w:hAnsi="宋体"/>
          <w:b/>
          <w:color w:val="auto"/>
          <w:szCs w:val="21"/>
          <w:highlight w:val="none"/>
        </w:rPr>
        <w:t>九、 投标文件格式</w:t>
      </w:r>
    </w:p>
    <w:p w14:paraId="4A086719">
      <w:pPr>
        <w:spacing w:line="440" w:lineRule="exact"/>
        <w:jc w:val="center"/>
        <w:rPr>
          <w:rFonts w:ascii="黑体" w:eastAsia="黑体"/>
          <w:color w:val="auto"/>
          <w:sz w:val="30"/>
          <w:highlight w:val="none"/>
        </w:rPr>
      </w:pPr>
      <w:r>
        <w:rPr>
          <w:rFonts w:hint="eastAsia" w:ascii="黑体" w:eastAsia="黑体"/>
          <w:color w:val="auto"/>
          <w:sz w:val="30"/>
          <w:highlight w:val="none"/>
        </w:rPr>
        <w:t>目   录</w:t>
      </w:r>
    </w:p>
    <w:p w14:paraId="4E6E6369">
      <w:pPr>
        <w:spacing w:line="440" w:lineRule="exact"/>
        <w:rPr>
          <w:rFonts w:ascii="宋体" w:hAnsi="宋体"/>
          <w:color w:val="auto"/>
          <w:sz w:val="24"/>
          <w:highlight w:val="none"/>
        </w:rPr>
      </w:pPr>
      <w:r>
        <w:rPr>
          <w:rFonts w:hint="eastAsia" w:ascii="宋体" w:hAnsi="宋体"/>
          <w:color w:val="auto"/>
          <w:sz w:val="24"/>
          <w:highlight w:val="none"/>
        </w:rPr>
        <w:t>一、投标书及其附件</w:t>
      </w:r>
    </w:p>
    <w:p w14:paraId="7558B898">
      <w:pPr>
        <w:spacing w:line="440" w:lineRule="exact"/>
        <w:rPr>
          <w:rFonts w:ascii="宋体" w:hAnsi="宋体"/>
          <w:color w:val="auto"/>
          <w:sz w:val="24"/>
          <w:highlight w:val="none"/>
        </w:rPr>
      </w:pPr>
      <w:r>
        <w:rPr>
          <w:rFonts w:hint="eastAsia" w:ascii="宋体" w:hAnsi="宋体"/>
          <w:color w:val="auto"/>
          <w:sz w:val="24"/>
          <w:highlight w:val="none"/>
        </w:rPr>
        <w:t xml:space="preserve">      1.投标书</w:t>
      </w:r>
    </w:p>
    <w:p w14:paraId="124A9DF7">
      <w:pPr>
        <w:spacing w:line="440" w:lineRule="exact"/>
        <w:rPr>
          <w:rFonts w:ascii="宋体" w:hAnsi="宋体"/>
          <w:color w:val="auto"/>
          <w:sz w:val="24"/>
          <w:highlight w:val="none"/>
        </w:rPr>
      </w:pPr>
      <w:r>
        <w:rPr>
          <w:rFonts w:hint="eastAsia" w:ascii="宋体" w:hAnsi="宋体"/>
          <w:color w:val="auto"/>
          <w:sz w:val="24"/>
          <w:highlight w:val="none"/>
        </w:rPr>
        <w:t xml:space="preserve">      2.开标一览表 </w:t>
      </w:r>
    </w:p>
    <w:p w14:paraId="63FC4D3D">
      <w:pPr>
        <w:spacing w:line="440" w:lineRule="exact"/>
        <w:rPr>
          <w:rFonts w:ascii="宋体" w:hAnsi="宋体"/>
          <w:color w:val="auto"/>
          <w:sz w:val="24"/>
          <w:highlight w:val="none"/>
        </w:rPr>
      </w:pPr>
      <w:r>
        <w:rPr>
          <w:rFonts w:hint="eastAsia" w:ascii="宋体" w:hAnsi="宋体"/>
          <w:color w:val="auto"/>
          <w:sz w:val="24"/>
          <w:highlight w:val="none"/>
        </w:rPr>
        <w:t>二、投标人资格证明文件</w:t>
      </w:r>
    </w:p>
    <w:p w14:paraId="4B321606">
      <w:pPr>
        <w:spacing w:line="440" w:lineRule="exact"/>
        <w:rPr>
          <w:rFonts w:ascii="宋体" w:hAnsi="宋体"/>
          <w:color w:val="auto"/>
          <w:sz w:val="24"/>
          <w:highlight w:val="none"/>
        </w:rPr>
      </w:pPr>
      <w:r>
        <w:rPr>
          <w:rFonts w:hint="eastAsia" w:ascii="宋体" w:hAnsi="宋体"/>
          <w:color w:val="auto"/>
          <w:sz w:val="24"/>
          <w:highlight w:val="none"/>
        </w:rPr>
        <w:t xml:space="preserve">      1.投标人概况</w:t>
      </w:r>
    </w:p>
    <w:p w14:paraId="73CAD140">
      <w:pPr>
        <w:spacing w:line="440" w:lineRule="exact"/>
        <w:rPr>
          <w:rFonts w:ascii="宋体" w:hAnsi="宋体"/>
          <w:color w:val="auto"/>
          <w:sz w:val="24"/>
          <w:highlight w:val="none"/>
        </w:rPr>
      </w:pPr>
      <w:r>
        <w:rPr>
          <w:rFonts w:hint="eastAsia" w:ascii="宋体" w:hAnsi="宋体"/>
          <w:color w:val="auto"/>
          <w:sz w:val="24"/>
          <w:highlight w:val="none"/>
        </w:rPr>
        <w:t xml:space="preserve">      2.投标人技术能力</w:t>
      </w:r>
    </w:p>
    <w:p w14:paraId="5C964E25">
      <w:pPr>
        <w:spacing w:line="440" w:lineRule="exact"/>
        <w:rPr>
          <w:rFonts w:ascii="宋体" w:hAnsi="宋体"/>
          <w:color w:val="auto"/>
          <w:sz w:val="24"/>
          <w:highlight w:val="none"/>
        </w:rPr>
      </w:pPr>
      <w:r>
        <w:rPr>
          <w:rFonts w:hint="eastAsia" w:ascii="宋体" w:hAnsi="宋体"/>
          <w:color w:val="auto"/>
          <w:sz w:val="24"/>
          <w:highlight w:val="none"/>
        </w:rPr>
        <w:t xml:space="preserve">      3.投标人财务状况</w:t>
      </w:r>
    </w:p>
    <w:p w14:paraId="7CAB2691">
      <w:pPr>
        <w:spacing w:line="440" w:lineRule="exact"/>
        <w:rPr>
          <w:rFonts w:ascii="宋体" w:hAnsi="宋体"/>
          <w:color w:val="auto"/>
          <w:sz w:val="24"/>
          <w:highlight w:val="none"/>
        </w:rPr>
      </w:pPr>
      <w:r>
        <w:rPr>
          <w:rFonts w:hint="eastAsia" w:ascii="宋体" w:hAnsi="宋体"/>
          <w:color w:val="auto"/>
          <w:sz w:val="24"/>
          <w:highlight w:val="none"/>
        </w:rPr>
        <w:t xml:space="preserve">      4.营业执照副本</w:t>
      </w:r>
    </w:p>
    <w:p w14:paraId="115CEF4A">
      <w:pPr>
        <w:spacing w:line="440" w:lineRule="exact"/>
        <w:rPr>
          <w:rFonts w:ascii="宋体" w:hAnsi="宋体"/>
          <w:color w:val="auto"/>
          <w:sz w:val="24"/>
          <w:highlight w:val="none"/>
        </w:rPr>
      </w:pPr>
      <w:r>
        <w:rPr>
          <w:rFonts w:hint="eastAsia" w:ascii="宋体" w:hAnsi="宋体"/>
          <w:color w:val="auto"/>
          <w:sz w:val="24"/>
          <w:highlight w:val="none"/>
        </w:rPr>
        <w:t xml:space="preserve">      5.授权委托书</w:t>
      </w:r>
    </w:p>
    <w:p w14:paraId="2B31EF28">
      <w:pPr>
        <w:spacing w:line="440" w:lineRule="exact"/>
        <w:rPr>
          <w:rFonts w:ascii="宋体" w:hAnsi="宋体"/>
          <w:color w:val="auto"/>
          <w:sz w:val="24"/>
          <w:highlight w:val="none"/>
        </w:rPr>
      </w:pPr>
      <w:r>
        <w:rPr>
          <w:rFonts w:hint="eastAsia" w:ascii="宋体" w:hAnsi="宋体"/>
          <w:color w:val="auto"/>
          <w:sz w:val="24"/>
          <w:highlight w:val="none"/>
        </w:rPr>
        <w:t xml:space="preserve">      6.制造商授权书格式</w:t>
      </w:r>
    </w:p>
    <w:p w14:paraId="6A0501AD">
      <w:pPr>
        <w:spacing w:line="440" w:lineRule="exact"/>
        <w:ind w:firstLine="720" w:firstLineChars="300"/>
        <w:rPr>
          <w:rFonts w:eastAsia="仿宋_GB2312"/>
          <w:color w:val="auto"/>
          <w:highlight w:val="none"/>
        </w:rPr>
      </w:pPr>
      <w:r>
        <w:rPr>
          <w:rFonts w:hint="eastAsia" w:ascii="宋体" w:hAnsi="宋体"/>
          <w:color w:val="auto"/>
          <w:sz w:val="24"/>
          <w:highlight w:val="none"/>
        </w:rPr>
        <w:t>7.资信承诺</w:t>
      </w:r>
    </w:p>
    <w:p w14:paraId="6FC37A27">
      <w:pPr>
        <w:spacing w:line="440" w:lineRule="exact"/>
        <w:rPr>
          <w:rFonts w:ascii="宋体" w:hAnsi="宋体"/>
          <w:color w:val="auto"/>
          <w:sz w:val="24"/>
          <w:highlight w:val="none"/>
        </w:rPr>
      </w:pPr>
      <w:r>
        <w:rPr>
          <w:rFonts w:hint="eastAsia" w:ascii="宋体" w:hAnsi="宋体"/>
          <w:color w:val="auto"/>
          <w:sz w:val="24"/>
          <w:highlight w:val="none"/>
        </w:rPr>
        <w:t xml:space="preserve">  三、证明货物的合格性和符合招标文件规定的文件</w:t>
      </w:r>
    </w:p>
    <w:p w14:paraId="4D33AB02">
      <w:pPr>
        <w:numPr>
          <w:ilvl w:val="0"/>
          <w:numId w:val="3"/>
        </w:numPr>
        <w:spacing w:line="440" w:lineRule="exact"/>
        <w:rPr>
          <w:rFonts w:ascii="宋体" w:hAnsi="宋体"/>
          <w:color w:val="auto"/>
          <w:sz w:val="24"/>
          <w:highlight w:val="none"/>
        </w:rPr>
      </w:pPr>
      <w:r>
        <w:rPr>
          <w:rFonts w:hint="eastAsia" w:ascii="宋体" w:hAnsi="宋体"/>
          <w:color w:val="auto"/>
          <w:sz w:val="24"/>
          <w:highlight w:val="none"/>
        </w:rPr>
        <w:t>质量保证书</w:t>
      </w:r>
    </w:p>
    <w:p w14:paraId="72A0042C">
      <w:pPr>
        <w:numPr>
          <w:ilvl w:val="0"/>
          <w:numId w:val="3"/>
        </w:numPr>
        <w:spacing w:line="440" w:lineRule="exact"/>
        <w:rPr>
          <w:rFonts w:ascii="宋体" w:hAnsi="宋体"/>
          <w:color w:val="auto"/>
          <w:sz w:val="24"/>
          <w:highlight w:val="none"/>
        </w:rPr>
      </w:pPr>
      <w:r>
        <w:rPr>
          <w:rFonts w:hint="eastAsia" w:ascii="宋体" w:hAnsi="宋体"/>
          <w:color w:val="auto"/>
          <w:sz w:val="24"/>
          <w:highlight w:val="none"/>
        </w:rPr>
        <w:t>有关部门的检测报告（如有）</w:t>
      </w:r>
    </w:p>
    <w:p w14:paraId="042AF4EB">
      <w:pPr>
        <w:spacing w:line="440" w:lineRule="exact"/>
        <w:rPr>
          <w:rFonts w:ascii="宋体" w:hAnsi="宋体"/>
          <w:color w:val="auto"/>
          <w:sz w:val="24"/>
          <w:highlight w:val="none"/>
        </w:rPr>
      </w:pPr>
      <w:r>
        <w:rPr>
          <w:rFonts w:hint="eastAsia" w:ascii="宋体" w:hAnsi="宋体"/>
          <w:color w:val="auto"/>
          <w:sz w:val="24"/>
          <w:highlight w:val="none"/>
        </w:rPr>
        <w:t xml:space="preserve">      3. 货物组成（供货范围表）</w:t>
      </w:r>
    </w:p>
    <w:p w14:paraId="316F1E14">
      <w:pPr>
        <w:spacing w:line="440" w:lineRule="exact"/>
        <w:rPr>
          <w:rFonts w:ascii="宋体" w:hAnsi="宋体"/>
          <w:color w:val="auto"/>
          <w:sz w:val="24"/>
          <w:highlight w:val="none"/>
        </w:rPr>
      </w:pPr>
      <w:r>
        <w:rPr>
          <w:rFonts w:hint="eastAsia" w:ascii="宋体" w:hAnsi="宋体"/>
          <w:color w:val="auto"/>
          <w:sz w:val="24"/>
          <w:highlight w:val="none"/>
        </w:rPr>
        <w:t xml:space="preserve">      4.投标货物规格响应表格式</w:t>
      </w:r>
    </w:p>
    <w:p w14:paraId="7082FB77">
      <w:pPr>
        <w:spacing w:line="440" w:lineRule="exact"/>
        <w:rPr>
          <w:rFonts w:ascii="宋体" w:hAnsi="宋体"/>
          <w:color w:val="auto"/>
          <w:sz w:val="24"/>
          <w:highlight w:val="none"/>
        </w:rPr>
      </w:pPr>
      <w:r>
        <w:rPr>
          <w:rFonts w:hint="eastAsia" w:ascii="宋体" w:hAnsi="宋体"/>
          <w:color w:val="auto"/>
          <w:sz w:val="24"/>
          <w:highlight w:val="none"/>
        </w:rPr>
        <w:t xml:space="preserve">      5. 商务条款偏离表</w:t>
      </w:r>
    </w:p>
    <w:p w14:paraId="5ED47325">
      <w:pPr>
        <w:spacing w:line="440" w:lineRule="exact"/>
        <w:rPr>
          <w:rFonts w:ascii="宋体" w:hAnsi="宋体"/>
          <w:color w:val="auto"/>
          <w:sz w:val="24"/>
          <w:highlight w:val="none"/>
        </w:rPr>
      </w:pPr>
      <w:r>
        <w:rPr>
          <w:rFonts w:hint="eastAsia" w:ascii="宋体" w:hAnsi="宋体"/>
          <w:color w:val="auto"/>
          <w:sz w:val="24"/>
          <w:highlight w:val="none"/>
        </w:rPr>
        <w:t xml:space="preserve">      6.服务（培训、售后服务等）</w:t>
      </w:r>
    </w:p>
    <w:p w14:paraId="7A7CC887">
      <w:pPr>
        <w:spacing w:line="440" w:lineRule="exact"/>
        <w:rPr>
          <w:rFonts w:ascii="宋体" w:hAnsi="宋体"/>
          <w:color w:val="auto"/>
          <w:sz w:val="24"/>
          <w:highlight w:val="none"/>
        </w:rPr>
      </w:pPr>
      <w:r>
        <w:rPr>
          <w:rFonts w:hint="eastAsia" w:ascii="宋体" w:hAnsi="宋体"/>
          <w:color w:val="auto"/>
          <w:sz w:val="24"/>
          <w:highlight w:val="none"/>
        </w:rPr>
        <w:t xml:space="preserve">      7.经营业绩</w:t>
      </w:r>
    </w:p>
    <w:p w14:paraId="17C82CEC">
      <w:pPr>
        <w:spacing w:line="440" w:lineRule="exact"/>
        <w:rPr>
          <w:rFonts w:ascii="宋体" w:hAnsi="宋体"/>
          <w:color w:val="auto"/>
          <w:sz w:val="24"/>
          <w:highlight w:val="none"/>
        </w:rPr>
      </w:pP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8.项目实施安排</w:t>
      </w:r>
    </w:p>
    <w:p w14:paraId="73051EE5">
      <w:pPr>
        <w:spacing w:line="440" w:lineRule="exact"/>
        <w:rPr>
          <w:rFonts w:ascii="宋体" w:hAnsi="宋体"/>
          <w:color w:val="auto"/>
          <w:sz w:val="24"/>
          <w:highlight w:val="none"/>
        </w:rPr>
      </w:pP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9.验收方式</w:t>
      </w:r>
    </w:p>
    <w:p w14:paraId="5BCDE9D2">
      <w:pPr>
        <w:spacing w:line="440" w:lineRule="exact"/>
        <w:rPr>
          <w:rFonts w:ascii="宋体" w:hAnsi="宋体"/>
          <w:color w:val="auto"/>
          <w:sz w:val="24"/>
          <w:highlight w:val="none"/>
        </w:rPr>
      </w:pPr>
    </w:p>
    <w:p w14:paraId="5F70B579">
      <w:pPr>
        <w:rPr>
          <w:rFonts w:ascii="楷体_GB2312" w:eastAsia="楷体_GB2312"/>
          <w:b/>
          <w:color w:val="auto"/>
          <w:sz w:val="44"/>
          <w:highlight w:val="none"/>
        </w:rPr>
      </w:pPr>
      <w:r>
        <w:rPr>
          <w:rFonts w:hint="eastAsia" w:ascii="楷体_GB2312" w:eastAsia="楷体_GB2312"/>
          <w:b/>
          <w:color w:val="auto"/>
          <w:sz w:val="44"/>
          <w:highlight w:val="none"/>
        </w:rPr>
        <w:br w:type="page"/>
      </w:r>
    </w:p>
    <w:p w14:paraId="5DBCFB34">
      <w:pPr>
        <w:numPr>
          <w:ilvl w:val="0"/>
          <w:numId w:val="4"/>
        </w:numPr>
        <w:spacing w:line="440" w:lineRule="exact"/>
        <w:jc w:val="center"/>
        <w:rPr>
          <w:rFonts w:ascii="楷体_GB2312" w:eastAsia="楷体_GB2312"/>
          <w:b/>
          <w:color w:val="auto"/>
          <w:sz w:val="44"/>
          <w:highlight w:val="none"/>
        </w:rPr>
      </w:pPr>
      <w:r>
        <w:rPr>
          <w:rFonts w:hint="eastAsia" w:ascii="楷体_GB2312" w:eastAsia="楷体_GB2312"/>
          <w:b/>
          <w:color w:val="auto"/>
          <w:sz w:val="44"/>
          <w:highlight w:val="none"/>
        </w:rPr>
        <w:t>投标书及其附件</w:t>
      </w:r>
    </w:p>
    <w:p w14:paraId="4300E5C5">
      <w:pPr>
        <w:spacing w:line="440" w:lineRule="exact"/>
        <w:rPr>
          <w:rFonts w:ascii="楷体_GB2312" w:eastAsia="楷体_GB2312"/>
          <w:color w:val="auto"/>
          <w:sz w:val="24"/>
          <w:highlight w:val="none"/>
        </w:rPr>
      </w:pPr>
    </w:p>
    <w:p w14:paraId="51E83E10">
      <w:pPr>
        <w:spacing w:line="440" w:lineRule="exact"/>
        <w:rPr>
          <w:rFonts w:ascii="楷体_GB2312" w:eastAsia="楷体_GB2312"/>
          <w:color w:val="auto"/>
          <w:sz w:val="24"/>
          <w:highlight w:val="none"/>
        </w:rPr>
      </w:pPr>
    </w:p>
    <w:p w14:paraId="6C00BA8C">
      <w:pPr>
        <w:numPr>
          <w:ilvl w:val="0"/>
          <w:numId w:val="5"/>
        </w:numPr>
        <w:spacing w:line="440" w:lineRule="exact"/>
        <w:rPr>
          <w:rFonts w:ascii="黑体" w:eastAsia="黑体"/>
          <w:color w:val="auto"/>
          <w:sz w:val="32"/>
          <w:szCs w:val="32"/>
          <w:highlight w:val="none"/>
        </w:rPr>
      </w:pPr>
      <w:r>
        <w:rPr>
          <w:rFonts w:hint="eastAsia" w:ascii="黑体" w:eastAsia="黑体"/>
          <w:color w:val="auto"/>
          <w:sz w:val="32"/>
          <w:szCs w:val="32"/>
          <w:highlight w:val="none"/>
        </w:rPr>
        <w:t>投标书格式</w:t>
      </w:r>
    </w:p>
    <w:p w14:paraId="1A65CE6A">
      <w:pPr>
        <w:spacing w:line="440" w:lineRule="exact"/>
        <w:rPr>
          <w:rFonts w:ascii="楷体_GB2312" w:eastAsia="楷体_GB2312"/>
          <w:b/>
          <w:color w:val="auto"/>
          <w:sz w:val="30"/>
          <w:highlight w:val="none"/>
        </w:rPr>
      </w:pPr>
      <w:r>
        <w:rPr>
          <w:rFonts w:hint="eastAsia" w:ascii="楷体_GB2312" w:eastAsia="楷体_GB2312"/>
          <w:color w:val="auto"/>
          <w:sz w:val="24"/>
          <w:highlight w:val="none"/>
        </w:rPr>
        <w:t xml:space="preserve">                                </w:t>
      </w:r>
      <w:r>
        <w:rPr>
          <w:rFonts w:hint="eastAsia" w:ascii="楷体_GB2312" w:eastAsia="楷体_GB2312"/>
          <w:b/>
          <w:color w:val="auto"/>
          <w:sz w:val="30"/>
          <w:highlight w:val="none"/>
        </w:rPr>
        <w:t>投标书</w:t>
      </w:r>
    </w:p>
    <w:p w14:paraId="2A474AAD">
      <w:pPr>
        <w:spacing w:line="440" w:lineRule="exact"/>
        <w:rPr>
          <w:rFonts w:ascii="楷体_GB2312" w:eastAsia="楷体_GB2312"/>
          <w:color w:val="auto"/>
          <w:sz w:val="24"/>
          <w:highlight w:val="none"/>
        </w:rPr>
      </w:pPr>
      <w:r>
        <w:rPr>
          <w:rFonts w:hint="eastAsia" w:ascii="宋体" w:hAnsi="宋体"/>
          <w:color w:val="auto"/>
          <w:spacing w:val="28"/>
          <w:sz w:val="24"/>
          <w:highlight w:val="none"/>
        </w:rPr>
        <w:t>江苏长江水务股份有限公司</w:t>
      </w:r>
      <w:r>
        <w:rPr>
          <w:rFonts w:hint="eastAsia" w:ascii="楷体_GB2312" w:eastAsia="楷体_GB2312"/>
          <w:color w:val="auto"/>
          <w:sz w:val="24"/>
          <w:highlight w:val="none"/>
        </w:rPr>
        <w:t>：</w:t>
      </w:r>
    </w:p>
    <w:p w14:paraId="5720CECC">
      <w:pPr>
        <w:spacing w:line="440" w:lineRule="exact"/>
        <w:ind w:firstLine="480"/>
        <w:rPr>
          <w:rFonts w:ascii="宋体" w:hAnsi="宋体"/>
          <w:color w:val="auto"/>
          <w:sz w:val="24"/>
          <w:highlight w:val="none"/>
        </w:rPr>
      </w:pPr>
      <w:r>
        <w:rPr>
          <w:rFonts w:hint="eastAsia" w:ascii="宋体" w:hAnsi="宋体"/>
          <w:color w:val="auto"/>
          <w:sz w:val="24"/>
          <w:highlight w:val="none"/>
        </w:rPr>
        <w:t>你们</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招标文件（包括补充文件，如果有的话）收悉，我们经详细审阅和研究，现决定参加投标。</w:t>
      </w:r>
    </w:p>
    <w:p w14:paraId="65176271">
      <w:pPr>
        <w:spacing w:line="440" w:lineRule="exact"/>
        <w:rPr>
          <w:rFonts w:ascii="宋体" w:hAnsi="宋体"/>
          <w:color w:val="auto"/>
          <w:sz w:val="24"/>
          <w:highlight w:val="none"/>
        </w:rPr>
      </w:pPr>
      <w:r>
        <w:rPr>
          <w:rFonts w:hint="eastAsia" w:ascii="宋体" w:hAnsi="宋体"/>
          <w:color w:val="auto"/>
          <w:sz w:val="24"/>
          <w:highlight w:val="none"/>
        </w:rPr>
        <w:t xml:space="preserve">    1.我们愿按照招标文件中的条款、要求，提供所需的招标货物及一切相关的服务，投标价为</w:t>
      </w:r>
      <w:r>
        <w:rPr>
          <w:rFonts w:hint="eastAsia" w:ascii="宋体" w:hAnsi="宋体"/>
          <w:color w:val="auto"/>
          <w:sz w:val="24"/>
          <w:highlight w:val="none"/>
          <w:u w:val="single"/>
        </w:rPr>
        <w:t xml:space="preserve">（币种及金额） </w:t>
      </w:r>
      <w:r>
        <w:rPr>
          <w:rFonts w:hint="eastAsia" w:ascii="宋体" w:hAnsi="宋体"/>
          <w:color w:val="auto"/>
          <w:sz w:val="24"/>
          <w:highlight w:val="none"/>
        </w:rPr>
        <w:t>。</w:t>
      </w:r>
    </w:p>
    <w:p w14:paraId="5E8F676B">
      <w:pPr>
        <w:spacing w:line="440" w:lineRule="exact"/>
        <w:ind w:firstLine="420"/>
        <w:rPr>
          <w:rFonts w:ascii="宋体" w:hAnsi="宋体"/>
          <w:color w:val="auto"/>
          <w:sz w:val="24"/>
          <w:highlight w:val="none"/>
        </w:rPr>
      </w:pPr>
      <w:r>
        <w:rPr>
          <w:rFonts w:hint="eastAsia" w:ascii="宋体" w:hAnsi="宋体"/>
          <w:color w:val="auto"/>
          <w:sz w:val="24"/>
          <w:highlight w:val="none"/>
        </w:rPr>
        <w:t>2.如果我们中标，我们将在</w:t>
      </w:r>
      <w:r>
        <w:rPr>
          <w:rFonts w:hint="eastAsia" w:ascii="宋体" w:hAnsi="宋体"/>
          <w:color w:val="auto"/>
          <w:sz w:val="24"/>
          <w:highlight w:val="none"/>
          <w:u w:val="single"/>
        </w:rPr>
        <w:t xml:space="preserve">           </w:t>
      </w:r>
      <w:r>
        <w:rPr>
          <w:rFonts w:hint="eastAsia" w:ascii="宋体" w:hAnsi="宋体"/>
          <w:color w:val="auto"/>
          <w:sz w:val="24"/>
          <w:highlight w:val="none"/>
        </w:rPr>
        <w:t>之后的</w:t>
      </w:r>
      <w:r>
        <w:rPr>
          <w:rFonts w:hint="eastAsia" w:ascii="宋体" w:hAnsi="宋体"/>
          <w:color w:val="auto"/>
          <w:sz w:val="24"/>
          <w:highlight w:val="none"/>
          <w:u w:val="single"/>
        </w:rPr>
        <w:t xml:space="preserve">       </w:t>
      </w:r>
      <w:r>
        <w:rPr>
          <w:rFonts w:hint="eastAsia" w:ascii="宋体" w:hAnsi="宋体"/>
          <w:color w:val="auto"/>
          <w:sz w:val="24"/>
          <w:highlight w:val="none"/>
        </w:rPr>
        <w:t>天内交货。</w:t>
      </w:r>
    </w:p>
    <w:p w14:paraId="6BC21BA3">
      <w:pPr>
        <w:spacing w:line="440" w:lineRule="exact"/>
        <w:ind w:firstLine="420"/>
        <w:rPr>
          <w:rFonts w:ascii="宋体" w:hAnsi="宋体"/>
          <w:color w:val="auto"/>
          <w:sz w:val="24"/>
          <w:highlight w:val="none"/>
        </w:rPr>
      </w:pPr>
      <w:r>
        <w:rPr>
          <w:rFonts w:hint="eastAsia" w:ascii="宋体" w:hAnsi="宋体"/>
          <w:color w:val="auto"/>
          <w:sz w:val="24"/>
          <w:highlight w:val="none"/>
        </w:rPr>
        <w:t>3.我们同意招标文件 “投标人须知”的规定，本投标文件在有效期内，将始终对我们具有约束力，并可随时被接受。如果我们入围，本投标文件在此期间之后将继续保持有效，直至合同生效。</w:t>
      </w:r>
    </w:p>
    <w:p w14:paraId="5672F6D4">
      <w:pPr>
        <w:spacing w:line="440" w:lineRule="exact"/>
        <w:rPr>
          <w:rFonts w:ascii="宋体" w:hAnsi="宋体"/>
          <w:color w:val="auto"/>
          <w:sz w:val="24"/>
          <w:highlight w:val="none"/>
        </w:rPr>
      </w:pPr>
      <w:r>
        <w:rPr>
          <w:rFonts w:hint="eastAsia" w:ascii="宋体" w:hAnsi="宋体"/>
          <w:color w:val="auto"/>
          <w:sz w:val="24"/>
          <w:highlight w:val="none"/>
        </w:rPr>
        <w:t xml:space="preserve">    4.我们同意提供招标人要求的有关本次招标的所有资料。</w:t>
      </w:r>
    </w:p>
    <w:p w14:paraId="3EB68C1A">
      <w:pPr>
        <w:spacing w:line="440" w:lineRule="exact"/>
        <w:ind w:firstLine="480"/>
        <w:rPr>
          <w:rFonts w:ascii="宋体" w:hAnsi="宋体"/>
          <w:color w:val="auto"/>
          <w:sz w:val="24"/>
          <w:highlight w:val="none"/>
        </w:rPr>
      </w:pPr>
      <w:r>
        <w:rPr>
          <w:rFonts w:hint="eastAsia" w:ascii="宋体" w:hAnsi="宋体"/>
          <w:color w:val="auto"/>
          <w:sz w:val="24"/>
          <w:highlight w:val="none"/>
        </w:rPr>
        <w:t>5.我们理解，你们无义务必须接受投标价最低的投标，并有权拒绝所有的投标。</w:t>
      </w:r>
    </w:p>
    <w:p w14:paraId="09B023B5">
      <w:pPr>
        <w:spacing w:line="440" w:lineRule="exact"/>
        <w:ind w:firstLine="480"/>
        <w:rPr>
          <w:rFonts w:ascii="宋体" w:hAnsi="宋体"/>
          <w:color w:val="auto"/>
          <w:sz w:val="24"/>
          <w:highlight w:val="none"/>
        </w:rPr>
      </w:pPr>
      <w:r>
        <w:rPr>
          <w:rFonts w:hint="eastAsia" w:ascii="宋体" w:hAnsi="宋体"/>
          <w:color w:val="auto"/>
          <w:sz w:val="24"/>
          <w:highlight w:val="none"/>
        </w:rPr>
        <w:t>6.如果我们中标，为执行合同，我们将按招标文件的要求提供必要的履约保证。</w:t>
      </w:r>
    </w:p>
    <w:p w14:paraId="681C0483">
      <w:pPr>
        <w:spacing w:line="440" w:lineRule="exact"/>
        <w:rPr>
          <w:rFonts w:ascii="楷体_GB2312" w:eastAsia="楷体_GB2312"/>
          <w:color w:val="auto"/>
          <w:sz w:val="24"/>
          <w:highlight w:val="none"/>
        </w:rPr>
      </w:pPr>
    </w:p>
    <w:p w14:paraId="12E45CAE">
      <w:pPr>
        <w:spacing w:line="440" w:lineRule="exact"/>
        <w:rPr>
          <w:rFonts w:ascii="楷体_GB2312" w:eastAsia="楷体_GB2312"/>
          <w:color w:val="auto"/>
          <w:sz w:val="24"/>
          <w:highlight w:val="none"/>
        </w:rPr>
      </w:pPr>
    </w:p>
    <w:p w14:paraId="1EEFEB8A">
      <w:pPr>
        <w:spacing w:line="440" w:lineRule="exact"/>
        <w:rPr>
          <w:rFonts w:ascii="楷体_GB2312" w:eastAsia="楷体_GB2312"/>
          <w:color w:val="auto"/>
          <w:sz w:val="24"/>
          <w:highlight w:val="none"/>
        </w:rPr>
      </w:pPr>
      <w:r>
        <w:rPr>
          <w:rFonts w:hint="eastAsia" w:ascii="楷体_GB2312" w:eastAsia="楷体_GB2312"/>
          <w:color w:val="auto"/>
          <w:sz w:val="24"/>
          <w:highlight w:val="none"/>
        </w:rPr>
        <w:t xml:space="preserve">                     </w:t>
      </w:r>
    </w:p>
    <w:p w14:paraId="6A6E8EA7">
      <w:pPr>
        <w:spacing w:line="440" w:lineRule="exact"/>
        <w:jc w:val="center"/>
        <w:rPr>
          <w:rFonts w:ascii="宋体" w:hAnsi="宋体"/>
          <w:color w:val="auto"/>
          <w:sz w:val="24"/>
          <w:highlight w:val="none"/>
        </w:rPr>
      </w:pPr>
      <w:r>
        <w:rPr>
          <w:rFonts w:hint="eastAsia" w:ascii="宋体" w:hAnsi="宋体"/>
          <w:color w:val="auto"/>
          <w:sz w:val="24"/>
          <w:highlight w:val="none"/>
        </w:rPr>
        <w:t xml:space="preserve">  投标人名称：</w:t>
      </w:r>
    </w:p>
    <w:p w14:paraId="22206D28">
      <w:pPr>
        <w:spacing w:line="440" w:lineRule="exact"/>
        <w:rPr>
          <w:rFonts w:ascii="宋体" w:hAnsi="宋体"/>
          <w:color w:val="auto"/>
          <w:sz w:val="24"/>
          <w:highlight w:val="none"/>
        </w:rPr>
      </w:pPr>
      <w:r>
        <w:rPr>
          <w:rFonts w:hint="eastAsia" w:ascii="宋体" w:hAnsi="宋体"/>
          <w:color w:val="auto"/>
          <w:sz w:val="24"/>
          <w:highlight w:val="none"/>
        </w:rPr>
        <w:t xml:space="preserve">                             （盖章）</w:t>
      </w:r>
    </w:p>
    <w:p w14:paraId="62605B25">
      <w:pPr>
        <w:spacing w:line="440" w:lineRule="exact"/>
        <w:rPr>
          <w:rFonts w:ascii="宋体" w:hAnsi="宋体"/>
          <w:color w:val="auto"/>
          <w:sz w:val="24"/>
          <w:highlight w:val="none"/>
        </w:rPr>
      </w:pPr>
      <w:r>
        <w:rPr>
          <w:rFonts w:hint="eastAsia" w:ascii="宋体" w:hAnsi="宋体"/>
          <w:color w:val="auto"/>
          <w:sz w:val="24"/>
          <w:highlight w:val="none"/>
        </w:rPr>
        <w:t xml:space="preserve">                              地址：               邮编：</w:t>
      </w:r>
    </w:p>
    <w:p w14:paraId="293BB12F">
      <w:pPr>
        <w:spacing w:line="440" w:lineRule="exact"/>
        <w:rPr>
          <w:rFonts w:ascii="宋体" w:hAnsi="宋体"/>
          <w:color w:val="auto"/>
          <w:sz w:val="24"/>
          <w:highlight w:val="none"/>
        </w:rPr>
      </w:pPr>
      <w:r>
        <w:rPr>
          <w:rFonts w:hint="eastAsia" w:ascii="宋体" w:hAnsi="宋体"/>
          <w:color w:val="auto"/>
          <w:sz w:val="24"/>
          <w:highlight w:val="none"/>
        </w:rPr>
        <w:t xml:space="preserve">                              电话：               传真：</w:t>
      </w:r>
    </w:p>
    <w:p w14:paraId="6492FA05">
      <w:pPr>
        <w:spacing w:line="440" w:lineRule="exact"/>
        <w:rPr>
          <w:rFonts w:ascii="宋体" w:hAnsi="宋体"/>
          <w:color w:val="auto"/>
          <w:sz w:val="24"/>
          <w:highlight w:val="none"/>
        </w:rPr>
      </w:pPr>
      <w:r>
        <w:rPr>
          <w:rFonts w:hint="eastAsia" w:ascii="宋体" w:hAnsi="宋体"/>
          <w:color w:val="auto"/>
          <w:sz w:val="24"/>
          <w:highlight w:val="none"/>
        </w:rPr>
        <w:t xml:space="preserve">                              授权代表签字：</w:t>
      </w:r>
    </w:p>
    <w:p w14:paraId="0CA14223">
      <w:pPr>
        <w:spacing w:line="440" w:lineRule="exact"/>
        <w:rPr>
          <w:rFonts w:ascii="宋体" w:hAnsi="宋体"/>
          <w:color w:val="auto"/>
          <w:sz w:val="24"/>
          <w:highlight w:val="none"/>
        </w:rPr>
      </w:pPr>
      <w:r>
        <w:rPr>
          <w:rFonts w:hint="eastAsia" w:ascii="宋体" w:hAnsi="宋体"/>
          <w:color w:val="auto"/>
          <w:sz w:val="24"/>
          <w:highlight w:val="none"/>
        </w:rPr>
        <w:t xml:space="preserve">                              职务：</w:t>
      </w:r>
    </w:p>
    <w:p w14:paraId="2269D191">
      <w:pPr>
        <w:spacing w:line="440" w:lineRule="exact"/>
        <w:rPr>
          <w:rFonts w:ascii="宋体" w:hAnsi="宋体"/>
          <w:color w:val="auto"/>
          <w:sz w:val="24"/>
          <w:highlight w:val="none"/>
        </w:rPr>
      </w:pPr>
      <w:r>
        <w:rPr>
          <w:rFonts w:hint="eastAsia" w:ascii="宋体" w:hAnsi="宋体"/>
          <w:color w:val="auto"/>
          <w:sz w:val="24"/>
          <w:highlight w:val="none"/>
        </w:rPr>
        <w:t xml:space="preserve">                              日期：</w:t>
      </w:r>
    </w:p>
    <w:p w14:paraId="2BA74522">
      <w:pPr>
        <w:spacing w:line="440" w:lineRule="exact"/>
        <w:rPr>
          <w:rFonts w:ascii="宋体" w:hAnsi="宋体"/>
          <w:color w:val="auto"/>
          <w:sz w:val="24"/>
          <w:highlight w:val="none"/>
        </w:rPr>
      </w:pPr>
    </w:p>
    <w:p w14:paraId="5566D262">
      <w:pPr>
        <w:pStyle w:val="9"/>
        <w:spacing w:line="440" w:lineRule="exact"/>
        <w:rPr>
          <w:rFonts w:ascii="宋体" w:hAnsi="宋体"/>
          <w:color w:val="auto"/>
          <w:sz w:val="24"/>
          <w:highlight w:val="none"/>
        </w:rPr>
      </w:pPr>
    </w:p>
    <w:p w14:paraId="10C1A209">
      <w:pPr>
        <w:spacing w:line="440" w:lineRule="exact"/>
        <w:rPr>
          <w:rFonts w:ascii="宋体" w:hAnsi="宋体"/>
          <w:color w:val="auto"/>
          <w:sz w:val="24"/>
          <w:highlight w:val="none"/>
        </w:rPr>
      </w:pPr>
    </w:p>
    <w:p w14:paraId="68EF2330">
      <w:pPr>
        <w:pStyle w:val="9"/>
        <w:spacing w:line="440" w:lineRule="exact"/>
        <w:rPr>
          <w:color w:val="auto"/>
          <w:highlight w:val="none"/>
        </w:rPr>
      </w:pPr>
    </w:p>
    <w:p w14:paraId="622F82D0">
      <w:pPr>
        <w:rPr>
          <w:color w:val="auto"/>
          <w:highlight w:val="none"/>
        </w:rPr>
      </w:pPr>
    </w:p>
    <w:p w14:paraId="497A8A7F">
      <w:pPr>
        <w:pStyle w:val="9"/>
        <w:rPr>
          <w:color w:val="auto"/>
          <w:highlight w:val="none"/>
        </w:rPr>
      </w:pPr>
    </w:p>
    <w:p w14:paraId="6272FA03">
      <w:pPr>
        <w:spacing w:line="440" w:lineRule="exact"/>
        <w:jc w:val="center"/>
        <w:rPr>
          <w:rFonts w:ascii="黑体" w:eastAsia="黑体"/>
          <w:color w:val="auto"/>
          <w:sz w:val="30"/>
          <w:szCs w:val="30"/>
          <w:highlight w:val="none"/>
        </w:rPr>
      </w:pPr>
      <w:r>
        <w:rPr>
          <w:rFonts w:hint="eastAsia" w:ascii="黑体" w:eastAsia="黑体"/>
          <w:color w:val="auto"/>
          <w:sz w:val="30"/>
          <w:szCs w:val="30"/>
          <w:highlight w:val="none"/>
        </w:rPr>
        <w:t>2、开标一览表（报价明细表）</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28"/>
        <w:gridCol w:w="1152"/>
        <w:gridCol w:w="1978"/>
        <w:gridCol w:w="1985"/>
        <w:gridCol w:w="3315"/>
      </w:tblGrid>
      <w:tr w14:paraId="79DA8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14:paraId="2C62CDA7">
            <w:pPr>
              <w:spacing w:line="440" w:lineRule="exact"/>
              <w:jc w:val="center"/>
              <w:rPr>
                <w:rFonts w:ascii="宋体" w:hAnsi="宋体"/>
                <w:color w:val="auto"/>
                <w:szCs w:val="21"/>
                <w:highlight w:val="none"/>
              </w:rPr>
            </w:pPr>
            <w:r>
              <w:rPr>
                <w:rFonts w:hint="eastAsia" w:ascii="宋体" w:hAnsi="宋体"/>
                <w:color w:val="auto"/>
                <w:szCs w:val="21"/>
                <w:highlight w:val="none"/>
              </w:rPr>
              <w:t>项目名称</w:t>
            </w:r>
          </w:p>
        </w:tc>
        <w:tc>
          <w:tcPr>
            <w:tcW w:w="8430" w:type="dxa"/>
            <w:gridSpan w:val="4"/>
            <w:tcBorders>
              <w:top w:val="single" w:color="auto" w:sz="4" w:space="0"/>
              <w:left w:val="single" w:color="auto" w:sz="4" w:space="0"/>
              <w:bottom w:val="single" w:color="auto" w:sz="4" w:space="0"/>
              <w:right w:val="single" w:color="auto" w:sz="4" w:space="0"/>
            </w:tcBorders>
            <w:vAlign w:val="center"/>
          </w:tcPr>
          <w:p w14:paraId="4B453F31">
            <w:pPr>
              <w:spacing w:line="440" w:lineRule="exact"/>
              <w:rPr>
                <w:rFonts w:ascii="宋体" w:hAnsi="宋体"/>
                <w:color w:val="auto"/>
                <w:szCs w:val="21"/>
                <w:highlight w:val="none"/>
              </w:rPr>
            </w:pPr>
          </w:p>
        </w:tc>
      </w:tr>
      <w:tr w14:paraId="03500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0F9B719F">
            <w:pPr>
              <w:spacing w:line="440" w:lineRule="exact"/>
              <w:jc w:val="center"/>
              <w:rPr>
                <w:rFonts w:ascii="宋体" w:hAnsi="宋体"/>
                <w:color w:val="auto"/>
                <w:sz w:val="24"/>
                <w:highlight w:val="none"/>
              </w:rPr>
            </w:pPr>
            <w:r>
              <w:rPr>
                <w:rFonts w:hint="eastAsia" w:ascii="宋体" w:hAnsi="宋体"/>
                <w:color w:val="auto"/>
                <w:sz w:val="24"/>
                <w:highlight w:val="none"/>
              </w:rPr>
              <w:t>序号</w:t>
            </w:r>
          </w:p>
        </w:tc>
        <w:tc>
          <w:tcPr>
            <w:tcW w:w="1980" w:type="dxa"/>
            <w:gridSpan w:val="2"/>
            <w:tcBorders>
              <w:top w:val="single" w:color="auto" w:sz="4" w:space="0"/>
              <w:left w:val="single" w:color="auto" w:sz="4" w:space="0"/>
              <w:bottom w:val="single" w:color="auto" w:sz="4" w:space="0"/>
              <w:right w:val="single" w:color="auto" w:sz="4" w:space="0"/>
            </w:tcBorders>
          </w:tcPr>
          <w:p w14:paraId="3D78DD6A">
            <w:pPr>
              <w:spacing w:line="440" w:lineRule="exact"/>
              <w:jc w:val="center"/>
              <w:rPr>
                <w:rFonts w:ascii="宋体" w:hAnsi="宋体"/>
                <w:color w:val="auto"/>
                <w:sz w:val="24"/>
                <w:highlight w:val="none"/>
              </w:rPr>
            </w:pPr>
            <w:r>
              <w:rPr>
                <w:rFonts w:hint="eastAsia" w:ascii="宋体" w:hAnsi="宋体"/>
                <w:color w:val="auto"/>
                <w:sz w:val="24"/>
                <w:highlight w:val="none"/>
              </w:rPr>
              <w:t>类 别</w:t>
            </w:r>
          </w:p>
        </w:tc>
        <w:tc>
          <w:tcPr>
            <w:tcW w:w="1978" w:type="dxa"/>
            <w:tcBorders>
              <w:top w:val="single" w:color="auto" w:sz="4" w:space="0"/>
              <w:left w:val="single" w:color="auto" w:sz="4" w:space="0"/>
              <w:bottom w:val="single" w:color="auto" w:sz="4" w:space="0"/>
              <w:right w:val="single" w:color="auto" w:sz="4" w:space="0"/>
            </w:tcBorders>
          </w:tcPr>
          <w:p w14:paraId="78E7D0FC">
            <w:pPr>
              <w:spacing w:line="440" w:lineRule="exact"/>
              <w:jc w:val="center"/>
              <w:rPr>
                <w:rFonts w:ascii="宋体" w:hAnsi="宋体"/>
                <w:color w:val="auto"/>
                <w:sz w:val="24"/>
                <w:highlight w:val="none"/>
              </w:rPr>
            </w:pPr>
            <w:r>
              <w:rPr>
                <w:rFonts w:hint="eastAsia" w:ascii="宋体" w:hAnsi="宋体"/>
                <w:color w:val="auto"/>
                <w:sz w:val="24"/>
                <w:highlight w:val="none"/>
              </w:rPr>
              <w:t>制 造 厂 商</w:t>
            </w:r>
          </w:p>
        </w:tc>
        <w:tc>
          <w:tcPr>
            <w:tcW w:w="1985" w:type="dxa"/>
            <w:tcBorders>
              <w:top w:val="single" w:color="auto" w:sz="4" w:space="0"/>
              <w:left w:val="single" w:color="auto" w:sz="4" w:space="0"/>
              <w:bottom w:val="single" w:color="auto" w:sz="4" w:space="0"/>
              <w:right w:val="single" w:color="auto" w:sz="4" w:space="0"/>
            </w:tcBorders>
          </w:tcPr>
          <w:p w14:paraId="4ED64A7B">
            <w:pPr>
              <w:spacing w:line="440" w:lineRule="exact"/>
              <w:jc w:val="center"/>
              <w:rPr>
                <w:rFonts w:ascii="宋体" w:hAnsi="宋体"/>
                <w:color w:val="auto"/>
                <w:sz w:val="24"/>
                <w:highlight w:val="none"/>
              </w:rPr>
            </w:pPr>
            <w:r>
              <w:rPr>
                <w:rFonts w:hint="eastAsia" w:ascii="宋体" w:hAnsi="宋体"/>
                <w:color w:val="auto"/>
                <w:sz w:val="24"/>
                <w:highlight w:val="none"/>
              </w:rPr>
              <w:t>价格</w:t>
            </w:r>
          </w:p>
        </w:tc>
        <w:tc>
          <w:tcPr>
            <w:tcW w:w="3315" w:type="dxa"/>
            <w:tcBorders>
              <w:top w:val="single" w:color="auto" w:sz="4" w:space="0"/>
              <w:left w:val="single" w:color="auto" w:sz="4" w:space="0"/>
              <w:bottom w:val="single" w:color="auto" w:sz="4" w:space="0"/>
              <w:right w:val="single" w:color="auto" w:sz="4" w:space="0"/>
            </w:tcBorders>
          </w:tcPr>
          <w:p w14:paraId="3AFCF616">
            <w:pPr>
              <w:spacing w:line="440" w:lineRule="exact"/>
              <w:jc w:val="center"/>
              <w:rPr>
                <w:rFonts w:ascii="宋体" w:hAnsi="宋体"/>
                <w:color w:val="auto"/>
                <w:sz w:val="24"/>
                <w:highlight w:val="none"/>
              </w:rPr>
            </w:pPr>
            <w:r>
              <w:rPr>
                <w:rFonts w:hint="eastAsia" w:ascii="宋体" w:hAnsi="宋体"/>
                <w:color w:val="auto"/>
                <w:sz w:val="24"/>
                <w:highlight w:val="none"/>
              </w:rPr>
              <w:t>备注</w:t>
            </w:r>
          </w:p>
        </w:tc>
      </w:tr>
      <w:tr w14:paraId="1FDFC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25798587">
            <w:pPr>
              <w:spacing w:line="440" w:lineRule="exact"/>
              <w:jc w:val="center"/>
              <w:rPr>
                <w:rFonts w:ascii="宋体" w:hAnsi="宋体"/>
                <w:color w:val="auto"/>
                <w:sz w:val="24"/>
                <w:highlight w:val="none"/>
              </w:rPr>
            </w:pPr>
            <w:r>
              <w:rPr>
                <w:rFonts w:hint="eastAsia" w:ascii="宋体" w:hAnsi="宋体"/>
                <w:color w:val="auto"/>
                <w:sz w:val="24"/>
                <w:highlight w:val="none"/>
              </w:rPr>
              <w:t>1</w:t>
            </w:r>
          </w:p>
        </w:tc>
        <w:tc>
          <w:tcPr>
            <w:tcW w:w="1980" w:type="dxa"/>
            <w:gridSpan w:val="2"/>
            <w:tcBorders>
              <w:top w:val="single" w:color="auto" w:sz="4" w:space="0"/>
              <w:left w:val="single" w:color="auto" w:sz="4" w:space="0"/>
              <w:bottom w:val="single" w:color="auto" w:sz="4" w:space="0"/>
              <w:right w:val="single" w:color="auto" w:sz="4" w:space="0"/>
            </w:tcBorders>
            <w:vAlign w:val="center"/>
          </w:tcPr>
          <w:p w14:paraId="6FDF9B15">
            <w:pPr>
              <w:spacing w:line="440" w:lineRule="exact"/>
              <w:jc w:val="center"/>
              <w:rPr>
                <w:rFonts w:ascii="宋体" w:hAnsi="宋体"/>
                <w:color w:val="auto"/>
                <w:sz w:val="24"/>
                <w:highlight w:val="none"/>
              </w:rPr>
            </w:pPr>
            <w:r>
              <w:rPr>
                <w:rFonts w:hint="eastAsia" w:ascii="宋体" w:hAnsi="宋体"/>
                <w:color w:val="auto"/>
                <w:sz w:val="24"/>
                <w:highlight w:val="none"/>
              </w:rPr>
              <w:t>营业抄收管理系统升级</w:t>
            </w:r>
          </w:p>
        </w:tc>
        <w:tc>
          <w:tcPr>
            <w:tcW w:w="1978" w:type="dxa"/>
            <w:tcBorders>
              <w:top w:val="single" w:color="auto" w:sz="4" w:space="0"/>
              <w:left w:val="single" w:color="auto" w:sz="4" w:space="0"/>
              <w:bottom w:val="single" w:color="auto" w:sz="4" w:space="0"/>
              <w:right w:val="single" w:color="auto" w:sz="4" w:space="0"/>
            </w:tcBorders>
          </w:tcPr>
          <w:p w14:paraId="4B1D0B15">
            <w:pPr>
              <w:spacing w:line="440" w:lineRule="exact"/>
              <w:rPr>
                <w:rFonts w:ascii="宋体" w:hAnsi="宋体"/>
                <w:color w:val="auto"/>
                <w:sz w:val="24"/>
                <w:highlight w:val="none"/>
              </w:rPr>
            </w:pPr>
          </w:p>
        </w:tc>
        <w:tc>
          <w:tcPr>
            <w:tcW w:w="1985" w:type="dxa"/>
            <w:tcBorders>
              <w:top w:val="single" w:color="auto" w:sz="4" w:space="0"/>
              <w:left w:val="single" w:color="auto" w:sz="4" w:space="0"/>
              <w:bottom w:val="single" w:color="auto" w:sz="4" w:space="0"/>
              <w:right w:val="single" w:color="auto" w:sz="4" w:space="0"/>
            </w:tcBorders>
          </w:tcPr>
          <w:p w14:paraId="4F0D8AF8">
            <w:pPr>
              <w:spacing w:line="440" w:lineRule="exact"/>
              <w:rPr>
                <w:rFonts w:ascii="宋体" w:hAnsi="宋体"/>
                <w:color w:val="auto"/>
                <w:sz w:val="24"/>
                <w:highlight w:val="none"/>
              </w:rPr>
            </w:pPr>
          </w:p>
        </w:tc>
        <w:tc>
          <w:tcPr>
            <w:tcW w:w="3315" w:type="dxa"/>
            <w:tcBorders>
              <w:top w:val="single" w:color="auto" w:sz="4" w:space="0"/>
              <w:left w:val="single" w:color="auto" w:sz="4" w:space="0"/>
              <w:bottom w:val="single" w:color="auto" w:sz="4" w:space="0"/>
              <w:right w:val="single" w:color="auto" w:sz="4" w:space="0"/>
            </w:tcBorders>
          </w:tcPr>
          <w:p w14:paraId="345FD0E9">
            <w:pPr>
              <w:spacing w:line="440" w:lineRule="exact"/>
              <w:rPr>
                <w:rFonts w:ascii="宋体" w:hAnsi="宋体"/>
                <w:color w:val="auto"/>
                <w:sz w:val="24"/>
                <w:highlight w:val="none"/>
              </w:rPr>
            </w:pPr>
          </w:p>
        </w:tc>
      </w:tr>
      <w:tr w14:paraId="081F7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79EC4319">
            <w:pPr>
              <w:spacing w:line="440" w:lineRule="exact"/>
              <w:jc w:val="center"/>
              <w:rPr>
                <w:rFonts w:ascii="宋体" w:hAnsi="宋体"/>
                <w:color w:val="auto"/>
                <w:sz w:val="24"/>
                <w:highlight w:val="none"/>
              </w:rPr>
            </w:pPr>
            <w:r>
              <w:rPr>
                <w:rFonts w:hint="eastAsia" w:ascii="宋体" w:hAnsi="宋体"/>
                <w:color w:val="auto"/>
                <w:sz w:val="24"/>
                <w:highlight w:val="none"/>
              </w:rPr>
              <w:t>2</w:t>
            </w:r>
          </w:p>
        </w:tc>
        <w:tc>
          <w:tcPr>
            <w:tcW w:w="1980" w:type="dxa"/>
            <w:gridSpan w:val="2"/>
            <w:tcBorders>
              <w:top w:val="single" w:color="auto" w:sz="4" w:space="0"/>
              <w:left w:val="single" w:color="auto" w:sz="4" w:space="0"/>
              <w:bottom w:val="single" w:color="auto" w:sz="4" w:space="0"/>
              <w:right w:val="single" w:color="auto" w:sz="4" w:space="0"/>
            </w:tcBorders>
            <w:vAlign w:val="center"/>
          </w:tcPr>
          <w:p w14:paraId="12AF9927">
            <w:pPr>
              <w:spacing w:line="440" w:lineRule="exact"/>
              <w:jc w:val="center"/>
              <w:rPr>
                <w:rFonts w:ascii="宋体" w:hAnsi="宋体"/>
                <w:color w:val="auto"/>
                <w:sz w:val="24"/>
                <w:highlight w:val="none"/>
              </w:rPr>
            </w:pPr>
            <w:r>
              <w:rPr>
                <w:rFonts w:hint="eastAsia" w:ascii="宋体" w:hAnsi="宋体"/>
                <w:color w:val="auto"/>
                <w:sz w:val="24"/>
                <w:highlight w:val="none"/>
              </w:rPr>
              <w:t>质保期后的年度维护费用</w:t>
            </w:r>
          </w:p>
        </w:tc>
        <w:tc>
          <w:tcPr>
            <w:tcW w:w="1978" w:type="dxa"/>
            <w:tcBorders>
              <w:top w:val="single" w:color="auto" w:sz="4" w:space="0"/>
              <w:left w:val="single" w:color="auto" w:sz="4" w:space="0"/>
              <w:bottom w:val="single" w:color="auto" w:sz="4" w:space="0"/>
              <w:right w:val="single" w:color="auto" w:sz="4" w:space="0"/>
            </w:tcBorders>
          </w:tcPr>
          <w:p w14:paraId="7AF8CA8D">
            <w:pPr>
              <w:spacing w:line="440" w:lineRule="exact"/>
              <w:rPr>
                <w:rFonts w:ascii="宋体" w:hAnsi="宋体"/>
                <w:color w:val="auto"/>
                <w:sz w:val="24"/>
                <w:highlight w:val="none"/>
              </w:rPr>
            </w:pPr>
          </w:p>
        </w:tc>
        <w:tc>
          <w:tcPr>
            <w:tcW w:w="1985" w:type="dxa"/>
            <w:tcBorders>
              <w:top w:val="single" w:color="auto" w:sz="4" w:space="0"/>
              <w:left w:val="single" w:color="auto" w:sz="4" w:space="0"/>
              <w:bottom w:val="single" w:color="auto" w:sz="4" w:space="0"/>
              <w:right w:val="single" w:color="auto" w:sz="4" w:space="0"/>
            </w:tcBorders>
          </w:tcPr>
          <w:p w14:paraId="0E98414D">
            <w:pPr>
              <w:spacing w:line="440" w:lineRule="exact"/>
              <w:rPr>
                <w:rFonts w:ascii="宋体" w:hAnsi="宋体"/>
                <w:color w:val="auto"/>
                <w:sz w:val="24"/>
                <w:highlight w:val="none"/>
              </w:rPr>
            </w:pPr>
          </w:p>
        </w:tc>
        <w:tc>
          <w:tcPr>
            <w:tcW w:w="3315" w:type="dxa"/>
            <w:tcBorders>
              <w:top w:val="single" w:color="auto" w:sz="4" w:space="0"/>
              <w:left w:val="single" w:color="auto" w:sz="4" w:space="0"/>
              <w:bottom w:val="single" w:color="auto" w:sz="4" w:space="0"/>
              <w:right w:val="single" w:color="auto" w:sz="4" w:space="0"/>
            </w:tcBorders>
          </w:tcPr>
          <w:p w14:paraId="7441A94C">
            <w:pPr>
              <w:spacing w:line="440" w:lineRule="exact"/>
              <w:rPr>
                <w:rFonts w:ascii="宋体" w:hAnsi="宋体"/>
                <w:color w:val="auto"/>
                <w:sz w:val="24"/>
                <w:highlight w:val="none"/>
              </w:rPr>
            </w:pPr>
          </w:p>
        </w:tc>
      </w:tr>
      <w:tr w14:paraId="1A6B2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3160A9B4">
            <w:pPr>
              <w:spacing w:line="440" w:lineRule="exact"/>
              <w:jc w:val="center"/>
              <w:rPr>
                <w:rFonts w:ascii="宋体" w:hAnsi="宋体"/>
                <w:color w:val="auto"/>
                <w:sz w:val="24"/>
                <w:highlight w:val="none"/>
              </w:rPr>
            </w:pPr>
            <w:r>
              <w:rPr>
                <w:rFonts w:hint="eastAsia" w:ascii="宋体" w:hAnsi="宋体"/>
                <w:color w:val="auto"/>
                <w:sz w:val="24"/>
                <w:highlight w:val="none"/>
              </w:rPr>
              <w:t>3</w:t>
            </w:r>
          </w:p>
        </w:tc>
        <w:tc>
          <w:tcPr>
            <w:tcW w:w="1980" w:type="dxa"/>
            <w:gridSpan w:val="2"/>
            <w:tcBorders>
              <w:top w:val="single" w:color="auto" w:sz="4" w:space="0"/>
              <w:left w:val="single" w:color="auto" w:sz="4" w:space="0"/>
              <w:bottom w:val="single" w:color="auto" w:sz="4" w:space="0"/>
              <w:right w:val="single" w:color="auto" w:sz="4" w:space="0"/>
            </w:tcBorders>
            <w:vAlign w:val="center"/>
          </w:tcPr>
          <w:p w14:paraId="1A71B58E">
            <w:pPr>
              <w:spacing w:line="440" w:lineRule="exact"/>
              <w:jc w:val="center"/>
              <w:rPr>
                <w:rFonts w:ascii="宋体" w:hAnsi="宋体"/>
                <w:color w:val="auto"/>
                <w:sz w:val="24"/>
                <w:highlight w:val="none"/>
              </w:rPr>
            </w:pPr>
          </w:p>
        </w:tc>
        <w:tc>
          <w:tcPr>
            <w:tcW w:w="1978" w:type="dxa"/>
            <w:tcBorders>
              <w:top w:val="single" w:color="auto" w:sz="4" w:space="0"/>
              <w:left w:val="single" w:color="auto" w:sz="4" w:space="0"/>
              <w:bottom w:val="single" w:color="auto" w:sz="4" w:space="0"/>
              <w:right w:val="single" w:color="auto" w:sz="4" w:space="0"/>
            </w:tcBorders>
          </w:tcPr>
          <w:p w14:paraId="118371A4">
            <w:pPr>
              <w:spacing w:line="440" w:lineRule="exact"/>
              <w:rPr>
                <w:rFonts w:ascii="宋体" w:hAnsi="宋体"/>
                <w:color w:val="auto"/>
                <w:sz w:val="24"/>
                <w:highlight w:val="none"/>
              </w:rPr>
            </w:pPr>
          </w:p>
        </w:tc>
        <w:tc>
          <w:tcPr>
            <w:tcW w:w="1985" w:type="dxa"/>
            <w:tcBorders>
              <w:top w:val="single" w:color="auto" w:sz="4" w:space="0"/>
              <w:left w:val="single" w:color="auto" w:sz="4" w:space="0"/>
              <w:bottom w:val="single" w:color="auto" w:sz="4" w:space="0"/>
              <w:right w:val="single" w:color="auto" w:sz="4" w:space="0"/>
            </w:tcBorders>
          </w:tcPr>
          <w:p w14:paraId="60D092F2">
            <w:pPr>
              <w:spacing w:line="440" w:lineRule="exact"/>
              <w:rPr>
                <w:rFonts w:ascii="宋体" w:hAnsi="宋体"/>
                <w:color w:val="auto"/>
                <w:sz w:val="24"/>
                <w:highlight w:val="none"/>
              </w:rPr>
            </w:pPr>
          </w:p>
        </w:tc>
        <w:tc>
          <w:tcPr>
            <w:tcW w:w="3315" w:type="dxa"/>
            <w:tcBorders>
              <w:top w:val="single" w:color="auto" w:sz="4" w:space="0"/>
              <w:left w:val="single" w:color="auto" w:sz="4" w:space="0"/>
              <w:bottom w:val="single" w:color="auto" w:sz="4" w:space="0"/>
              <w:right w:val="single" w:color="auto" w:sz="4" w:space="0"/>
            </w:tcBorders>
          </w:tcPr>
          <w:p w14:paraId="777B943C">
            <w:pPr>
              <w:spacing w:line="440" w:lineRule="exact"/>
              <w:rPr>
                <w:rFonts w:ascii="宋体" w:hAnsi="宋体"/>
                <w:color w:val="auto"/>
                <w:sz w:val="24"/>
                <w:highlight w:val="none"/>
              </w:rPr>
            </w:pPr>
          </w:p>
        </w:tc>
      </w:tr>
      <w:tr w14:paraId="5F739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5ED94240">
            <w:pPr>
              <w:spacing w:line="440" w:lineRule="exact"/>
              <w:jc w:val="center"/>
              <w:rPr>
                <w:rFonts w:ascii="宋体" w:hAnsi="宋体"/>
                <w:color w:val="auto"/>
                <w:sz w:val="24"/>
                <w:highlight w:val="none"/>
              </w:rPr>
            </w:pPr>
            <w:r>
              <w:rPr>
                <w:rFonts w:hint="eastAsia" w:ascii="宋体" w:hAnsi="宋体"/>
                <w:color w:val="auto"/>
                <w:sz w:val="24"/>
                <w:highlight w:val="none"/>
              </w:rPr>
              <w:t>4</w:t>
            </w:r>
          </w:p>
        </w:tc>
        <w:tc>
          <w:tcPr>
            <w:tcW w:w="1980" w:type="dxa"/>
            <w:gridSpan w:val="2"/>
            <w:tcBorders>
              <w:top w:val="single" w:color="auto" w:sz="4" w:space="0"/>
              <w:left w:val="single" w:color="auto" w:sz="4" w:space="0"/>
              <w:bottom w:val="single" w:color="auto" w:sz="4" w:space="0"/>
              <w:right w:val="single" w:color="auto" w:sz="4" w:space="0"/>
            </w:tcBorders>
            <w:vAlign w:val="center"/>
          </w:tcPr>
          <w:p w14:paraId="2123B3AF">
            <w:pPr>
              <w:spacing w:line="440" w:lineRule="exact"/>
              <w:jc w:val="center"/>
              <w:rPr>
                <w:rFonts w:ascii="宋体" w:hAnsi="宋体"/>
                <w:color w:val="auto"/>
                <w:sz w:val="24"/>
                <w:highlight w:val="none"/>
              </w:rPr>
            </w:pPr>
            <w:r>
              <w:rPr>
                <w:rFonts w:hint="eastAsia" w:ascii="宋体" w:hAnsi="宋体"/>
                <w:color w:val="auto"/>
                <w:sz w:val="24"/>
                <w:highlight w:val="none"/>
              </w:rPr>
              <w:t>合计</w:t>
            </w:r>
          </w:p>
        </w:tc>
        <w:tc>
          <w:tcPr>
            <w:tcW w:w="1978" w:type="dxa"/>
            <w:tcBorders>
              <w:top w:val="single" w:color="auto" w:sz="4" w:space="0"/>
              <w:left w:val="single" w:color="auto" w:sz="4" w:space="0"/>
              <w:bottom w:val="single" w:color="auto" w:sz="4" w:space="0"/>
              <w:right w:val="single" w:color="auto" w:sz="4" w:space="0"/>
            </w:tcBorders>
          </w:tcPr>
          <w:p w14:paraId="762AC56D">
            <w:pPr>
              <w:spacing w:line="440" w:lineRule="exact"/>
              <w:rPr>
                <w:rFonts w:ascii="宋体" w:hAnsi="宋体"/>
                <w:color w:val="auto"/>
                <w:sz w:val="24"/>
                <w:highlight w:val="none"/>
              </w:rPr>
            </w:pPr>
          </w:p>
        </w:tc>
        <w:tc>
          <w:tcPr>
            <w:tcW w:w="1985" w:type="dxa"/>
            <w:tcBorders>
              <w:top w:val="single" w:color="auto" w:sz="4" w:space="0"/>
              <w:left w:val="single" w:color="auto" w:sz="4" w:space="0"/>
              <w:bottom w:val="single" w:color="auto" w:sz="4" w:space="0"/>
              <w:right w:val="single" w:color="auto" w:sz="4" w:space="0"/>
            </w:tcBorders>
          </w:tcPr>
          <w:p w14:paraId="51E9CC3E">
            <w:pPr>
              <w:spacing w:line="440" w:lineRule="exact"/>
              <w:rPr>
                <w:rFonts w:ascii="宋体" w:hAnsi="宋体"/>
                <w:color w:val="auto"/>
                <w:sz w:val="24"/>
                <w:highlight w:val="none"/>
              </w:rPr>
            </w:pPr>
          </w:p>
        </w:tc>
        <w:tc>
          <w:tcPr>
            <w:tcW w:w="3315" w:type="dxa"/>
            <w:tcBorders>
              <w:top w:val="single" w:color="auto" w:sz="4" w:space="0"/>
              <w:left w:val="single" w:color="auto" w:sz="4" w:space="0"/>
              <w:bottom w:val="single" w:color="auto" w:sz="4" w:space="0"/>
              <w:right w:val="single" w:color="auto" w:sz="4" w:space="0"/>
            </w:tcBorders>
          </w:tcPr>
          <w:p w14:paraId="3F598480">
            <w:pPr>
              <w:spacing w:line="440" w:lineRule="exact"/>
              <w:rPr>
                <w:rFonts w:ascii="宋体" w:hAnsi="宋体"/>
                <w:color w:val="auto"/>
                <w:sz w:val="24"/>
                <w:highlight w:val="none"/>
              </w:rPr>
            </w:pPr>
          </w:p>
        </w:tc>
      </w:tr>
      <w:tr w14:paraId="051C7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368EEC8D">
            <w:pPr>
              <w:spacing w:line="440" w:lineRule="exact"/>
              <w:jc w:val="center"/>
              <w:rPr>
                <w:rFonts w:ascii="宋体" w:hAnsi="宋体"/>
                <w:color w:val="auto"/>
                <w:sz w:val="24"/>
                <w:highlight w:val="none"/>
              </w:rPr>
            </w:pPr>
            <w:r>
              <w:rPr>
                <w:rFonts w:hint="eastAsia" w:ascii="宋体" w:hAnsi="宋体"/>
                <w:color w:val="auto"/>
                <w:sz w:val="24"/>
                <w:highlight w:val="none"/>
              </w:rPr>
              <w:t>5</w:t>
            </w:r>
          </w:p>
        </w:tc>
        <w:tc>
          <w:tcPr>
            <w:tcW w:w="1980" w:type="dxa"/>
            <w:gridSpan w:val="2"/>
            <w:tcBorders>
              <w:top w:val="single" w:color="auto" w:sz="4" w:space="0"/>
              <w:left w:val="single" w:color="auto" w:sz="4" w:space="0"/>
              <w:bottom w:val="single" w:color="auto" w:sz="4" w:space="0"/>
              <w:right w:val="single" w:color="auto" w:sz="4" w:space="0"/>
            </w:tcBorders>
            <w:vAlign w:val="center"/>
          </w:tcPr>
          <w:p w14:paraId="16EDE66C">
            <w:pPr>
              <w:spacing w:line="440" w:lineRule="exact"/>
              <w:jc w:val="center"/>
              <w:rPr>
                <w:rFonts w:ascii="宋体" w:hAnsi="宋体"/>
                <w:color w:val="auto"/>
                <w:sz w:val="24"/>
                <w:highlight w:val="none"/>
              </w:rPr>
            </w:pPr>
          </w:p>
        </w:tc>
        <w:tc>
          <w:tcPr>
            <w:tcW w:w="1978" w:type="dxa"/>
            <w:tcBorders>
              <w:top w:val="single" w:color="auto" w:sz="4" w:space="0"/>
              <w:left w:val="single" w:color="auto" w:sz="4" w:space="0"/>
              <w:bottom w:val="single" w:color="auto" w:sz="4" w:space="0"/>
              <w:right w:val="single" w:color="auto" w:sz="4" w:space="0"/>
            </w:tcBorders>
          </w:tcPr>
          <w:p w14:paraId="498B6287">
            <w:pPr>
              <w:spacing w:line="440" w:lineRule="exact"/>
              <w:rPr>
                <w:rFonts w:ascii="宋体" w:hAnsi="宋体"/>
                <w:color w:val="auto"/>
                <w:sz w:val="24"/>
                <w:highlight w:val="none"/>
              </w:rPr>
            </w:pPr>
          </w:p>
        </w:tc>
        <w:tc>
          <w:tcPr>
            <w:tcW w:w="1985" w:type="dxa"/>
            <w:tcBorders>
              <w:top w:val="single" w:color="auto" w:sz="4" w:space="0"/>
              <w:left w:val="single" w:color="auto" w:sz="4" w:space="0"/>
              <w:bottom w:val="single" w:color="auto" w:sz="4" w:space="0"/>
              <w:right w:val="single" w:color="auto" w:sz="4" w:space="0"/>
            </w:tcBorders>
          </w:tcPr>
          <w:p w14:paraId="0CAA9FB4">
            <w:pPr>
              <w:spacing w:line="440" w:lineRule="exact"/>
              <w:rPr>
                <w:rFonts w:ascii="宋体" w:hAnsi="宋体"/>
                <w:color w:val="auto"/>
                <w:sz w:val="24"/>
                <w:highlight w:val="none"/>
              </w:rPr>
            </w:pPr>
          </w:p>
        </w:tc>
        <w:tc>
          <w:tcPr>
            <w:tcW w:w="3315" w:type="dxa"/>
            <w:tcBorders>
              <w:top w:val="single" w:color="auto" w:sz="4" w:space="0"/>
              <w:left w:val="single" w:color="auto" w:sz="4" w:space="0"/>
              <w:bottom w:val="single" w:color="auto" w:sz="4" w:space="0"/>
              <w:right w:val="single" w:color="auto" w:sz="4" w:space="0"/>
            </w:tcBorders>
          </w:tcPr>
          <w:p w14:paraId="2F96ECA6">
            <w:pPr>
              <w:spacing w:line="440" w:lineRule="exact"/>
              <w:rPr>
                <w:rFonts w:ascii="宋体" w:hAnsi="宋体"/>
                <w:color w:val="auto"/>
                <w:sz w:val="24"/>
                <w:highlight w:val="none"/>
              </w:rPr>
            </w:pPr>
          </w:p>
        </w:tc>
      </w:tr>
      <w:tr w14:paraId="100FB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6A0C3ADB">
            <w:pPr>
              <w:spacing w:line="440" w:lineRule="exact"/>
              <w:jc w:val="center"/>
              <w:rPr>
                <w:rFonts w:ascii="宋体" w:hAnsi="宋体"/>
                <w:color w:val="auto"/>
                <w:sz w:val="24"/>
                <w:highlight w:val="none"/>
              </w:rPr>
            </w:pPr>
            <w:r>
              <w:rPr>
                <w:rFonts w:hint="eastAsia" w:ascii="宋体" w:hAnsi="宋体"/>
                <w:color w:val="auto"/>
                <w:sz w:val="24"/>
                <w:highlight w:val="none"/>
              </w:rPr>
              <w:t>6</w:t>
            </w:r>
          </w:p>
        </w:tc>
        <w:tc>
          <w:tcPr>
            <w:tcW w:w="1980" w:type="dxa"/>
            <w:gridSpan w:val="2"/>
            <w:tcBorders>
              <w:top w:val="single" w:color="auto" w:sz="4" w:space="0"/>
              <w:left w:val="single" w:color="auto" w:sz="4" w:space="0"/>
              <w:bottom w:val="single" w:color="auto" w:sz="4" w:space="0"/>
              <w:right w:val="single" w:color="auto" w:sz="4" w:space="0"/>
            </w:tcBorders>
            <w:vAlign w:val="center"/>
          </w:tcPr>
          <w:p w14:paraId="5E2F90B6">
            <w:pPr>
              <w:spacing w:line="440" w:lineRule="exact"/>
              <w:jc w:val="center"/>
              <w:rPr>
                <w:rFonts w:ascii="宋体" w:hAnsi="宋体"/>
                <w:color w:val="auto"/>
                <w:sz w:val="24"/>
                <w:highlight w:val="none"/>
              </w:rPr>
            </w:pPr>
          </w:p>
        </w:tc>
        <w:tc>
          <w:tcPr>
            <w:tcW w:w="1978" w:type="dxa"/>
            <w:tcBorders>
              <w:top w:val="single" w:color="auto" w:sz="4" w:space="0"/>
              <w:left w:val="single" w:color="auto" w:sz="4" w:space="0"/>
              <w:bottom w:val="single" w:color="auto" w:sz="4" w:space="0"/>
              <w:right w:val="single" w:color="auto" w:sz="4" w:space="0"/>
            </w:tcBorders>
          </w:tcPr>
          <w:p w14:paraId="34CDD5F3">
            <w:pPr>
              <w:spacing w:line="440" w:lineRule="exact"/>
              <w:rPr>
                <w:rFonts w:ascii="宋体" w:hAnsi="宋体"/>
                <w:color w:val="auto"/>
                <w:sz w:val="24"/>
                <w:highlight w:val="none"/>
              </w:rPr>
            </w:pPr>
          </w:p>
        </w:tc>
        <w:tc>
          <w:tcPr>
            <w:tcW w:w="1985" w:type="dxa"/>
            <w:tcBorders>
              <w:top w:val="single" w:color="auto" w:sz="4" w:space="0"/>
              <w:left w:val="single" w:color="auto" w:sz="4" w:space="0"/>
              <w:bottom w:val="single" w:color="auto" w:sz="4" w:space="0"/>
              <w:right w:val="single" w:color="auto" w:sz="4" w:space="0"/>
            </w:tcBorders>
          </w:tcPr>
          <w:p w14:paraId="7D7B3376">
            <w:pPr>
              <w:spacing w:line="440" w:lineRule="exact"/>
              <w:rPr>
                <w:rFonts w:ascii="宋体" w:hAnsi="宋体"/>
                <w:color w:val="auto"/>
                <w:sz w:val="24"/>
                <w:highlight w:val="none"/>
              </w:rPr>
            </w:pPr>
          </w:p>
        </w:tc>
        <w:tc>
          <w:tcPr>
            <w:tcW w:w="3315" w:type="dxa"/>
            <w:tcBorders>
              <w:top w:val="single" w:color="auto" w:sz="4" w:space="0"/>
              <w:left w:val="single" w:color="auto" w:sz="4" w:space="0"/>
              <w:bottom w:val="single" w:color="auto" w:sz="4" w:space="0"/>
              <w:right w:val="single" w:color="auto" w:sz="4" w:space="0"/>
            </w:tcBorders>
          </w:tcPr>
          <w:p w14:paraId="7500A294">
            <w:pPr>
              <w:spacing w:line="440" w:lineRule="exact"/>
              <w:rPr>
                <w:rFonts w:ascii="宋体" w:hAnsi="宋体"/>
                <w:color w:val="auto"/>
                <w:sz w:val="24"/>
                <w:highlight w:val="none"/>
              </w:rPr>
            </w:pPr>
          </w:p>
        </w:tc>
      </w:tr>
      <w:tr w14:paraId="64085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78D51863">
            <w:pPr>
              <w:spacing w:line="440" w:lineRule="exact"/>
              <w:jc w:val="center"/>
              <w:rPr>
                <w:rFonts w:ascii="宋体" w:hAnsi="宋体"/>
                <w:color w:val="auto"/>
                <w:sz w:val="24"/>
                <w:highlight w:val="none"/>
              </w:rPr>
            </w:pPr>
            <w:r>
              <w:rPr>
                <w:rFonts w:hint="eastAsia" w:ascii="宋体" w:hAnsi="宋体"/>
                <w:color w:val="auto"/>
                <w:sz w:val="24"/>
                <w:highlight w:val="none"/>
              </w:rPr>
              <w:t>7</w:t>
            </w:r>
          </w:p>
        </w:tc>
        <w:tc>
          <w:tcPr>
            <w:tcW w:w="1980" w:type="dxa"/>
            <w:gridSpan w:val="2"/>
            <w:tcBorders>
              <w:top w:val="single" w:color="auto" w:sz="4" w:space="0"/>
              <w:left w:val="single" w:color="auto" w:sz="4" w:space="0"/>
              <w:bottom w:val="single" w:color="auto" w:sz="4" w:space="0"/>
              <w:right w:val="single" w:color="auto" w:sz="4" w:space="0"/>
            </w:tcBorders>
            <w:vAlign w:val="center"/>
          </w:tcPr>
          <w:p w14:paraId="57FC59AE">
            <w:pPr>
              <w:spacing w:line="440" w:lineRule="exact"/>
              <w:jc w:val="center"/>
              <w:rPr>
                <w:rFonts w:ascii="宋体" w:hAnsi="宋体"/>
                <w:color w:val="auto"/>
                <w:sz w:val="24"/>
                <w:highlight w:val="none"/>
              </w:rPr>
            </w:pPr>
          </w:p>
        </w:tc>
        <w:tc>
          <w:tcPr>
            <w:tcW w:w="1978" w:type="dxa"/>
            <w:tcBorders>
              <w:top w:val="single" w:color="auto" w:sz="4" w:space="0"/>
              <w:left w:val="single" w:color="auto" w:sz="4" w:space="0"/>
              <w:bottom w:val="single" w:color="auto" w:sz="4" w:space="0"/>
              <w:right w:val="single" w:color="auto" w:sz="4" w:space="0"/>
            </w:tcBorders>
          </w:tcPr>
          <w:p w14:paraId="2366EDD6">
            <w:pPr>
              <w:spacing w:line="440" w:lineRule="exact"/>
              <w:rPr>
                <w:rFonts w:ascii="宋体" w:hAnsi="宋体"/>
                <w:color w:val="auto"/>
                <w:sz w:val="24"/>
                <w:highlight w:val="none"/>
              </w:rPr>
            </w:pPr>
          </w:p>
        </w:tc>
        <w:tc>
          <w:tcPr>
            <w:tcW w:w="1985" w:type="dxa"/>
            <w:tcBorders>
              <w:top w:val="single" w:color="auto" w:sz="4" w:space="0"/>
              <w:left w:val="single" w:color="auto" w:sz="4" w:space="0"/>
              <w:bottom w:val="single" w:color="auto" w:sz="4" w:space="0"/>
              <w:right w:val="single" w:color="auto" w:sz="4" w:space="0"/>
            </w:tcBorders>
          </w:tcPr>
          <w:p w14:paraId="7EFFBA01">
            <w:pPr>
              <w:spacing w:line="440" w:lineRule="exact"/>
              <w:rPr>
                <w:rFonts w:ascii="宋体" w:hAnsi="宋体"/>
                <w:color w:val="auto"/>
                <w:sz w:val="24"/>
                <w:highlight w:val="none"/>
              </w:rPr>
            </w:pPr>
          </w:p>
        </w:tc>
        <w:tc>
          <w:tcPr>
            <w:tcW w:w="3315" w:type="dxa"/>
            <w:tcBorders>
              <w:top w:val="single" w:color="auto" w:sz="4" w:space="0"/>
              <w:left w:val="single" w:color="auto" w:sz="4" w:space="0"/>
              <w:bottom w:val="single" w:color="auto" w:sz="4" w:space="0"/>
              <w:right w:val="single" w:color="auto" w:sz="4" w:space="0"/>
            </w:tcBorders>
          </w:tcPr>
          <w:p w14:paraId="226B72EC">
            <w:pPr>
              <w:spacing w:line="440" w:lineRule="exact"/>
              <w:rPr>
                <w:rFonts w:ascii="宋体" w:hAnsi="宋体"/>
                <w:color w:val="auto"/>
                <w:sz w:val="24"/>
                <w:highlight w:val="none"/>
              </w:rPr>
            </w:pPr>
          </w:p>
        </w:tc>
      </w:tr>
      <w:tr w14:paraId="2646B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16EDB5C8">
            <w:pPr>
              <w:spacing w:line="440" w:lineRule="exact"/>
              <w:jc w:val="center"/>
              <w:rPr>
                <w:rFonts w:ascii="宋体" w:hAnsi="宋体"/>
                <w:color w:val="auto"/>
                <w:sz w:val="24"/>
                <w:highlight w:val="none"/>
              </w:rPr>
            </w:pPr>
            <w:r>
              <w:rPr>
                <w:rFonts w:hint="eastAsia" w:ascii="宋体" w:hAnsi="宋体"/>
                <w:color w:val="auto"/>
                <w:sz w:val="24"/>
                <w:highlight w:val="none"/>
              </w:rPr>
              <w:t>8</w:t>
            </w:r>
          </w:p>
        </w:tc>
        <w:tc>
          <w:tcPr>
            <w:tcW w:w="1980" w:type="dxa"/>
            <w:gridSpan w:val="2"/>
            <w:tcBorders>
              <w:top w:val="single" w:color="auto" w:sz="4" w:space="0"/>
              <w:left w:val="single" w:color="auto" w:sz="4" w:space="0"/>
              <w:bottom w:val="single" w:color="auto" w:sz="4" w:space="0"/>
              <w:right w:val="single" w:color="auto" w:sz="4" w:space="0"/>
            </w:tcBorders>
            <w:vAlign w:val="center"/>
          </w:tcPr>
          <w:p w14:paraId="5185E630">
            <w:pPr>
              <w:spacing w:line="440" w:lineRule="exact"/>
              <w:jc w:val="center"/>
              <w:rPr>
                <w:rFonts w:ascii="宋体" w:hAnsi="宋体"/>
                <w:color w:val="auto"/>
                <w:sz w:val="24"/>
                <w:highlight w:val="none"/>
              </w:rPr>
            </w:pPr>
          </w:p>
        </w:tc>
        <w:tc>
          <w:tcPr>
            <w:tcW w:w="1978" w:type="dxa"/>
            <w:tcBorders>
              <w:top w:val="single" w:color="auto" w:sz="4" w:space="0"/>
              <w:left w:val="single" w:color="auto" w:sz="4" w:space="0"/>
              <w:bottom w:val="single" w:color="auto" w:sz="4" w:space="0"/>
              <w:right w:val="single" w:color="auto" w:sz="4" w:space="0"/>
            </w:tcBorders>
          </w:tcPr>
          <w:p w14:paraId="5A33D54C">
            <w:pPr>
              <w:spacing w:line="440" w:lineRule="exact"/>
              <w:rPr>
                <w:rFonts w:ascii="宋体" w:hAnsi="宋体"/>
                <w:color w:val="auto"/>
                <w:sz w:val="24"/>
                <w:highlight w:val="none"/>
              </w:rPr>
            </w:pPr>
          </w:p>
        </w:tc>
        <w:tc>
          <w:tcPr>
            <w:tcW w:w="1985" w:type="dxa"/>
            <w:tcBorders>
              <w:top w:val="single" w:color="auto" w:sz="4" w:space="0"/>
              <w:left w:val="single" w:color="auto" w:sz="4" w:space="0"/>
              <w:bottom w:val="single" w:color="auto" w:sz="4" w:space="0"/>
              <w:right w:val="single" w:color="auto" w:sz="4" w:space="0"/>
            </w:tcBorders>
          </w:tcPr>
          <w:p w14:paraId="10F3E0C0">
            <w:pPr>
              <w:spacing w:line="440" w:lineRule="exact"/>
              <w:rPr>
                <w:rFonts w:ascii="宋体" w:hAnsi="宋体"/>
                <w:color w:val="auto"/>
                <w:sz w:val="24"/>
                <w:highlight w:val="none"/>
              </w:rPr>
            </w:pPr>
          </w:p>
        </w:tc>
        <w:tc>
          <w:tcPr>
            <w:tcW w:w="3315" w:type="dxa"/>
            <w:tcBorders>
              <w:top w:val="single" w:color="auto" w:sz="4" w:space="0"/>
              <w:left w:val="single" w:color="auto" w:sz="4" w:space="0"/>
              <w:bottom w:val="single" w:color="auto" w:sz="4" w:space="0"/>
              <w:right w:val="single" w:color="auto" w:sz="4" w:space="0"/>
            </w:tcBorders>
          </w:tcPr>
          <w:p w14:paraId="063FB53F">
            <w:pPr>
              <w:spacing w:line="440" w:lineRule="exact"/>
              <w:rPr>
                <w:rFonts w:ascii="宋体" w:hAnsi="宋体"/>
                <w:color w:val="auto"/>
                <w:sz w:val="24"/>
                <w:highlight w:val="none"/>
              </w:rPr>
            </w:pPr>
          </w:p>
        </w:tc>
      </w:tr>
      <w:tr w14:paraId="3C660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250B20C2">
            <w:pPr>
              <w:spacing w:line="440" w:lineRule="exact"/>
              <w:jc w:val="center"/>
              <w:rPr>
                <w:rFonts w:ascii="宋体" w:hAnsi="宋体"/>
                <w:color w:val="auto"/>
                <w:sz w:val="24"/>
                <w:highlight w:val="none"/>
              </w:rPr>
            </w:pPr>
            <w:r>
              <w:rPr>
                <w:rFonts w:hint="eastAsia" w:ascii="宋体" w:hAnsi="宋体"/>
                <w:color w:val="auto"/>
                <w:sz w:val="24"/>
                <w:highlight w:val="none"/>
              </w:rPr>
              <w:t>9</w:t>
            </w:r>
          </w:p>
        </w:tc>
        <w:tc>
          <w:tcPr>
            <w:tcW w:w="1980" w:type="dxa"/>
            <w:gridSpan w:val="2"/>
            <w:tcBorders>
              <w:top w:val="single" w:color="auto" w:sz="4" w:space="0"/>
              <w:left w:val="single" w:color="auto" w:sz="4" w:space="0"/>
              <w:bottom w:val="single" w:color="auto" w:sz="4" w:space="0"/>
              <w:right w:val="single" w:color="auto" w:sz="4" w:space="0"/>
            </w:tcBorders>
            <w:vAlign w:val="center"/>
          </w:tcPr>
          <w:p w14:paraId="08FEB46F">
            <w:pPr>
              <w:spacing w:line="440" w:lineRule="exact"/>
              <w:jc w:val="center"/>
              <w:rPr>
                <w:rFonts w:ascii="宋体" w:hAnsi="宋体"/>
                <w:color w:val="auto"/>
                <w:sz w:val="24"/>
                <w:highlight w:val="none"/>
              </w:rPr>
            </w:pPr>
          </w:p>
        </w:tc>
        <w:tc>
          <w:tcPr>
            <w:tcW w:w="1978" w:type="dxa"/>
            <w:tcBorders>
              <w:top w:val="single" w:color="auto" w:sz="4" w:space="0"/>
              <w:left w:val="single" w:color="auto" w:sz="4" w:space="0"/>
              <w:bottom w:val="single" w:color="auto" w:sz="4" w:space="0"/>
              <w:right w:val="single" w:color="auto" w:sz="4" w:space="0"/>
            </w:tcBorders>
          </w:tcPr>
          <w:p w14:paraId="48C7937A">
            <w:pPr>
              <w:spacing w:line="440" w:lineRule="exact"/>
              <w:rPr>
                <w:rFonts w:ascii="宋体" w:hAnsi="宋体"/>
                <w:color w:val="auto"/>
                <w:sz w:val="24"/>
                <w:highlight w:val="none"/>
              </w:rPr>
            </w:pPr>
          </w:p>
        </w:tc>
        <w:tc>
          <w:tcPr>
            <w:tcW w:w="1985" w:type="dxa"/>
            <w:tcBorders>
              <w:top w:val="single" w:color="auto" w:sz="4" w:space="0"/>
              <w:left w:val="single" w:color="auto" w:sz="4" w:space="0"/>
              <w:bottom w:val="single" w:color="auto" w:sz="4" w:space="0"/>
              <w:right w:val="single" w:color="auto" w:sz="4" w:space="0"/>
            </w:tcBorders>
          </w:tcPr>
          <w:p w14:paraId="5D6FCACD">
            <w:pPr>
              <w:spacing w:line="440" w:lineRule="exact"/>
              <w:rPr>
                <w:rFonts w:ascii="宋体" w:hAnsi="宋体"/>
                <w:color w:val="auto"/>
                <w:sz w:val="24"/>
                <w:highlight w:val="none"/>
              </w:rPr>
            </w:pPr>
          </w:p>
        </w:tc>
        <w:tc>
          <w:tcPr>
            <w:tcW w:w="3315" w:type="dxa"/>
            <w:tcBorders>
              <w:top w:val="single" w:color="auto" w:sz="4" w:space="0"/>
              <w:left w:val="single" w:color="auto" w:sz="4" w:space="0"/>
              <w:bottom w:val="single" w:color="auto" w:sz="4" w:space="0"/>
              <w:right w:val="single" w:color="auto" w:sz="4" w:space="0"/>
            </w:tcBorders>
          </w:tcPr>
          <w:p w14:paraId="3255FC57">
            <w:pPr>
              <w:spacing w:line="440" w:lineRule="exact"/>
              <w:rPr>
                <w:rFonts w:ascii="宋体" w:hAnsi="宋体"/>
                <w:color w:val="auto"/>
                <w:sz w:val="24"/>
                <w:highlight w:val="none"/>
              </w:rPr>
            </w:pPr>
          </w:p>
        </w:tc>
      </w:tr>
      <w:tr w14:paraId="64979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357741F0">
            <w:pPr>
              <w:spacing w:line="440" w:lineRule="exact"/>
              <w:jc w:val="center"/>
              <w:rPr>
                <w:rFonts w:ascii="宋体" w:hAnsi="宋体"/>
                <w:color w:val="auto"/>
                <w:sz w:val="24"/>
                <w:highlight w:val="none"/>
              </w:rPr>
            </w:pPr>
            <w:r>
              <w:rPr>
                <w:rFonts w:hint="eastAsia" w:ascii="宋体" w:hAnsi="宋体"/>
                <w:color w:val="auto"/>
                <w:sz w:val="24"/>
                <w:highlight w:val="none"/>
              </w:rPr>
              <w:t>10</w:t>
            </w:r>
          </w:p>
        </w:tc>
        <w:tc>
          <w:tcPr>
            <w:tcW w:w="1980" w:type="dxa"/>
            <w:gridSpan w:val="2"/>
            <w:tcBorders>
              <w:top w:val="single" w:color="auto" w:sz="4" w:space="0"/>
              <w:left w:val="single" w:color="auto" w:sz="4" w:space="0"/>
              <w:bottom w:val="single" w:color="auto" w:sz="4" w:space="0"/>
              <w:right w:val="single" w:color="auto" w:sz="4" w:space="0"/>
            </w:tcBorders>
            <w:vAlign w:val="center"/>
          </w:tcPr>
          <w:p w14:paraId="4D4730B4">
            <w:pPr>
              <w:spacing w:line="440" w:lineRule="exact"/>
              <w:jc w:val="center"/>
              <w:rPr>
                <w:rFonts w:ascii="宋体" w:hAnsi="宋体"/>
                <w:color w:val="auto"/>
                <w:sz w:val="24"/>
                <w:highlight w:val="none"/>
              </w:rPr>
            </w:pPr>
          </w:p>
        </w:tc>
        <w:tc>
          <w:tcPr>
            <w:tcW w:w="1978" w:type="dxa"/>
            <w:tcBorders>
              <w:top w:val="single" w:color="auto" w:sz="4" w:space="0"/>
              <w:left w:val="single" w:color="auto" w:sz="4" w:space="0"/>
              <w:bottom w:val="single" w:color="auto" w:sz="4" w:space="0"/>
              <w:right w:val="single" w:color="auto" w:sz="4" w:space="0"/>
            </w:tcBorders>
          </w:tcPr>
          <w:p w14:paraId="356B9DE8">
            <w:pPr>
              <w:spacing w:line="440" w:lineRule="exact"/>
              <w:rPr>
                <w:rFonts w:ascii="宋体" w:hAnsi="宋体"/>
                <w:color w:val="auto"/>
                <w:sz w:val="24"/>
                <w:highlight w:val="none"/>
              </w:rPr>
            </w:pPr>
          </w:p>
        </w:tc>
        <w:tc>
          <w:tcPr>
            <w:tcW w:w="1985" w:type="dxa"/>
            <w:tcBorders>
              <w:top w:val="single" w:color="auto" w:sz="4" w:space="0"/>
              <w:left w:val="single" w:color="auto" w:sz="4" w:space="0"/>
              <w:bottom w:val="single" w:color="auto" w:sz="4" w:space="0"/>
              <w:right w:val="single" w:color="auto" w:sz="4" w:space="0"/>
            </w:tcBorders>
          </w:tcPr>
          <w:p w14:paraId="431E6846">
            <w:pPr>
              <w:spacing w:line="440" w:lineRule="exact"/>
              <w:rPr>
                <w:rFonts w:ascii="宋体" w:hAnsi="宋体"/>
                <w:color w:val="auto"/>
                <w:sz w:val="24"/>
                <w:highlight w:val="none"/>
              </w:rPr>
            </w:pPr>
          </w:p>
        </w:tc>
        <w:tc>
          <w:tcPr>
            <w:tcW w:w="3315" w:type="dxa"/>
            <w:tcBorders>
              <w:top w:val="single" w:color="auto" w:sz="4" w:space="0"/>
              <w:left w:val="single" w:color="auto" w:sz="4" w:space="0"/>
              <w:bottom w:val="single" w:color="auto" w:sz="4" w:space="0"/>
              <w:right w:val="single" w:color="auto" w:sz="4" w:space="0"/>
            </w:tcBorders>
          </w:tcPr>
          <w:p w14:paraId="199A814F">
            <w:pPr>
              <w:spacing w:line="440" w:lineRule="exact"/>
              <w:rPr>
                <w:rFonts w:ascii="宋体" w:hAnsi="宋体"/>
                <w:color w:val="auto"/>
                <w:sz w:val="24"/>
                <w:highlight w:val="none"/>
              </w:rPr>
            </w:pPr>
          </w:p>
        </w:tc>
      </w:tr>
      <w:tr w14:paraId="1A2F1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3FED4149">
            <w:pPr>
              <w:spacing w:line="440" w:lineRule="exact"/>
              <w:jc w:val="center"/>
              <w:rPr>
                <w:rFonts w:ascii="宋体" w:hAnsi="宋体"/>
                <w:color w:val="auto"/>
                <w:sz w:val="24"/>
                <w:highlight w:val="none"/>
              </w:rPr>
            </w:pPr>
            <w:r>
              <w:rPr>
                <w:rFonts w:hint="eastAsia" w:ascii="宋体" w:hAnsi="宋体"/>
                <w:color w:val="auto"/>
                <w:sz w:val="24"/>
                <w:highlight w:val="none"/>
              </w:rPr>
              <w:t>11</w:t>
            </w:r>
          </w:p>
        </w:tc>
        <w:tc>
          <w:tcPr>
            <w:tcW w:w="1980" w:type="dxa"/>
            <w:gridSpan w:val="2"/>
            <w:tcBorders>
              <w:top w:val="single" w:color="auto" w:sz="4" w:space="0"/>
              <w:left w:val="single" w:color="auto" w:sz="4" w:space="0"/>
              <w:bottom w:val="single" w:color="auto" w:sz="4" w:space="0"/>
              <w:right w:val="single" w:color="auto" w:sz="4" w:space="0"/>
            </w:tcBorders>
            <w:vAlign w:val="center"/>
          </w:tcPr>
          <w:p w14:paraId="3CC70540">
            <w:pPr>
              <w:spacing w:line="440" w:lineRule="exact"/>
              <w:jc w:val="center"/>
              <w:rPr>
                <w:rFonts w:ascii="宋体" w:hAnsi="宋体"/>
                <w:color w:val="auto"/>
                <w:sz w:val="24"/>
                <w:highlight w:val="none"/>
              </w:rPr>
            </w:pPr>
          </w:p>
        </w:tc>
        <w:tc>
          <w:tcPr>
            <w:tcW w:w="1978" w:type="dxa"/>
            <w:tcBorders>
              <w:top w:val="single" w:color="auto" w:sz="4" w:space="0"/>
              <w:left w:val="single" w:color="auto" w:sz="4" w:space="0"/>
              <w:bottom w:val="single" w:color="auto" w:sz="4" w:space="0"/>
              <w:right w:val="single" w:color="auto" w:sz="4" w:space="0"/>
            </w:tcBorders>
          </w:tcPr>
          <w:p w14:paraId="0095AE39">
            <w:pPr>
              <w:spacing w:line="440" w:lineRule="exact"/>
              <w:rPr>
                <w:rFonts w:ascii="宋体" w:hAnsi="宋体"/>
                <w:color w:val="auto"/>
                <w:sz w:val="24"/>
                <w:highlight w:val="none"/>
              </w:rPr>
            </w:pPr>
          </w:p>
        </w:tc>
        <w:tc>
          <w:tcPr>
            <w:tcW w:w="1985" w:type="dxa"/>
            <w:tcBorders>
              <w:top w:val="single" w:color="auto" w:sz="4" w:space="0"/>
              <w:left w:val="single" w:color="auto" w:sz="4" w:space="0"/>
              <w:bottom w:val="single" w:color="auto" w:sz="4" w:space="0"/>
              <w:right w:val="single" w:color="auto" w:sz="4" w:space="0"/>
            </w:tcBorders>
          </w:tcPr>
          <w:p w14:paraId="465908CE">
            <w:pPr>
              <w:spacing w:line="440" w:lineRule="exact"/>
              <w:rPr>
                <w:rFonts w:ascii="宋体" w:hAnsi="宋体"/>
                <w:color w:val="auto"/>
                <w:sz w:val="24"/>
                <w:highlight w:val="none"/>
              </w:rPr>
            </w:pPr>
          </w:p>
        </w:tc>
        <w:tc>
          <w:tcPr>
            <w:tcW w:w="3315" w:type="dxa"/>
            <w:tcBorders>
              <w:top w:val="single" w:color="auto" w:sz="4" w:space="0"/>
              <w:left w:val="single" w:color="auto" w:sz="4" w:space="0"/>
              <w:bottom w:val="single" w:color="auto" w:sz="4" w:space="0"/>
              <w:right w:val="single" w:color="auto" w:sz="4" w:space="0"/>
            </w:tcBorders>
          </w:tcPr>
          <w:p w14:paraId="50224FA8">
            <w:pPr>
              <w:spacing w:line="440" w:lineRule="exact"/>
              <w:rPr>
                <w:rFonts w:ascii="宋体" w:hAnsi="宋体"/>
                <w:color w:val="auto"/>
                <w:sz w:val="24"/>
                <w:highlight w:val="none"/>
              </w:rPr>
            </w:pPr>
          </w:p>
        </w:tc>
      </w:tr>
      <w:tr w14:paraId="53C11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603414F3">
            <w:pPr>
              <w:spacing w:line="440" w:lineRule="exact"/>
              <w:jc w:val="center"/>
              <w:rPr>
                <w:rFonts w:ascii="宋体" w:hAnsi="宋体"/>
                <w:color w:val="auto"/>
                <w:sz w:val="24"/>
                <w:highlight w:val="none"/>
              </w:rPr>
            </w:pPr>
            <w:r>
              <w:rPr>
                <w:rFonts w:hint="eastAsia" w:ascii="宋体" w:hAnsi="宋体"/>
                <w:color w:val="auto"/>
                <w:sz w:val="24"/>
                <w:highlight w:val="none"/>
              </w:rPr>
              <w:t>12</w:t>
            </w:r>
          </w:p>
        </w:tc>
        <w:tc>
          <w:tcPr>
            <w:tcW w:w="1980" w:type="dxa"/>
            <w:gridSpan w:val="2"/>
            <w:tcBorders>
              <w:top w:val="single" w:color="auto" w:sz="4" w:space="0"/>
              <w:left w:val="single" w:color="auto" w:sz="4" w:space="0"/>
              <w:bottom w:val="single" w:color="auto" w:sz="4" w:space="0"/>
              <w:right w:val="single" w:color="auto" w:sz="4" w:space="0"/>
            </w:tcBorders>
            <w:vAlign w:val="center"/>
          </w:tcPr>
          <w:p w14:paraId="2525A1D5">
            <w:pPr>
              <w:spacing w:line="440" w:lineRule="exact"/>
              <w:jc w:val="center"/>
              <w:rPr>
                <w:rFonts w:ascii="宋体" w:hAnsi="宋体"/>
                <w:color w:val="auto"/>
                <w:sz w:val="24"/>
                <w:highlight w:val="none"/>
              </w:rPr>
            </w:pPr>
          </w:p>
        </w:tc>
        <w:tc>
          <w:tcPr>
            <w:tcW w:w="1978" w:type="dxa"/>
            <w:tcBorders>
              <w:top w:val="single" w:color="auto" w:sz="4" w:space="0"/>
              <w:left w:val="single" w:color="auto" w:sz="4" w:space="0"/>
              <w:bottom w:val="single" w:color="auto" w:sz="4" w:space="0"/>
              <w:right w:val="single" w:color="auto" w:sz="4" w:space="0"/>
            </w:tcBorders>
          </w:tcPr>
          <w:p w14:paraId="2853C21C">
            <w:pPr>
              <w:spacing w:line="440" w:lineRule="exact"/>
              <w:rPr>
                <w:rFonts w:ascii="宋体" w:hAnsi="宋体"/>
                <w:color w:val="auto"/>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14:paraId="4DED3466">
            <w:pPr>
              <w:spacing w:line="440" w:lineRule="exact"/>
              <w:jc w:val="left"/>
              <w:rPr>
                <w:rFonts w:ascii="宋体" w:hAnsi="宋体"/>
                <w:color w:val="auto"/>
                <w:sz w:val="24"/>
                <w:highlight w:val="none"/>
              </w:rPr>
            </w:pPr>
          </w:p>
        </w:tc>
        <w:tc>
          <w:tcPr>
            <w:tcW w:w="3315" w:type="dxa"/>
            <w:tcBorders>
              <w:top w:val="single" w:color="auto" w:sz="4" w:space="0"/>
              <w:left w:val="single" w:color="auto" w:sz="4" w:space="0"/>
              <w:bottom w:val="single" w:color="auto" w:sz="4" w:space="0"/>
              <w:right w:val="single" w:color="auto" w:sz="4" w:space="0"/>
            </w:tcBorders>
            <w:vAlign w:val="center"/>
          </w:tcPr>
          <w:p w14:paraId="5551C165">
            <w:pPr>
              <w:spacing w:line="440" w:lineRule="exact"/>
              <w:jc w:val="left"/>
              <w:rPr>
                <w:rFonts w:ascii="宋体" w:hAnsi="宋体"/>
                <w:color w:val="auto"/>
                <w:sz w:val="24"/>
                <w:highlight w:val="none"/>
              </w:rPr>
            </w:pPr>
          </w:p>
        </w:tc>
      </w:tr>
      <w:tr w14:paraId="0BB98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6EEE79C8">
            <w:pPr>
              <w:spacing w:line="440" w:lineRule="exact"/>
              <w:jc w:val="center"/>
              <w:rPr>
                <w:rFonts w:ascii="宋体" w:hAnsi="宋体"/>
                <w:color w:val="auto"/>
                <w:sz w:val="24"/>
                <w:highlight w:val="none"/>
              </w:rPr>
            </w:pPr>
            <w:r>
              <w:rPr>
                <w:rFonts w:hint="eastAsia" w:ascii="宋体" w:hAnsi="宋体"/>
                <w:color w:val="auto"/>
                <w:sz w:val="24"/>
                <w:highlight w:val="none"/>
              </w:rPr>
              <w:t>13</w:t>
            </w:r>
          </w:p>
        </w:tc>
        <w:tc>
          <w:tcPr>
            <w:tcW w:w="1980" w:type="dxa"/>
            <w:gridSpan w:val="2"/>
            <w:tcBorders>
              <w:top w:val="single" w:color="auto" w:sz="4" w:space="0"/>
              <w:left w:val="single" w:color="auto" w:sz="4" w:space="0"/>
              <w:bottom w:val="single" w:color="auto" w:sz="4" w:space="0"/>
              <w:right w:val="single" w:color="auto" w:sz="4" w:space="0"/>
            </w:tcBorders>
            <w:vAlign w:val="center"/>
          </w:tcPr>
          <w:p w14:paraId="6176D4D4">
            <w:pPr>
              <w:spacing w:line="440" w:lineRule="exact"/>
              <w:jc w:val="center"/>
              <w:rPr>
                <w:rFonts w:ascii="宋体" w:hAnsi="宋体"/>
                <w:color w:val="auto"/>
                <w:sz w:val="24"/>
                <w:highlight w:val="none"/>
              </w:rPr>
            </w:pPr>
          </w:p>
        </w:tc>
        <w:tc>
          <w:tcPr>
            <w:tcW w:w="1978" w:type="dxa"/>
            <w:tcBorders>
              <w:top w:val="single" w:color="auto" w:sz="4" w:space="0"/>
              <w:left w:val="single" w:color="auto" w:sz="4" w:space="0"/>
              <w:bottom w:val="single" w:color="auto" w:sz="4" w:space="0"/>
              <w:right w:val="single" w:color="auto" w:sz="4" w:space="0"/>
            </w:tcBorders>
          </w:tcPr>
          <w:p w14:paraId="5A545ACA">
            <w:pPr>
              <w:spacing w:line="440" w:lineRule="exact"/>
              <w:rPr>
                <w:rFonts w:ascii="宋体" w:hAnsi="宋体"/>
                <w:color w:val="auto"/>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14:paraId="4023B79C">
            <w:pPr>
              <w:spacing w:line="440" w:lineRule="exact"/>
              <w:jc w:val="left"/>
              <w:rPr>
                <w:rFonts w:ascii="宋体" w:hAnsi="宋体"/>
                <w:color w:val="auto"/>
                <w:sz w:val="24"/>
                <w:highlight w:val="none"/>
              </w:rPr>
            </w:pPr>
          </w:p>
        </w:tc>
        <w:tc>
          <w:tcPr>
            <w:tcW w:w="3315" w:type="dxa"/>
            <w:tcBorders>
              <w:top w:val="single" w:color="auto" w:sz="4" w:space="0"/>
              <w:left w:val="single" w:color="auto" w:sz="4" w:space="0"/>
              <w:bottom w:val="single" w:color="auto" w:sz="4" w:space="0"/>
              <w:right w:val="single" w:color="auto" w:sz="4" w:space="0"/>
            </w:tcBorders>
            <w:vAlign w:val="center"/>
          </w:tcPr>
          <w:p w14:paraId="77E1D247">
            <w:pPr>
              <w:spacing w:line="440" w:lineRule="exact"/>
              <w:jc w:val="left"/>
              <w:rPr>
                <w:rFonts w:ascii="宋体" w:hAnsi="宋体"/>
                <w:color w:val="auto"/>
                <w:sz w:val="24"/>
                <w:highlight w:val="none"/>
              </w:rPr>
            </w:pPr>
          </w:p>
        </w:tc>
      </w:tr>
      <w:tr w14:paraId="76B12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21132A71">
            <w:pPr>
              <w:spacing w:line="440" w:lineRule="exact"/>
              <w:jc w:val="center"/>
              <w:rPr>
                <w:rFonts w:ascii="宋体" w:hAnsi="宋体"/>
                <w:color w:val="auto"/>
                <w:sz w:val="24"/>
                <w:highlight w:val="none"/>
              </w:rPr>
            </w:pPr>
            <w:r>
              <w:rPr>
                <w:rFonts w:hint="eastAsia" w:ascii="宋体" w:hAnsi="宋体"/>
                <w:color w:val="auto"/>
                <w:sz w:val="24"/>
                <w:highlight w:val="none"/>
              </w:rPr>
              <w:t>14</w:t>
            </w:r>
          </w:p>
        </w:tc>
        <w:tc>
          <w:tcPr>
            <w:tcW w:w="1980" w:type="dxa"/>
            <w:gridSpan w:val="2"/>
            <w:tcBorders>
              <w:top w:val="single" w:color="auto" w:sz="4" w:space="0"/>
              <w:left w:val="single" w:color="auto" w:sz="4" w:space="0"/>
              <w:bottom w:val="single" w:color="auto" w:sz="4" w:space="0"/>
              <w:right w:val="single" w:color="auto" w:sz="4" w:space="0"/>
            </w:tcBorders>
            <w:vAlign w:val="center"/>
          </w:tcPr>
          <w:p w14:paraId="1A5B4AD5">
            <w:pPr>
              <w:spacing w:line="440" w:lineRule="exact"/>
              <w:jc w:val="center"/>
              <w:rPr>
                <w:rFonts w:ascii="宋体" w:hAnsi="宋体"/>
                <w:color w:val="auto"/>
                <w:sz w:val="24"/>
                <w:highlight w:val="none"/>
              </w:rPr>
            </w:pPr>
          </w:p>
        </w:tc>
        <w:tc>
          <w:tcPr>
            <w:tcW w:w="1978" w:type="dxa"/>
            <w:tcBorders>
              <w:top w:val="single" w:color="auto" w:sz="4" w:space="0"/>
              <w:left w:val="single" w:color="auto" w:sz="4" w:space="0"/>
              <w:bottom w:val="single" w:color="auto" w:sz="4" w:space="0"/>
              <w:right w:val="single" w:color="auto" w:sz="4" w:space="0"/>
            </w:tcBorders>
          </w:tcPr>
          <w:p w14:paraId="6BF8B490">
            <w:pPr>
              <w:spacing w:line="440" w:lineRule="exact"/>
              <w:rPr>
                <w:rFonts w:ascii="宋体" w:hAnsi="宋体"/>
                <w:color w:val="auto"/>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14:paraId="4720C6B6">
            <w:pPr>
              <w:spacing w:line="440" w:lineRule="exact"/>
              <w:jc w:val="left"/>
              <w:rPr>
                <w:rFonts w:ascii="宋体" w:hAnsi="宋体"/>
                <w:color w:val="auto"/>
                <w:sz w:val="24"/>
                <w:highlight w:val="none"/>
              </w:rPr>
            </w:pPr>
          </w:p>
        </w:tc>
        <w:tc>
          <w:tcPr>
            <w:tcW w:w="3315" w:type="dxa"/>
            <w:tcBorders>
              <w:top w:val="single" w:color="auto" w:sz="4" w:space="0"/>
              <w:left w:val="single" w:color="auto" w:sz="4" w:space="0"/>
              <w:bottom w:val="single" w:color="auto" w:sz="4" w:space="0"/>
              <w:right w:val="single" w:color="auto" w:sz="4" w:space="0"/>
            </w:tcBorders>
            <w:vAlign w:val="center"/>
          </w:tcPr>
          <w:p w14:paraId="61EA0BA5">
            <w:pPr>
              <w:spacing w:line="440" w:lineRule="exact"/>
              <w:jc w:val="left"/>
              <w:rPr>
                <w:rFonts w:ascii="宋体" w:hAnsi="宋体"/>
                <w:color w:val="auto"/>
                <w:sz w:val="24"/>
                <w:highlight w:val="none"/>
              </w:rPr>
            </w:pPr>
          </w:p>
        </w:tc>
      </w:tr>
      <w:tr w14:paraId="30872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39F1561F">
            <w:pPr>
              <w:spacing w:line="440" w:lineRule="exact"/>
              <w:jc w:val="center"/>
              <w:rPr>
                <w:rFonts w:ascii="宋体" w:hAnsi="宋体"/>
                <w:color w:val="auto"/>
                <w:sz w:val="24"/>
                <w:highlight w:val="none"/>
              </w:rPr>
            </w:pPr>
            <w:r>
              <w:rPr>
                <w:rFonts w:hint="eastAsia" w:ascii="宋体" w:hAnsi="宋体"/>
                <w:color w:val="auto"/>
                <w:sz w:val="24"/>
                <w:highlight w:val="none"/>
              </w:rPr>
              <w:t>15</w:t>
            </w:r>
          </w:p>
        </w:tc>
        <w:tc>
          <w:tcPr>
            <w:tcW w:w="1980" w:type="dxa"/>
            <w:gridSpan w:val="2"/>
            <w:tcBorders>
              <w:top w:val="single" w:color="auto" w:sz="4" w:space="0"/>
              <w:left w:val="single" w:color="auto" w:sz="4" w:space="0"/>
              <w:bottom w:val="single" w:color="auto" w:sz="4" w:space="0"/>
              <w:right w:val="single" w:color="auto" w:sz="4" w:space="0"/>
            </w:tcBorders>
            <w:vAlign w:val="center"/>
          </w:tcPr>
          <w:p w14:paraId="2130DAC3">
            <w:pPr>
              <w:spacing w:line="440" w:lineRule="exact"/>
              <w:jc w:val="center"/>
              <w:rPr>
                <w:rFonts w:ascii="宋体" w:hAnsi="宋体"/>
                <w:color w:val="auto"/>
                <w:sz w:val="24"/>
                <w:highlight w:val="none"/>
              </w:rPr>
            </w:pPr>
          </w:p>
        </w:tc>
        <w:tc>
          <w:tcPr>
            <w:tcW w:w="1978" w:type="dxa"/>
            <w:tcBorders>
              <w:top w:val="single" w:color="auto" w:sz="4" w:space="0"/>
              <w:left w:val="single" w:color="auto" w:sz="4" w:space="0"/>
              <w:bottom w:val="single" w:color="auto" w:sz="4" w:space="0"/>
              <w:right w:val="single" w:color="auto" w:sz="4" w:space="0"/>
            </w:tcBorders>
          </w:tcPr>
          <w:p w14:paraId="38E9BF34">
            <w:pPr>
              <w:spacing w:line="440" w:lineRule="exact"/>
              <w:rPr>
                <w:rFonts w:ascii="宋体" w:hAnsi="宋体"/>
                <w:color w:val="auto"/>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14:paraId="592E2C96">
            <w:pPr>
              <w:spacing w:line="440" w:lineRule="exact"/>
              <w:jc w:val="left"/>
              <w:rPr>
                <w:rFonts w:ascii="宋体" w:hAnsi="宋体"/>
                <w:color w:val="auto"/>
                <w:sz w:val="24"/>
                <w:highlight w:val="none"/>
              </w:rPr>
            </w:pPr>
          </w:p>
        </w:tc>
        <w:tc>
          <w:tcPr>
            <w:tcW w:w="3315" w:type="dxa"/>
            <w:tcBorders>
              <w:top w:val="single" w:color="auto" w:sz="4" w:space="0"/>
              <w:left w:val="single" w:color="auto" w:sz="4" w:space="0"/>
              <w:bottom w:val="single" w:color="auto" w:sz="4" w:space="0"/>
              <w:right w:val="single" w:color="auto" w:sz="4" w:space="0"/>
            </w:tcBorders>
            <w:vAlign w:val="center"/>
          </w:tcPr>
          <w:p w14:paraId="1B063356">
            <w:pPr>
              <w:spacing w:line="440" w:lineRule="exact"/>
              <w:jc w:val="left"/>
              <w:rPr>
                <w:rFonts w:ascii="宋体" w:hAnsi="宋体"/>
                <w:color w:val="auto"/>
                <w:sz w:val="24"/>
                <w:highlight w:val="none"/>
              </w:rPr>
            </w:pPr>
          </w:p>
        </w:tc>
      </w:tr>
      <w:tr w14:paraId="69ED0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14:paraId="6646C572">
            <w:pPr>
              <w:spacing w:line="440" w:lineRule="exact"/>
              <w:jc w:val="center"/>
              <w:rPr>
                <w:rFonts w:ascii="宋体" w:hAnsi="宋体"/>
                <w:color w:val="auto"/>
                <w:sz w:val="24"/>
                <w:highlight w:val="none"/>
              </w:rPr>
            </w:pPr>
            <w:r>
              <w:rPr>
                <w:rFonts w:hint="eastAsia" w:ascii="宋体" w:hAnsi="宋体"/>
                <w:color w:val="auto"/>
                <w:sz w:val="24"/>
                <w:highlight w:val="none"/>
              </w:rPr>
              <w:t>价格条件</w:t>
            </w:r>
          </w:p>
        </w:tc>
        <w:tc>
          <w:tcPr>
            <w:tcW w:w="8430" w:type="dxa"/>
            <w:gridSpan w:val="4"/>
            <w:tcBorders>
              <w:top w:val="single" w:color="auto" w:sz="4" w:space="0"/>
              <w:left w:val="single" w:color="auto" w:sz="4" w:space="0"/>
              <w:bottom w:val="single" w:color="auto" w:sz="4" w:space="0"/>
              <w:right w:val="single" w:color="auto" w:sz="4" w:space="0"/>
            </w:tcBorders>
          </w:tcPr>
          <w:p w14:paraId="21ED171D">
            <w:pPr>
              <w:spacing w:line="440" w:lineRule="exact"/>
              <w:rPr>
                <w:rFonts w:ascii="宋体" w:hAnsi="宋体"/>
                <w:color w:val="auto"/>
                <w:sz w:val="24"/>
                <w:highlight w:val="none"/>
              </w:rPr>
            </w:pPr>
            <w:r>
              <w:rPr>
                <w:rFonts w:hint="eastAsia" w:ascii="宋体" w:hAnsi="宋体"/>
                <w:color w:val="auto"/>
                <w:szCs w:val="21"/>
                <w:highlight w:val="none"/>
              </w:rPr>
              <w:t>扬州（指定地点）</w:t>
            </w:r>
          </w:p>
        </w:tc>
      </w:tr>
      <w:tr w14:paraId="07D16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14:paraId="1F4B6938">
            <w:pPr>
              <w:spacing w:line="440" w:lineRule="exact"/>
              <w:jc w:val="center"/>
              <w:rPr>
                <w:rFonts w:ascii="宋体" w:hAnsi="宋体"/>
                <w:color w:val="auto"/>
                <w:sz w:val="24"/>
                <w:highlight w:val="none"/>
              </w:rPr>
            </w:pPr>
          </w:p>
        </w:tc>
        <w:tc>
          <w:tcPr>
            <w:tcW w:w="8430" w:type="dxa"/>
            <w:gridSpan w:val="4"/>
            <w:tcBorders>
              <w:top w:val="single" w:color="auto" w:sz="4" w:space="0"/>
              <w:left w:val="single" w:color="auto" w:sz="4" w:space="0"/>
              <w:bottom w:val="single" w:color="auto" w:sz="4" w:space="0"/>
              <w:right w:val="single" w:color="auto" w:sz="4" w:space="0"/>
            </w:tcBorders>
          </w:tcPr>
          <w:p w14:paraId="6F0699C7">
            <w:pPr>
              <w:spacing w:line="440" w:lineRule="exact"/>
              <w:rPr>
                <w:rFonts w:ascii="宋体" w:hAnsi="宋体"/>
                <w:color w:val="auto"/>
                <w:sz w:val="24"/>
                <w:highlight w:val="none"/>
              </w:rPr>
            </w:pPr>
          </w:p>
        </w:tc>
      </w:tr>
      <w:tr w14:paraId="1A89A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14:paraId="5623978A">
            <w:pPr>
              <w:spacing w:line="440" w:lineRule="exact"/>
              <w:jc w:val="center"/>
              <w:rPr>
                <w:rFonts w:ascii="宋体" w:hAnsi="宋体"/>
                <w:color w:val="auto"/>
                <w:sz w:val="24"/>
                <w:highlight w:val="none"/>
              </w:rPr>
            </w:pPr>
            <w:r>
              <w:rPr>
                <w:rFonts w:hint="eastAsia" w:ascii="宋体" w:hAnsi="宋体"/>
                <w:color w:val="auto"/>
                <w:sz w:val="24"/>
                <w:highlight w:val="none"/>
              </w:rPr>
              <w:t>交 货 期</w:t>
            </w:r>
          </w:p>
        </w:tc>
        <w:tc>
          <w:tcPr>
            <w:tcW w:w="8430" w:type="dxa"/>
            <w:gridSpan w:val="4"/>
            <w:tcBorders>
              <w:top w:val="single" w:color="auto" w:sz="4" w:space="0"/>
              <w:left w:val="single" w:color="auto" w:sz="4" w:space="0"/>
              <w:bottom w:val="single" w:color="auto" w:sz="4" w:space="0"/>
              <w:right w:val="single" w:color="auto" w:sz="4" w:space="0"/>
            </w:tcBorders>
          </w:tcPr>
          <w:p w14:paraId="31BF899A">
            <w:pPr>
              <w:spacing w:line="440" w:lineRule="exact"/>
              <w:rPr>
                <w:rFonts w:ascii="宋体" w:hAnsi="宋体"/>
                <w:color w:val="auto"/>
                <w:sz w:val="24"/>
                <w:highlight w:val="none"/>
              </w:rPr>
            </w:pPr>
          </w:p>
        </w:tc>
      </w:tr>
      <w:tr w14:paraId="13E67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14:paraId="2B90F23C">
            <w:pPr>
              <w:spacing w:line="440" w:lineRule="exact"/>
              <w:jc w:val="center"/>
              <w:rPr>
                <w:rFonts w:ascii="宋体" w:hAnsi="宋体"/>
                <w:color w:val="auto"/>
                <w:sz w:val="24"/>
                <w:highlight w:val="none"/>
              </w:rPr>
            </w:pPr>
          </w:p>
        </w:tc>
        <w:tc>
          <w:tcPr>
            <w:tcW w:w="8430" w:type="dxa"/>
            <w:gridSpan w:val="4"/>
            <w:tcBorders>
              <w:top w:val="single" w:color="auto" w:sz="4" w:space="0"/>
              <w:left w:val="single" w:color="auto" w:sz="4" w:space="0"/>
              <w:bottom w:val="single" w:color="auto" w:sz="4" w:space="0"/>
              <w:right w:val="single" w:color="auto" w:sz="4" w:space="0"/>
            </w:tcBorders>
          </w:tcPr>
          <w:p w14:paraId="695D7DD8">
            <w:pPr>
              <w:spacing w:line="440" w:lineRule="exact"/>
              <w:rPr>
                <w:rFonts w:ascii="宋体" w:hAnsi="宋体"/>
                <w:color w:val="auto"/>
                <w:sz w:val="24"/>
                <w:highlight w:val="none"/>
              </w:rPr>
            </w:pPr>
          </w:p>
        </w:tc>
      </w:tr>
    </w:tbl>
    <w:p w14:paraId="46806DFA">
      <w:pPr>
        <w:spacing w:line="440" w:lineRule="exact"/>
        <w:rPr>
          <w:rFonts w:ascii="宋体" w:hAnsi="宋体"/>
          <w:color w:val="auto"/>
          <w:sz w:val="24"/>
          <w:highlight w:val="none"/>
        </w:rPr>
      </w:pPr>
      <w:r>
        <w:rPr>
          <w:rFonts w:hint="eastAsia" w:ascii="宋体" w:hAnsi="宋体"/>
          <w:color w:val="auto"/>
          <w:sz w:val="24"/>
          <w:highlight w:val="none"/>
        </w:rPr>
        <w:t>投标人全称：（盖章或签字）</w:t>
      </w:r>
    </w:p>
    <w:p w14:paraId="680A3CD9">
      <w:pPr>
        <w:spacing w:line="440" w:lineRule="exact"/>
        <w:rPr>
          <w:rFonts w:ascii="宋体" w:hAnsi="宋体"/>
          <w:color w:val="auto"/>
          <w:sz w:val="24"/>
          <w:highlight w:val="none"/>
        </w:rPr>
      </w:pPr>
      <w:r>
        <w:rPr>
          <w:rFonts w:hint="eastAsia" w:ascii="宋体" w:hAnsi="宋体"/>
          <w:color w:val="auto"/>
          <w:sz w:val="24"/>
          <w:highlight w:val="none"/>
        </w:rPr>
        <w:t>授权代表签字：</w:t>
      </w:r>
    </w:p>
    <w:p w14:paraId="3F2DDB12">
      <w:pPr>
        <w:spacing w:line="440" w:lineRule="exact"/>
        <w:rPr>
          <w:rFonts w:ascii="宋体" w:hAnsi="宋体"/>
          <w:color w:val="auto"/>
          <w:sz w:val="24"/>
          <w:highlight w:val="none"/>
        </w:rPr>
      </w:pPr>
      <w:r>
        <w:rPr>
          <w:rFonts w:hint="eastAsia" w:ascii="宋体" w:hAnsi="宋体"/>
          <w:color w:val="auto"/>
          <w:sz w:val="24"/>
          <w:highlight w:val="none"/>
        </w:rPr>
        <w:t>日  期：</w:t>
      </w:r>
    </w:p>
    <w:p w14:paraId="5A776D74">
      <w:pPr>
        <w:spacing w:line="440" w:lineRule="exact"/>
        <w:rPr>
          <w:rFonts w:ascii="宋体" w:hAnsi="宋体"/>
          <w:color w:val="auto"/>
          <w:sz w:val="24"/>
          <w:highlight w:val="none"/>
        </w:rPr>
      </w:pPr>
      <w:r>
        <w:rPr>
          <w:rFonts w:hint="eastAsia" w:ascii="宋体" w:hAnsi="宋体"/>
          <w:color w:val="auto"/>
          <w:sz w:val="24"/>
          <w:highlight w:val="none"/>
        </w:rPr>
        <w:t xml:space="preserve">说明：1、上述报价含软件开发费、税费、交通费、食宿费、安装调试费。此价格为本次招标内容完成安装调试并交付使用后的价格；不分列报价、不得填报选择性报价方案； </w:t>
      </w:r>
    </w:p>
    <w:p w14:paraId="72F91824">
      <w:pPr>
        <w:spacing w:line="440" w:lineRule="exact"/>
        <w:ind w:firstLine="720" w:firstLineChars="300"/>
        <w:rPr>
          <w:rFonts w:ascii="宋体" w:hAnsi="宋体"/>
          <w:color w:val="auto"/>
          <w:sz w:val="24"/>
          <w:highlight w:val="none"/>
        </w:rPr>
      </w:pPr>
      <w:r>
        <w:rPr>
          <w:rFonts w:hint="eastAsia" w:ascii="宋体" w:hAnsi="宋体"/>
          <w:color w:val="auto"/>
          <w:sz w:val="24"/>
          <w:highlight w:val="none"/>
        </w:rPr>
        <w:t>2、此表一式两份，按招标文件要求封装，装入正本袋中。</w:t>
      </w:r>
    </w:p>
    <w:p w14:paraId="4A035836">
      <w:pPr>
        <w:spacing w:line="440" w:lineRule="exact"/>
        <w:ind w:firstLine="720" w:firstLineChars="300"/>
        <w:rPr>
          <w:rFonts w:ascii="宋体" w:hAnsi="宋体"/>
          <w:color w:val="auto"/>
          <w:sz w:val="24"/>
          <w:highlight w:val="none"/>
        </w:rPr>
      </w:pPr>
      <w:r>
        <w:rPr>
          <w:rFonts w:hint="eastAsia" w:ascii="宋体" w:hAnsi="宋体"/>
          <w:color w:val="auto"/>
          <w:sz w:val="24"/>
          <w:highlight w:val="none"/>
        </w:rPr>
        <w:t>3、如因投标人填写有误，导致无法唱标，责任由投标人自负。</w:t>
      </w:r>
    </w:p>
    <w:p w14:paraId="38AE8655">
      <w:pPr>
        <w:spacing w:line="440" w:lineRule="exact"/>
        <w:rPr>
          <w:rFonts w:ascii="楷体_GB2312" w:eastAsia="楷体_GB2312"/>
          <w:color w:val="auto"/>
          <w:sz w:val="24"/>
          <w:highlight w:val="none"/>
        </w:rPr>
      </w:pPr>
      <w:r>
        <w:rPr>
          <w:rFonts w:hint="eastAsia" w:ascii="楷体_GB2312" w:eastAsia="楷体_GB2312"/>
          <w:b/>
          <w:color w:val="auto"/>
          <w:sz w:val="28"/>
          <w:szCs w:val="28"/>
          <w:highlight w:val="none"/>
        </w:rPr>
        <w:br w:type="page"/>
      </w:r>
    </w:p>
    <w:p w14:paraId="0A378756">
      <w:pPr>
        <w:spacing w:line="440" w:lineRule="exact"/>
        <w:rPr>
          <w:rFonts w:ascii="楷体_GB2312" w:eastAsia="楷体_GB2312"/>
          <w:b/>
          <w:color w:val="auto"/>
          <w:sz w:val="32"/>
          <w:szCs w:val="32"/>
          <w:highlight w:val="none"/>
        </w:rPr>
      </w:pPr>
      <w:r>
        <w:rPr>
          <w:rFonts w:hint="eastAsia" w:ascii="楷体_GB2312" w:eastAsia="楷体_GB2312"/>
          <w:b/>
          <w:color w:val="auto"/>
          <w:sz w:val="32"/>
          <w:szCs w:val="32"/>
          <w:highlight w:val="none"/>
        </w:rPr>
        <w:t>二、投标人资格证明文件</w:t>
      </w:r>
    </w:p>
    <w:p w14:paraId="0532BC6B">
      <w:pPr>
        <w:spacing w:line="440" w:lineRule="exact"/>
        <w:jc w:val="center"/>
        <w:rPr>
          <w:rFonts w:ascii="楷体_GB2312" w:eastAsia="楷体_GB2312"/>
          <w:color w:val="auto"/>
          <w:sz w:val="30"/>
          <w:szCs w:val="30"/>
          <w:highlight w:val="none"/>
        </w:rPr>
      </w:pPr>
      <w:r>
        <w:rPr>
          <w:rFonts w:hint="eastAsia" w:ascii="黑体" w:eastAsia="黑体"/>
          <w:color w:val="auto"/>
          <w:sz w:val="30"/>
          <w:szCs w:val="30"/>
          <w:highlight w:val="none"/>
        </w:rPr>
        <w:t>1.投标人概况</w:t>
      </w:r>
    </w:p>
    <w:p w14:paraId="28147617">
      <w:pPr>
        <w:spacing w:line="440" w:lineRule="exact"/>
        <w:rPr>
          <w:rFonts w:ascii="宋体" w:hAnsi="宋体"/>
          <w:color w:val="auto"/>
          <w:highlight w:val="none"/>
        </w:rPr>
      </w:pPr>
      <w:r>
        <w:rPr>
          <w:rFonts w:hint="eastAsia" w:ascii="宋体" w:hAnsi="宋体"/>
          <w:color w:val="auto"/>
          <w:highlight w:val="none"/>
        </w:rPr>
        <w:t>（注：投标人简要历史、生产的主要产品或经营业务范围；组织机构、所属集（财）团等）</w:t>
      </w:r>
    </w:p>
    <w:p w14:paraId="647B6D90">
      <w:pPr>
        <w:spacing w:line="440" w:lineRule="exact"/>
        <w:rPr>
          <w:rFonts w:ascii="楷体_GB2312" w:eastAsia="楷体_GB2312"/>
          <w:color w:val="auto"/>
          <w:sz w:val="24"/>
          <w:highlight w:val="none"/>
        </w:rPr>
      </w:pPr>
    </w:p>
    <w:p w14:paraId="45C35269">
      <w:pPr>
        <w:spacing w:line="440" w:lineRule="exact"/>
        <w:jc w:val="center"/>
        <w:rPr>
          <w:rFonts w:ascii="黑体" w:eastAsia="黑体"/>
          <w:color w:val="auto"/>
          <w:sz w:val="30"/>
          <w:szCs w:val="30"/>
          <w:highlight w:val="none"/>
        </w:rPr>
      </w:pPr>
      <w:r>
        <w:rPr>
          <w:rFonts w:hint="eastAsia" w:ascii="黑体" w:eastAsia="黑体"/>
          <w:color w:val="auto"/>
          <w:sz w:val="30"/>
          <w:szCs w:val="30"/>
          <w:highlight w:val="none"/>
        </w:rPr>
        <w:t>2.投标人技术能力</w:t>
      </w:r>
    </w:p>
    <w:p w14:paraId="045C56EC">
      <w:pPr>
        <w:spacing w:line="440" w:lineRule="exact"/>
        <w:jc w:val="center"/>
        <w:rPr>
          <w:rFonts w:ascii="宋体" w:hAnsi="宋体"/>
          <w:color w:val="auto"/>
          <w:highlight w:val="none"/>
        </w:rPr>
      </w:pPr>
      <w:r>
        <w:rPr>
          <w:rFonts w:hint="eastAsia" w:ascii="宋体" w:hAnsi="宋体"/>
          <w:color w:val="auto"/>
          <w:highlight w:val="none"/>
        </w:rPr>
        <w:t>（注：简要介绍投标人的生产水平、技术力量、装备水平及生产能力等）</w:t>
      </w:r>
    </w:p>
    <w:p w14:paraId="037FC80C">
      <w:pPr>
        <w:spacing w:line="440" w:lineRule="exact"/>
        <w:rPr>
          <w:rFonts w:ascii="楷体_GB2312" w:eastAsia="楷体_GB2312"/>
          <w:color w:val="auto"/>
          <w:sz w:val="24"/>
          <w:highlight w:val="none"/>
        </w:rPr>
      </w:pPr>
    </w:p>
    <w:p w14:paraId="2FA8537A">
      <w:pPr>
        <w:spacing w:line="440" w:lineRule="exact"/>
        <w:rPr>
          <w:rFonts w:ascii="楷体_GB2312" w:eastAsia="楷体_GB2312"/>
          <w:color w:val="auto"/>
          <w:sz w:val="24"/>
          <w:highlight w:val="none"/>
        </w:rPr>
      </w:pPr>
    </w:p>
    <w:p w14:paraId="0337FDD9">
      <w:pPr>
        <w:spacing w:line="440" w:lineRule="exact"/>
        <w:jc w:val="center"/>
        <w:rPr>
          <w:rFonts w:ascii="黑体" w:eastAsia="黑体"/>
          <w:color w:val="auto"/>
          <w:sz w:val="30"/>
          <w:szCs w:val="30"/>
          <w:highlight w:val="none"/>
        </w:rPr>
      </w:pPr>
      <w:r>
        <w:rPr>
          <w:rFonts w:hint="eastAsia" w:ascii="黑体" w:eastAsia="黑体"/>
          <w:color w:val="auto"/>
          <w:sz w:val="30"/>
          <w:szCs w:val="30"/>
          <w:highlight w:val="none"/>
        </w:rPr>
        <w:t>3.投标人及制造商财务状况</w:t>
      </w:r>
    </w:p>
    <w:p w14:paraId="695526C1">
      <w:pPr>
        <w:spacing w:line="440" w:lineRule="exact"/>
        <w:rPr>
          <w:rFonts w:ascii="宋体" w:hAnsi="宋体"/>
          <w:color w:val="auto"/>
          <w:highlight w:val="none"/>
        </w:rPr>
      </w:pPr>
      <w:r>
        <w:rPr>
          <w:rFonts w:hint="eastAsia" w:ascii="宋体" w:hAnsi="宋体"/>
          <w:color w:val="auto"/>
          <w:highlight w:val="none"/>
        </w:rPr>
        <w:t>（注：请提供开户行名称及由其开具的资信证明；固定资产原值、净值、流动资金、最近三年年产值、销售额或贸易额和利润额）</w:t>
      </w:r>
    </w:p>
    <w:p w14:paraId="0ED1435C">
      <w:pPr>
        <w:spacing w:line="440" w:lineRule="exact"/>
        <w:rPr>
          <w:rFonts w:ascii="宋体" w:hAnsi="宋体"/>
          <w:color w:val="auto"/>
          <w:highlight w:val="none"/>
        </w:rPr>
      </w:pPr>
    </w:p>
    <w:p w14:paraId="0A767AC6">
      <w:pPr>
        <w:spacing w:line="440" w:lineRule="exact"/>
        <w:rPr>
          <w:rFonts w:ascii="宋体" w:hAnsi="宋体"/>
          <w:color w:val="auto"/>
          <w:highlight w:val="none"/>
        </w:rPr>
      </w:pPr>
    </w:p>
    <w:p w14:paraId="2B543126">
      <w:pPr>
        <w:spacing w:line="440" w:lineRule="exact"/>
        <w:jc w:val="center"/>
        <w:rPr>
          <w:rFonts w:ascii="黑体" w:eastAsia="黑体"/>
          <w:color w:val="auto"/>
          <w:sz w:val="30"/>
          <w:szCs w:val="30"/>
          <w:highlight w:val="none"/>
        </w:rPr>
      </w:pPr>
      <w:r>
        <w:rPr>
          <w:rFonts w:hint="eastAsia" w:ascii="黑体" w:eastAsia="黑体"/>
          <w:color w:val="auto"/>
          <w:sz w:val="30"/>
          <w:szCs w:val="30"/>
          <w:highlight w:val="none"/>
        </w:rPr>
        <w:t>4.营业执照副本</w:t>
      </w:r>
    </w:p>
    <w:p w14:paraId="7CCDD4E5">
      <w:pPr>
        <w:spacing w:line="440" w:lineRule="exact"/>
        <w:rPr>
          <w:rFonts w:ascii="楷体_GB2312" w:eastAsia="楷体_GB2312"/>
          <w:color w:val="auto"/>
          <w:sz w:val="24"/>
          <w:highlight w:val="none"/>
        </w:rPr>
      </w:pPr>
    </w:p>
    <w:p w14:paraId="4CB06E26">
      <w:pPr>
        <w:spacing w:line="440" w:lineRule="exact"/>
        <w:jc w:val="center"/>
        <w:rPr>
          <w:rFonts w:ascii="黑体" w:eastAsia="黑体"/>
          <w:color w:val="auto"/>
          <w:sz w:val="36"/>
          <w:highlight w:val="none"/>
        </w:rPr>
      </w:pPr>
    </w:p>
    <w:p w14:paraId="6A7113D1">
      <w:pPr>
        <w:spacing w:line="440" w:lineRule="exact"/>
        <w:jc w:val="center"/>
        <w:rPr>
          <w:rFonts w:ascii="黑体" w:eastAsia="黑体"/>
          <w:color w:val="auto"/>
          <w:sz w:val="36"/>
          <w:highlight w:val="none"/>
        </w:rPr>
      </w:pPr>
    </w:p>
    <w:p w14:paraId="32733AFD">
      <w:pPr>
        <w:spacing w:line="440" w:lineRule="exact"/>
        <w:jc w:val="center"/>
        <w:rPr>
          <w:rFonts w:ascii="黑体" w:eastAsia="黑体"/>
          <w:color w:val="auto"/>
          <w:sz w:val="36"/>
          <w:highlight w:val="none"/>
        </w:rPr>
      </w:pPr>
    </w:p>
    <w:p w14:paraId="6E98A7FB">
      <w:pPr>
        <w:spacing w:line="440" w:lineRule="exact"/>
        <w:jc w:val="center"/>
        <w:rPr>
          <w:rFonts w:ascii="黑体" w:eastAsia="黑体"/>
          <w:color w:val="auto"/>
          <w:sz w:val="36"/>
          <w:highlight w:val="none"/>
        </w:rPr>
      </w:pPr>
    </w:p>
    <w:p w14:paraId="04AF2FA9">
      <w:pPr>
        <w:spacing w:line="440" w:lineRule="exact"/>
        <w:jc w:val="center"/>
        <w:rPr>
          <w:rFonts w:ascii="黑体" w:eastAsia="黑体"/>
          <w:color w:val="auto"/>
          <w:sz w:val="36"/>
          <w:highlight w:val="none"/>
        </w:rPr>
      </w:pPr>
    </w:p>
    <w:p w14:paraId="4673BBBB">
      <w:pPr>
        <w:spacing w:line="440" w:lineRule="exact"/>
        <w:jc w:val="center"/>
        <w:rPr>
          <w:rFonts w:ascii="黑体" w:eastAsia="黑体"/>
          <w:color w:val="auto"/>
          <w:sz w:val="36"/>
          <w:highlight w:val="none"/>
        </w:rPr>
      </w:pPr>
    </w:p>
    <w:p w14:paraId="7C70F6B3">
      <w:pPr>
        <w:spacing w:line="440" w:lineRule="exact"/>
        <w:jc w:val="center"/>
        <w:rPr>
          <w:rFonts w:ascii="黑体" w:eastAsia="黑体"/>
          <w:color w:val="auto"/>
          <w:sz w:val="36"/>
          <w:highlight w:val="none"/>
        </w:rPr>
      </w:pPr>
    </w:p>
    <w:p w14:paraId="515AA559">
      <w:pPr>
        <w:spacing w:line="440" w:lineRule="exact"/>
        <w:jc w:val="center"/>
        <w:rPr>
          <w:rFonts w:ascii="黑体" w:eastAsia="黑体"/>
          <w:color w:val="auto"/>
          <w:sz w:val="36"/>
          <w:highlight w:val="none"/>
        </w:rPr>
      </w:pPr>
    </w:p>
    <w:p w14:paraId="5F1AD619">
      <w:pPr>
        <w:spacing w:line="440" w:lineRule="exact"/>
        <w:jc w:val="center"/>
        <w:rPr>
          <w:rFonts w:ascii="黑体" w:eastAsia="黑体"/>
          <w:color w:val="auto"/>
          <w:sz w:val="36"/>
          <w:highlight w:val="none"/>
        </w:rPr>
      </w:pPr>
    </w:p>
    <w:p w14:paraId="7AE99661">
      <w:pPr>
        <w:pStyle w:val="9"/>
        <w:spacing w:line="440" w:lineRule="exact"/>
        <w:rPr>
          <w:color w:val="auto"/>
          <w:highlight w:val="none"/>
        </w:rPr>
      </w:pPr>
    </w:p>
    <w:p w14:paraId="0F2BB5D7">
      <w:pPr>
        <w:rPr>
          <w:color w:val="auto"/>
          <w:highlight w:val="none"/>
        </w:rPr>
      </w:pPr>
    </w:p>
    <w:p w14:paraId="484AE57D">
      <w:pPr>
        <w:pStyle w:val="9"/>
        <w:rPr>
          <w:color w:val="auto"/>
          <w:highlight w:val="none"/>
        </w:rPr>
      </w:pPr>
    </w:p>
    <w:p w14:paraId="3CAB0152">
      <w:pPr>
        <w:rPr>
          <w:color w:val="auto"/>
          <w:highlight w:val="none"/>
        </w:rPr>
      </w:pPr>
    </w:p>
    <w:p w14:paraId="15570166">
      <w:pPr>
        <w:pStyle w:val="9"/>
        <w:rPr>
          <w:color w:val="auto"/>
          <w:highlight w:val="none"/>
        </w:rPr>
      </w:pPr>
    </w:p>
    <w:p w14:paraId="0F217E8B">
      <w:pPr>
        <w:rPr>
          <w:color w:val="auto"/>
          <w:highlight w:val="none"/>
        </w:rPr>
      </w:pPr>
    </w:p>
    <w:p w14:paraId="5D62C97F">
      <w:pPr>
        <w:pStyle w:val="9"/>
        <w:rPr>
          <w:color w:val="auto"/>
          <w:highlight w:val="none"/>
        </w:rPr>
      </w:pPr>
    </w:p>
    <w:p w14:paraId="53486576">
      <w:pPr>
        <w:spacing w:line="440" w:lineRule="exact"/>
        <w:jc w:val="center"/>
        <w:rPr>
          <w:rFonts w:ascii="黑体" w:eastAsia="黑体"/>
          <w:color w:val="auto"/>
          <w:sz w:val="36"/>
          <w:highlight w:val="none"/>
        </w:rPr>
      </w:pPr>
    </w:p>
    <w:p w14:paraId="30071F3B">
      <w:pPr>
        <w:spacing w:line="440" w:lineRule="exact"/>
        <w:jc w:val="center"/>
        <w:rPr>
          <w:rFonts w:ascii="黑体" w:eastAsia="黑体"/>
          <w:color w:val="auto"/>
          <w:sz w:val="30"/>
          <w:szCs w:val="30"/>
          <w:highlight w:val="none"/>
        </w:rPr>
      </w:pPr>
      <w:r>
        <w:rPr>
          <w:rFonts w:hint="eastAsia" w:ascii="黑体" w:eastAsia="黑体"/>
          <w:color w:val="auto"/>
          <w:sz w:val="30"/>
          <w:szCs w:val="30"/>
          <w:highlight w:val="none"/>
        </w:rPr>
        <w:t>5.授权委托书（如有）</w:t>
      </w:r>
    </w:p>
    <w:p w14:paraId="1439B0B5">
      <w:pPr>
        <w:spacing w:line="440" w:lineRule="exact"/>
        <w:rPr>
          <w:rFonts w:ascii="楷体_GB2312" w:eastAsia="楷体_GB2312"/>
          <w:color w:val="auto"/>
          <w:sz w:val="24"/>
          <w:highlight w:val="none"/>
        </w:rPr>
      </w:pPr>
    </w:p>
    <w:p w14:paraId="53961397">
      <w:pPr>
        <w:spacing w:after="240" w:line="440" w:lineRule="exact"/>
        <w:jc w:val="center"/>
        <w:rPr>
          <w:rFonts w:ascii="宋体" w:hAnsi="宋体"/>
          <w:b/>
          <w:color w:val="auto"/>
          <w:sz w:val="32"/>
          <w:highlight w:val="none"/>
        </w:rPr>
      </w:pPr>
      <w:r>
        <w:rPr>
          <w:rFonts w:hint="eastAsia" w:ascii="宋体" w:hAnsi="宋体"/>
          <w:b/>
          <w:color w:val="auto"/>
          <w:sz w:val="32"/>
          <w:highlight w:val="none"/>
        </w:rPr>
        <w:t>授 权 委 托 书</w:t>
      </w:r>
    </w:p>
    <w:p w14:paraId="3D7D4529">
      <w:pPr>
        <w:topLinePunct/>
        <w:spacing w:line="440" w:lineRule="exact"/>
        <w:ind w:firstLine="480" w:firstLineChars="200"/>
        <w:rPr>
          <w:color w:val="auto"/>
          <w:sz w:val="24"/>
          <w:highlight w:val="none"/>
          <w:u w:val="single"/>
        </w:rPr>
      </w:pPr>
      <w:r>
        <w:rPr>
          <w:rFonts w:hint="eastAsia"/>
          <w:color w:val="auto"/>
          <w:sz w:val="24"/>
          <w:highlight w:val="none"/>
        </w:rPr>
        <w:t>本人</w:t>
      </w:r>
      <w:r>
        <w:rPr>
          <w:color w:val="auto"/>
          <w:sz w:val="24"/>
          <w:highlight w:val="none"/>
          <w:u w:val="single"/>
        </w:rPr>
        <w:t xml:space="preserve">       </w:t>
      </w:r>
      <w:r>
        <w:rPr>
          <w:rFonts w:hint="eastAsia"/>
          <w:color w:val="auto"/>
          <w:sz w:val="24"/>
          <w:highlight w:val="none"/>
        </w:rPr>
        <w:t>（姓名）系</w:t>
      </w:r>
      <w:r>
        <w:rPr>
          <w:color w:val="auto"/>
          <w:sz w:val="24"/>
          <w:highlight w:val="none"/>
          <w:u w:val="single"/>
        </w:rPr>
        <w:t xml:space="preserve">        </w:t>
      </w:r>
      <w:r>
        <w:rPr>
          <w:rFonts w:hint="eastAsia"/>
          <w:color w:val="auto"/>
          <w:sz w:val="24"/>
          <w:highlight w:val="none"/>
        </w:rPr>
        <w:t>（投标人名称）的法定代表人，现委托</w:t>
      </w:r>
      <w:r>
        <w:rPr>
          <w:color w:val="auto"/>
          <w:sz w:val="24"/>
          <w:highlight w:val="none"/>
          <w:u w:val="single"/>
        </w:rPr>
        <w:t xml:space="preserve">         </w:t>
      </w:r>
    </w:p>
    <w:p w14:paraId="39070B9C">
      <w:pPr>
        <w:topLinePunct/>
        <w:spacing w:line="440" w:lineRule="exact"/>
        <w:rPr>
          <w:color w:val="auto"/>
          <w:sz w:val="24"/>
          <w:highlight w:val="none"/>
        </w:rPr>
      </w:pPr>
      <w:r>
        <w:rPr>
          <w:rFonts w:hint="eastAsia"/>
          <w:color w:val="auto"/>
          <w:sz w:val="24"/>
          <w:highlight w:val="none"/>
        </w:rPr>
        <w:t>（姓名）为我方代理人。代理人根据授权，以我方名义签署、澄清、说明、补正、递交、撤回、修改</w:t>
      </w:r>
      <w:r>
        <w:rPr>
          <w:color w:val="auto"/>
          <w:sz w:val="24"/>
          <w:highlight w:val="none"/>
          <w:u w:val="single"/>
        </w:rPr>
        <w:t xml:space="preserve">           </w:t>
      </w:r>
      <w:r>
        <w:rPr>
          <w:rFonts w:hint="eastAsia" w:ascii="宋体" w:hAnsi="宋体"/>
          <w:color w:val="auto"/>
          <w:sz w:val="24"/>
          <w:highlight w:val="none"/>
        </w:rPr>
        <w:t>项目（项目名称）</w:t>
      </w:r>
      <w:r>
        <w:rPr>
          <w:rFonts w:hint="eastAsia"/>
          <w:color w:val="auto"/>
          <w:sz w:val="24"/>
          <w:highlight w:val="none"/>
        </w:rPr>
        <w:t>投标文件、签订合同和处理有关事宜，其法律后果由我方承担。</w:t>
      </w:r>
    </w:p>
    <w:p w14:paraId="54BA4F96">
      <w:pPr>
        <w:spacing w:line="440" w:lineRule="exact"/>
        <w:rPr>
          <w:color w:val="auto"/>
          <w:sz w:val="24"/>
          <w:highlight w:val="none"/>
        </w:rPr>
      </w:pPr>
      <w:r>
        <w:rPr>
          <w:color w:val="auto"/>
          <w:sz w:val="24"/>
          <w:highlight w:val="none"/>
        </w:rPr>
        <w:t xml:space="preserve">    </w:t>
      </w:r>
      <w:r>
        <w:rPr>
          <w:rFonts w:hint="eastAsia"/>
          <w:color w:val="auto"/>
          <w:sz w:val="24"/>
          <w:highlight w:val="none"/>
        </w:rPr>
        <w:t>代理人无转委托权。</w:t>
      </w:r>
    </w:p>
    <w:p w14:paraId="58C19F17">
      <w:pPr>
        <w:spacing w:line="440" w:lineRule="exact"/>
        <w:rPr>
          <w:color w:val="auto"/>
          <w:sz w:val="24"/>
          <w:highlight w:val="none"/>
        </w:rPr>
      </w:pPr>
    </w:p>
    <w:p w14:paraId="677C45BA">
      <w:pPr>
        <w:spacing w:line="440" w:lineRule="exact"/>
        <w:rPr>
          <w:color w:val="auto"/>
          <w:sz w:val="24"/>
          <w:highlight w:val="none"/>
        </w:rPr>
      </w:pPr>
      <w:r>
        <w:rPr>
          <w:rFonts w:hint="eastAsia"/>
          <w:color w:val="auto"/>
          <w:sz w:val="24"/>
          <w:highlight w:val="none"/>
        </w:rPr>
        <w:t>投标人：</w:t>
      </w:r>
      <w:r>
        <w:rPr>
          <w:color w:val="auto"/>
          <w:sz w:val="24"/>
          <w:highlight w:val="none"/>
          <w:u w:val="single"/>
        </w:rPr>
        <w:t xml:space="preserve">                               </w:t>
      </w:r>
      <w:r>
        <w:rPr>
          <w:rFonts w:hint="eastAsia"/>
          <w:color w:val="auto"/>
          <w:sz w:val="24"/>
          <w:highlight w:val="none"/>
        </w:rPr>
        <w:t>（盖单位章）</w:t>
      </w:r>
    </w:p>
    <w:p w14:paraId="73BCD0C2">
      <w:pPr>
        <w:spacing w:line="440" w:lineRule="exact"/>
        <w:rPr>
          <w:color w:val="auto"/>
          <w:sz w:val="24"/>
          <w:highlight w:val="none"/>
        </w:rPr>
      </w:pPr>
    </w:p>
    <w:p w14:paraId="2EFE2928">
      <w:pPr>
        <w:spacing w:line="440" w:lineRule="exact"/>
        <w:rPr>
          <w:color w:val="auto"/>
          <w:sz w:val="24"/>
          <w:highlight w:val="none"/>
        </w:rPr>
      </w:pPr>
      <w:r>
        <w:rPr>
          <w:rFonts w:hint="eastAsia"/>
          <w:color w:val="auto"/>
          <w:sz w:val="24"/>
          <w:highlight w:val="none"/>
        </w:rPr>
        <w:t>法定代表人：</w:t>
      </w:r>
      <w:r>
        <w:rPr>
          <w:color w:val="auto"/>
          <w:sz w:val="24"/>
          <w:highlight w:val="none"/>
          <w:u w:val="single"/>
        </w:rPr>
        <w:t xml:space="preserve">                               </w:t>
      </w:r>
      <w:r>
        <w:rPr>
          <w:rFonts w:hint="eastAsia"/>
          <w:color w:val="auto"/>
          <w:sz w:val="24"/>
          <w:highlight w:val="none"/>
        </w:rPr>
        <w:t>（签字）</w:t>
      </w:r>
    </w:p>
    <w:p w14:paraId="7E4DE9C2">
      <w:pPr>
        <w:spacing w:line="440" w:lineRule="exact"/>
        <w:rPr>
          <w:color w:val="auto"/>
          <w:sz w:val="24"/>
          <w:highlight w:val="none"/>
        </w:rPr>
      </w:pPr>
    </w:p>
    <w:p w14:paraId="375E3362">
      <w:pPr>
        <w:spacing w:line="440" w:lineRule="exact"/>
        <w:rPr>
          <w:color w:val="auto"/>
          <w:sz w:val="24"/>
          <w:highlight w:val="none"/>
        </w:rPr>
      </w:pPr>
      <w:r>
        <w:rPr>
          <w:rFonts w:hint="eastAsia"/>
          <w:color w:val="auto"/>
          <w:sz w:val="24"/>
          <w:highlight w:val="none"/>
        </w:rPr>
        <w:t>身份证号码：</w:t>
      </w:r>
      <w:r>
        <w:rPr>
          <w:color w:val="auto"/>
          <w:sz w:val="24"/>
          <w:highlight w:val="none"/>
          <w:u w:val="single"/>
        </w:rPr>
        <w:t xml:space="preserve">                                     </w:t>
      </w:r>
    </w:p>
    <w:p w14:paraId="67D155E8">
      <w:pPr>
        <w:spacing w:line="440" w:lineRule="exact"/>
        <w:rPr>
          <w:color w:val="auto"/>
          <w:sz w:val="24"/>
          <w:highlight w:val="none"/>
        </w:rPr>
      </w:pPr>
    </w:p>
    <w:p w14:paraId="72D322CE">
      <w:pPr>
        <w:spacing w:line="440" w:lineRule="exact"/>
        <w:rPr>
          <w:color w:val="auto"/>
          <w:sz w:val="24"/>
          <w:highlight w:val="none"/>
        </w:rPr>
      </w:pPr>
      <w:r>
        <w:rPr>
          <w:rFonts w:hint="eastAsia"/>
          <w:color w:val="auto"/>
          <w:sz w:val="24"/>
          <w:highlight w:val="none"/>
        </w:rPr>
        <w:t>委托代理人：</w:t>
      </w:r>
      <w:r>
        <w:rPr>
          <w:color w:val="auto"/>
          <w:sz w:val="24"/>
          <w:highlight w:val="none"/>
          <w:u w:val="single"/>
        </w:rPr>
        <w:t xml:space="preserve">                                   </w:t>
      </w:r>
      <w:r>
        <w:rPr>
          <w:rFonts w:hint="eastAsia"/>
          <w:color w:val="auto"/>
          <w:sz w:val="24"/>
          <w:highlight w:val="none"/>
        </w:rPr>
        <w:t>（签字）</w:t>
      </w:r>
      <w:r>
        <w:rPr>
          <w:color w:val="auto"/>
          <w:sz w:val="24"/>
          <w:highlight w:val="none"/>
        </w:rPr>
        <w:t xml:space="preserve"> </w:t>
      </w:r>
    </w:p>
    <w:p w14:paraId="74901AD1">
      <w:pPr>
        <w:spacing w:line="440" w:lineRule="exact"/>
        <w:rPr>
          <w:color w:val="auto"/>
          <w:sz w:val="24"/>
          <w:highlight w:val="none"/>
        </w:rPr>
      </w:pPr>
    </w:p>
    <w:p w14:paraId="7079A090">
      <w:pPr>
        <w:spacing w:line="440" w:lineRule="exact"/>
        <w:rPr>
          <w:color w:val="auto"/>
          <w:sz w:val="24"/>
          <w:highlight w:val="none"/>
        </w:rPr>
      </w:pPr>
      <w:r>
        <w:rPr>
          <w:rFonts w:hint="eastAsia"/>
          <w:color w:val="auto"/>
          <w:sz w:val="24"/>
          <w:highlight w:val="none"/>
        </w:rPr>
        <w:t>身份证号码：</w:t>
      </w:r>
      <w:r>
        <w:rPr>
          <w:color w:val="auto"/>
          <w:sz w:val="24"/>
          <w:highlight w:val="none"/>
          <w:u w:val="single"/>
        </w:rPr>
        <w:t xml:space="preserve">                            </w:t>
      </w:r>
      <w:r>
        <w:rPr>
          <w:rFonts w:hint="eastAsia"/>
          <w:color w:val="auto"/>
          <w:sz w:val="24"/>
          <w:highlight w:val="none"/>
        </w:rPr>
        <w:t>附身份证复印件</w:t>
      </w:r>
    </w:p>
    <w:p w14:paraId="21BB1602">
      <w:pPr>
        <w:spacing w:line="440" w:lineRule="exact"/>
        <w:rPr>
          <w:color w:val="auto"/>
          <w:sz w:val="24"/>
          <w:highlight w:val="none"/>
        </w:rPr>
      </w:pPr>
    </w:p>
    <w:p w14:paraId="7FA84DD2">
      <w:pPr>
        <w:spacing w:line="440" w:lineRule="exact"/>
        <w:rPr>
          <w:color w:val="auto"/>
          <w:sz w:val="24"/>
          <w:highlight w:val="none"/>
        </w:rPr>
      </w:pPr>
    </w:p>
    <w:p w14:paraId="5CA1FD0D">
      <w:pPr>
        <w:spacing w:line="440" w:lineRule="exact"/>
        <w:rPr>
          <w:rFonts w:ascii="楷体_GB2312" w:eastAsia="楷体_GB2312"/>
          <w:color w:val="auto"/>
          <w:sz w:val="24"/>
          <w:highlight w:val="none"/>
        </w:rPr>
      </w:pPr>
      <w:r>
        <w:rPr>
          <w:color w:val="auto"/>
          <w:sz w:val="24"/>
          <w:highlight w:val="none"/>
          <w:u w:val="single"/>
        </w:rPr>
        <w:t xml:space="preserve">       </w:t>
      </w:r>
      <w:r>
        <w:rPr>
          <w:rFonts w:hint="eastAsia"/>
          <w:color w:val="auto"/>
          <w:sz w:val="24"/>
          <w:highlight w:val="none"/>
        </w:rPr>
        <w:t>年</w:t>
      </w:r>
      <w:r>
        <w:rPr>
          <w:color w:val="auto"/>
          <w:sz w:val="24"/>
          <w:highlight w:val="none"/>
          <w:u w:val="single"/>
        </w:rPr>
        <w:t xml:space="preserve">       </w:t>
      </w:r>
      <w:r>
        <w:rPr>
          <w:rFonts w:hint="eastAsia"/>
          <w:color w:val="auto"/>
          <w:sz w:val="24"/>
          <w:highlight w:val="none"/>
        </w:rPr>
        <w:t>月</w:t>
      </w:r>
      <w:r>
        <w:rPr>
          <w:color w:val="auto"/>
          <w:sz w:val="24"/>
          <w:highlight w:val="none"/>
          <w:u w:val="single"/>
        </w:rPr>
        <w:t xml:space="preserve">       </w:t>
      </w:r>
      <w:r>
        <w:rPr>
          <w:rFonts w:hint="eastAsia"/>
          <w:color w:val="auto"/>
          <w:sz w:val="24"/>
          <w:highlight w:val="none"/>
        </w:rPr>
        <w:t>日</w:t>
      </w:r>
    </w:p>
    <w:p w14:paraId="602F8F20">
      <w:pPr>
        <w:spacing w:line="440" w:lineRule="exact"/>
        <w:rPr>
          <w:rFonts w:ascii="楷体_GB2312" w:eastAsia="楷体_GB2312"/>
          <w:color w:val="auto"/>
          <w:sz w:val="24"/>
          <w:highlight w:val="none"/>
        </w:rPr>
      </w:pPr>
    </w:p>
    <w:p w14:paraId="2B2977DC">
      <w:pPr>
        <w:spacing w:line="440" w:lineRule="exact"/>
        <w:rPr>
          <w:rFonts w:ascii="楷体_GB2312" w:eastAsia="楷体_GB2312"/>
          <w:color w:val="auto"/>
          <w:sz w:val="24"/>
          <w:highlight w:val="none"/>
        </w:rPr>
      </w:pPr>
    </w:p>
    <w:p w14:paraId="089C3FCC">
      <w:pPr>
        <w:spacing w:line="440" w:lineRule="exact"/>
        <w:rPr>
          <w:rFonts w:ascii="楷体_GB2312" w:eastAsia="楷体_GB2312"/>
          <w:color w:val="auto"/>
          <w:sz w:val="24"/>
          <w:highlight w:val="none"/>
        </w:rPr>
      </w:pPr>
    </w:p>
    <w:p w14:paraId="1AD153B2">
      <w:pPr>
        <w:spacing w:line="440" w:lineRule="exact"/>
        <w:rPr>
          <w:rFonts w:ascii="楷体_GB2312" w:eastAsia="楷体_GB2312"/>
          <w:color w:val="auto"/>
          <w:sz w:val="24"/>
          <w:highlight w:val="none"/>
        </w:rPr>
      </w:pPr>
    </w:p>
    <w:p w14:paraId="33BA125E">
      <w:pPr>
        <w:spacing w:line="440" w:lineRule="exact"/>
        <w:rPr>
          <w:rFonts w:ascii="楷体_GB2312" w:eastAsia="楷体_GB2312"/>
          <w:color w:val="auto"/>
          <w:sz w:val="24"/>
          <w:highlight w:val="none"/>
        </w:rPr>
      </w:pPr>
    </w:p>
    <w:p w14:paraId="27FCF753">
      <w:pPr>
        <w:spacing w:line="440" w:lineRule="exact"/>
        <w:rPr>
          <w:rFonts w:ascii="楷体_GB2312" w:eastAsia="楷体_GB2312"/>
          <w:color w:val="auto"/>
          <w:sz w:val="24"/>
          <w:highlight w:val="none"/>
        </w:rPr>
      </w:pPr>
    </w:p>
    <w:p w14:paraId="71821001">
      <w:pPr>
        <w:spacing w:line="440" w:lineRule="exact"/>
        <w:jc w:val="center"/>
        <w:rPr>
          <w:rFonts w:ascii="黑体" w:eastAsia="黑体"/>
          <w:color w:val="auto"/>
          <w:sz w:val="36"/>
          <w:highlight w:val="none"/>
        </w:rPr>
      </w:pPr>
    </w:p>
    <w:p w14:paraId="6530A048">
      <w:pPr>
        <w:pStyle w:val="9"/>
        <w:rPr>
          <w:rFonts w:ascii="黑体" w:eastAsia="黑体"/>
          <w:color w:val="auto"/>
          <w:sz w:val="36"/>
          <w:highlight w:val="none"/>
        </w:rPr>
      </w:pPr>
    </w:p>
    <w:p w14:paraId="73E330E2">
      <w:pPr>
        <w:rPr>
          <w:rFonts w:ascii="黑体" w:eastAsia="黑体"/>
          <w:color w:val="auto"/>
          <w:sz w:val="36"/>
          <w:highlight w:val="none"/>
        </w:rPr>
      </w:pPr>
    </w:p>
    <w:p w14:paraId="67B33132">
      <w:pPr>
        <w:pStyle w:val="9"/>
        <w:rPr>
          <w:color w:val="auto"/>
          <w:highlight w:val="none"/>
        </w:rPr>
      </w:pPr>
    </w:p>
    <w:p w14:paraId="7DABF6DB">
      <w:pPr>
        <w:spacing w:line="440" w:lineRule="exact"/>
        <w:jc w:val="center"/>
        <w:rPr>
          <w:rFonts w:ascii="楷体_GB2312" w:eastAsia="楷体_GB2312"/>
          <w:color w:val="auto"/>
          <w:sz w:val="32"/>
          <w:szCs w:val="32"/>
          <w:highlight w:val="none"/>
        </w:rPr>
      </w:pPr>
      <w:r>
        <w:rPr>
          <w:rFonts w:hint="eastAsia" w:ascii="黑体" w:eastAsia="黑体"/>
          <w:color w:val="auto"/>
          <w:sz w:val="32"/>
          <w:szCs w:val="32"/>
          <w:highlight w:val="none"/>
        </w:rPr>
        <w:t>6.制造商授权书格式（如有）</w:t>
      </w:r>
    </w:p>
    <w:p w14:paraId="2EEC41A0">
      <w:pPr>
        <w:spacing w:line="440" w:lineRule="exact"/>
        <w:jc w:val="center"/>
        <w:rPr>
          <w:rFonts w:ascii="楷体_GB2312" w:eastAsia="楷体_GB2312"/>
          <w:b/>
          <w:color w:val="auto"/>
          <w:sz w:val="30"/>
          <w:highlight w:val="none"/>
        </w:rPr>
      </w:pPr>
      <w:r>
        <w:rPr>
          <w:rFonts w:hint="eastAsia" w:ascii="楷体_GB2312" w:eastAsia="楷体_GB2312"/>
          <w:b/>
          <w:color w:val="auto"/>
          <w:sz w:val="30"/>
          <w:highlight w:val="none"/>
        </w:rPr>
        <w:t>制造商授权书</w:t>
      </w:r>
    </w:p>
    <w:p w14:paraId="7503DAD9">
      <w:pPr>
        <w:spacing w:line="440" w:lineRule="exact"/>
        <w:rPr>
          <w:rFonts w:ascii="楷体_GB2312" w:eastAsia="楷体_GB2312"/>
          <w:color w:val="auto"/>
          <w:sz w:val="24"/>
          <w:highlight w:val="none"/>
        </w:rPr>
      </w:pPr>
      <w:r>
        <w:rPr>
          <w:rFonts w:hint="eastAsia" w:ascii="宋体" w:hAnsi="宋体"/>
          <w:color w:val="auto"/>
          <w:spacing w:val="28"/>
          <w:sz w:val="24"/>
          <w:highlight w:val="none"/>
        </w:rPr>
        <w:t>江苏长江水务股份有限公司</w:t>
      </w:r>
      <w:r>
        <w:rPr>
          <w:rFonts w:hint="eastAsia" w:ascii="楷体_GB2312" w:eastAsia="楷体_GB2312"/>
          <w:color w:val="auto"/>
          <w:sz w:val="24"/>
          <w:highlight w:val="none"/>
        </w:rPr>
        <w:t>：</w:t>
      </w:r>
    </w:p>
    <w:p w14:paraId="2E43925B">
      <w:pPr>
        <w:spacing w:line="440" w:lineRule="exact"/>
        <w:rPr>
          <w:rFonts w:ascii="宋体" w:hAnsi="宋体"/>
          <w:color w:val="auto"/>
          <w:sz w:val="24"/>
          <w:highlight w:val="none"/>
        </w:rPr>
      </w:pPr>
      <w:r>
        <w:rPr>
          <w:rFonts w:hint="eastAsia" w:ascii="宋体" w:hAnsi="宋体"/>
          <w:color w:val="auto"/>
          <w:sz w:val="24"/>
          <w:highlight w:val="none"/>
        </w:rPr>
        <w:t xml:space="preserve">    位于</w:t>
      </w:r>
      <w:r>
        <w:rPr>
          <w:rFonts w:hint="eastAsia" w:ascii="宋体" w:hAnsi="宋体"/>
          <w:color w:val="auto"/>
          <w:sz w:val="24"/>
          <w:highlight w:val="none"/>
          <w:u w:val="single"/>
        </w:rPr>
        <w:t>（制造厂家地址）</w:t>
      </w:r>
      <w:r>
        <w:rPr>
          <w:rFonts w:hint="eastAsia" w:ascii="宋体" w:hAnsi="宋体"/>
          <w:color w:val="auto"/>
          <w:sz w:val="24"/>
          <w:highlight w:val="none"/>
        </w:rPr>
        <w:t>的</w:t>
      </w:r>
      <w:r>
        <w:rPr>
          <w:rFonts w:hint="eastAsia" w:ascii="宋体" w:hAnsi="宋体"/>
          <w:color w:val="auto"/>
          <w:sz w:val="24"/>
          <w:highlight w:val="none"/>
          <w:u w:val="single"/>
        </w:rPr>
        <w:t>（制造厂家名称）</w:t>
      </w:r>
      <w:r>
        <w:rPr>
          <w:rFonts w:hint="eastAsia" w:ascii="宋体" w:hAnsi="宋体"/>
          <w:color w:val="auto"/>
          <w:sz w:val="24"/>
          <w:highlight w:val="none"/>
        </w:rPr>
        <w:t>是有声望的制造（货物名称和描述）的制造者，在此授权</w:t>
      </w:r>
      <w:r>
        <w:rPr>
          <w:rFonts w:hint="eastAsia" w:ascii="宋体" w:hAnsi="宋体"/>
          <w:color w:val="auto"/>
          <w:sz w:val="24"/>
          <w:highlight w:val="none"/>
          <w:u w:val="single"/>
        </w:rPr>
        <w:t>（代理机构名称和地址）</w:t>
      </w:r>
      <w:r>
        <w:rPr>
          <w:rFonts w:hint="eastAsia" w:ascii="宋体" w:hAnsi="宋体"/>
          <w:color w:val="auto"/>
          <w:sz w:val="24"/>
          <w:highlight w:val="none"/>
        </w:rPr>
        <w:t>就</w:t>
      </w:r>
      <w:r>
        <w:rPr>
          <w:rFonts w:hint="eastAsia"/>
          <w:color w:val="auto"/>
          <w:sz w:val="24"/>
          <w:highlight w:val="none"/>
        </w:rPr>
        <w:t>江苏长江水务股份有限公司</w:t>
      </w:r>
      <w:r>
        <w:rPr>
          <w:rFonts w:hint="eastAsia" w:ascii="宋体" w:hAnsi="宋体"/>
          <w:color w:val="auto"/>
          <w:sz w:val="24"/>
          <w:highlight w:val="none"/>
          <w:u w:val="single"/>
        </w:rPr>
        <w:t xml:space="preserve">     </w:t>
      </w:r>
      <w:r>
        <w:rPr>
          <w:rFonts w:hint="eastAsia" w:ascii="宋体" w:hAnsi="宋体"/>
          <w:color w:val="auto"/>
          <w:sz w:val="24"/>
          <w:highlight w:val="none"/>
        </w:rPr>
        <w:t>招标用我厂制造的货物递交投标文件，并与买方进行后续合同谈判和签订合同。</w:t>
      </w:r>
    </w:p>
    <w:p w14:paraId="2846B2D0">
      <w:pPr>
        <w:spacing w:line="440" w:lineRule="exact"/>
        <w:rPr>
          <w:rFonts w:ascii="宋体" w:hAnsi="宋体"/>
          <w:color w:val="auto"/>
          <w:sz w:val="24"/>
          <w:highlight w:val="none"/>
        </w:rPr>
      </w:pPr>
      <w:r>
        <w:rPr>
          <w:rFonts w:hint="eastAsia" w:ascii="宋体" w:hAnsi="宋体"/>
          <w:color w:val="auto"/>
          <w:sz w:val="24"/>
          <w:highlight w:val="none"/>
        </w:rPr>
        <w:t xml:space="preserve">    我方在此保证为上述公司响应本次招标而提供的货物按照招标文件合同条款的规定提供全部质量保证。</w:t>
      </w:r>
    </w:p>
    <w:p w14:paraId="713CBC2C">
      <w:pPr>
        <w:spacing w:line="440" w:lineRule="exact"/>
        <w:rPr>
          <w:rFonts w:ascii="宋体" w:hAnsi="宋体"/>
          <w:color w:val="auto"/>
          <w:sz w:val="24"/>
          <w:highlight w:val="none"/>
        </w:rPr>
      </w:pPr>
      <w:r>
        <w:rPr>
          <w:rFonts w:hint="eastAsia" w:ascii="宋体" w:hAnsi="宋体"/>
          <w:color w:val="auto"/>
          <w:sz w:val="24"/>
          <w:highlight w:val="none"/>
        </w:rPr>
        <w:t xml:space="preserve">   </w:t>
      </w:r>
    </w:p>
    <w:p w14:paraId="3897E9DC">
      <w:pPr>
        <w:spacing w:line="440" w:lineRule="exact"/>
        <w:rPr>
          <w:rFonts w:ascii="宋体" w:hAnsi="宋体"/>
          <w:color w:val="auto"/>
          <w:sz w:val="24"/>
          <w:highlight w:val="none"/>
        </w:rPr>
      </w:pPr>
    </w:p>
    <w:p w14:paraId="4E23F0AF">
      <w:pPr>
        <w:spacing w:line="440" w:lineRule="exact"/>
        <w:rPr>
          <w:rFonts w:ascii="宋体" w:hAnsi="宋体"/>
          <w:color w:val="auto"/>
          <w:sz w:val="24"/>
          <w:highlight w:val="none"/>
        </w:rPr>
      </w:pPr>
    </w:p>
    <w:p w14:paraId="0C7C7BE2">
      <w:pPr>
        <w:spacing w:line="440" w:lineRule="exact"/>
        <w:rPr>
          <w:rFonts w:ascii="宋体" w:hAnsi="宋体"/>
          <w:color w:val="auto"/>
          <w:sz w:val="24"/>
          <w:highlight w:val="none"/>
        </w:rPr>
      </w:pPr>
      <w:r>
        <w:rPr>
          <w:rFonts w:hint="eastAsia" w:ascii="宋体" w:hAnsi="宋体"/>
          <w:color w:val="auto"/>
          <w:sz w:val="24"/>
          <w:highlight w:val="none"/>
        </w:rPr>
        <w:t xml:space="preserve">                                         制造厂家：</w:t>
      </w:r>
    </w:p>
    <w:p w14:paraId="6B44A479">
      <w:pPr>
        <w:spacing w:line="440" w:lineRule="exact"/>
        <w:rPr>
          <w:rFonts w:ascii="宋体" w:hAnsi="宋体"/>
          <w:color w:val="auto"/>
          <w:sz w:val="24"/>
          <w:highlight w:val="none"/>
        </w:rPr>
      </w:pPr>
      <w:r>
        <w:rPr>
          <w:rFonts w:hint="eastAsia" w:ascii="宋体" w:hAnsi="宋体"/>
          <w:color w:val="auto"/>
          <w:sz w:val="24"/>
          <w:highlight w:val="none"/>
        </w:rPr>
        <w:t xml:space="preserve">                                     授权代表签字：</w:t>
      </w:r>
    </w:p>
    <w:p w14:paraId="3B3E4674">
      <w:pPr>
        <w:spacing w:line="440" w:lineRule="exact"/>
        <w:rPr>
          <w:rFonts w:ascii="宋体" w:hAnsi="宋体"/>
          <w:color w:val="auto"/>
          <w:sz w:val="24"/>
          <w:highlight w:val="none"/>
        </w:rPr>
      </w:pPr>
      <w:r>
        <w:rPr>
          <w:rFonts w:hint="eastAsia" w:ascii="宋体" w:hAnsi="宋体"/>
          <w:color w:val="auto"/>
          <w:sz w:val="24"/>
          <w:highlight w:val="none"/>
        </w:rPr>
        <w:t xml:space="preserve">                                             职务：</w:t>
      </w:r>
    </w:p>
    <w:p w14:paraId="74841C3F">
      <w:pPr>
        <w:spacing w:line="440" w:lineRule="exact"/>
        <w:rPr>
          <w:rFonts w:ascii="宋体" w:hAnsi="宋体"/>
          <w:color w:val="auto"/>
          <w:sz w:val="24"/>
          <w:highlight w:val="none"/>
        </w:rPr>
      </w:pPr>
      <w:r>
        <w:rPr>
          <w:rFonts w:hint="eastAsia" w:ascii="宋体" w:hAnsi="宋体"/>
          <w:color w:val="auto"/>
          <w:sz w:val="24"/>
          <w:highlight w:val="none"/>
        </w:rPr>
        <w:t xml:space="preserve">                                             日期：</w:t>
      </w:r>
    </w:p>
    <w:p w14:paraId="68B18BCB">
      <w:pPr>
        <w:spacing w:line="440" w:lineRule="exact"/>
        <w:rPr>
          <w:rFonts w:ascii="楷体_GB2312" w:eastAsia="楷体_GB2312"/>
          <w:color w:val="auto"/>
          <w:sz w:val="24"/>
          <w:highlight w:val="none"/>
        </w:rPr>
      </w:pPr>
    </w:p>
    <w:p w14:paraId="0B8BFB3A">
      <w:pPr>
        <w:spacing w:line="440" w:lineRule="exact"/>
        <w:rPr>
          <w:rFonts w:ascii="楷体_GB2312" w:eastAsia="楷体_GB2312"/>
          <w:color w:val="auto"/>
          <w:sz w:val="24"/>
          <w:highlight w:val="none"/>
        </w:rPr>
      </w:pPr>
    </w:p>
    <w:p w14:paraId="12A00A5E">
      <w:pPr>
        <w:spacing w:line="440" w:lineRule="exact"/>
        <w:rPr>
          <w:rFonts w:ascii="楷体_GB2312" w:eastAsia="楷体_GB2312"/>
          <w:color w:val="auto"/>
          <w:sz w:val="24"/>
          <w:highlight w:val="none"/>
        </w:rPr>
      </w:pPr>
    </w:p>
    <w:p w14:paraId="58EC1A0E">
      <w:pPr>
        <w:spacing w:line="440" w:lineRule="exact"/>
        <w:jc w:val="center"/>
        <w:rPr>
          <w:rFonts w:ascii="楷体_GB2312" w:eastAsia="楷体_GB2312"/>
          <w:color w:val="auto"/>
          <w:sz w:val="24"/>
          <w:highlight w:val="none"/>
        </w:rPr>
      </w:pPr>
      <w:r>
        <w:rPr>
          <w:rFonts w:hint="eastAsia" w:ascii="黑体" w:eastAsia="黑体"/>
          <w:color w:val="auto"/>
          <w:sz w:val="36"/>
          <w:highlight w:val="none"/>
        </w:rPr>
        <w:br w:type="page"/>
      </w:r>
    </w:p>
    <w:p w14:paraId="372197C7">
      <w:pPr>
        <w:spacing w:line="440" w:lineRule="exact"/>
        <w:jc w:val="center"/>
        <w:rPr>
          <w:rFonts w:ascii="楷体_GB2312" w:eastAsia="楷体_GB2312"/>
          <w:color w:val="auto"/>
          <w:sz w:val="24"/>
          <w:highlight w:val="none"/>
        </w:rPr>
      </w:pPr>
    </w:p>
    <w:p w14:paraId="10AB8189">
      <w:pPr>
        <w:spacing w:line="440" w:lineRule="exact"/>
        <w:rPr>
          <w:b/>
          <w:color w:val="auto"/>
          <w:sz w:val="36"/>
          <w:szCs w:val="36"/>
          <w:highlight w:val="none"/>
        </w:rPr>
      </w:pPr>
      <w:r>
        <w:rPr>
          <w:rFonts w:hint="eastAsia" w:ascii="黑体" w:eastAsia="黑体"/>
          <w:color w:val="auto"/>
          <w:sz w:val="36"/>
          <w:highlight w:val="none"/>
        </w:rPr>
        <w:t>7.资信承诺：</w:t>
      </w:r>
    </w:p>
    <w:p w14:paraId="5DBB72C2">
      <w:pPr>
        <w:spacing w:line="440" w:lineRule="exact"/>
        <w:jc w:val="center"/>
        <w:rPr>
          <w:b/>
          <w:color w:val="auto"/>
          <w:sz w:val="36"/>
          <w:szCs w:val="36"/>
          <w:highlight w:val="none"/>
        </w:rPr>
      </w:pPr>
    </w:p>
    <w:p w14:paraId="0A383109">
      <w:pPr>
        <w:spacing w:line="440" w:lineRule="exact"/>
        <w:jc w:val="center"/>
        <w:rPr>
          <w:b/>
          <w:color w:val="auto"/>
          <w:sz w:val="36"/>
          <w:szCs w:val="36"/>
          <w:highlight w:val="none"/>
        </w:rPr>
      </w:pPr>
      <w:r>
        <w:rPr>
          <w:rFonts w:hint="eastAsia"/>
          <w:b/>
          <w:color w:val="auto"/>
          <w:sz w:val="36"/>
          <w:szCs w:val="36"/>
          <w:highlight w:val="none"/>
        </w:rPr>
        <w:t>承</w:t>
      </w:r>
      <w:r>
        <w:rPr>
          <w:b/>
          <w:color w:val="auto"/>
          <w:sz w:val="36"/>
          <w:szCs w:val="36"/>
          <w:highlight w:val="none"/>
        </w:rPr>
        <w:t>诺书（</w:t>
      </w:r>
      <w:r>
        <w:rPr>
          <w:rFonts w:hint="eastAsia"/>
          <w:b/>
          <w:color w:val="auto"/>
          <w:sz w:val="36"/>
          <w:szCs w:val="36"/>
          <w:highlight w:val="none"/>
        </w:rPr>
        <w:t>一</w:t>
      </w:r>
      <w:r>
        <w:rPr>
          <w:b/>
          <w:color w:val="auto"/>
          <w:sz w:val="36"/>
          <w:szCs w:val="36"/>
          <w:highlight w:val="none"/>
        </w:rPr>
        <w:t>）</w:t>
      </w:r>
    </w:p>
    <w:p w14:paraId="4B1C6932">
      <w:pPr>
        <w:spacing w:line="440" w:lineRule="exact"/>
        <w:rPr>
          <w:rFonts w:ascii="宋体" w:hAnsi="宋体"/>
          <w:color w:val="auto"/>
          <w:kern w:val="0"/>
          <w:sz w:val="24"/>
          <w:highlight w:val="none"/>
        </w:rPr>
      </w:pPr>
      <w:r>
        <w:rPr>
          <w:rFonts w:hint="eastAsia" w:ascii="宋体" w:hAnsi="宋体"/>
          <w:color w:val="auto"/>
          <w:kern w:val="0"/>
          <w:sz w:val="24"/>
          <w:highlight w:val="none"/>
        </w:rPr>
        <w:t>致：江苏长江水务股份有限公司</w:t>
      </w:r>
    </w:p>
    <w:p w14:paraId="76E2E0F2">
      <w:pPr>
        <w:spacing w:line="440" w:lineRule="exact"/>
        <w:ind w:firstLine="480" w:firstLineChars="200"/>
        <w:rPr>
          <w:color w:val="auto"/>
          <w:sz w:val="24"/>
          <w:highlight w:val="none"/>
        </w:rPr>
      </w:pPr>
      <w:r>
        <w:rPr>
          <w:rFonts w:hint="eastAsia"/>
          <w:color w:val="auto"/>
          <w:sz w:val="24"/>
          <w:highlight w:val="none"/>
        </w:rPr>
        <w:t>本人系投标人的法定代表人，现承诺我单位在全国范围内没有被暂停投标并在公示期内，也没有不良行为记录（俗称黑名单）且在公示期内；</w:t>
      </w:r>
      <w:r>
        <w:rPr>
          <w:rFonts w:hint="eastAsia" w:ascii="宋体" w:hAnsi="宋体"/>
          <w:color w:val="auto"/>
          <w:kern w:val="0"/>
          <w:sz w:val="24"/>
          <w:highlight w:val="none"/>
        </w:rPr>
        <w:t>我公司在近三年内没有重大违法行为，在以往招标采购活动中没有违规和违约行为；</w:t>
      </w:r>
      <w:r>
        <w:rPr>
          <w:rFonts w:hint="eastAsia"/>
          <w:color w:val="auto"/>
          <w:kern w:val="0"/>
          <w:sz w:val="24"/>
          <w:highlight w:val="none"/>
        </w:rPr>
        <w:t>没有发生工程质量、安全生产事故等问题；投标所提供的资料均为真实，如被发现资料存在造假，愿意接受直接废除中标人中标资格、没收投标保证金、网上进行不诚信公示，如已供货则按供货货款的双倍进行处罚。</w:t>
      </w:r>
    </w:p>
    <w:p w14:paraId="291AD4A1">
      <w:pPr>
        <w:spacing w:line="440" w:lineRule="exact"/>
        <w:ind w:firstLine="480" w:firstLineChars="200"/>
        <w:rPr>
          <w:color w:val="auto"/>
          <w:sz w:val="24"/>
          <w:highlight w:val="none"/>
        </w:rPr>
      </w:pPr>
      <w:r>
        <w:rPr>
          <w:rFonts w:hint="eastAsia"/>
          <w:color w:val="auto"/>
          <w:sz w:val="24"/>
          <w:highlight w:val="none"/>
        </w:rPr>
        <w:t>特此承诺</w:t>
      </w:r>
      <w:r>
        <w:rPr>
          <w:color w:val="auto"/>
          <w:sz w:val="24"/>
          <w:highlight w:val="none"/>
        </w:rPr>
        <w:t>!</w:t>
      </w:r>
    </w:p>
    <w:p w14:paraId="2AAF7A3D">
      <w:pPr>
        <w:spacing w:line="440" w:lineRule="exact"/>
        <w:rPr>
          <w:color w:val="auto"/>
          <w:sz w:val="24"/>
          <w:highlight w:val="none"/>
        </w:rPr>
      </w:pPr>
    </w:p>
    <w:p w14:paraId="02EABB35">
      <w:pPr>
        <w:spacing w:line="440" w:lineRule="exact"/>
        <w:ind w:firstLine="3840" w:firstLineChars="1600"/>
        <w:rPr>
          <w:color w:val="auto"/>
          <w:sz w:val="24"/>
          <w:highlight w:val="none"/>
          <w:u w:val="single"/>
        </w:rPr>
      </w:pPr>
      <w:r>
        <w:rPr>
          <w:rFonts w:hint="eastAsia"/>
          <w:color w:val="auto"/>
          <w:sz w:val="24"/>
          <w:highlight w:val="none"/>
        </w:rPr>
        <w:t>投标人：（盖单位公章）</w:t>
      </w:r>
    </w:p>
    <w:p w14:paraId="7512F927">
      <w:pPr>
        <w:spacing w:line="440" w:lineRule="exact"/>
        <w:ind w:firstLine="3840" w:firstLineChars="1600"/>
        <w:rPr>
          <w:color w:val="auto"/>
          <w:sz w:val="24"/>
          <w:highlight w:val="none"/>
        </w:rPr>
      </w:pPr>
      <w:r>
        <w:rPr>
          <w:rFonts w:hint="eastAsia"/>
          <w:color w:val="auto"/>
          <w:sz w:val="24"/>
          <w:highlight w:val="none"/>
        </w:rPr>
        <w:t>法定代表人：（盖章或签字）</w:t>
      </w:r>
    </w:p>
    <w:p w14:paraId="6C96F35C">
      <w:pPr>
        <w:spacing w:line="440" w:lineRule="exact"/>
        <w:ind w:firstLine="3840" w:firstLineChars="1600"/>
        <w:rPr>
          <w:color w:val="auto"/>
          <w:sz w:val="24"/>
          <w:highlight w:val="none"/>
        </w:rPr>
      </w:pPr>
      <w:r>
        <w:rPr>
          <w:color w:val="auto"/>
          <w:sz w:val="24"/>
          <w:highlight w:val="none"/>
        </w:rPr>
        <w:t>2024年</w:t>
      </w:r>
      <w:r>
        <w:rPr>
          <w:rFonts w:hint="eastAsia"/>
          <w:color w:val="auto"/>
          <w:sz w:val="24"/>
          <w:highlight w:val="none"/>
        </w:rPr>
        <w:t xml:space="preserve">     月     日</w:t>
      </w:r>
    </w:p>
    <w:p w14:paraId="5DBD303C">
      <w:pPr>
        <w:spacing w:line="440" w:lineRule="exact"/>
        <w:jc w:val="center"/>
        <w:rPr>
          <w:rFonts w:eastAsia="楷体_GB2312"/>
          <w:b/>
          <w:color w:val="auto"/>
          <w:sz w:val="52"/>
          <w:highlight w:val="none"/>
        </w:rPr>
      </w:pPr>
    </w:p>
    <w:p w14:paraId="258BAB93">
      <w:pPr>
        <w:spacing w:line="440" w:lineRule="exact"/>
        <w:jc w:val="center"/>
        <w:rPr>
          <w:rFonts w:ascii="楷体_GB2312" w:eastAsia="楷体_GB2312"/>
          <w:color w:val="auto"/>
          <w:sz w:val="24"/>
          <w:highlight w:val="none"/>
        </w:rPr>
      </w:pPr>
    </w:p>
    <w:p w14:paraId="15CB0C40">
      <w:pPr>
        <w:spacing w:line="440" w:lineRule="exact"/>
        <w:jc w:val="center"/>
        <w:rPr>
          <w:rFonts w:ascii="楷体_GB2312" w:eastAsia="楷体_GB2312"/>
          <w:color w:val="auto"/>
          <w:sz w:val="24"/>
          <w:highlight w:val="none"/>
        </w:rPr>
      </w:pPr>
    </w:p>
    <w:p w14:paraId="4AF1784F">
      <w:pPr>
        <w:spacing w:line="440" w:lineRule="exact"/>
        <w:jc w:val="center"/>
        <w:rPr>
          <w:rFonts w:ascii="楷体_GB2312" w:eastAsia="楷体_GB2312"/>
          <w:color w:val="auto"/>
          <w:sz w:val="24"/>
          <w:highlight w:val="none"/>
        </w:rPr>
      </w:pPr>
    </w:p>
    <w:p w14:paraId="3084F54E">
      <w:pPr>
        <w:spacing w:line="440" w:lineRule="exact"/>
        <w:jc w:val="center"/>
        <w:rPr>
          <w:rFonts w:ascii="楷体_GB2312" w:eastAsia="楷体_GB2312"/>
          <w:color w:val="auto"/>
          <w:sz w:val="24"/>
          <w:highlight w:val="none"/>
        </w:rPr>
      </w:pPr>
    </w:p>
    <w:p w14:paraId="28ABB77B">
      <w:pPr>
        <w:spacing w:line="440" w:lineRule="exact"/>
        <w:jc w:val="center"/>
        <w:rPr>
          <w:rFonts w:ascii="楷体_GB2312" w:eastAsia="楷体_GB2312"/>
          <w:color w:val="auto"/>
          <w:sz w:val="24"/>
          <w:highlight w:val="none"/>
        </w:rPr>
      </w:pPr>
    </w:p>
    <w:p w14:paraId="28043437">
      <w:pPr>
        <w:spacing w:line="440" w:lineRule="exact"/>
        <w:jc w:val="center"/>
        <w:rPr>
          <w:rFonts w:ascii="楷体_GB2312" w:eastAsia="楷体_GB2312"/>
          <w:color w:val="auto"/>
          <w:sz w:val="24"/>
          <w:highlight w:val="none"/>
        </w:rPr>
      </w:pPr>
    </w:p>
    <w:p w14:paraId="7B3B4588">
      <w:pPr>
        <w:spacing w:line="440" w:lineRule="exact"/>
        <w:jc w:val="center"/>
        <w:rPr>
          <w:rFonts w:ascii="楷体_GB2312" w:eastAsia="楷体_GB2312"/>
          <w:color w:val="auto"/>
          <w:sz w:val="24"/>
          <w:highlight w:val="none"/>
        </w:rPr>
      </w:pPr>
    </w:p>
    <w:p w14:paraId="22C0B9DD">
      <w:pPr>
        <w:pStyle w:val="9"/>
        <w:rPr>
          <w:rFonts w:ascii="楷体_GB2312" w:eastAsia="楷体_GB2312"/>
          <w:color w:val="auto"/>
          <w:sz w:val="24"/>
          <w:highlight w:val="none"/>
        </w:rPr>
      </w:pPr>
    </w:p>
    <w:p w14:paraId="4B07F3A3">
      <w:pPr>
        <w:rPr>
          <w:rFonts w:ascii="楷体_GB2312" w:eastAsia="楷体_GB2312"/>
          <w:color w:val="auto"/>
          <w:sz w:val="24"/>
          <w:highlight w:val="none"/>
        </w:rPr>
      </w:pPr>
    </w:p>
    <w:p w14:paraId="1E4A0E92">
      <w:pPr>
        <w:pStyle w:val="9"/>
        <w:rPr>
          <w:rFonts w:ascii="楷体_GB2312" w:eastAsia="楷体_GB2312"/>
          <w:color w:val="auto"/>
          <w:sz w:val="24"/>
          <w:highlight w:val="none"/>
        </w:rPr>
      </w:pPr>
    </w:p>
    <w:p w14:paraId="3CE81EC2">
      <w:pPr>
        <w:rPr>
          <w:rFonts w:ascii="楷体_GB2312" w:eastAsia="楷体_GB2312"/>
          <w:color w:val="auto"/>
          <w:sz w:val="24"/>
          <w:highlight w:val="none"/>
        </w:rPr>
      </w:pPr>
    </w:p>
    <w:p w14:paraId="7A685CDD">
      <w:pPr>
        <w:pStyle w:val="9"/>
        <w:rPr>
          <w:rFonts w:ascii="楷体_GB2312" w:eastAsia="楷体_GB2312"/>
          <w:color w:val="auto"/>
          <w:sz w:val="24"/>
          <w:highlight w:val="none"/>
        </w:rPr>
      </w:pPr>
    </w:p>
    <w:p w14:paraId="6EA69EA6">
      <w:pPr>
        <w:rPr>
          <w:rFonts w:ascii="楷体_GB2312" w:eastAsia="楷体_GB2312"/>
          <w:color w:val="auto"/>
          <w:sz w:val="24"/>
          <w:highlight w:val="none"/>
        </w:rPr>
      </w:pPr>
    </w:p>
    <w:p w14:paraId="65BF8264">
      <w:pPr>
        <w:pStyle w:val="9"/>
        <w:rPr>
          <w:rFonts w:ascii="楷体_GB2312" w:eastAsia="楷体_GB2312"/>
          <w:color w:val="auto"/>
          <w:sz w:val="24"/>
          <w:highlight w:val="none"/>
        </w:rPr>
      </w:pPr>
    </w:p>
    <w:p w14:paraId="2828A209">
      <w:pPr>
        <w:rPr>
          <w:rFonts w:ascii="楷体_GB2312" w:eastAsia="楷体_GB2312"/>
          <w:color w:val="auto"/>
          <w:sz w:val="24"/>
          <w:highlight w:val="none"/>
        </w:rPr>
      </w:pPr>
    </w:p>
    <w:p w14:paraId="4D898398">
      <w:pPr>
        <w:pStyle w:val="9"/>
        <w:rPr>
          <w:color w:val="auto"/>
          <w:highlight w:val="none"/>
        </w:rPr>
      </w:pPr>
    </w:p>
    <w:p w14:paraId="04B69D3B">
      <w:pPr>
        <w:spacing w:line="440" w:lineRule="exact"/>
        <w:jc w:val="center"/>
        <w:rPr>
          <w:rFonts w:ascii="楷体_GB2312" w:eastAsia="楷体_GB2312"/>
          <w:color w:val="auto"/>
          <w:sz w:val="24"/>
          <w:highlight w:val="none"/>
        </w:rPr>
      </w:pPr>
    </w:p>
    <w:p w14:paraId="54E04AC5">
      <w:pPr>
        <w:spacing w:line="440" w:lineRule="exact"/>
        <w:jc w:val="center"/>
        <w:rPr>
          <w:rFonts w:ascii="楷体_GB2312" w:eastAsia="楷体_GB2312"/>
          <w:color w:val="auto"/>
          <w:sz w:val="24"/>
          <w:highlight w:val="none"/>
        </w:rPr>
      </w:pPr>
    </w:p>
    <w:p w14:paraId="3AE4D0D9">
      <w:pPr>
        <w:spacing w:line="440" w:lineRule="exact"/>
        <w:jc w:val="center"/>
        <w:rPr>
          <w:rFonts w:ascii="楷体_GB2312" w:eastAsia="楷体_GB2312"/>
          <w:color w:val="auto"/>
          <w:sz w:val="24"/>
          <w:highlight w:val="none"/>
        </w:rPr>
      </w:pPr>
    </w:p>
    <w:p w14:paraId="3DE7366E">
      <w:pPr>
        <w:spacing w:line="440" w:lineRule="exact"/>
        <w:rPr>
          <w:rFonts w:ascii="楷体_GB2312" w:eastAsia="楷体_GB2312"/>
          <w:b/>
          <w:color w:val="auto"/>
          <w:sz w:val="32"/>
          <w:szCs w:val="32"/>
          <w:highlight w:val="none"/>
        </w:rPr>
      </w:pPr>
      <w:r>
        <w:rPr>
          <w:rFonts w:hint="eastAsia" w:ascii="楷体_GB2312" w:eastAsia="楷体_GB2312"/>
          <w:b/>
          <w:color w:val="auto"/>
          <w:sz w:val="32"/>
          <w:szCs w:val="32"/>
          <w:highlight w:val="none"/>
        </w:rPr>
        <w:t>三、证明货物的合格性和符合招标文件规定的文件</w:t>
      </w:r>
    </w:p>
    <w:p w14:paraId="203658EC">
      <w:pPr>
        <w:spacing w:line="440" w:lineRule="exact"/>
        <w:ind w:firstLine="240"/>
        <w:rPr>
          <w:rFonts w:ascii="黑体" w:hAnsi="Arial" w:eastAsia="黑体"/>
          <w:color w:val="auto"/>
          <w:sz w:val="30"/>
          <w:szCs w:val="30"/>
          <w:highlight w:val="none"/>
        </w:rPr>
      </w:pPr>
      <w:r>
        <w:rPr>
          <w:rFonts w:hint="eastAsia" w:ascii="黑体" w:hAnsi="Arial" w:eastAsia="黑体"/>
          <w:color w:val="auto"/>
          <w:sz w:val="30"/>
          <w:szCs w:val="30"/>
          <w:highlight w:val="none"/>
        </w:rPr>
        <w:t>1、质量保证书</w:t>
      </w:r>
    </w:p>
    <w:p w14:paraId="57C0928D">
      <w:pPr>
        <w:spacing w:line="440" w:lineRule="exact"/>
        <w:ind w:left="240"/>
        <w:rPr>
          <w:rFonts w:ascii="黑体" w:hAnsi="Arial" w:eastAsia="黑体"/>
          <w:color w:val="auto"/>
          <w:sz w:val="30"/>
          <w:szCs w:val="30"/>
          <w:highlight w:val="none"/>
        </w:rPr>
      </w:pPr>
      <w:r>
        <w:rPr>
          <w:rFonts w:hint="eastAsia" w:ascii="黑体" w:hAnsi="Arial" w:eastAsia="黑体"/>
          <w:color w:val="auto"/>
          <w:sz w:val="30"/>
          <w:szCs w:val="30"/>
          <w:highlight w:val="none"/>
        </w:rPr>
        <w:t>2、有关部门的检测报告</w:t>
      </w:r>
    </w:p>
    <w:p w14:paraId="078F112D">
      <w:pPr>
        <w:spacing w:line="440" w:lineRule="exact"/>
        <w:ind w:firstLine="240"/>
        <w:rPr>
          <w:rFonts w:ascii="黑体" w:hAnsi="Arial" w:eastAsia="黑体"/>
          <w:color w:val="auto"/>
          <w:sz w:val="30"/>
          <w:szCs w:val="30"/>
          <w:highlight w:val="none"/>
        </w:rPr>
      </w:pPr>
      <w:r>
        <w:rPr>
          <w:rFonts w:hint="eastAsia" w:ascii="黑体" w:hAnsi="Arial" w:eastAsia="黑体"/>
          <w:color w:val="auto"/>
          <w:sz w:val="30"/>
          <w:szCs w:val="30"/>
          <w:highlight w:val="none"/>
        </w:rPr>
        <w:t>3、生产资质证书</w:t>
      </w:r>
    </w:p>
    <w:p w14:paraId="3DFED995">
      <w:pPr>
        <w:spacing w:line="440" w:lineRule="exact"/>
        <w:ind w:firstLine="240"/>
        <w:rPr>
          <w:rFonts w:ascii="仿宋_GB2312" w:hAnsi="Arial" w:eastAsia="仿宋_GB2312"/>
          <w:color w:val="auto"/>
          <w:sz w:val="36"/>
          <w:szCs w:val="36"/>
          <w:highlight w:val="none"/>
        </w:rPr>
      </w:pPr>
    </w:p>
    <w:p w14:paraId="79187BEC">
      <w:pPr>
        <w:spacing w:line="440" w:lineRule="exact"/>
        <w:ind w:firstLine="240"/>
        <w:rPr>
          <w:rFonts w:ascii="黑体" w:hAnsi="Arial" w:eastAsia="黑体"/>
          <w:color w:val="auto"/>
          <w:sz w:val="36"/>
          <w:szCs w:val="36"/>
          <w:highlight w:val="none"/>
        </w:rPr>
      </w:pPr>
    </w:p>
    <w:p w14:paraId="058CBBC9">
      <w:pPr>
        <w:spacing w:line="440" w:lineRule="exact"/>
        <w:ind w:firstLine="240"/>
        <w:rPr>
          <w:rFonts w:ascii="黑体" w:hAnsi="Arial" w:eastAsia="黑体"/>
          <w:color w:val="auto"/>
          <w:sz w:val="36"/>
          <w:szCs w:val="36"/>
          <w:highlight w:val="none"/>
        </w:rPr>
      </w:pPr>
    </w:p>
    <w:p w14:paraId="37763F47">
      <w:pPr>
        <w:spacing w:line="440" w:lineRule="exact"/>
        <w:ind w:firstLine="240"/>
        <w:rPr>
          <w:rFonts w:ascii="黑体" w:hAnsi="Arial" w:eastAsia="黑体"/>
          <w:color w:val="auto"/>
          <w:sz w:val="36"/>
          <w:szCs w:val="36"/>
          <w:highlight w:val="none"/>
        </w:rPr>
      </w:pPr>
    </w:p>
    <w:p w14:paraId="6958952F">
      <w:pPr>
        <w:spacing w:line="440" w:lineRule="exact"/>
        <w:ind w:firstLine="240"/>
        <w:rPr>
          <w:rFonts w:ascii="黑体" w:hAnsi="Arial" w:eastAsia="黑体"/>
          <w:color w:val="auto"/>
          <w:sz w:val="36"/>
          <w:szCs w:val="36"/>
          <w:highlight w:val="none"/>
        </w:rPr>
      </w:pPr>
    </w:p>
    <w:p w14:paraId="50C16D70">
      <w:pPr>
        <w:spacing w:line="440" w:lineRule="exact"/>
        <w:ind w:firstLine="240"/>
        <w:rPr>
          <w:rFonts w:ascii="黑体" w:hAnsi="Arial" w:eastAsia="黑体"/>
          <w:color w:val="auto"/>
          <w:sz w:val="36"/>
          <w:szCs w:val="36"/>
          <w:highlight w:val="none"/>
        </w:rPr>
      </w:pPr>
    </w:p>
    <w:p w14:paraId="300674FE">
      <w:pPr>
        <w:spacing w:line="440" w:lineRule="exact"/>
        <w:ind w:firstLine="240"/>
        <w:rPr>
          <w:rFonts w:ascii="黑体" w:hAnsi="Arial" w:eastAsia="黑体"/>
          <w:color w:val="auto"/>
          <w:sz w:val="36"/>
          <w:szCs w:val="36"/>
          <w:highlight w:val="none"/>
        </w:rPr>
      </w:pPr>
    </w:p>
    <w:p w14:paraId="12281857">
      <w:pPr>
        <w:spacing w:line="440" w:lineRule="exact"/>
        <w:ind w:firstLine="240"/>
        <w:rPr>
          <w:rFonts w:ascii="黑体" w:hAnsi="Arial" w:eastAsia="黑体"/>
          <w:color w:val="auto"/>
          <w:sz w:val="36"/>
          <w:szCs w:val="36"/>
          <w:highlight w:val="none"/>
        </w:rPr>
      </w:pPr>
    </w:p>
    <w:p w14:paraId="61679D18">
      <w:pPr>
        <w:spacing w:line="440" w:lineRule="exact"/>
        <w:ind w:firstLine="240"/>
        <w:rPr>
          <w:rFonts w:ascii="黑体" w:hAnsi="Arial" w:eastAsia="黑体"/>
          <w:color w:val="auto"/>
          <w:sz w:val="36"/>
          <w:szCs w:val="36"/>
          <w:highlight w:val="none"/>
        </w:rPr>
      </w:pPr>
    </w:p>
    <w:p w14:paraId="4697B99E">
      <w:pPr>
        <w:spacing w:line="440" w:lineRule="exact"/>
        <w:ind w:firstLine="240"/>
        <w:rPr>
          <w:rFonts w:ascii="黑体" w:hAnsi="Arial" w:eastAsia="黑体"/>
          <w:color w:val="auto"/>
          <w:sz w:val="36"/>
          <w:szCs w:val="36"/>
          <w:highlight w:val="none"/>
        </w:rPr>
      </w:pPr>
    </w:p>
    <w:p w14:paraId="0D65EF1B">
      <w:pPr>
        <w:spacing w:line="440" w:lineRule="exact"/>
        <w:ind w:firstLine="240"/>
        <w:rPr>
          <w:rFonts w:ascii="黑体" w:hAnsi="Arial" w:eastAsia="黑体"/>
          <w:color w:val="auto"/>
          <w:sz w:val="36"/>
          <w:szCs w:val="36"/>
          <w:highlight w:val="none"/>
        </w:rPr>
      </w:pPr>
    </w:p>
    <w:p w14:paraId="20CD876E">
      <w:pPr>
        <w:spacing w:line="440" w:lineRule="exact"/>
        <w:ind w:firstLine="240"/>
        <w:rPr>
          <w:rFonts w:ascii="黑体" w:hAnsi="Arial" w:eastAsia="黑体"/>
          <w:color w:val="auto"/>
          <w:sz w:val="36"/>
          <w:szCs w:val="36"/>
          <w:highlight w:val="none"/>
        </w:rPr>
      </w:pPr>
    </w:p>
    <w:p w14:paraId="5FEF8540">
      <w:pPr>
        <w:spacing w:line="440" w:lineRule="exact"/>
        <w:ind w:firstLine="240"/>
        <w:rPr>
          <w:rFonts w:ascii="黑体" w:hAnsi="Arial" w:eastAsia="黑体"/>
          <w:color w:val="auto"/>
          <w:sz w:val="36"/>
          <w:szCs w:val="36"/>
          <w:highlight w:val="none"/>
        </w:rPr>
      </w:pPr>
    </w:p>
    <w:p w14:paraId="2ABBFBED">
      <w:pPr>
        <w:spacing w:line="440" w:lineRule="exact"/>
        <w:ind w:firstLine="240"/>
        <w:rPr>
          <w:rFonts w:ascii="黑体" w:hAnsi="Arial" w:eastAsia="黑体"/>
          <w:color w:val="auto"/>
          <w:sz w:val="36"/>
          <w:szCs w:val="36"/>
          <w:highlight w:val="none"/>
        </w:rPr>
      </w:pPr>
    </w:p>
    <w:p w14:paraId="7E7E34AE">
      <w:pPr>
        <w:spacing w:line="440" w:lineRule="exact"/>
        <w:ind w:firstLine="240"/>
        <w:rPr>
          <w:rFonts w:ascii="黑体" w:hAnsi="Arial" w:eastAsia="黑体"/>
          <w:color w:val="auto"/>
          <w:sz w:val="36"/>
          <w:szCs w:val="36"/>
          <w:highlight w:val="none"/>
        </w:rPr>
      </w:pPr>
    </w:p>
    <w:p w14:paraId="691513F7">
      <w:pPr>
        <w:pStyle w:val="9"/>
        <w:spacing w:line="440" w:lineRule="exact"/>
        <w:rPr>
          <w:rFonts w:ascii="黑体" w:hAnsi="Arial" w:eastAsia="黑体"/>
          <w:color w:val="auto"/>
          <w:sz w:val="36"/>
          <w:szCs w:val="36"/>
          <w:highlight w:val="none"/>
        </w:rPr>
      </w:pPr>
    </w:p>
    <w:p w14:paraId="24EC637F">
      <w:pPr>
        <w:spacing w:line="440" w:lineRule="exact"/>
        <w:rPr>
          <w:rFonts w:ascii="黑体" w:hAnsi="Arial" w:eastAsia="黑体"/>
          <w:color w:val="auto"/>
          <w:sz w:val="36"/>
          <w:szCs w:val="36"/>
          <w:highlight w:val="none"/>
        </w:rPr>
      </w:pPr>
    </w:p>
    <w:p w14:paraId="6540E9FB">
      <w:pPr>
        <w:pStyle w:val="9"/>
        <w:spacing w:line="440" w:lineRule="exact"/>
        <w:rPr>
          <w:rFonts w:ascii="黑体" w:hAnsi="Arial" w:eastAsia="黑体"/>
          <w:color w:val="auto"/>
          <w:sz w:val="36"/>
          <w:szCs w:val="36"/>
          <w:highlight w:val="none"/>
        </w:rPr>
      </w:pPr>
    </w:p>
    <w:p w14:paraId="3039BFFC">
      <w:pPr>
        <w:spacing w:line="440" w:lineRule="exact"/>
        <w:rPr>
          <w:color w:val="auto"/>
          <w:highlight w:val="none"/>
        </w:rPr>
      </w:pPr>
    </w:p>
    <w:p w14:paraId="580F630B">
      <w:pPr>
        <w:pStyle w:val="9"/>
        <w:rPr>
          <w:color w:val="auto"/>
          <w:highlight w:val="none"/>
        </w:rPr>
      </w:pPr>
    </w:p>
    <w:p w14:paraId="44304B51">
      <w:pPr>
        <w:rPr>
          <w:color w:val="auto"/>
          <w:highlight w:val="none"/>
        </w:rPr>
      </w:pPr>
    </w:p>
    <w:p w14:paraId="134828F2">
      <w:pPr>
        <w:pStyle w:val="9"/>
        <w:rPr>
          <w:color w:val="auto"/>
          <w:highlight w:val="none"/>
        </w:rPr>
      </w:pPr>
    </w:p>
    <w:p w14:paraId="2ECC0F08">
      <w:pPr>
        <w:rPr>
          <w:color w:val="auto"/>
          <w:highlight w:val="none"/>
        </w:rPr>
      </w:pPr>
    </w:p>
    <w:p w14:paraId="590BD393">
      <w:pPr>
        <w:pStyle w:val="9"/>
        <w:rPr>
          <w:color w:val="auto"/>
          <w:highlight w:val="none"/>
        </w:rPr>
      </w:pPr>
    </w:p>
    <w:p w14:paraId="38D1540C">
      <w:pPr>
        <w:rPr>
          <w:color w:val="auto"/>
          <w:highlight w:val="none"/>
        </w:rPr>
      </w:pPr>
    </w:p>
    <w:p w14:paraId="4D7AA1D2">
      <w:pPr>
        <w:pStyle w:val="9"/>
        <w:rPr>
          <w:color w:val="auto"/>
          <w:highlight w:val="none"/>
        </w:rPr>
      </w:pPr>
    </w:p>
    <w:p w14:paraId="7A38C369">
      <w:pPr>
        <w:spacing w:line="440" w:lineRule="exact"/>
        <w:ind w:firstLine="240"/>
        <w:rPr>
          <w:rFonts w:ascii="黑体" w:hAnsi="Arial" w:eastAsia="黑体"/>
          <w:color w:val="auto"/>
          <w:sz w:val="36"/>
          <w:szCs w:val="36"/>
          <w:highlight w:val="none"/>
        </w:rPr>
      </w:pPr>
    </w:p>
    <w:p w14:paraId="3FF72CC7">
      <w:pPr>
        <w:spacing w:line="440" w:lineRule="exact"/>
        <w:ind w:firstLine="240"/>
        <w:rPr>
          <w:rFonts w:ascii="黑体" w:eastAsia="黑体"/>
          <w:color w:val="auto"/>
          <w:sz w:val="30"/>
          <w:szCs w:val="30"/>
          <w:highlight w:val="none"/>
        </w:rPr>
      </w:pPr>
      <w:r>
        <w:rPr>
          <w:rFonts w:hint="eastAsia" w:ascii="黑体" w:eastAsia="黑体"/>
          <w:color w:val="auto"/>
          <w:sz w:val="30"/>
          <w:szCs w:val="30"/>
          <w:highlight w:val="none"/>
        </w:rPr>
        <w:t>4、投标货物规格响应表格式</w:t>
      </w:r>
    </w:p>
    <w:p w14:paraId="76E05A3A">
      <w:pPr>
        <w:spacing w:line="440" w:lineRule="exact"/>
        <w:jc w:val="center"/>
        <w:rPr>
          <w:rFonts w:ascii="宋体" w:hAnsi="宋体"/>
          <w:color w:val="auto"/>
          <w:sz w:val="24"/>
          <w:highlight w:val="none"/>
        </w:rPr>
      </w:pPr>
      <w:r>
        <w:rPr>
          <w:rFonts w:hint="eastAsia" w:ascii="宋体" w:hAnsi="宋体"/>
          <w:color w:val="auto"/>
          <w:sz w:val="24"/>
          <w:highlight w:val="none"/>
        </w:rPr>
        <w:t>投标货物技术规格响应表</w:t>
      </w:r>
    </w:p>
    <w:p w14:paraId="10152A84">
      <w:pPr>
        <w:spacing w:line="440" w:lineRule="exact"/>
        <w:rPr>
          <w:rFonts w:ascii="宋体" w:hAnsi="宋体"/>
          <w:color w:val="auto"/>
          <w:sz w:val="24"/>
          <w:highlight w:val="none"/>
          <w:u w:val="single"/>
        </w:rPr>
      </w:pPr>
      <w:r>
        <w:rPr>
          <w:rFonts w:hint="eastAsia" w:ascii="宋体" w:hAnsi="宋体"/>
          <w:color w:val="auto"/>
          <w:sz w:val="24"/>
          <w:highlight w:val="none"/>
        </w:rPr>
        <w:t>投标人名称：</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招标编号：</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标段号：</w:t>
      </w:r>
      <w:r>
        <w:rPr>
          <w:rFonts w:hint="eastAsia" w:ascii="宋体" w:hAnsi="宋体"/>
          <w:color w:val="auto"/>
          <w:sz w:val="24"/>
          <w:highlight w:val="none"/>
          <w:u w:val="single"/>
        </w:rPr>
        <w:t xml:space="preserve">             </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890"/>
        <w:gridCol w:w="1890"/>
        <w:gridCol w:w="1605"/>
        <w:gridCol w:w="2300"/>
      </w:tblGrid>
      <w:tr w14:paraId="69D41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tcPr>
          <w:p w14:paraId="33A06FD9">
            <w:pPr>
              <w:spacing w:line="440" w:lineRule="exact"/>
              <w:jc w:val="center"/>
              <w:rPr>
                <w:rFonts w:ascii="宋体" w:hAnsi="宋体"/>
                <w:color w:val="auto"/>
                <w:sz w:val="24"/>
                <w:highlight w:val="none"/>
              </w:rPr>
            </w:pPr>
            <w:r>
              <w:rPr>
                <w:rFonts w:hint="eastAsia" w:ascii="宋体" w:hAnsi="宋体"/>
                <w:color w:val="auto"/>
                <w:sz w:val="24"/>
                <w:highlight w:val="none"/>
              </w:rPr>
              <w:t>序号</w:t>
            </w:r>
          </w:p>
        </w:tc>
        <w:tc>
          <w:tcPr>
            <w:tcW w:w="1890" w:type="dxa"/>
            <w:tcBorders>
              <w:top w:val="single" w:color="auto" w:sz="4" w:space="0"/>
              <w:left w:val="single" w:color="auto" w:sz="4" w:space="0"/>
              <w:bottom w:val="single" w:color="auto" w:sz="4" w:space="0"/>
              <w:right w:val="single" w:color="auto" w:sz="4" w:space="0"/>
            </w:tcBorders>
          </w:tcPr>
          <w:p w14:paraId="01BCEC84">
            <w:pPr>
              <w:spacing w:line="440" w:lineRule="exact"/>
              <w:jc w:val="center"/>
              <w:rPr>
                <w:rFonts w:ascii="宋体" w:hAnsi="宋体"/>
                <w:color w:val="auto"/>
                <w:sz w:val="24"/>
                <w:highlight w:val="none"/>
              </w:rPr>
            </w:pPr>
            <w:r>
              <w:rPr>
                <w:rFonts w:hint="eastAsia" w:ascii="宋体" w:hAnsi="宋体"/>
                <w:color w:val="auto"/>
                <w:sz w:val="24"/>
                <w:highlight w:val="none"/>
              </w:rPr>
              <w:t>标书规格</w:t>
            </w:r>
          </w:p>
        </w:tc>
        <w:tc>
          <w:tcPr>
            <w:tcW w:w="1890" w:type="dxa"/>
            <w:tcBorders>
              <w:top w:val="single" w:color="auto" w:sz="4" w:space="0"/>
              <w:left w:val="single" w:color="auto" w:sz="4" w:space="0"/>
              <w:bottom w:val="single" w:color="auto" w:sz="4" w:space="0"/>
              <w:right w:val="single" w:color="auto" w:sz="4" w:space="0"/>
            </w:tcBorders>
          </w:tcPr>
          <w:p w14:paraId="27BD32EC">
            <w:pPr>
              <w:spacing w:line="440" w:lineRule="exact"/>
              <w:jc w:val="center"/>
              <w:rPr>
                <w:rFonts w:ascii="宋体" w:hAnsi="宋体"/>
                <w:color w:val="auto"/>
                <w:sz w:val="24"/>
                <w:highlight w:val="none"/>
              </w:rPr>
            </w:pPr>
            <w:r>
              <w:rPr>
                <w:rFonts w:hint="eastAsia" w:ascii="宋体" w:hAnsi="宋体"/>
                <w:color w:val="auto"/>
                <w:sz w:val="24"/>
                <w:highlight w:val="none"/>
              </w:rPr>
              <w:t>投标规格</w:t>
            </w:r>
          </w:p>
        </w:tc>
        <w:tc>
          <w:tcPr>
            <w:tcW w:w="1605" w:type="dxa"/>
            <w:tcBorders>
              <w:top w:val="single" w:color="auto" w:sz="4" w:space="0"/>
              <w:left w:val="single" w:color="auto" w:sz="4" w:space="0"/>
              <w:bottom w:val="single" w:color="auto" w:sz="4" w:space="0"/>
              <w:right w:val="single" w:color="auto" w:sz="4" w:space="0"/>
            </w:tcBorders>
          </w:tcPr>
          <w:p w14:paraId="558F0870">
            <w:pPr>
              <w:spacing w:line="440" w:lineRule="exact"/>
              <w:jc w:val="center"/>
              <w:rPr>
                <w:rFonts w:ascii="宋体" w:hAnsi="宋体"/>
                <w:color w:val="auto"/>
                <w:sz w:val="24"/>
                <w:highlight w:val="none"/>
              </w:rPr>
            </w:pPr>
            <w:r>
              <w:rPr>
                <w:rFonts w:hint="eastAsia" w:ascii="宋体" w:hAnsi="宋体"/>
                <w:color w:val="auto"/>
                <w:sz w:val="24"/>
                <w:highlight w:val="none"/>
              </w:rPr>
              <w:t>偏离与否</w:t>
            </w:r>
          </w:p>
        </w:tc>
        <w:tc>
          <w:tcPr>
            <w:tcW w:w="2300" w:type="dxa"/>
            <w:tcBorders>
              <w:top w:val="single" w:color="auto" w:sz="4" w:space="0"/>
              <w:left w:val="single" w:color="auto" w:sz="4" w:space="0"/>
              <w:bottom w:val="single" w:color="auto" w:sz="4" w:space="0"/>
              <w:right w:val="single" w:color="auto" w:sz="4" w:space="0"/>
            </w:tcBorders>
          </w:tcPr>
          <w:p w14:paraId="7DB59DAC">
            <w:pPr>
              <w:spacing w:line="440" w:lineRule="exact"/>
              <w:jc w:val="center"/>
              <w:rPr>
                <w:rFonts w:ascii="宋体" w:hAnsi="宋体"/>
                <w:color w:val="auto"/>
                <w:sz w:val="24"/>
                <w:highlight w:val="none"/>
              </w:rPr>
            </w:pPr>
            <w:r>
              <w:rPr>
                <w:rFonts w:hint="eastAsia" w:ascii="宋体" w:hAnsi="宋体"/>
                <w:color w:val="auto"/>
                <w:sz w:val="24"/>
                <w:highlight w:val="none"/>
              </w:rPr>
              <w:t>说 明</w:t>
            </w:r>
          </w:p>
        </w:tc>
      </w:tr>
      <w:tr w14:paraId="7194D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tcPr>
          <w:p w14:paraId="3D73794E">
            <w:pPr>
              <w:spacing w:line="440" w:lineRule="exact"/>
              <w:rPr>
                <w:rFonts w:ascii="宋体" w:hAnsi="宋体"/>
                <w:color w:val="auto"/>
                <w:sz w:val="24"/>
                <w:highlight w:val="none"/>
              </w:rPr>
            </w:pPr>
          </w:p>
        </w:tc>
        <w:tc>
          <w:tcPr>
            <w:tcW w:w="1890" w:type="dxa"/>
            <w:tcBorders>
              <w:top w:val="single" w:color="auto" w:sz="4" w:space="0"/>
              <w:left w:val="single" w:color="auto" w:sz="4" w:space="0"/>
              <w:bottom w:val="single" w:color="auto" w:sz="4" w:space="0"/>
              <w:right w:val="single" w:color="auto" w:sz="4" w:space="0"/>
            </w:tcBorders>
          </w:tcPr>
          <w:p w14:paraId="19F9146E">
            <w:pPr>
              <w:spacing w:line="440" w:lineRule="exact"/>
              <w:rPr>
                <w:rFonts w:ascii="宋体" w:hAnsi="宋体"/>
                <w:color w:val="auto"/>
                <w:sz w:val="24"/>
                <w:highlight w:val="none"/>
              </w:rPr>
            </w:pPr>
          </w:p>
        </w:tc>
        <w:tc>
          <w:tcPr>
            <w:tcW w:w="1890" w:type="dxa"/>
            <w:tcBorders>
              <w:top w:val="single" w:color="auto" w:sz="4" w:space="0"/>
              <w:left w:val="single" w:color="auto" w:sz="4" w:space="0"/>
              <w:bottom w:val="single" w:color="auto" w:sz="4" w:space="0"/>
              <w:right w:val="single" w:color="auto" w:sz="4" w:space="0"/>
            </w:tcBorders>
          </w:tcPr>
          <w:p w14:paraId="16A8C604">
            <w:pPr>
              <w:spacing w:line="440" w:lineRule="exact"/>
              <w:rPr>
                <w:rFonts w:ascii="宋体" w:hAnsi="宋体"/>
                <w:color w:val="auto"/>
                <w:sz w:val="24"/>
                <w:highlight w:val="none"/>
              </w:rPr>
            </w:pPr>
          </w:p>
        </w:tc>
        <w:tc>
          <w:tcPr>
            <w:tcW w:w="1605" w:type="dxa"/>
            <w:tcBorders>
              <w:top w:val="single" w:color="auto" w:sz="4" w:space="0"/>
              <w:left w:val="single" w:color="auto" w:sz="4" w:space="0"/>
              <w:bottom w:val="single" w:color="auto" w:sz="4" w:space="0"/>
              <w:right w:val="single" w:color="auto" w:sz="4" w:space="0"/>
            </w:tcBorders>
          </w:tcPr>
          <w:p w14:paraId="268F842F">
            <w:pPr>
              <w:spacing w:line="440" w:lineRule="exact"/>
              <w:rPr>
                <w:rFonts w:ascii="宋体" w:hAnsi="宋体"/>
                <w:color w:val="auto"/>
                <w:sz w:val="24"/>
                <w:highlight w:val="none"/>
              </w:rPr>
            </w:pPr>
          </w:p>
          <w:p w14:paraId="567BC827">
            <w:pPr>
              <w:spacing w:line="440" w:lineRule="exact"/>
              <w:rPr>
                <w:rFonts w:ascii="宋体" w:hAnsi="宋体"/>
                <w:color w:val="auto"/>
                <w:sz w:val="24"/>
                <w:highlight w:val="none"/>
              </w:rPr>
            </w:pPr>
          </w:p>
          <w:p w14:paraId="70E606AD">
            <w:pPr>
              <w:spacing w:line="440" w:lineRule="exact"/>
              <w:rPr>
                <w:rFonts w:ascii="宋体" w:hAnsi="宋体"/>
                <w:color w:val="auto"/>
                <w:sz w:val="24"/>
                <w:highlight w:val="none"/>
              </w:rPr>
            </w:pPr>
          </w:p>
          <w:p w14:paraId="73A7360F">
            <w:pPr>
              <w:spacing w:line="440" w:lineRule="exact"/>
              <w:rPr>
                <w:rFonts w:ascii="宋体" w:hAnsi="宋体"/>
                <w:color w:val="auto"/>
                <w:sz w:val="24"/>
                <w:highlight w:val="none"/>
              </w:rPr>
            </w:pPr>
          </w:p>
          <w:p w14:paraId="75DC9195">
            <w:pPr>
              <w:spacing w:line="440" w:lineRule="exact"/>
              <w:rPr>
                <w:rFonts w:ascii="宋体" w:hAnsi="宋体"/>
                <w:color w:val="auto"/>
                <w:sz w:val="24"/>
                <w:highlight w:val="none"/>
              </w:rPr>
            </w:pPr>
          </w:p>
          <w:p w14:paraId="54B90607">
            <w:pPr>
              <w:spacing w:line="440" w:lineRule="exact"/>
              <w:rPr>
                <w:rFonts w:ascii="宋体" w:hAnsi="宋体"/>
                <w:color w:val="auto"/>
                <w:sz w:val="24"/>
                <w:highlight w:val="none"/>
              </w:rPr>
            </w:pPr>
          </w:p>
          <w:p w14:paraId="526EA7D9">
            <w:pPr>
              <w:spacing w:line="440" w:lineRule="exact"/>
              <w:rPr>
                <w:rFonts w:ascii="宋体" w:hAnsi="宋体"/>
                <w:color w:val="auto"/>
                <w:sz w:val="24"/>
                <w:highlight w:val="none"/>
              </w:rPr>
            </w:pPr>
          </w:p>
          <w:p w14:paraId="70B2D2D8">
            <w:pPr>
              <w:spacing w:line="440" w:lineRule="exact"/>
              <w:rPr>
                <w:rFonts w:ascii="宋体" w:hAnsi="宋体"/>
                <w:color w:val="auto"/>
                <w:sz w:val="24"/>
                <w:highlight w:val="none"/>
              </w:rPr>
            </w:pPr>
          </w:p>
          <w:p w14:paraId="3C8C7FBD">
            <w:pPr>
              <w:spacing w:line="440" w:lineRule="exact"/>
              <w:rPr>
                <w:rFonts w:ascii="宋体" w:hAnsi="宋体"/>
                <w:color w:val="auto"/>
                <w:sz w:val="24"/>
                <w:highlight w:val="none"/>
              </w:rPr>
            </w:pPr>
          </w:p>
          <w:p w14:paraId="03B50BB1">
            <w:pPr>
              <w:spacing w:line="440" w:lineRule="exact"/>
              <w:rPr>
                <w:rFonts w:ascii="宋体" w:hAnsi="宋体"/>
                <w:color w:val="auto"/>
                <w:sz w:val="24"/>
                <w:highlight w:val="none"/>
              </w:rPr>
            </w:pPr>
          </w:p>
          <w:p w14:paraId="542E52AC">
            <w:pPr>
              <w:spacing w:line="440" w:lineRule="exact"/>
              <w:rPr>
                <w:rFonts w:ascii="宋体" w:hAnsi="宋体"/>
                <w:color w:val="auto"/>
                <w:sz w:val="24"/>
                <w:highlight w:val="none"/>
              </w:rPr>
            </w:pPr>
          </w:p>
          <w:p w14:paraId="27E93807">
            <w:pPr>
              <w:spacing w:line="440" w:lineRule="exact"/>
              <w:rPr>
                <w:rFonts w:ascii="宋体" w:hAnsi="宋体"/>
                <w:color w:val="auto"/>
                <w:sz w:val="24"/>
                <w:highlight w:val="none"/>
              </w:rPr>
            </w:pPr>
          </w:p>
          <w:p w14:paraId="17F00A8B">
            <w:pPr>
              <w:spacing w:line="440" w:lineRule="exact"/>
              <w:rPr>
                <w:rFonts w:ascii="宋体" w:hAnsi="宋体"/>
                <w:color w:val="auto"/>
                <w:sz w:val="24"/>
                <w:highlight w:val="none"/>
              </w:rPr>
            </w:pPr>
          </w:p>
          <w:p w14:paraId="35C6B788">
            <w:pPr>
              <w:spacing w:line="440" w:lineRule="exact"/>
              <w:rPr>
                <w:rFonts w:ascii="宋体" w:hAnsi="宋体"/>
                <w:color w:val="auto"/>
                <w:sz w:val="24"/>
                <w:highlight w:val="none"/>
              </w:rPr>
            </w:pPr>
          </w:p>
          <w:p w14:paraId="4A3BABAF">
            <w:pPr>
              <w:spacing w:line="440" w:lineRule="exact"/>
              <w:rPr>
                <w:rFonts w:ascii="宋体" w:hAnsi="宋体"/>
                <w:color w:val="auto"/>
                <w:sz w:val="24"/>
                <w:highlight w:val="none"/>
              </w:rPr>
            </w:pPr>
          </w:p>
          <w:p w14:paraId="17B163CC">
            <w:pPr>
              <w:spacing w:line="440" w:lineRule="exact"/>
              <w:rPr>
                <w:rFonts w:ascii="宋体" w:hAnsi="宋体"/>
                <w:color w:val="auto"/>
                <w:sz w:val="24"/>
                <w:highlight w:val="none"/>
              </w:rPr>
            </w:pPr>
          </w:p>
          <w:p w14:paraId="47179A64">
            <w:pPr>
              <w:spacing w:line="440" w:lineRule="exact"/>
              <w:rPr>
                <w:rFonts w:ascii="宋体" w:hAnsi="宋体"/>
                <w:color w:val="auto"/>
                <w:sz w:val="24"/>
                <w:highlight w:val="none"/>
              </w:rPr>
            </w:pPr>
          </w:p>
        </w:tc>
        <w:tc>
          <w:tcPr>
            <w:tcW w:w="2300" w:type="dxa"/>
            <w:tcBorders>
              <w:top w:val="single" w:color="auto" w:sz="4" w:space="0"/>
              <w:left w:val="single" w:color="auto" w:sz="4" w:space="0"/>
              <w:bottom w:val="single" w:color="auto" w:sz="4" w:space="0"/>
              <w:right w:val="single" w:color="auto" w:sz="4" w:space="0"/>
            </w:tcBorders>
          </w:tcPr>
          <w:p w14:paraId="5F054CD1">
            <w:pPr>
              <w:widowControl/>
              <w:spacing w:line="440" w:lineRule="exact"/>
              <w:jc w:val="left"/>
              <w:rPr>
                <w:rFonts w:ascii="宋体" w:hAnsi="宋体"/>
                <w:color w:val="auto"/>
                <w:sz w:val="24"/>
                <w:highlight w:val="none"/>
              </w:rPr>
            </w:pPr>
          </w:p>
          <w:p w14:paraId="288CDF0D">
            <w:pPr>
              <w:widowControl/>
              <w:spacing w:line="440" w:lineRule="exact"/>
              <w:jc w:val="left"/>
              <w:rPr>
                <w:rFonts w:ascii="宋体" w:hAnsi="宋体"/>
                <w:color w:val="auto"/>
                <w:sz w:val="24"/>
                <w:highlight w:val="none"/>
              </w:rPr>
            </w:pPr>
          </w:p>
          <w:p w14:paraId="15ADD387">
            <w:pPr>
              <w:widowControl/>
              <w:spacing w:line="440" w:lineRule="exact"/>
              <w:jc w:val="left"/>
              <w:rPr>
                <w:rFonts w:ascii="宋体" w:hAnsi="宋体"/>
                <w:color w:val="auto"/>
                <w:sz w:val="24"/>
                <w:highlight w:val="none"/>
              </w:rPr>
            </w:pPr>
          </w:p>
          <w:p w14:paraId="0C71C8E6">
            <w:pPr>
              <w:widowControl/>
              <w:spacing w:line="440" w:lineRule="exact"/>
              <w:jc w:val="left"/>
              <w:rPr>
                <w:rFonts w:ascii="宋体" w:hAnsi="宋体"/>
                <w:color w:val="auto"/>
                <w:sz w:val="24"/>
                <w:highlight w:val="none"/>
              </w:rPr>
            </w:pPr>
          </w:p>
          <w:p w14:paraId="6A9C46EC">
            <w:pPr>
              <w:widowControl/>
              <w:spacing w:line="440" w:lineRule="exact"/>
              <w:jc w:val="left"/>
              <w:rPr>
                <w:rFonts w:ascii="宋体" w:hAnsi="宋体"/>
                <w:color w:val="auto"/>
                <w:sz w:val="24"/>
                <w:highlight w:val="none"/>
              </w:rPr>
            </w:pPr>
          </w:p>
          <w:p w14:paraId="1AB8AE17">
            <w:pPr>
              <w:widowControl/>
              <w:spacing w:line="440" w:lineRule="exact"/>
              <w:jc w:val="left"/>
              <w:rPr>
                <w:rFonts w:ascii="宋体" w:hAnsi="宋体"/>
                <w:color w:val="auto"/>
                <w:sz w:val="24"/>
                <w:highlight w:val="none"/>
              </w:rPr>
            </w:pPr>
          </w:p>
          <w:p w14:paraId="7FA9FE69">
            <w:pPr>
              <w:widowControl/>
              <w:spacing w:line="440" w:lineRule="exact"/>
              <w:jc w:val="left"/>
              <w:rPr>
                <w:rFonts w:ascii="宋体" w:hAnsi="宋体"/>
                <w:color w:val="auto"/>
                <w:sz w:val="24"/>
                <w:highlight w:val="none"/>
              </w:rPr>
            </w:pPr>
          </w:p>
          <w:p w14:paraId="7B7A2189">
            <w:pPr>
              <w:widowControl/>
              <w:spacing w:line="440" w:lineRule="exact"/>
              <w:jc w:val="left"/>
              <w:rPr>
                <w:rFonts w:ascii="宋体" w:hAnsi="宋体"/>
                <w:color w:val="auto"/>
                <w:sz w:val="24"/>
                <w:highlight w:val="none"/>
              </w:rPr>
            </w:pPr>
          </w:p>
          <w:p w14:paraId="78B52E5F">
            <w:pPr>
              <w:widowControl/>
              <w:spacing w:line="440" w:lineRule="exact"/>
              <w:jc w:val="left"/>
              <w:rPr>
                <w:rFonts w:ascii="宋体" w:hAnsi="宋体"/>
                <w:color w:val="auto"/>
                <w:sz w:val="24"/>
                <w:highlight w:val="none"/>
              </w:rPr>
            </w:pPr>
          </w:p>
          <w:p w14:paraId="6B853468">
            <w:pPr>
              <w:widowControl/>
              <w:spacing w:line="440" w:lineRule="exact"/>
              <w:jc w:val="left"/>
              <w:rPr>
                <w:rFonts w:ascii="宋体" w:hAnsi="宋体"/>
                <w:color w:val="auto"/>
                <w:sz w:val="24"/>
                <w:highlight w:val="none"/>
              </w:rPr>
            </w:pPr>
          </w:p>
          <w:p w14:paraId="588A3076">
            <w:pPr>
              <w:widowControl/>
              <w:spacing w:line="440" w:lineRule="exact"/>
              <w:jc w:val="left"/>
              <w:rPr>
                <w:rFonts w:ascii="宋体" w:hAnsi="宋体"/>
                <w:color w:val="auto"/>
                <w:sz w:val="24"/>
                <w:highlight w:val="none"/>
              </w:rPr>
            </w:pPr>
          </w:p>
          <w:p w14:paraId="1C58D09D">
            <w:pPr>
              <w:widowControl/>
              <w:spacing w:line="440" w:lineRule="exact"/>
              <w:jc w:val="left"/>
              <w:rPr>
                <w:rFonts w:ascii="宋体" w:hAnsi="宋体"/>
                <w:color w:val="auto"/>
                <w:sz w:val="24"/>
                <w:highlight w:val="none"/>
              </w:rPr>
            </w:pPr>
          </w:p>
          <w:p w14:paraId="6A328D03">
            <w:pPr>
              <w:widowControl/>
              <w:spacing w:line="440" w:lineRule="exact"/>
              <w:jc w:val="left"/>
              <w:rPr>
                <w:rFonts w:ascii="宋体" w:hAnsi="宋体"/>
                <w:color w:val="auto"/>
                <w:sz w:val="24"/>
                <w:highlight w:val="none"/>
              </w:rPr>
            </w:pPr>
          </w:p>
          <w:p w14:paraId="34C6EB6D">
            <w:pPr>
              <w:widowControl/>
              <w:spacing w:line="440" w:lineRule="exact"/>
              <w:jc w:val="left"/>
              <w:rPr>
                <w:rFonts w:ascii="宋体" w:hAnsi="宋体"/>
                <w:color w:val="auto"/>
                <w:sz w:val="24"/>
                <w:highlight w:val="none"/>
              </w:rPr>
            </w:pPr>
          </w:p>
          <w:p w14:paraId="63A57DE2">
            <w:pPr>
              <w:widowControl/>
              <w:spacing w:line="440" w:lineRule="exact"/>
              <w:jc w:val="left"/>
              <w:rPr>
                <w:rFonts w:ascii="宋体" w:hAnsi="宋体"/>
                <w:color w:val="auto"/>
                <w:sz w:val="24"/>
                <w:highlight w:val="none"/>
              </w:rPr>
            </w:pPr>
          </w:p>
          <w:p w14:paraId="6BB0D9F2">
            <w:pPr>
              <w:widowControl/>
              <w:spacing w:line="440" w:lineRule="exact"/>
              <w:jc w:val="left"/>
              <w:rPr>
                <w:rFonts w:ascii="宋体" w:hAnsi="宋体"/>
                <w:color w:val="auto"/>
                <w:sz w:val="24"/>
                <w:highlight w:val="none"/>
              </w:rPr>
            </w:pPr>
          </w:p>
          <w:p w14:paraId="4A312A2F">
            <w:pPr>
              <w:widowControl/>
              <w:spacing w:line="440" w:lineRule="exact"/>
              <w:jc w:val="left"/>
              <w:rPr>
                <w:rFonts w:ascii="宋体" w:hAnsi="宋体"/>
                <w:color w:val="auto"/>
                <w:sz w:val="24"/>
                <w:highlight w:val="none"/>
              </w:rPr>
            </w:pPr>
          </w:p>
          <w:p w14:paraId="5C2EC836">
            <w:pPr>
              <w:widowControl/>
              <w:spacing w:line="440" w:lineRule="exact"/>
              <w:jc w:val="left"/>
              <w:rPr>
                <w:rFonts w:ascii="宋体" w:hAnsi="宋体"/>
                <w:color w:val="auto"/>
                <w:sz w:val="24"/>
                <w:highlight w:val="none"/>
              </w:rPr>
            </w:pPr>
          </w:p>
          <w:p w14:paraId="6360E642">
            <w:pPr>
              <w:widowControl/>
              <w:spacing w:line="440" w:lineRule="exact"/>
              <w:jc w:val="left"/>
              <w:rPr>
                <w:rFonts w:ascii="宋体" w:hAnsi="宋体"/>
                <w:color w:val="auto"/>
                <w:sz w:val="24"/>
                <w:highlight w:val="none"/>
              </w:rPr>
            </w:pPr>
          </w:p>
          <w:p w14:paraId="5D9451A4">
            <w:pPr>
              <w:spacing w:line="440" w:lineRule="exact"/>
              <w:rPr>
                <w:rFonts w:ascii="宋体" w:hAnsi="宋体"/>
                <w:color w:val="auto"/>
                <w:sz w:val="24"/>
                <w:highlight w:val="none"/>
              </w:rPr>
            </w:pPr>
          </w:p>
        </w:tc>
      </w:tr>
    </w:tbl>
    <w:p w14:paraId="43BEBE4D">
      <w:pPr>
        <w:spacing w:line="440" w:lineRule="exact"/>
        <w:jc w:val="center"/>
        <w:rPr>
          <w:rFonts w:ascii="宋体" w:hAnsi="宋体"/>
          <w:color w:val="auto"/>
          <w:sz w:val="36"/>
          <w:highlight w:val="none"/>
        </w:rPr>
      </w:pPr>
    </w:p>
    <w:p w14:paraId="4C6CC3E5">
      <w:pPr>
        <w:spacing w:line="440" w:lineRule="exact"/>
        <w:rPr>
          <w:rFonts w:ascii="楷体_GB2312" w:eastAsia="楷体_GB2312"/>
          <w:color w:val="auto"/>
          <w:sz w:val="24"/>
          <w:highlight w:val="none"/>
          <w:u w:val="single"/>
        </w:rPr>
      </w:pPr>
      <w:r>
        <w:rPr>
          <w:rFonts w:hint="eastAsia" w:ascii="宋体" w:hAnsi="宋体"/>
          <w:color w:val="auto"/>
          <w:sz w:val="24"/>
          <w:highlight w:val="none"/>
        </w:rPr>
        <w:t>投标人代表签字：</w:t>
      </w:r>
      <w:r>
        <w:rPr>
          <w:rFonts w:hint="eastAsia" w:ascii="宋体" w:hAnsi="宋体"/>
          <w:color w:val="auto"/>
          <w:sz w:val="24"/>
          <w:highlight w:val="none"/>
          <w:u w:val="single"/>
        </w:rPr>
        <w:t xml:space="preserve">                               </w:t>
      </w:r>
    </w:p>
    <w:p w14:paraId="055B73DF">
      <w:pPr>
        <w:spacing w:line="440" w:lineRule="exact"/>
        <w:jc w:val="center"/>
        <w:rPr>
          <w:rFonts w:ascii="黑体" w:eastAsia="黑体"/>
          <w:color w:val="auto"/>
          <w:sz w:val="30"/>
          <w:szCs w:val="30"/>
          <w:highlight w:val="none"/>
        </w:rPr>
      </w:pPr>
      <w:r>
        <w:rPr>
          <w:rFonts w:hint="eastAsia" w:ascii="黑体" w:eastAsia="黑体"/>
          <w:color w:val="auto"/>
          <w:sz w:val="36"/>
          <w:highlight w:val="none"/>
        </w:rPr>
        <w:br w:type="page"/>
      </w:r>
      <w:r>
        <w:rPr>
          <w:rFonts w:hint="eastAsia" w:ascii="黑体" w:eastAsia="黑体"/>
          <w:color w:val="auto"/>
          <w:sz w:val="30"/>
          <w:szCs w:val="30"/>
          <w:highlight w:val="none"/>
        </w:rPr>
        <w:t>5.商务条款偏离表</w:t>
      </w:r>
    </w:p>
    <w:p w14:paraId="0B8B41B1">
      <w:pPr>
        <w:spacing w:line="440" w:lineRule="exact"/>
        <w:rPr>
          <w:rFonts w:ascii="宋体" w:hAnsi="宋体"/>
          <w:color w:val="auto"/>
          <w:sz w:val="24"/>
          <w:highlight w:val="none"/>
          <w:u w:val="single"/>
        </w:rPr>
      </w:pPr>
      <w:r>
        <w:rPr>
          <w:rFonts w:hint="eastAsia" w:ascii="宋体" w:hAnsi="宋体"/>
          <w:color w:val="auto"/>
          <w:sz w:val="24"/>
          <w:highlight w:val="none"/>
        </w:rPr>
        <w:t>投标人名称：</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招标编号：</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标度号：</w:t>
      </w:r>
      <w:r>
        <w:rPr>
          <w:rFonts w:hint="eastAsia" w:ascii="宋体" w:hAnsi="宋体"/>
          <w:color w:val="auto"/>
          <w:sz w:val="24"/>
          <w:highlight w:val="none"/>
          <w:u w:val="single"/>
        </w:rPr>
        <w:t xml:space="preserve">        </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14:paraId="31040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559B8B6D">
            <w:pPr>
              <w:spacing w:line="440" w:lineRule="exact"/>
              <w:jc w:val="center"/>
              <w:rPr>
                <w:rFonts w:ascii="宋体" w:hAnsi="宋体"/>
                <w:color w:val="auto"/>
                <w:sz w:val="24"/>
                <w:highlight w:val="none"/>
              </w:rPr>
            </w:pPr>
            <w:r>
              <w:rPr>
                <w:rFonts w:hint="eastAsia" w:ascii="宋体" w:hAnsi="宋体"/>
                <w:color w:val="auto"/>
                <w:sz w:val="24"/>
                <w:highlight w:val="none"/>
              </w:rPr>
              <w:t>序  号</w:t>
            </w:r>
          </w:p>
        </w:tc>
        <w:tc>
          <w:tcPr>
            <w:tcW w:w="1705" w:type="dxa"/>
            <w:tcBorders>
              <w:top w:val="single" w:color="auto" w:sz="4" w:space="0"/>
              <w:left w:val="single" w:color="auto" w:sz="4" w:space="0"/>
              <w:bottom w:val="single" w:color="auto" w:sz="4" w:space="0"/>
              <w:right w:val="single" w:color="auto" w:sz="4" w:space="0"/>
            </w:tcBorders>
          </w:tcPr>
          <w:p w14:paraId="0E4512C9">
            <w:pPr>
              <w:spacing w:line="440" w:lineRule="exact"/>
              <w:jc w:val="center"/>
              <w:rPr>
                <w:rFonts w:ascii="宋体" w:hAnsi="宋体"/>
                <w:color w:val="auto"/>
                <w:sz w:val="24"/>
                <w:highlight w:val="none"/>
              </w:rPr>
            </w:pPr>
            <w:r>
              <w:rPr>
                <w:rFonts w:hint="eastAsia" w:ascii="宋体" w:hAnsi="宋体"/>
                <w:color w:val="auto"/>
                <w:sz w:val="24"/>
                <w:highlight w:val="none"/>
              </w:rPr>
              <w:t>标书要求的商务条款</w:t>
            </w:r>
          </w:p>
        </w:tc>
        <w:tc>
          <w:tcPr>
            <w:tcW w:w="1705" w:type="dxa"/>
            <w:tcBorders>
              <w:top w:val="single" w:color="auto" w:sz="4" w:space="0"/>
              <w:left w:val="single" w:color="auto" w:sz="4" w:space="0"/>
              <w:bottom w:val="single" w:color="auto" w:sz="4" w:space="0"/>
              <w:right w:val="single" w:color="auto" w:sz="4" w:space="0"/>
            </w:tcBorders>
          </w:tcPr>
          <w:p w14:paraId="7A84E43B">
            <w:pPr>
              <w:spacing w:line="440" w:lineRule="exact"/>
              <w:jc w:val="center"/>
              <w:rPr>
                <w:rFonts w:ascii="宋体" w:hAnsi="宋体"/>
                <w:color w:val="auto"/>
                <w:sz w:val="24"/>
                <w:highlight w:val="none"/>
              </w:rPr>
            </w:pPr>
            <w:r>
              <w:rPr>
                <w:rFonts w:hint="eastAsia" w:ascii="宋体" w:hAnsi="宋体"/>
                <w:color w:val="auto"/>
                <w:sz w:val="24"/>
                <w:highlight w:val="none"/>
              </w:rPr>
              <w:t>投标文件的商务条款</w:t>
            </w:r>
          </w:p>
        </w:tc>
        <w:tc>
          <w:tcPr>
            <w:tcW w:w="1705" w:type="dxa"/>
            <w:tcBorders>
              <w:top w:val="single" w:color="auto" w:sz="4" w:space="0"/>
              <w:left w:val="single" w:color="auto" w:sz="4" w:space="0"/>
              <w:bottom w:val="single" w:color="auto" w:sz="4" w:space="0"/>
              <w:right w:val="single" w:color="auto" w:sz="4" w:space="0"/>
            </w:tcBorders>
          </w:tcPr>
          <w:p w14:paraId="4705265F">
            <w:pPr>
              <w:spacing w:line="440" w:lineRule="exact"/>
              <w:jc w:val="center"/>
              <w:rPr>
                <w:rFonts w:ascii="宋体" w:hAnsi="宋体"/>
                <w:color w:val="auto"/>
                <w:sz w:val="24"/>
                <w:highlight w:val="none"/>
              </w:rPr>
            </w:pPr>
            <w:r>
              <w:rPr>
                <w:rFonts w:hint="eastAsia" w:ascii="宋体" w:hAnsi="宋体"/>
                <w:color w:val="auto"/>
                <w:sz w:val="24"/>
                <w:highlight w:val="none"/>
              </w:rPr>
              <w:t>偏离与否</w:t>
            </w:r>
          </w:p>
        </w:tc>
        <w:tc>
          <w:tcPr>
            <w:tcW w:w="1705" w:type="dxa"/>
            <w:tcBorders>
              <w:top w:val="single" w:color="auto" w:sz="4" w:space="0"/>
              <w:left w:val="single" w:color="auto" w:sz="4" w:space="0"/>
              <w:bottom w:val="single" w:color="auto" w:sz="4" w:space="0"/>
              <w:right w:val="single" w:color="auto" w:sz="4" w:space="0"/>
            </w:tcBorders>
          </w:tcPr>
          <w:p w14:paraId="6ECA2751">
            <w:pPr>
              <w:spacing w:line="440" w:lineRule="exact"/>
              <w:jc w:val="center"/>
              <w:rPr>
                <w:rFonts w:ascii="宋体" w:hAnsi="宋体"/>
                <w:color w:val="auto"/>
                <w:sz w:val="24"/>
                <w:highlight w:val="none"/>
              </w:rPr>
            </w:pPr>
            <w:r>
              <w:rPr>
                <w:rFonts w:hint="eastAsia" w:ascii="宋体" w:hAnsi="宋体"/>
                <w:color w:val="auto"/>
                <w:sz w:val="24"/>
                <w:highlight w:val="none"/>
              </w:rPr>
              <w:t>说 明</w:t>
            </w:r>
          </w:p>
        </w:tc>
      </w:tr>
      <w:tr w14:paraId="1CA99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37EA7438">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33ECA25C">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17CF5618">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035AA103">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19AB9786">
            <w:pPr>
              <w:spacing w:line="440" w:lineRule="exact"/>
              <w:rPr>
                <w:rFonts w:ascii="宋体" w:hAnsi="宋体"/>
                <w:color w:val="auto"/>
                <w:sz w:val="36"/>
                <w:highlight w:val="none"/>
              </w:rPr>
            </w:pPr>
          </w:p>
        </w:tc>
      </w:tr>
      <w:tr w14:paraId="3307C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4C77638D">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38A159C7">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79DC55CC">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1C6D92B6">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3CD01BA3">
            <w:pPr>
              <w:spacing w:line="440" w:lineRule="exact"/>
              <w:rPr>
                <w:rFonts w:ascii="宋体" w:hAnsi="宋体"/>
                <w:color w:val="auto"/>
                <w:sz w:val="36"/>
                <w:highlight w:val="none"/>
              </w:rPr>
            </w:pPr>
          </w:p>
        </w:tc>
      </w:tr>
      <w:tr w14:paraId="041B6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6C57E528">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19B48541">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669632AA">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2F1C9825">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1A87B666">
            <w:pPr>
              <w:spacing w:line="440" w:lineRule="exact"/>
              <w:rPr>
                <w:rFonts w:ascii="宋体" w:hAnsi="宋体"/>
                <w:color w:val="auto"/>
                <w:sz w:val="36"/>
                <w:highlight w:val="none"/>
              </w:rPr>
            </w:pPr>
          </w:p>
        </w:tc>
      </w:tr>
      <w:tr w14:paraId="5961C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239E06BF">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0FE9BE48">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2FD218FD">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28B37420">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1174E3EE">
            <w:pPr>
              <w:spacing w:line="440" w:lineRule="exact"/>
              <w:rPr>
                <w:rFonts w:ascii="宋体" w:hAnsi="宋体"/>
                <w:color w:val="auto"/>
                <w:sz w:val="36"/>
                <w:highlight w:val="none"/>
              </w:rPr>
            </w:pPr>
          </w:p>
        </w:tc>
      </w:tr>
      <w:tr w14:paraId="1159F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572BD5D1">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10E389C4">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0E0D56DA">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10C5D015">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45A504C9">
            <w:pPr>
              <w:spacing w:line="440" w:lineRule="exact"/>
              <w:rPr>
                <w:rFonts w:ascii="宋体" w:hAnsi="宋体"/>
                <w:color w:val="auto"/>
                <w:sz w:val="36"/>
                <w:highlight w:val="none"/>
              </w:rPr>
            </w:pPr>
          </w:p>
        </w:tc>
      </w:tr>
      <w:tr w14:paraId="2A7BC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74B13548">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745DED76">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2D28DE8B">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2D337167">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0C2D30EE">
            <w:pPr>
              <w:spacing w:line="440" w:lineRule="exact"/>
              <w:rPr>
                <w:rFonts w:ascii="宋体" w:hAnsi="宋体"/>
                <w:color w:val="auto"/>
                <w:sz w:val="36"/>
                <w:highlight w:val="none"/>
              </w:rPr>
            </w:pPr>
          </w:p>
        </w:tc>
      </w:tr>
      <w:tr w14:paraId="785C5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2A519AD0">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6629AFE5">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6F93C7DB">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771030AD">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7E10ABCF">
            <w:pPr>
              <w:spacing w:line="440" w:lineRule="exact"/>
              <w:rPr>
                <w:rFonts w:ascii="宋体" w:hAnsi="宋体"/>
                <w:color w:val="auto"/>
                <w:sz w:val="36"/>
                <w:highlight w:val="none"/>
              </w:rPr>
            </w:pPr>
          </w:p>
        </w:tc>
      </w:tr>
      <w:tr w14:paraId="467FE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6C0E9A1F">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7724E0B7">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4C75996C">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51D09435">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34B65F59">
            <w:pPr>
              <w:spacing w:line="440" w:lineRule="exact"/>
              <w:rPr>
                <w:rFonts w:ascii="宋体" w:hAnsi="宋体"/>
                <w:color w:val="auto"/>
                <w:sz w:val="36"/>
                <w:highlight w:val="none"/>
              </w:rPr>
            </w:pPr>
          </w:p>
        </w:tc>
      </w:tr>
      <w:tr w14:paraId="38618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11FDD255">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7A2C7798">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53E1772C">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0D168A76">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09E54D44">
            <w:pPr>
              <w:spacing w:line="440" w:lineRule="exact"/>
              <w:rPr>
                <w:rFonts w:ascii="宋体" w:hAnsi="宋体"/>
                <w:color w:val="auto"/>
                <w:sz w:val="36"/>
                <w:highlight w:val="none"/>
              </w:rPr>
            </w:pPr>
          </w:p>
        </w:tc>
      </w:tr>
      <w:tr w14:paraId="549D1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646DBEED">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25792FCD">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09E70922">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2A7FFF52">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3E82CC13">
            <w:pPr>
              <w:spacing w:line="440" w:lineRule="exact"/>
              <w:rPr>
                <w:rFonts w:ascii="宋体" w:hAnsi="宋体"/>
                <w:color w:val="auto"/>
                <w:sz w:val="36"/>
                <w:highlight w:val="none"/>
              </w:rPr>
            </w:pPr>
          </w:p>
        </w:tc>
      </w:tr>
      <w:tr w14:paraId="04113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534828AE">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6C729160">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66836F58">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20B297F1">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384DCE88">
            <w:pPr>
              <w:spacing w:line="440" w:lineRule="exact"/>
              <w:rPr>
                <w:rFonts w:ascii="宋体" w:hAnsi="宋体"/>
                <w:color w:val="auto"/>
                <w:sz w:val="36"/>
                <w:highlight w:val="none"/>
              </w:rPr>
            </w:pPr>
          </w:p>
        </w:tc>
      </w:tr>
      <w:tr w14:paraId="2BF5E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5659B58D">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3F2B5832">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291C5B7B">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2A49E9EC">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66ECD6D2">
            <w:pPr>
              <w:spacing w:line="440" w:lineRule="exact"/>
              <w:rPr>
                <w:rFonts w:ascii="宋体" w:hAnsi="宋体"/>
                <w:color w:val="auto"/>
                <w:sz w:val="36"/>
                <w:highlight w:val="none"/>
              </w:rPr>
            </w:pPr>
          </w:p>
        </w:tc>
      </w:tr>
      <w:tr w14:paraId="6C55C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1D46DCF7">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79E76AB3">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70EF0769">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59AB279B">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565D5275">
            <w:pPr>
              <w:spacing w:line="440" w:lineRule="exact"/>
              <w:rPr>
                <w:rFonts w:ascii="宋体" w:hAnsi="宋体"/>
                <w:color w:val="auto"/>
                <w:sz w:val="36"/>
                <w:highlight w:val="none"/>
              </w:rPr>
            </w:pPr>
          </w:p>
        </w:tc>
      </w:tr>
      <w:tr w14:paraId="1B13F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728CC8B4">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3303738F">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518411CC">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209FEC44">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0D4D7907">
            <w:pPr>
              <w:spacing w:line="440" w:lineRule="exact"/>
              <w:rPr>
                <w:rFonts w:ascii="宋体" w:hAnsi="宋体"/>
                <w:color w:val="auto"/>
                <w:sz w:val="36"/>
                <w:highlight w:val="none"/>
              </w:rPr>
            </w:pPr>
          </w:p>
        </w:tc>
      </w:tr>
      <w:tr w14:paraId="03B6E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372AA1D8">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43A3B87C">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388C71DA">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1B5AF3EF">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054EBF61">
            <w:pPr>
              <w:spacing w:line="440" w:lineRule="exact"/>
              <w:rPr>
                <w:rFonts w:ascii="宋体" w:hAnsi="宋体"/>
                <w:color w:val="auto"/>
                <w:sz w:val="36"/>
                <w:highlight w:val="none"/>
              </w:rPr>
            </w:pPr>
          </w:p>
        </w:tc>
      </w:tr>
      <w:tr w14:paraId="13776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6933A089">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2CD24AE8">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3A11B40A">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72F10691">
            <w:pPr>
              <w:spacing w:line="440" w:lineRule="exact"/>
              <w:rPr>
                <w:rFonts w:ascii="宋体" w:hAnsi="宋体"/>
                <w:color w:val="auto"/>
                <w:sz w:val="36"/>
                <w:highlight w:val="none"/>
              </w:rPr>
            </w:pPr>
          </w:p>
        </w:tc>
        <w:tc>
          <w:tcPr>
            <w:tcW w:w="1705" w:type="dxa"/>
            <w:tcBorders>
              <w:top w:val="single" w:color="auto" w:sz="4" w:space="0"/>
              <w:left w:val="single" w:color="auto" w:sz="4" w:space="0"/>
              <w:bottom w:val="single" w:color="auto" w:sz="4" w:space="0"/>
              <w:right w:val="single" w:color="auto" w:sz="4" w:space="0"/>
            </w:tcBorders>
          </w:tcPr>
          <w:p w14:paraId="5A4F1098">
            <w:pPr>
              <w:spacing w:line="440" w:lineRule="exact"/>
              <w:rPr>
                <w:rFonts w:ascii="宋体" w:hAnsi="宋体"/>
                <w:color w:val="auto"/>
                <w:sz w:val="36"/>
                <w:highlight w:val="none"/>
              </w:rPr>
            </w:pPr>
          </w:p>
        </w:tc>
      </w:tr>
    </w:tbl>
    <w:p w14:paraId="4F2FC62D">
      <w:pPr>
        <w:pStyle w:val="9"/>
        <w:spacing w:line="440" w:lineRule="exact"/>
        <w:rPr>
          <w:rFonts w:ascii="黑体" w:eastAsia="黑体"/>
          <w:color w:val="auto"/>
          <w:sz w:val="36"/>
          <w:highlight w:val="none"/>
        </w:rPr>
      </w:pPr>
      <w:r>
        <w:rPr>
          <w:rFonts w:hint="eastAsia" w:ascii="宋体" w:hAnsi="宋体" w:eastAsia="宋体"/>
          <w:color w:val="auto"/>
          <w:highlight w:val="none"/>
        </w:rPr>
        <w:t>投标人名称：</w:t>
      </w:r>
      <w:r>
        <w:rPr>
          <w:rFonts w:hint="eastAsia" w:ascii="宋体" w:hAnsi="宋体" w:eastAsia="宋体"/>
          <w:color w:val="auto"/>
          <w:highlight w:val="none"/>
          <w:u w:val="single"/>
        </w:rPr>
        <w:t xml:space="preserve">                     </w:t>
      </w:r>
      <w:r>
        <w:rPr>
          <w:color w:val="auto"/>
          <w:highlight w:val="none"/>
        </w:rPr>
        <w:t xml:space="preserve">                      </w:t>
      </w:r>
      <w:r>
        <w:rPr>
          <w:rFonts w:hint="eastAsia" w:ascii="黑体" w:eastAsia="黑体"/>
          <w:color w:val="auto"/>
          <w:sz w:val="36"/>
          <w:highlight w:val="none"/>
        </w:rPr>
        <w:br w:type="page"/>
      </w:r>
    </w:p>
    <w:p w14:paraId="7EDC832C">
      <w:pPr>
        <w:pStyle w:val="9"/>
        <w:spacing w:line="440" w:lineRule="exact"/>
        <w:jc w:val="center"/>
        <w:rPr>
          <w:rFonts w:ascii="黑体" w:eastAsia="黑体"/>
          <w:color w:val="auto"/>
          <w:szCs w:val="30"/>
          <w:highlight w:val="none"/>
        </w:rPr>
      </w:pPr>
      <w:r>
        <w:rPr>
          <w:rFonts w:hint="eastAsia" w:ascii="黑体" w:eastAsia="黑体"/>
          <w:color w:val="auto"/>
          <w:szCs w:val="30"/>
          <w:highlight w:val="none"/>
        </w:rPr>
        <w:t>6.服  务</w:t>
      </w:r>
    </w:p>
    <w:p w14:paraId="03DEF33D">
      <w:pPr>
        <w:spacing w:line="440" w:lineRule="exact"/>
        <w:rPr>
          <w:rFonts w:ascii="宋体" w:hAnsi="宋体"/>
          <w:color w:val="auto"/>
          <w:sz w:val="24"/>
          <w:highlight w:val="none"/>
        </w:rPr>
      </w:pPr>
      <w:r>
        <w:rPr>
          <w:rFonts w:hint="eastAsia" w:ascii="宋体" w:hAnsi="宋体"/>
          <w:color w:val="auto"/>
          <w:sz w:val="24"/>
          <w:highlight w:val="none"/>
        </w:rPr>
        <w:t>注：1、投标人可提供的培训、售后服务等技术服务情况。</w:t>
      </w:r>
    </w:p>
    <w:p w14:paraId="16D5165A">
      <w:pPr>
        <w:spacing w:line="440" w:lineRule="exact"/>
        <w:rPr>
          <w:rFonts w:ascii="宋体" w:hAnsi="宋体"/>
          <w:color w:val="auto"/>
          <w:sz w:val="24"/>
          <w:highlight w:val="none"/>
        </w:rPr>
      </w:pPr>
      <w:r>
        <w:rPr>
          <w:rFonts w:hint="eastAsia" w:ascii="宋体" w:hAnsi="宋体"/>
          <w:color w:val="auto"/>
          <w:sz w:val="24"/>
          <w:highlight w:val="none"/>
        </w:rPr>
        <w:t xml:space="preserve">    2、须提供培训、售后服务等详细计划，包括时间、人员等安排，及须买方预先做的准备工作等（如有）。</w:t>
      </w:r>
    </w:p>
    <w:p w14:paraId="3EDD03D6">
      <w:pPr>
        <w:spacing w:line="440" w:lineRule="exact"/>
        <w:jc w:val="center"/>
        <w:rPr>
          <w:rFonts w:ascii="黑体" w:eastAsia="黑体"/>
          <w:color w:val="auto"/>
          <w:sz w:val="30"/>
          <w:szCs w:val="30"/>
          <w:highlight w:val="none"/>
        </w:rPr>
      </w:pPr>
      <w:r>
        <w:rPr>
          <w:rFonts w:hint="eastAsia" w:ascii="黑体" w:eastAsia="黑体"/>
          <w:color w:val="auto"/>
          <w:sz w:val="36"/>
          <w:highlight w:val="none"/>
        </w:rPr>
        <w:br w:type="page"/>
      </w:r>
      <w:r>
        <w:rPr>
          <w:rFonts w:hint="eastAsia" w:ascii="黑体" w:eastAsia="黑体"/>
          <w:color w:val="auto"/>
          <w:sz w:val="30"/>
          <w:szCs w:val="30"/>
          <w:highlight w:val="none"/>
        </w:rPr>
        <w:t>7.经营业绩</w:t>
      </w:r>
    </w:p>
    <w:p w14:paraId="5AD318DA">
      <w:pPr>
        <w:spacing w:line="440" w:lineRule="exact"/>
        <w:rPr>
          <w:rFonts w:ascii="宋体" w:hAnsi="宋体"/>
          <w:color w:val="auto"/>
          <w:sz w:val="24"/>
          <w:highlight w:val="none"/>
        </w:rPr>
      </w:pPr>
      <w:r>
        <w:rPr>
          <w:rFonts w:hint="eastAsia" w:ascii="宋体" w:hAnsi="宋体"/>
          <w:color w:val="auto"/>
          <w:sz w:val="24"/>
          <w:highlight w:val="none"/>
        </w:rPr>
        <w:t>（注：投标货物的制造及销售业绩，提供近三年同类货物的规模及销售情况，以及在用户名单、联系方法、合同原件备查等。）</w:t>
      </w:r>
    </w:p>
    <w:p w14:paraId="51DD9CE6">
      <w:pPr>
        <w:spacing w:line="440" w:lineRule="exact"/>
        <w:rPr>
          <w:rFonts w:ascii="楷体_GB2312" w:eastAsia="楷体_GB2312"/>
          <w:color w:val="auto"/>
          <w:sz w:val="24"/>
          <w:highlight w:val="none"/>
        </w:rPr>
      </w:pPr>
    </w:p>
    <w:p w14:paraId="782E78C7">
      <w:pPr>
        <w:spacing w:line="440" w:lineRule="exact"/>
        <w:rPr>
          <w:rFonts w:ascii="楷体_GB2312" w:eastAsia="楷体_GB2312"/>
          <w:color w:val="auto"/>
          <w:sz w:val="24"/>
          <w:highlight w:val="none"/>
        </w:rPr>
      </w:pPr>
    </w:p>
    <w:p w14:paraId="0A177238">
      <w:pPr>
        <w:spacing w:line="440" w:lineRule="exact"/>
        <w:rPr>
          <w:rFonts w:ascii="楷体_GB2312" w:eastAsia="楷体_GB2312"/>
          <w:color w:val="auto"/>
          <w:sz w:val="24"/>
          <w:highlight w:val="none"/>
        </w:rPr>
      </w:pPr>
    </w:p>
    <w:p w14:paraId="25640BA5">
      <w:pPr>
        <w:spacing w:line="440" w:lineRule="exact"/>
        <w:rPr>
          <w:rFonts w:ascii="楷体_GB2312" w:eastAsia="楷体_GB2312"/>
          <w:color w:val="auto"/>
          <w:sz w:val="24"/>
          <w:highlight w:val="none"/>
        </w:rPr>
      </w:pPr>
    </w:p>
    <w:p w14:paraId="611F1330">
      <w:pPr>
        <w:spacing w:line="440" w:lineRule="exact"/>
        <w:rPr>
          <w:rFonts w:ascii="楷体_GB2312" w:eastAsia="楷体_GB2312"/>
          <w:color w:val="auto"/>
          <w:sz w:val="24"/>
          <w:highlight w:val="none"/>
        </w:rPr>
      </w:pPr>
    </w:p>
    <w:p w14:paraId="3507733C">
      <w:pPr>
        <w:spacing w:line="440" w:lineRule="exact"/>
        <w:rPr>
          <w:rFonts w:ascii="楷体_GB2312" w:eastAsia="楷体_GB2312"/>
          <w:color w:val="auto"/>
          <w:sz w:val="24"/>
          <w:highlight w:val="none"/>
        </w:rPr>
      </w:pPr>
    </w:p>
    <w:p w14:paraId="74367479">
      <w:pPr>
        <w:spacing w:line="440" w:lineRule="exact"/>
        <w:rPr>
          <w:rFonts w:ascii="楷体_GB2312" w:eastAsia="楷体_GB2312"/>
          <w:color w:val="auto"/>
          <w:sz w:val="24"/>
          <w:highlight w:val="none"/>
        </w:rPr>
      </w:pPr>
    </w:p>
    <w:p w14:paraId="50D0E422">
      <w:pPr>
        <w:spacing w:line="440" w:lineRule="exact"/>
        <w:rPr>
          <w:rFonts w:ascii="楷体_GB2312" w:eastAsia="楷体_GB2312"/>
          <w:color w:val="auto"/>
          <w:sz w:val="24"/>
          <w:highlight w:val="none"/>
        </w:rPr>
      </w:pPr>
    </w:p>
    <w:p w14:paraId="1D3291D1">
      <w:pPr>
        <w:spacing w:line="440" w:lineRule="exact"/>
        <w:rPr>
          <w:rFonts w:ascii="楷体_GB2312" w:eastAsia="楷体_GB2312"/>
          <w:color w:val="auto"/>
          <w:sz w:val="24"/>
          <w:highlight w:val="none"/>
        </w:rPr>
      </w:pPr>
    </w:p>
    <w:p w14:paraId="701BE5B0">
      <w:pPr>
        <w:spacing w:line="440" w:lineRule="exact"/>
        <w:rPr>
          <w:rFonts w:ascii="楷体_GB2312" w:eastAsia="楷体_GB2312"/>
          <w:color w:val="auto"/>
          <w:sz w:val="24"/>
          <w:highlight w:val="none"/>
        </w:rPr>
      </w:pPr>
    </w:p>
    <w:p w14:paraId="395BF05A">
      <w:pPr>
        <w:spacing w:line="440" w:lineRule="exact"/>
        <w:rPr>
          <w:rFonts w:ascii="楷体_GB2312" w:eastAsia="楷体_GB2312"/>
          <w:color w:val="auto"/>
          <w:sz w:val="24"/>
          <w:highlight w:val="none"/>
        </w:rPr>
      </w:pPr>
    </w:p>
    <w:p w14:paraId="1C86501A">
      <w:pPr>
        <w:spacing w:line="440" w:lineRule="exact"/>
        <w:rPr>
          <w:rFonts w:ascii="楷体_GB2312" w:eastAsia="楷体_GB2312"/>
          <w:color w:val="auto"/>
          <w:sz w:val="24"/>
          <w:highlight w:val="none"/>
        </w:rPr>
      </w:pPr>
    </w:p>
    <w:p w14:paraId="7D02F047">
      <w:pPr>
        <w:spacing w:line="440" w:lineRule="exact"/>
        <w:rPr>
          <w:rFonts w:ascii="楷体_GB2312" w:eastAsia="楷体_GB2312"/>
          <w:color w:val="auto"/>
          <w:sz w:val="24"/>
          <w:highlight w:val="none"/>
        </w:rPr>
      </w:pPr>
    </w:p>
    <w:p w14:paraId="239B7DC0">
      <w:pPr>
        <w:spacing w:line="440" w:lineRule="exact"/>
        <w:rPr>
          <w:rFonts w:ascii="楷体_GB2312" w:eastAsia="楷体_GB2312"/>
          <w:color w:val="auto"/>
          <w:sz w:val="24"/>
          <w:highlight w:val="none"/>
        </w:rPr>
      </w:pPr>
    </w:p>
    <w:p w14:paraId="56DEC27E">
      <w:pPr>
        <w:spacing w:line="440" w:lineRule="exact"/>
        <w:rPr>
          <w:rFonts w:ascii="楷体_GB2312" w:eastAsia="楷体_GB2312"/>
          <w:color w:val="auto"/>
          <w:sz w:val="24"/>
          <w:highlight w:val="none"/>
        </w:rPr>
      </w:pPr>
    </w:p>
    <w:p w14:paraId="2DA7969A">
      <w:pPr>
        <w:spacing w:line="440" w:lineRule="exact"/>
        <w:rPr>
          <w:rFonts w:ascii="楷体_GB2312" w:eastAsia="楷体_GB2312"/>
          <w:color w:val="auto"/>
          <w:sz w:val="24"/>
          <w:highlight w:val="none"/>
        </w:rPr>
      </w:pPr>
    </w:p>
    <w:p w14:paraId="7B8AF400">
      <w:pPr>
        <w:spacing w:line="440" w:lineRule="exact"/>
        <w:rPr>
          <w:rFonts w:ascii="楷体_GB2312" w:eastAsia="楷体_GB2312"/>
          <w:color w:val="auto"/>
          <w:sz w:val="24"/>
          <w:highlight w:val="none"/>
        </w:rPr>
      </w:pPr>
    </w:p>
    <w:p w14:paraId="27D234DE">
      <w:pPr>
        <w:spacing w:line="440" w:lineRule="exact"/>
        <w:rPr>
          <w:rFonts w:ascii="楷体_GB2312" w:eastAsia="楷体_GB2312"/>
          <w:color w:val="auto"/>
          <w:sz w:val="24"/>
          <w:highlight w:val="none"/>
        </w:rPr>
      </w:pPr>
    </w:p>
    <w:p w14:paraId="5959CB57">
      <w:pPr>
        <w:spacing w:line="440" w:lineRule="exact"/>
        <w:rPr>
          <w:rFonts w:ascii="楷体_GB2312" w:eastAsia="楷体_GB2312"/>
          <w:color w:val="auto"/>
          <w:sz w:val="24"/>
          <w:highlight w:val="none"/>
        </w:rPr>
      </w:pPr>
    </w:p>
    <w:p w14:paraId="28FB914E">
      <w:pPr>
        <w:spacing w:line="440" w:lineRule="exact"/>
        <w:rPr>
          <w:rFonts w:ascii="楷体_GB2312" w:eastAsia="楷体_GB2312"/>
          <w:color w:val="auto"/>
          <w:sz w:val="24"/>
          <w:highlight w:val="none"/>
        </w:rPr>
      </w:pPr>
    </w:p>
    <w:p w14:paraId="2E6C5F7D">
      <w:pPr>
        <w:spacing w:line="440" w:lineRule="exact"/>
        <w:rPr>
          <w:rFonts w:ascii="楷体_GB2312" w:eastAsia="楷体_GB2312"/>
          <w:color w:val="auto"/>
          <w:sz w:val="24"/>
          <w:highlight w:val="none"/>
        </w:rPr>
      </w:pPr>
    </w:p>
    <w:p w14:paraId="45B1950A">
      <w:pPr>
        <w:spacing w:line="440" w:lineRule="exact"/>
        <w:rPr>
          <w:rFonts w:ascii="楷体_GB2312" w:eastAsia="楷体_GB2312"/>
          <w:color w:val="auto"/>
          <w:sz w:val="24"/>
          <w:highlight w:val="none"/>
        </w:rPr>
      </w:pPr>
    </w:p>
    <w:p w14:paraId="4E1DE577">
      <w:pPr>
        <w:pStyle w:val="9"/>
        <w:rPr>
          <w:rFonts w:ascii="楷体_GB2312" w:eastAsia="楷体_GB2312"/>
          <w:color w:val="auto"/>
          <w:sz w:val="24"/>
          <w:highlight w:val="none"/>
        </w:rPr>
      </w:pPr>
    </w:p>
    <w:p w14:paraId="6D392262">
      <w:pPr>
        <w:rPr>
          <w:rFonts w:ascii="楷体_GB2312" w:eastAsia="楷体_GB2312"/>
          <w:color w:val="auto"/>
          <w:sz w:val="24"/>
          <w:highlight w:val="none"/>
        </w:rPr>
      </w:pPr>
    </w:p>
    <w:p w14:paraId="5176CB16">
      <w:pPr>
        <w:pStyle w:val="9"/>
        <w:rPr>
          <w:rFonts w:ascii="楷体_GB2312" w:eastAsia="楷体_GB2312"/>
          <w:color w:val="auto"/>
          <w:sz w:val="24"/>
          <w:highlight w:val="none"/>
        </w:rPr>
      </w:pPr>
    </w:p>
    <w:p w14:paraId="158901FF">
      <w:pPr>
        <w:rPr>
          <w:rFonts w:ascii="楷体_GB2312" w:eastAsia="楷体_GB2312"/>
          <w:color w:val="auto"/>
          <w:sz w:val="24"/>
          <w:highlight w:val="none"/>
        </w:rPr>
      </w:pPr>
    </w:p>
    <w:p w14:paraId="760B47BB">
      <w:pPr>
        <w:pStyle w:val="9"/>
        <w:rPr>
          <w:rFonts w:ascii="楷体_GB2312" w:eastAsia="楷体_GB2312"/>
          <w:color w:val="auto"/>
          <w:sz w:val="24"/>
          <w:highlight w:val="none"/>
        </w:rPr>
      </w:pPr>
    </w:p>
    <w:p w14:paraId="75B84D44">
      <w:pPr>
        <w:rPr>
          <w:rFonts w:ascii="楷体_GB2312" w:eastAsia="楷体_GB2312"/>
          <w:color w:val="auto"/>
          <w:sz w:val="24"/>
          <w:highlight w:val="none"/>
        </w:rPr>
      </w:pPr>
    </w:p>
    <w:p w14:paraId="4A37BEEF">
      <w:pPr>
        <w:pStyle w:val="9"/>
        <w:rPr>
          <w:rFonts w:ascii="楷体_GB2312" w:eastAsia="楷体_GB2312"/>
          <w:color w:val="auto"/>
          <w:sz w:val="24"/>
          <w:highlight w:val="none"/>
        </w:rPr>
      </w:pPr>
    </w:p>
    <w:p w14:paraId="3FC100A9">
      <w:pPr>
        <w:rPr>
          <w:rFonts w:ascii="楷体_GB2312" w:eastAsia="楷体_GB2312"/>
          <w:color w:val="auto"/>
          <w:sz w:val="24"/>
          <w:highlight w:val="none"/>
        </w:rPr>
      </w:pPr>
    </w:p>
    <w:p w14:paraId="623E9FC4">
      <w:pPr>
        <w:pStyle w:val="9"/>
        <w:rPr>
          <w:color w:val="auto"/>
          <w:highlight w:val="none"/>
        </w:rPr>
      </w:pPr>
    </w:p>
    <w:p w14:paraId="4295CB07">
      <w:pPr>
        <w:autoSpaceDE w:val="0"/>
        <w:autoSpaceDN w:val="0"/>
        <w:adjustRightInd w:val="0"/>
        <w:snapToGrid w:val="0"/>
        <w:spacing w:line="440" w:lineRule="exact"/>
        <w:rPr>
          <w:rFonts w:ascii="黑体" w:hAnsi="宋体" w:eastAsia="黑体"/>
          <w:color w:val="auto"/>
          <w:sz w:val="32"/>
          <w:szCs w:val="32"/>
          <w:highlight w:val="none"/>
        </w:rPr>
      </w:pPr>
      <w:r>
        <w:rPr>
          <w:rFonts w:hint="eastAsia" w:ascii="黑体" w:hAnsi="宋体" w:eastAsia="黑体"/>
          <w:color w:val="auto"/>
          <w:sz w:val="32"/>
          <w:szCs w:val="32"/>
          <w:highlight w:val="none"/>
        </w:rPr>
        <w:t>附件：</w:t>
      </w:r>
    </w:p>
    <w:p w14:paraId="0C9086C3">
      <w:pPr>
        <w:rPr>
          <w:rFonts w:asciiTheme="minorEastAsia" w:hAnsiTheme="minorEastAsia" w:eastAsiaTheme="minorEastAsia"/>
          <w:b/>
          <w:color w:val="auto"/>
          <w:sz w:val="28"/>
          <w:szCs w:val="28"/>
          <w:highlight w:val="none"/>
        </w:rPr>
      </w:pPr>
      <w:r>
        <w:rPr>
          <w:rFonts w:hint="eastAsia" w:asciiTheme="minorEastAsia" w:hAnsiTheme="minorEastAsia" w:eastAsiaTheme="minorEastAsia"/>
          <w:b/>
          <w:color w:val="auto"/>
          <w:sz w:val="28"/>
          <w:szCs w:val="28"/>
          <w:highlight w:val="none"/>
        </w:rPr>
        <w:t>（一）江苏长江水务股份有限公司2024营业抄收管理系统升级实施需求</w:t>
      </w:r>
    </w:p>
    <w:p w14:paraId="644E4122">
      <w:pPr>
        <w:jc w:val="center"/>
        <w:rPr>
          <w:rFonts w:asciiTheme="minorEastAsia" w:hAnsiTheme="minorEastAsia" w:eastAsiaTheme="minorEastAsia"/>
          <w:color w:val="auto"/>
          <w:szCs w:val="21"/>
          <w:highlight w:val="none"/>
        </w:rPr>
      </w:pPr>
      <w:bookmarkStart w:id="3" w:name="_Toc209423433"/>
      <w:bookmarkStart w:id="4" w:name="_Toc70299371"/>
      <w:bookmarkStart w:id="5" w:name="_Toc53375684"/>
    </w:p>
    <w:p w14:paraId="24D6CEEA">
      <w:pPr>
        <w:spacing w:line="360" w:lineRule="auto"/>
        <w:ind w:firstLine="452"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pacing w:val="8"/>
          <w:szCs w:val="21"/>
          <w:highlight w:val="none"/>
        </w:rPr>
        <w:t>随着营业抄收业务系统功能的不断拓展，营业部门对外服务渠道不断扩大、用户服务范围的不断延伸，为了满足现代管理要求和进一步提高用户服务水平，需要对营业收费综合管理系统进行整合升级。营</w:t>
      </w:r>
      <w:r>
        <w:rPr>
          <w:rFonts w:hint="eastAsia" w:asciiTheme="minorEastAsia" w:hAnsiTheme="minorEastAsia" w:eastAsiaTheme="minorEastAsia"/>
          <w:color w:val="auto"/>
          <w:szCs w:val="21"/>
          <w:highlight w:val="none"/>
        </w:rPr>
        <w:t>业抄收管理系统升级需要拓展应用场景、规范管理业务、真实记录自来水用户及水表全周期信息、对抄收业务等进行统计，并能够有效分析工作绩效。</w:t>
      </w:r>
    </w:p>
    <w:p w14:paraId="173F651E">
      <w:pPr>
        <w:pStyle w:val="29"/>
        <w:numPr>
          <w:ilvl w:val="0"/>
          <w:numId w:val="6"/>
        </w:numPr>
        <w:spacing w:line="360" w:lineRule="auto"/>
        <w:ind w:left="0" w:firstLine="426" w:firstLineChars="202"/>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系统架构与建设要求</w:t>
      </w:r>
    </w:p>
    <w:p w14:paraId="18791B12">
      <w:pPr>
        <w:spacing w:line="360" w:lineRule="auto"/>
        <w:ind w:firstLine="42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现有在用的系统为C/S架构，决定了系统只能在局域网内运行，对管理等有着极大的局限性。为了使系统更加稳定和灵活部署，为未来系统功能拓展留出空间，结合城控集团“三网合一”的技术方案模式对现有的营业收费综合业务管理系统进行B/S改造。改造后将使系统应用更为方便，功能拓展更为便捷，通过互联网可进行操作、查询、统计等。并通过技术手段，数据分级处理，优化系统运行效率。需要进行B/S升级的主要业务模块包括用户档案管理、抄表收费管理、表务管理、用户报装管理、三来业务管理、综合业务统计分析报表等各大业务管理模块和各对外服务接口，在升级过程中不得中断或影响正常业务的办理。</w:t>
      </w:r>
    </w:p>
    <w:p w14:paraId="552AD9CE">
      <w:pPr>
        <w:spacing w:line="360" w:lineRule="auto"/>
        <w:ind w:firstLine="420"/>
        <w:rPr>
          <w:rFonts w:cs="微软雅黑" w:asciiTheme="minorEastAsia" w:hAnsiTheme="minorEastAsia" w:eastAsiaTheme="minorEastAsia"/>
          <w:color w:val="auto"/>
          <w:kern w:val="21"/>
          <w:szCs w:val="21"/>
          <w:highlight w:val="none"/>
        </w:rPr>
      </w:pPr>
      <w:r>
        <w:rPr>
          <w:rFonts w:hint="eastAsia" w:cs="微软雅黑" w:asciiTheme="minorEastAsia" w:hAnsiTheme="minorEastAsia" w:eastAsiaTheme="minorEastAsia"/>
          <w:color w:val="auto"/>
          <w:kern w:val="21"/>
          <w:szCs w:val="21"/>
          <w:highlight w:val="none"/>
        </w:rPr>
        <w:t>本系统实施须能满足智慧水务规划，对照国家、地区的法律法规、文件、行业相关政策规定，并符合国家及行业相关标准规范以及部省考核要求，升级改造现有系统。</w:t>
      </w:r>
    </w:p>
    <w:p w14:paraId="6AAD80A9">
      <w:pPr>
        <w:spacing w:line="360" w:lineRule="auto"/>
        <w:ind w:firstLine="420"/>
        <w:rPr>
          <w:rFonts w:cs="微软雅黑" w:asciiTheme="minorEastAsia" w:hAnsiTheme="minorEastAsia" w:eastAsiaTheme="minorEastAsia"/>
          <w:color w:val="auto"/>
          <w:kern w:val="21"/>
          <w:szCs w:val="21"/>
          <w:highlight w:val="none"/>
        </w:rPr>
      </w:pPr>
      <w:r>
        <w:rPr>
          <w:rFonts w:hint="eastAsia" w:cs="微软雅黑" w:asciiTheme="minorEastAsia" w:hAnsiTheme="minorEastAsia" w:eastAsiaTheme="minorEastAsia"/>
          <w:color w:val="auto"/>
          <w:kern w:val="21"/>
          <w:szCs w:val="21"/>
          <w:highlight w:val="none"/>
        </w:rPr>
        <w:t>系统建设要遵照住建部、省厅及成控集团相关要求，以统筹集约、业务融合、科学设计为目标，实行统一规划、分类指导，加强在系统对接、数据共享、业务协同、政策融合、标准规范等关键环节的协调发展。依托基础支撑体系构建智慧水务大数据生态体系、应用平台体系和实战赋能体系，提升实战水平的核心项目，必须遵循智慧城建总体规划，兼顾合规性、兼容性、松耦合性、可扩展性等要求，不断深化专业特色应用打下坚实基础。</w:t>
      </w:r>
    </w:p>
    <w:p w14:paraId="4EAD79B2">
      <w:pPr>
        <w:pStyle w:val="29"/>
        <w:numPr>
          <w:ilvl w:val="0"/>
          <w:numId w:val="6"/>
        </w:numPr>
        <w:spacing w:line="360" w:lineRule="auto"/>
        <w:ind w:left="0" w:firstLine="426" w:firstLineChars="202"/>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系统统一性要求</w:t>
      </w:r>
    </w:p>
    <w:p w14:paraId="220DF6DE">
      <w:pPr>
        <w:spacing w:line="360" w:lineRule="auto"/>
        <w:ind w:firstLine="420"/>
        <w:rPr>
          <w:rFonts w:cs="微软雅黑" w:asciiTheme="minorEastAsia" w:hAnsiTheme="minorEastAsia" w:eastAsiaTheme="minorEastAsia"/>
          <w:color w:val="auto"/>
          <w:kern w:val="21"/>
          <w:szCs w:val="21"/>
          <w:highlight w:val="none"/>
        </w:rPr>
      </w:pPr>
      <w:r>
        <w:rPr>
          <w:rFonts w:hint="eastAsia" w:cs="微软雅黑" w:asciiTheme="minorEastAsia" w:hAnsiTheme="minorEastAsia" w:eastAsiaTheme="minorEastAsia"/>
          <w:color w:val="auto"/>
          <w:kern w:val="21"/>
          <w:szCs w:val="21"/>
          <w:highlight w:val="none"/>
        </w:rPr>
        <w:t>1．市/区</w:t>
      </w:r>
      <w:r>
        <w:rPr>
          <w:rFonts w:hint="eastAsia" w:cs="宋体" w:asciiTheme="minorEastAsia" w:hAnsiTheme="minorEastAsia" w:eastAsiaTheme="minorEastAsia"/>
          <w:color w:val="auto"/>
          <w:szCs w:val="21"/>
          <w:highlight w:val="none"/>
        </w:rPr>
        <w:t>一体化</w:t>
      </w:r>
    </w:p>
    <w:p w14:paraId="2713E5D3">
      <w:pPr>
        <w:spacing w:line="360" w:lineRule="auto"/>
        <w:ind w:firstLine="420"/>
        <w:rPr>
          <w:rFonts w:cs="微软雅黑" w:asciiTheme="minorEastAsia" w:hAnsiTheme="minorEastAsia" w:eastAsiaTheme="minorEastAsia"/>
          <w:color w:val="auto"/>
          <w:kern w:val="21"/>
          <w:szCs w:val="21"/>
          <w:highlight w:val="none"/>
        </w:rPr>
      </w:pPr>
      <w:r>
        <w:rPr>
          <w:rFonts w:hint="eastAsia" w:cs="微软雅黑" w:asciiTheme="minorEastAsia" w:hAnsiTheme="minorEastAsia" w:eastAsiaTheme="minorEastAsia"/>
          <w:color w:val="auto"/>
          <w:kern w:val="21"/>
          <w:szCs w:val="21"/>
          <w:highlight w:val="none"/>
        </w:rPr>
        <w:t xml:space="preserve">项目建设应遵循“市/区一体化”建设原则，以长江水务为中心，市/区一体化统筹建设，预留其它区域水务公司的业务接口。项目中大数据生态体系、各综合业务、各项功能、市/区一体化工作台等涉及全市的基础应用和平台应当统建，并做好与现有其他系统的对接工作。 </w:t>
      </w:r>
    </w:p>
    <w:p w14:paraId="50875DD7">
      <w:pPr>
        <w:spacing w:line="360" w:lineRule="auto"/>
        <w:ind w:firstLine="420"/>
        <w:rPr>
          <w:rFonts w:cs="微软雅黑" w:asciiTheme="minorEastAsia" w:hAnsiTheme="minorEastAsia" w:eastAsiaTheme="minorEastAsia"/>
          <w:color w:val="auto"/>
          <w:kern w:val="21"/>
          <w:szCs w:val="21"/>
          <w:highlight w:val="none"/>
        </w:rPr>
      </w:pPr>
      <w:r>
        <w:rPr>
          <w:rFonts w:hint="eastAsia" w:asciiTheme="minorEastAsia" w:hAnsiTheme="minorEastAsia" w:eastAsiaTheme="minorEastAsia"/>
          <w:color w:val="auto"/>
          <w:szCs w:val="21"/>
          <w:highlight w:val="none"/>
        </w:rPr>
        <w:t>城区营业部、江源、湖西业务相近，三家公司的抄收管理需要统一，只对用户归属公司进行标记，用于统计分析使用，其他业务，可根据业务操作归属，混合进行。如，相邻区域有不同归属公司的用户，可由就近公司管理，只在财务等方面进行划分。</w:t>
      </w:r>
    </w:p>
    <w:p w14:paraId="02049105">
      <w:pPr>
        <w:spacing w:line="360" w:lineRule="auto"/>
        <w:ind w:firstLine="420"/>
        <w:rPr>
          <w:rFonts w:cs="微软雅黑" w:asciiTheme="minorEastAsia" w:hAnsiTheme="minorEastAsia" w:eastAsiaTheme="minorEastAsia"/>
          <w:color w:val="auto"/>
          <w:kern w:val="21"/>
          <w:szCs w:val="21"/>
          <w:highlight w:val="none"/>
        </w:rPr>
      </w:pPr>
      <w:r>
        <w:rPr>
          <w:rFonts w:hint="eastAsia" w:cs="微软雅黑" w:asciiTheme="minorEastAsia" w:hAnsiTheme="minorEastAsia" w:eastAsiaTheme="minorEastAsia"/>
          <w:color w:val="auto"/>
          <w:kern w:val="21"/>
          <w:szCs w:val="21"/>
          <w:highlight w:val="none"/>
        </w:rPr>
        <w:t xml:space="preserve">2．系统必须能满足上云的需要 </w:t>
      </w:r>
    </w:p>
    <w:p w14:paraId="7D7BABD3">
      <w:pPr>
        <w:spacing w:line="360" w:lineRule="auto"/>
        <w:ind w:firstLine="420"/>
        <w:rPr>
          <w:rFonts w:cs="微软雅黑" w:asciiTheme="minorEastAsia" w:hAnsiTheme="minorEastAsia" w:eastAsiaTheme="minorEastAsia"/>
          <w:color w:val="auto"/>
          <w:kern w:val="21"/>
          <w:szCs w:val="21"/>
          <w:highlight w:val="none"/>
        </w:rPr>
      </w:pPr>
      <w:r>
        <w:rPr>
          <w:rFonts w:hint="eastAsia" w:cs="微软雅黑" w:asciiTheme="minorEastAsia" w:hAnsiTheme="minorEastAsia" w:eastAsiaTheme="minorEastAsia"/>
          <w:color w:val="auto"/>
          <w:kern w:val="21"/>
          <w:szCs w:val="21"/>
          <w:highlight w:val="none"/>
        </w:rPr>
        <w:t xml:space="preserve">公司构建了超融合私有云，具备虚拟化服务、大数据服务、物理机服务、云存储服务等各类计算、存储资源，新系统应遵循“上云为原则，不上云为例外”的原则，依托长江水务现有可提供的云服务开展项目建设，直接部署至云上。 </w:t>
      </w:r>
    </w:p>
    <w:p w14:paraId="1FA1386F">
      <w:pPr>
        <w:pStyle w:val="29"/>
        <w:spacing w:line="360" w:lineRule="auto"/>
        <w:ind w:firstLine="426" w:firstLineChars="202"/>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三、手机端程序升级要求</w:t>
      </w:r>
    </w:p>
    <w:p w14:paraId="223D63B4">
      <w:pPr>
        <w:pStyle w:val="29"/>
        <w:spacing w:line="360" w:lineRule="auto"/>
        <w:ind w:firstLine="424" w:firstLineChars="202"/>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外勤业务、工作场所外操作等，需要通过手机端程序实现。一是抄表业务，增加抄表人员现场行为记录、异常记录，为后期处理提供依据。二是外勤维修业务过程管理，表位整改、换表、移表等业务全过程管理，可掌握整个过程的状况并能统计维修用工、用料，规范化结算。三是通过手机端程序，可查询用户信息、抄表信息、抄表水量、收费业务量等情况。</w:t>
      </w:r>
    </w:p>
    <w:p w14:paraId="161C9055">
      <w:pPr>
        <w:pStyle w:val="29"/>
        <w:numPr>
          <w:ilvl w:val="0"/>
          <w:numId w:val="7"/>
        </w:numPr>
        <w:spacing w:line="360" w:lineRule="auto"/>
        <w:ind w:firstLineChars="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抄表数据下载</w:t>
      </w:r>
    </w:p>
    <w:p w14:paraId="65A67F49">
      <w:pPr>
        <w:numPr>
          <w:ilvl w:val="0"/>
          <w:numId w:val="8"/>
        </w:numPr>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抄表员数据下载时系统自动记录下载的线路号、册号及下载时间。</w:t>
      </w:r>
    </w:p>
    <w:p w14:paraId="7FD501E0">
      <w:pPr>
        <w:numPr>
          <w:ilvl w:val="0"/>
          <w:numId w:val="8"/>
        </w:numPr>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系统后台能够根据抄表进度或其它业务的要求后台设置抄表档期，管理抄表员下载数据的周期。</w:t>
      </w:r>
    </w:p>
    <w:p w14:paraId="6F54ABAA">
      <w:pPr>
        <w:pStyle w:val="29"/>
        <w:numPr>
          <w:ilvl w:val="0"/>
          <w:numId w:val="7"/>
        </w:numPr>
        <w:spacing w:line="360" w:lineRule="auto"/>
        <w:ind w:firstLineChars="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现场抄表</w:t>
      </w:r>
    </w:p>
    <w:p w14:paraId="6A479FA5">
      <w:pPr>
        <w:numPr>
          <w:ilvl w:val="0"/>
          <w:numId w:val="9"/>
        </w:numPr>
        <w:spacing w:line="360" w:lineRule="auto"/>
        <w:rPr>
          <w:rFonts w:asciiTheme="minorEastAsia" w:hAnsiTheme="minorEastAsia" w:eastAsiaTheme="minorEastAsia"/>
          <w:b/>
          <w:color w:val="auto"/>
          <w:szCs w:val="21"/>
          <w:highlight w:val="none"/>
        </w:rPr>
      </w:pPr>
      <w:r>
        <w:rPr>
          <w:rFonts w:hint="eastAsia" w:asciiTheme="minorEastAsia" w:hAnsiTheme="minorEastAsia" w:eastAsiaTheme="minorEastAsia"/>
          <w:color w:val="auto"/>
          <w:szCs w:val="21"/>
          <w:highlight w:val="none"/>
        </w:rPr>
        <w:t>抄表员到现场后，强制打开gps，记录抄表定位。</w:t>
      </w:r>
    </w:p>
    <w:p w14:paraId="0DEE5A04">
      <w:pPr>
        <w:numPr>
          <w:ilvl w:val="0"/>
          <w:numId w:val="9"/>
        </w:numPr>
        <w:spacing w:line="360" w:lineRule="auto"/>
        <w:rPr>
          <w:rFonts w:asciiTheme="minorEastAsia" w:hAnsiTheme="minorEastAsia" w:eastAsiaTheme="minorEastAsia"/>
          <w:b/>
          <w:color w:val="auto"/>
          <w:szCs w:val="21"/>
          <w:highlight w:val="none"/>
        </w:rPr>
      </w:pPr>
      <w:r>
        <w:rPr>
          <w:rFonts w:hint="eastAsia" w:asciiTheme="minorEastAsia" w:hAnsiTheme="minorEastAsia" w:eastAsiaTheme="minorEastAsia"/>
          <w:color w:val="auto"/>
          <w:szCs w:val="21"/>
          <w:highlight w:val="none"/>
        </w:rPr>
        <w:t>可查询水表定位信息，指示方向，引导抄表员寻找表位。也可调阅照片和查看备注，寻找表位。</w:t>
      </w:r>
    </w:p>
    <w:p w14:paraId="7D91CA3D">
      <w:pPr>
        <w:numPr>
          <w:ilvl w:val="0"/>
          <w:numId w:val="9"/>
        </w:numPr>
        <w:spacing w:line="360" w:lineRule="auto"/>
        <w:rPr>
          <w:rFonts w:asciiTheme="minorEastAsia" w:hAnsiTheme="minorEastAsia" w:eastAsiaTheme="minorEastAsia"/>
          <w:b/>
          <w:color w:val="auto"/>
          <w:szCs w:val="21"/>
          <w:highlight w:val="none"/>
        </w:rPr>
      </w:pPr>
      <w:r>
        <w:rPr>
          <w:rFonts w:hint="eastAsia" w:asciiTheme="minorEastAsia" w:hAnsiTheme="minorEastAsia" w:eastAsiaTheme="minorEastAsia"/>
          <w:color w:val="auto"/>
          <w:szCs w:val="21"/>
          <w:highlight w:val="none"/>
        </w:rPr>
        <w:t>抄表员打开抄表档案，按规定路线顺序抄表，必要时也可以单户抄表。</w:t>
      </w:r>
    </w:p>
    <w:p w14:paraId="5E9D85D4">
      <w:pPr>
        <w:numPr>
          <w:ilvl w:val="0"/>
          <w:numId w:val="9"/>
        </w:numPr>
        <w:spacing w:line="360" w:lineRule="auto"/>
        <w:rPr>
          <w:rFonts w:asciiTheme="minorEastAsia" w:hAnsiTheme="minorEastAsia" w:eastAsiaTheme="minorEastAsia"/>
          <w:b/>
          <w:color w:val="auto"/>
          <w:szCs w:val="21"/>
          <w:highlight w:val="none"/>
        </w:rPr>
      </w:pPr>
      <w:r>
        <w:rPr>
          <w:rFonts w:hint="eastAsia" w:asciiTheme="minorEastAsia" w:hAnsiTheme="minorEastAsia" w:eastAsiaTheme="minorEastAsia"/>
          <w:color w:val="auto"/>
          <w:szCs w:val="21"/>
          <w:highlight w:val="none"/>
        </w:rPr>
        <w:t>抄表首页面显示户号、户名、地址、上月读数，本月读数、水价、欠费次数及金额，其它页面显示换表信息、本年用水量、水表口径、用户联系方式（至少可输入一个固话、两个手机号码）、表位定位照片、水表坐标、文字备注等信息，对难以记住的表位可通过GPS定位，记录定位信息。按行显示，点击后显示全部内部；按回退后跳转至首页面。</w:t>
      </w:r>
    </w:p>
    <w:p w14:paraId="100BBCB4">
      <w:pPr>
        <w:numPr>
          <w:ilvl w:val="0"/>
          <w:numId w:val="9"/>
        </w:numPr>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抄表员见表后，在首页面录入抄见示数。手机根据存储的上月示数、上月用水量计算本月用水量、水费金额，并计算涨幅，如无异常，按“确认”后直接跳转至下一户。如本月水量有异常，警告提示异常类型：正常、漏水、表停、多抄、关阀、停水、拍照，抄表员现场查看后，可输入备注。如用户内部漏水，关闭阀门，拍照存档。可在现场直接发送短信至用户手机，该户漏水信息回传至服务器。</w:t>
      </w:r>
    </w:p>
    <w:p w14:paraId="31C9BEDE">
      <w:pPr>
        <w:numPr>
          <w:ilvl w:val="0"/>
          <w:numId w:val="9"/>
        </w:numPr>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抄表过程中的异常处理。</w:t>
      </w:r>
    </w:p>
    <w:p w14:paraId="4227B624">
      <w:pPr>
        <w:numPr>
          <w:ilvl w:val="0"/>
          <w:numId w:val="10"/>
        </w:numPr>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表位异常处理。选项：表淹、表埋、锁、堆、车压、盖封、下沉、表深、箱坏、阀坏、拆迁、拍照、备注，如表箱异常，影响安全，抄表员拍照，作为整改依据，可大致判断损坏情况，整改所需的材料，并留下文字备注。回传数据时，自动显示异常。如表箱内漏水，选择漏水类型，并拍照，可选择实时回传至服务器，也可选择回单位后上传。</w:t>
      </w:r>
    </w:p>
    <w:p w14:paraId="19990DAD">
      <w:pPr>
        <w:numPr>
          <w:ilvl w:val="0"/>
          <w:numId w:val="10"/>
        </w:numPr>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水表异常。</w:t>
      </w:r>
      <w:r>
        <w:rPr>
          <w:rFonts w:hint="eastAsia" w:asciiTheme="minorEastAsia" w:hAnsiTheme="minorEastAsia" w:eastAsiaTheme="minorEastAsia"/>
          <w:b/>
          <w:color w:val="auto"/>
          <w:szCs w:val="21"/>
          <w:highlight w:val="none"/>
        </w:rPr>
        <w:t>选项：表糊、表停、针偏、玻裂、倒表、表拆、拍照、备注</w:t>
      </w:r>
      <w:r>
        <w:rPr>
          <w:rFonts w:hint="eastAsia" w:asciiTheme="minorEastAsia" w:hAnsiTheme="minorEastAsia" w:eastAsiaTheme="minorEastAsia"/>
          <w:color w:val="auto"/>
          <w:szCs w:val="21"/>
          <w:highlight w:val="none"/>
        </w:rPr>
        <w:t>，如水表运行状态异常，记录异常类型，可拍照，回单位后上传。</w:t>
      </w:r>
    </w:p>
    <w:p w14:paraId="411A30E4">
      <w:pPr>
        <w:numPr>
          <w:ilvl w:val="0"/>
          <w:numId w:val="10"/>
        </w:numPr>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欠费催缴处理。如用户有旧欠水费，根据本次抄表前欠费计算总欠费金额，提醒张贴“友情提醒单”，张贴后，拍照存档；也可以现场申请发送催缴短信。</w:t>
      </w:r>
    </w:p>
    <w:p w14:paraId="73DDB823">
      <w:pPr>
        <w:numPr>
          <w:ilvl w:val="0"/>
          <w:numId w:val="10"/>
        </w:numPr>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连续多次零吨位处理。如用户空关，应关闭阀门，拍照存档。</w:t>
      </w:r>
    </w:p>
    <w:p w14:paraId="3B82932B">
      <w:pPr>
        <w:numPr>
          <w:ilvl w:val="0"/>
          <w:numId w:val="10"/>
        </w:numPr>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阶梯水量提醒。本年用水量或当月用水量超过阶梯标准，提醒用户注意节约用水。根据需要短信或电话通知。</w:t>
      </w:r>
    </w:p>
    <w:p w14:paraId="0046845A">
      <w:pPr>
        <w:numPr>
          <w:ilvl w:val="0"/>
          <w:numId w:val="9"/>
        </w:numPr>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用户档案现场维护。用户联系方式有变更的，在首页面上直接修改，并做好标志。用户用水性质变更的，在首页面上选择，并做好标志。可记录表位的文字说明。</w:t>
      </w:r>
    </w:p>
    <w:p w14:paraId="75600A9B">
      <w:pPr>
        <w:numPr>
          <w:ilvl w:val="0"/>
          <w:numId w:val="9"/>
        </w:numPr>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抄表结束，现场查看当日抄表</w:t>
      </w:r>
      <w:r>
        <w:rPr>
          <w:rFonts w:hint="eastAsia" w:asciiTheme="minorEastAsia" w:hAnsiTheme="minorEastAsia" w:eastAsiaTheme="minorEastAsia"/>
          <w:b/>
          <w:color w:val="auto"/>
          <w:szCs w:val="21"/>
          <w:highlight w:val="none"/>
        </w:rPr>
        <w:t>概况</w:t>
      </w:r>
      <w:r>
        <w:rPr>
          <w:rFonts w:hint="eastAsia" w:asciiTheme="minorEastAsia" w:hAnsiTheme="minorEastAsia" w:eastAsiaTheme="minorEastAsia"/>
          <w:color w:val="auto"/>
          <w:szCs w:val="21"/>
          <w:highlight w:val="none"/>
        </w:rPr>
        <w:t>，进行现场复核。异常用户、未抄用户按颜色显示，可选择重新抄表，录入数据。</w:t>
      </w:r>
    </w:p>
    <w:p w14:paraId="5157E561">
      <w:pPr>
        <w:numPr>
          <w:ilvl w:val="0"/>
          <w:numId w:val="9"/>
        </w:numPr>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抄表情况部分可在系统内调整。</w:t>
      </w:r>
    </w:p>
    <w:p w14:paraId="6048E78D">
      <w:pPr>
        <w:numPr>
          <w:ilvl w:val="0"/>
          <w:numId w:val="9"/>
        </w:numPr>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对有标准地址铭牌的用户可以现场采集并提交回系统记录。</w:t>
      </w:r>
    </w:p>
    <w:p w14:paraId="4453A377">
      <w:pPr>
        <w:spacing w:line="360" w:lineRule="auto"/>
        <w:ind w:firstLine="42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注：各类照片按类型定义文件名，便于后台处理。</w:t>
      </w:r>
    </w:p>
    <w:p w14:paraId="03BB5029">
      <w:pPr>
        <w:numPr>
          <w:ilvl w:val="0"/>
          <w:numId w:val="7"/>
        </w:numPr>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数据上传</w:t>
      </w:r>
    </w:p>
    <w:p w14:paraId="34FD633A">
      <w:pPr>
        <w:spacing w:line="360" w:lineRule="auto"/>
        <w:ind w:left="420" w:firstLine="42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抄表结束后上传数据，包括抄表定位、现场照片等。将当日内容全部导入抄收管理系统，后台复核人员进行数据复核。</w:t>
      </w:r>
    </w:p>
    <w:p w14:paraId="047D8949">
      <w:pPr>
        <w:pStyle w:val="29"/>
        <w:spacing w:line="360" w:lineRule="auto"/>
        <w:ind w:firstLine="0" w:firstLineChars="0"/>
        <w:rPr>
          <w:rFonts w:asciiTheme="minorEastAsia" w:hAnsiTheme="minorEastAsia" w:eastAsiaTheme="minorEastAsia"/>
          <w:b/>
          <w:color w:val="auto"/>
          <w:szCs w:val="21"/>
          <w:highlight w:val="none"/>
        </w:rPr>
      </w:pPr>
      <w:r>
        <w:rPr>
          <w:rFonts w:asciiTheme="minorEastAsia" w:hAnsiTheme="minorEastAsia" w:eastAsiaTheme="minorEastAsia"/>
          <w:color w:val="auto"/>
          <w:szCs w:val="21"/>
          <w:highlight w:val="none"/>
        </w:rPr>
        <w:tab/>
      </w:r>
      <w:r>
        <w:rPr>
          <w:rFonts w:hint="eastAsia" w:asciiTheme="minorEastAsia" w:hAnsiTheme="minorEastAsia" w:eastAsiaTheme="minorEastAsia"/>
          <w:b/>
          <w:color w:val="auto"/>
          <w:szCs w:val="21"/>
          <w:highlight w:val="none"/>
        </w:rPr>
        <w:t>后台业务的部分要求</w:t>
      </w:r>
    </w:p>
    <w:p w14:paraId="18DD1229">
      <w:pPr>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ab/>
      </w:r>
      <w:r>
        <w:rPr>
          <w:rFonts w:hint="eastAsia" w:asciiTheme="minorEastAsia" w:hAnsiTheme="minorEastAsia" w:eastAsiaTheme="minorEastAsia"/>
          <w:color w:val="auto"/>
          <w:szCs w:val="21"/>
          <w:highlight w:val="none"/>
        </w:rPr>
        <w:t>1、补登水表GPS位置及采集的用户标准地址,并记入用户档案</w:t>
      </w:r>
    </w:p>
    <w:p w14:paraId="5F8DF2F9">
      <w:pPr>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ab/>
      </w:r>
      <w:r>
        <w:rPr>
          <w:rFonts w:hint="eastAsia" w:asciiTheme="minorEastAsia" w:hAnsiTheme="minorEastAsia" w:eastAsiaTheme="minorEastAsia"/>
          <w:color w:val="auto"/>
          <w:szCs w:val="21"/>
          <w:highlight w:val="none"/>
        </w:rPr>
        <w:t>2、要对表位情况、水表情况、抄表情况形成各种统计分析报表</w:t>
      </w:r>
    </w:p>
    <w:p w14:paraId="6BA02CAA">
      <w:pPr>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ab/>
      </w:r>
      <w:r>
        <w:rPr>
          <w:rFonts w:hint="eastAsia" w:asciiTheme="minorEastAsia" w:hAnsiTheme="minorEastAsia" w:eastAsiaTheme="minorEastAsia"/>
          <w:color w:val="auto"/>
          <w:szCs w:val="21"/>
          <w:highlight w:val="none"/>
        </w:rPr>
        <w:t>3、对表位情况异常、水表情况异常需要整改或换表的要设置相关业务流程交相关部门进行处理；</w:t>
      </w:r>
    </w:p>
    <w:p w14:paraId="2D895B4D">
      <w:pPr>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ab/>
      </w:r>
      <w:r>
        <w:rPr>
          <w:rFonts w:hint="eastAsia" w:asciiTheme="minorEastAsia" w:hAnsiTheme="minorEastAsia" w:eastAsiaTheme="minorEastAsia"/>
          <w:color w:val="auto"/>
          <w:szCs w:val="21"/>
          <w:highlight w:val="none"/>
        </w:rPr>
        <w:t>4、可以复查抄表员抄表情况，如详细的抄表时间（精确到时分秒），行走线路在地图上可以查询等。</w:t>
      </w:r>
    </w:p>
    <w:p w14:paraId="41BC90FE">
      <w:pPr>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ab/>
      </w:r>
      <w:r>
        <w:rPr>
          <w:rFonts w:hint="eastAsia" w:asciiTheme="minorEastAsia" w:hAnsiTheme="minorEastAsia" w:eastAsiaTheme="minorEastAsia"/>
          <w:color w:val="auto"/>
          <w:szCs w:val="21"/>
          <w:highlight w:val="none"/>
        </w:rPr>
        <w:t>5、表位异常、水表异常或其它异常情况所拍摄的现场照片，要自动上传到系统，供相关人员处理。</w:t>
      </w:r>
    </w:p>
    <w:p w14:paraId="55135D3F">
      <w:pPr>
        <w:spacing w:line="360" w:lineRule="auto"/>
        <w:ind w:firstLine="42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6、水表位置的照片和相关文字备注说明要通过抄表逐步完善进入用户档案，便于其他抄表员或稽查人员抄表和复核稽查。</w:t>
      </w:r>
    </w:p>
    <w:p w14:paraId="19D8E15C">
      <w:pPr>
        <w:pStyle w:val="29"/>
        <w:spacing w:line="360" w:lineRule="auto"/>
        <w:ind w:firstLine="424" w:firstLineChars="202"/>
        <w:rPr>
          <w:rFonts w:asciiTheme="minorEastAsia" w:hAnsiTheme="minorEastAsia" w:eastAsiaTheme="minorEastAsia"/>
          <w:color w:val="auto"/>
          <w:szCs w:val="21"/>
          <w:highlight w:val="none"/>
        </w:rPr>
      </w:pPr>
    </w:p>
    <w:p w14:paraId="68C3AEA8">
      <w:pPr>
        <w:pStyle w:val="29"/>
        <w:spacing w:line="360" w:lineRule="auto"/>
        <w:ind w:firstLine="426" w:firstLineChars="202"/>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四、微信公众号功能</w:t>
      </w:r>
    </w:p>
    <w:p w14:paraId="4BEC44A1">
      <w:pPr>
        <w:pStyle w:val="29"/>
        <w:spacing w:line="360" w:lineRule="auto"/>
        <w:ind w:firstLine="424" w:firstLineChars="202"/>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拓展微信服务功能，用户可验证后通过用户号绑定公众号，一是可接收服务通知。抄见通知、调价通知、抄见水量异常通知、缴费通知、已缴费通知、年度用水量（超阶梯）通知、推送电子发票。二是用户可通过微信办理涉水业务，查询用水信息、应缴费信息，微信缴费，过户或更名，改变用水性质申报、用水报修、违章举报。</w:t>
      </w:r>
    </w:p>
    <w:p w14:paraId="44D8AFAB">
      <w:pPr>
        <w:pStyle w:val="29"/>
        <w:spacing w:line="360" w:lineRule="auto"/>
        <w:ind w:firstLine="424" w:firstLineChars="202"/>
        <w:rPr>
          <w:rFonts w:asciiTheme="minorEastAsia" w:hAnsiTheme="minorEastAsia" w:eastAsiaTheme="minorEastAsia"/>
          <w:color w:val="auto"/>
          <w:szCs w:val="21"/>
          <w:highlight w:val="none"/>
        </w:rPr>
      </w:pPr>
    </w:p>
    <w:p w14:paraId="1BEE3026">
      <w:pPr>
        <w:pStyle w:val="29"/>
        <w:spacing w:line="360" w:lineRule="auto"/>
        <w:ind w:firstLine="426" w:firstLineChars="202"/>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五、界面要求</w:t>
      </w:r>
    </w:p>
    <w:p w14:paraId="0A30B8C5">
      <w:pPr>
        <w:pStyle w:val="29"/>
        <w:spacing w:line="360" w:lineRule="auto"/>
        <w:ind w:firstLine="424" w:firstLineChars="202"/>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界面要求简洁，管理者登陆主界面显示主要业务开展情况及同比、环比，用户、水表查询可简洁显示全周期信息，业务办理直观显示进度及未办理环节。</w:t>
      </w:r>
    </w:p>
    <w:p w14:paraId="637DD1BB">
      <w:pPr>
        <w:pStyle w:val="29"/>
        <w:spacing w:line="360" w:lineRule="auto"/>
        <w:ind w:firstLine="424" w:firstLineChars="202"/>
        <w:rPr>
          <w:rFonts w:asciiTheme="minorEastAsia" w:hAnsiTheme="minorEastAsia" w:eastAsiaTheme="minorEastAsia"/>
          <w:color w:val="auto"/>
          <w:szCs w:val="21"/>
          <w:highlight w:val="none"/>
        </w:rPr>
      </w:pPr>
    </w:p>
    <w:p w14:paraId="327EF13A">
      <w:pPr>
        <w:pStyle w:val="29"/>
        <w:spacing w:line="360" w:lineRule="auto"/>
        <w:ind w:firstLine="426" w:firstLineChars="202"/>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六、与其他业务管理系统的互联互通</w:t>
      </w:r>
    </w:p>
    <w:p w14:paraId="4EA41430">
      <w:pPr>
        <w:pStyle w:val="29"/>
        <w:spacing w:line="360" w:lineRule="auto"/>
        <w:ind w:firstLine="424" w:firstLineChars="202"/>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与公司调度系统、客服系统、智能表（大表远传）数据采集系统、报装系统、GIS系统等实现信息互联互通，经授权后可直接读写其他系统，为其他系统预留接口，与公司智慧水务有效无缝融合。</w:t>
      </w:r>
    </w:p>
    <w:p w14:paraId="5E09D8A6">
      <w:pPr>
        <w:spacing w:line="360" w:lineRule="auto"/>
        <w:ind w:firstLine="420"/>
        <w:rPr>
          <w:rFonts w:cs="方正仿宋_GBK" w:asciiTheme="minorEastAsia" w:hAnsiTheme="minorEastAsia" w:eastAsiaTheme="minorEastAsia"/>
          <w:color w:val="auto"/>
          <w:szCs w:val="21"/>
          <w:highlight w:val="none"/>
        </w:rPr>
      </w:pPr>
      <w:r>
        <w:rPr>
          <w:rFonts w:hint="eastAsia" w:cs="方正仿宋_GBK" w:asciiTheme="minorEastAsia" w:hAnsiTheme="minorEastAsia" w:eastAsiaTheme="minorEastAsia"/>
          <w:color w:val="auto"/>
          <w:szCs w:val="21"/>
          <w:highlight w:val="none"/>
        </w:rPr>
        <w:t>根据集团“三网合一”统一对外服务窗口的要求，自来水业务系统需要提供以下接口系统服务(报装服务请额外提供进度查询接口，供后期特色服务用，具体以实际实施为准)：</w:t>
      </w:r>
    </w:p>
    <w:tbl>
      <w:tblPr>
        <w:tblStyle w:val="20"/>
        <w:tblW w:w="9371" w:type="dxa"/>
        <w:tblInd w:w="93"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shd w:val="clear" w:color="auto" w:fill="FFFFFF" w:themeFill="background1"/>
        <w:tblLayout w:type="autofit"/>
        <w:tblCellMar>
          <w:top w:w="0" w:type="dxa"/>
          <w:left w:w="108" w:type="dxa"/>
          <w:bottom w:w="0" w:type="dxa"/>
          <w:right w:w="108" w:type="dxa"/>
        </w:tblCellMar>
      </w:tblPr>
      <w:tblGrid>
        <w:gridCol w:w="866"/>
        <w:gridCol w:w="2410"/>
        <w:gridCol w:w="6095"/>
      </w:tblGrid>
      <w:tr w14:paraId="1CBF9E0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shd w:val="clear" w:color="auto" w:fill="FFFFFF" w:themeFill="background1"/>
          <w:tblCellMar>
            <w:top w:w="0" w:type="dxa"/>
            <w:left w:w="108" w:type="dxa"/>
            <w:bottom w:w="0" w:type="dxa"/>
            <w:right w:w="108" w:type="dxa"/>
          </w:tblCellMar>
        </w:tblPrEx>
        <w:trPr>
          <w:trHeight w:val="270" w:hRule="atLeast"/>
        </w:trPr>
        <w:tc>
          <w:tcPr>
            <w:tcW w:w="866" w:type="dxa"/>
            <w:shd w:val="clear" w:color="auto" w:fill="FFFFFF" w:themeFill="background1"/>
            <w:noWrap/>
            <w:vAlign w:val="bottom"/>
          </w:tcPr>
          <w:p w14:paraId="40D1398D">
            <w:pPr>
              <w:widowControl/>
              <w:spacing w:line="360" w:lineRule="auto"/>
              <w:jc w:val="center"/>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序号</w:t>
            </w:r>
          </w:p>
        </w:tc>
        <w:tc>
          <w:tcPr>
            <w:tcW w:w="2410" w:type="dxa"/>
            <w:shd w:val="clear" w:color="auto" w:fill="FFFFFF" w:themeFill="background1"/>
            <w:noWrap/>
            <w:vAlign w:val="bottom"/>
          </w:tcPr>
          <w:p w14:paraId="6FA34AF2">
            <w:pPr>
              <w:widowControl/>
              <w:spacing w:line="360" w:lineRule="auto"/>
              <w:jc w:val="center"/>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业务名称</w:t>
            </w:r>
          </w:p>
        </w:tc>
        <w:tc>
          <w:tcPr>
            <w:tcW w:w="6095" w:type="dxa"/>
            <w:shd w:val="clear" w:color="auto" w:fill="FFFFFF" w:themeFill="background1"/>
            <w:noWrap/>
            <w:vAlign w:val="bottom"/>
          </w:tcPr>
          <w:p w14:paraId="3A2BA011">
            <w:pPr>
              <w:widowControl/>
              <w:spacing w:line="360" w:lineRule="auto"/>
              <w:jc w:val="center"/>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业务内容</w:t>
            </w:r>
          </w:p>
        </w:tc>
      </w:tr>
      <w:tr w14:paraId="349D70D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66" w:type="dxa"/>
            <w:shd w:val="clear" w:color="auto" w:fill="FFFFFF" w:themeFill="background1"/>
            <w:noWrap/>
            <w:vAlign w:val="bottom"/>
          </w:tcPr>
          <w:p w14:paraId="356A435F">
            <w:pPr>
              <w:widowControl/>
              <w:spacing w:line="360" w:lineRule="auto"/>
              <w:jc w:val="center"/>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1</w:t>
            </w:r>
          </w:p>
        </w:tc>
        <w:tc>
          <w:tcPr>
            <w:tcW w:w="2410" w:type="dxa"/>
            <w:shd w:val="clear" w:color="auto" w:fill="FFFFFF" w:themeFill="background1"/>
            <w:noWrap/>
            <w:vAlign w:val="bottom"/>
          </w:tcPr>
          <w:p w14:paraId="0DDA045F">
            <w:pPr>
              <w:widowControl/>
              <w:spacing w:line="360" w:lineRule="auto"/>
              <w:jc w:val="lef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普通增值税用户维护</w:t>
            </w:r>
          </w:p>
        </w:tc>
        <w:tc>
          <w:tcPr>
            <w:tcW w:w="6095" w:type="dxa"/>
            <w:shd w:val="clear" w:color="auto" w:fill="FFFFFF" w:themeFill="background1"/>
            <w:noWrap/>
            <w:vAlign w:val="bottom"/>
          </w:tcPr>
          <w:p w14:paraId="179EC8A8">
            <w:pPr>
              <w:widowControl/>
              <w:spacing w:line="360" w:lineRule="auto"/>
              <w:jc w:val="lef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准确填写完整的开票资料　</w:t>
            </w:r>
          </w:p>
        </w:tc>
      </w:tr>
      <w:tr w14:paraId="17C216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shd w:val="clear" w:color="auto" w:fill="FFFFFF" w:themeFill="background1"/>
          <w:tblCellMar>
            <w:top w:w="0" w:type="dxa"/>
            <w:left w:w="108" w:type="dxa"/>
            <w:bottom w:w="0" w:type="dxa"/>
            <w:right w:w="108" w:type="dxa"/>
          </w:tblCellMar>
        </w:tblPrEx>
        <w:trPr>
          <w:trHeight w:val="270" w:hRule="atLeast"/>
        </w:trPr>
        <w:tc>
          <w:tcPr>
            <w:tcW w:w="866" w:type="dxa"/>
            <w:shd w:val="clear" w:color="auto" w:fill="FFFFFF" w:themeFill="background1"/>
            <w:noWrap/>
            <w:vAlign w:val="bottom"/>
          </w:tcPr>
          <w:p w14:paraId="2BD35BAB">
            <w:pPr>
              <w:widowControl/>
              <w:spacing w:line="360" w:lineRule="auto"/>
              <w:jc w:val="center"/>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2</w:t>
            </w:r>
          </w:p>
        </w:tc>
        <w:tc>
          <w:tcPr>
            <w:tcW w:w="2410" w:type="dxa"/>
            <w:shd w:val="clear" w:color="auto" w:fill="FFFFFF" w:themeFill="background1"/>
            <w:noWrap/>
            <w:vAlign w:val="bottom"/>
          </w:tcPr>
          <w:p w14:paraId="08A82BE1">
            <w:pPr>
              <w:widowControl/>
              <w:spacing w:line="360" w:lineRule="auto"/>
              <w:jc w:val="lef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信息综合查询</w:t>
            </w:r>
          </w:p>
        </w:tc>
        <w:tc>
          <w:tcPr>
            <w:tcW w:w="6095" w:type="dxa"/>
            <w:shd w:val="clear" w:color="auto" w:fill="FFFFFF" w:themeFill="background1"/>
            <w:noWrap/>
            <w:vAlign w:val="bottom"/>
          </w:tcPr>
          <w:p w14:paraId="2E36A283">
            <w:pPr>
              <w:widowControl/>
              <w:spacing w:line="360" w:lineRule="auto"/>
              <w:jc w:val="lef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查询用户的用水信息，打印用水清单等</w:t>
            </w:r>
          </w:p>
        </w:tc>
      </w:tr>
      <w:tr w14:paraId="4DDFC5B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shd w:val="clear" w:color="auto" w:fill="FFFFFF" w:themeFill="background1"/>
          <w:tblCellMar>
            <w:top w:w="0" w:type="dxa"/>
            <w:left w:w="108" w:type="dxa"/>
            <w:bottom w:w="0" w:type="dxa"/>
            <w:right w:w="108" w:type="dxa"/>
          </w:tblCellMar>
        </w:tblPrEx>
        <w:trPr>
          <w:trHeight w:val="270" w:hRule="atLeast"/>
        </w:trPr>
        <w:tc>
          <w:tcPr>
            <w:tcW w:w="866" w:type="dxa"/>
            <w:shd w:val="clear" w:color="auto" w:fill="FFFFFF" w:themeFill="background1"/>
            <w:noWrap/>
            <w:vAlign w:val="bottom"/>
          </w:tcPr>
          <w:p w14:paraId="28D802F3">
            <w:pPr>
              <w:widowControl/>
              <w:spacing w:line="360" w:lineRule="auto"/>
              <w:jc w:val="center"/>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3</w:t>
            </w:r>
          </w:p>
        </w:tc>
        <w:tc>
          <w:tcPr>
            <w:tcW w:w="2410" w:type="dxa"/>
            <w:shd w:val="clear" w:color="auto" w:fill="FFFFFF" w:themeFill="background1"/>
            <w:noWrap/>
            <w:vAlign w:val="bottom"/>
          </w:tcPr>
          <w:p w14:paraId="02E16B09">
            <w:pPr>
              <w:widowControl/>
              <w:spacing w:line="360" w:lineRule="auto"/>
              <w:jc w:val="lef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营业收费</w:t>
            </w:r>
          </w:p>
        </w:tc>
        <w:tc>
          <w:tcPr>
            <w:tcW w:w="6095" w:type="dxa"/>
            <w:shd w:val="clear" w:color="auto" w:fill="FFFFFF" w:themeFill="background1"/>
            <w:noWrap/>
            <w:vAlign w:val="bottom"/>
          </w:tcPr>
          <w:p w14:paraId="0C4C8F08">
            <w:pPr>
              <w:widowControl/>
              <w:spacing w:line="360" w:lineRule="auto"/>
              <w:jc w:val="lef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收费、开具或作废电子发票、查询收费员报表　</w:t>
            </w:r>
          </w:p>
        </w:tc>
      </w:tr>
      <w:tr w14:paraId="259D60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66" w:type="dxa"/>
            <w:shd w:val="clear" w:color="auto" w:fill="FFFFFF" w:themeFill="background1"/>
            <w:noWrap/>
            <w:vAlign w:val="bottom"/>
          </w:tcPr>
          <w:p w14:paraId="5B100E87">
            <w:pPr>
              <w:widowControl/>
              <w:spacing w:line="360" w:lineRule="auto"/>
              <w:jc w:val="center"/>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4</w:t>
            </w:r>
          </w:p>
        </w:tc>
        <w:tc>
          <w:tcPr>
            <w:tcW w:w="2410" w:type="dxa"/>
            <w:shd w:val="clear" w:color="auto" w:fill="FFFFFF" w:themeFill="background1"/>
            <w:noWrap/>
            <w:vAlign w:val="bottom"/>
          </w:tcPr>
          <w:p w14:paraId="440CD69E">
            <w:pPr>
              <w:widowControl/>
              <w:spacing w:line="360" w:lineRule="auto"/>
              <w:jc w:val="lef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复水手续</w:t>
            </w:r>
          </w:p>
        </w:tc>
        <w:tc>
          <w:tcPr>
            <w:tcW w:w="6095" w:type="dxa"/>
            <w:shd w:val="clear" w:color="auto" w:fill="FFFFFF" w:themeFill="background1"/>
            <w:noWrap/>
            <w:vAlign w:val="bottom"/>
          </w:tcPr>
          <w:p w14:paraId="6D5ABEE0">
            <w:pPr>
              <w:widowControl/>
              <w:spacing w:line="360" w:lineRule="auto"/>
              <w:jc w:val="lef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结清用户水费，登记用户联系方式，报87882707复水　</w:t>
            </w:r>
          </w:p>
        </w:tc>
      </w:tr>
      <w:tr w14:paraId="0FED26D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66" w:type="dxa"/>
            <w:shd w:val="clear" w:color="auto" w:fill="FFFFFF" w:themeFill="background1"/>
            <w:noWrap/>
            <w:vAlign w:val="bottom"/>
          </w:tcPr>
          <w:p w14:paraId="73CCEE9F">
            <w:pPr>
              <w:widowControl/>
              <w:spacing w:line="360" w:lineRule="auto"/>
              <w:jc w:val="center"/>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5</w:t>
            </w:r>
          </w:p>
        </w:tc>
        <w:tc>
          <w:tcPr>
            <w:tcW w:w="2410" w:type="dxa"/>
            <w:shd w:val="clear" w:color="auto" w:fill="FFFFFF" w:themeFill="background1"/>
            <w:noWrap/>
            <w:vAlign w:val="bottom"/>
          </w:tcPr>
          <w:p w14:paraId="1C8F342D">
            <w:pPr>
              <w:widowControl/>
              <w:spacing w:line="360" w:lineRule="auto"/>
              <w:jc w:val="lef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预存业务</w:t>
            </w:r>
          </w:p>
        </w:tc>
        <w:tc>
          <w:tcPr>
            <w:tcW w:w="6095" w:type="dxa"/>
            <w:shd w:val="clear" w:color="auto" w:fill="FFFFFF" w:themeFill="background1"/>
            <w:noWrap/>
            <w:vAlign w:val="bottom"/>
          </w:tcPr>
          <w:p w14:paraId="13CFEB77">
            <w:pPr>
              <w:widowControl/>
              <w:spacing w:line="360" w:lineRule="auto"/>
              <w:jc w:val="lef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预存用户充值及退费</w:t>
            </w:r>
          </w:p>
        </w:tc>
      </w:tr>
      <w:tr w14:paraId="11B017C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shd w:val="clear" w:color="auto" w:fill="FFFFFF" w:themeFill="background1"/>
          <w:tblCellMar>
            <w:top w:w="0" w:type="dxa"/>
            <w:left w:w="108" w:type="dxa"/>
            <w:bottom w:w="0" w:type="dxa"/>
            <w:right w:w="108" w:type="dxa"/>
          </w:tblCellMar>
        </w:tblPrEx>
        <w:trPr>
          <w:trHeight w:val="270" w:hRule="atLeast"/>
        </w:trPr>
        <w:tc>
          <w:tcPr>
            <w:tcW w:w="866" w:type="dxa"/>
            <w:shd w:val="clear" w:color="auto" w:fill="FFFFFF" w:themeFill="background1"/>
            <w:noWrap/>
            <w:vAlign w:val="bottom"/>
          </w:tcPr>
          <w:p w14:paraId="32068968">
            <w:pPr>
              <w:widowControl/>
              <w:spacing w:line="360" w:lineRule="auto"/>
              <w:jc w:val="center"/>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6</w:t>
            </w:r>
          </w:p>
        </w:tc>
        <w:tc>
          <w:tcPr>
            <w:tcW w:w="2410" w:type="dxa"/>
            <w:shd w:val="clear" w:color="auto" w:fill="FFFFFF" w:themeFill="background1"/>
            <w:noWrap/>
            <w:vAlign w:val="bottom"/>
          </w:tcPr>
          <w:p w14:paraId="43D24AFD">
            <w:pPr>
              <w:widowControl/>
              <w:spacing w:line="360" w:lineRule="auto"/>
              <w:jc w:val="lef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柜台过户</w:t>
            </w:r>
          </w:p>
        </w:tc>
        <w:tc>
          <w:tcPr>
            <w:tcW w:w="6095" w:type="dxa"/>
            <w:shd w:val="clear" w:color="auto" w:fill="FFFFFF" w:themeFill="background1"/>
            <w:noWrap/>
            <w:vAlign w:val="bottom"/>
          </w:tcPr>
          <w:p w14:paraId="7B3399B9">
            <w:pPr>
              <w:widowControl/>
              <w:spacing w:line="360" w:lineRule="auto"/>
              <w:jc w:val="lef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根据过户的类型，提供相应需要的资料进行水费卡更名过户</w:t>
            </w:r>
          </w:p>
        </w:tc>
      </w:tr>
      <w:tr w14:paraId="2FBF7C6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shd w:val="clear" w:color="auto" w:fill="FFFFFF" w:themeFill="background1"/>
          <w:tblCellMar>
            <w:top w:w="0" w:type="dxa"/>
            <w:left w:w="108" w:type="dxa"/>
            <w:bottom w:w="0" w:type="dxa"/>
            <w:right w:w="108" w:type="dxa"/>
          </w:tblCellMar>
        </w:tblPrEx>
        <w:trPr>
          <w:trHeight w:val="270" w:hRule="atLeast"/>
        </w:trPr>
        <w:tc>
          <w:tcPr>
            <w:tcW w:w="866" w:type="dxa"/>
            <w:shd w:val="clear" w:color="auto" w:fill="FFFFFF" w:themeFill="background1"/>
            <w:noWrap/>
            <w:vAlign w:val="bottom"/>
          </w:tcPr>
          <w:p w14:paraId="211BB84E">
            <w:pPr>
              <w:widowControl/>
              <w:spacing w:line="360" w:lineRule="auto"/>
              <w:jc w:val="center"/>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7</w:t>
            </w:r>
          </w:p>
        </w:tc>
        <w:tc>
          <w:tcPr>
            <w:tcW w:w="2410" w:type="dxa"/>
            <w:shd w:val="clear" w:color="auto" w:fill="FFFFFF" w:themeFill="background1"/>
            <w:noWrap/>
            <w:vAlign w:val="bottom"/>
          </w:tcPr>
          <w:p w14:paraId="6D2CFF96">
            <w:pPr>
              <w:widowControl/>
              <w:spacing w:line="360" w:lineRule="auto"/>
              <w:jc w:val="lef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补打缴纳凭证</w:t>
            </w:r>
          </w:p>
        </w:tc>
        <w:tc>
          <w:tcPr>
            <w:tcW w:w="6095" w:type="dxa"/>
            <w:shd w:val="clear" w:color="auto" w:fill="FFFFFF" w:themeFill="background1"/>
            <w:noWrap/>
            <w:vAlign w:val="bottom"/>
          </w:tcPr>
          <w:p w14:paraId="4764D1F5">
            <w:pPr>
              <w:widowControl/>
              <w:spacing w:line="360" w:lineRule="auto"/>
              <w:jc w:val="left"/>
              <w:rPr>
                <w:rFonts w:asciiTheme="minorEastAsia" w:hAnsiTheme="minorEastAsia" w:eastAsiaTheme="minorEastAsia"/>
                <w:b/>
                <w:color w:val="auto"/>
                <w:kern w:val="0"/>
                <w:szCs w:val="21"/>
                <w:highlight w:val="none"/>
              </w:rPr>
            </w:pPr>
            <w:r>
              <w:rPr>
                <w:rFonts w:hint="eastAsia" w:asciiTheme="minorEastAsia" w:hAnsiTheme="minorEastAsia" w:eastAsiaTheme="minorEastAsia"/>
                <w:color w:val="auto"/>
                <w:kern w:val="0"/>
                <w:szCs w:val="21"/>
                <w:highlight w:val="none"/>
              </w:rPr>
              <w:t>输入用户号、核对信息后，勾选需要补打的记录</w:t>
            </w:r>
          </w:p>
          <w:p w14:paraId="2124B4CE">
            <w:pPr>
              <w:widowControl/>
              <w:spacing w:line="360" w:lineRule="auto"/>
              <w:jc w:val="lef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　</w:t>
            </w:r>
          </w:p>
        </w:tc>
      </w:tr>
      <w:tr w14:paraId="08C4BEF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66" w:type="dxa"/>
            <w:shd w:val="clear" w:color="auto" w:fill="FFFFFF" w:themeFill="background1"/>
            <w:noWrap/>
            <w:vAlign w:val="bottom"/>
          </w:tcPr>
          <w:p w14:paraId="28E6D295">
            <w:pPr>
              <w:widowControl/>
              <w:spacing w:line="360" w:lineRule="auto"/>
              <w:jc w:val="center"/>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8</w:t>
            </w:r>
          </w:p>
        </w:tc>
        <w:tc>
          <w:tcPr>
            <w:tcW w:w="2410" w:type="dxa"/>
            <w:shd w:val="clear" w:color="auto" w:fill="FFFFFF" w:themeFill="background1"/>
            <w:noWrap/>
            <w:vAlign w:val="bottom"/>
          </w:tcPr>
          <w:p w14:paraId="06375F76">
            <w:pPr>
              <w:widowControl/>
              <w:spacing w:line="360" w:lineRule="auto"/>
              <w:jc w:val="lef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缴费卡打印</w:t>
            </w:r>
          </w:p>
        </w:tc>
        <w:tc>
          <w:tcPr>
            <w:tcW w:w="6095" w:type="dxa"/>
            <w:shd w:val="clear" w:color="auto" w:fill="FFFFFF" w:themeFill="background1"/>
            <w:noWrap/>
            <w:vAlign w:val="bottom"/>
          </w:tcPr>
          <w:p w14:paraId="5C6883F3">
            <w:pPr>
              <w:widowControl/>
              <w:spacing w:line="360" w:lineRule="auto"/>
              <w:jc w:val="lef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根据“用户号”、“用户名”和“用户地址”查找用户信息后，勾选确认打印　</w:t>
            </w:r>
          </w:p>
        </w:tc>
      </w:tr>
      <w:tr w14:paraId="0495894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66" w:type="dxa"/>
            <w:shd w:val="clear" w:color="auto" w:fill="FFFFFF" w:themeFill="background1"/>
            <w:noWrap/>
            <w:vAlign w:val="bottom"/>
          </w:tcPr>
          <w:p w14:paraId="2DDEEB26">
            <w:pPr>
              <w:widowControl/>
              <w:spacing w:line="360" w:lineRule="auto"/>
              <w:jc w:val="center"/>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9</w:t>
            </w:r>
          </w:p>
        </w:tc>
        <w:tc>
          <w:tcPr>
            <w:tcW w:w="2410" w:type="dxa"/>
            <w:shd w:val="clear" w:color="auto" w:fill="FFFFFF" w:themeFill="background1"/>
            <w:noWrap/>
            <w:vAlign w:val="bottom"/>
          </w:tcPr>
          <w:p w14:paraId="5422147A">
            <w:pPr>
              <w:widowControl/>
              <w:spacing w:line="360" w:lineRule="auto"/>
              <w:jc w:val="lef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阶梯水价人口登记</w:t>
            </w:r>
          </w:p>
        </w:tc>
        <w:tc>
          <w:tcPr>
            <w:tcW w:w="6095" w:type="dxa"/>
            <w:shd w:val="clear" w:color="auto" w:fill="FFFFFF" w:themeFill="background1"/>
            <w:noWrap/>
            <w:vAlign w:val="bottom"/>
          </w:tcPr>
          <w:p w14:paraId="15E8DC62">
            <w:pPr>
              <w:widowControl/>
              <w:spacing w:line="360" w:lineRule="auto"/>
              <w:jc w:val="lef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根据用户提供的户口簿或社区证明（与用水地址一致）做好信息登记每三年登记一次</w:t>
            </w:r>
          </w:p>
        </w:tc>
      </w:tr>
      <w:tr w14:paraId="2ADEDE5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66" w:type="dxa"/>
            <w:shd w:val="clear" w:color="auto" w:fill="FFFFFF" w:themeFill="background1"/>
            <w:noWrap/>
            <w:vAlign w:val="bottom"/>
          </w:tcPr>
          <w:p w14:paraId="61572AA4">
            <w:pPr>
              <w:widowControl/>
              <w:spacing w:line="360" w:lineRule="auto"/>
              <w:jc w:val="center"/>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10</w:t>
            </w:r>
          </w:p>
        </w:tc>
        <w:tc>
          <w:tcPr>
            <w:tcW w:w="2410" w:type="dxa"/>
            <w:shd w:val="clear" w:color="auto" w:fill="FFFFFF" w:themeFill="background1"/>
            <w:noWrap/>
            <w:vAlign w:val="bottom"/>
          </w:tcPr>
          <w:p w14:paraId="157F24D3">
            <w:pPr>
              <w:widowControl/>
              <w:spacing w:line="360" w:lineRule="auto"/>
              <w:jc w:val="lef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用户报装业务</w:t>
            </w:r>
          </w:p>
        </w:tc>
        <w:tc>
          <w:tcPr>
            <w:tcW w:w="6095" w:type="dxa"/>
            <w:shd w:val="clear" w:color="auto" w:fill="FFFFFF" w:themeFill="background1"/>
            <w:noWrap/>
            <w:vAlign w:val="bottom"/>
          </w:tcPr>
          <w:p w14:paraId="3F4D30F1">
            <w:pPr>
              <w:widowControl/>
              <w:spacing w:line="360" w:lineRule="auto"/>
              <w:jc w:val="lef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水表出户、居民接水、单位接水、开发企业接水　</w:t>
            </w:r>
          </w:p>
        </w:tc>
      </w:tr>
      <w:tr w14:paraId="105090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66" w:type="dxa"/>
            <w:shd w:val="clear" w:color="auto" w:fill="FFFFFF" w:themeFill="background1"/>
            <w:noWrap/>
            <w:vAlign w:val="bottom"/>
          </w:tcPr>
          <w:p w14:paraId="04E99D56">
            <w:pPr>
              <w:widowControl/>
              <w:spacing w:line="360" w:lineRule="auto"/>
              <w:jc w:val="center"/>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11</w:t>
            </w:r>
          </w:p>
        </w:tc>
        <w:tc>
          <w:tcPr>
            <w:tcW w:w="2410" w:type="dxa"/>
            <w:shd w:val="clear" w:color="auto" w:fill="FFFFFF" w:themeFill="background1"/>
            <w:noWrap/>
            <w:vAlign w:val="bottom"/>
          </w:tcPr>
          <w:p w14:paraId="1CE1B177">
            <w:pPr>
              <w:widowControl/>
              <w:spacing w:line="360" w:lineRule="auto"/>
              <w:jc w:val="lef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客户维修服务查询</w:t>
            </w:r>
          </w:p>
        </w:tc>
        <w:tc>
          <w:tcPr>
            <w:tcW w:w="6095" w:type="dxa"/>
            <w:shd w:val="clear" w:color="auto" w:fill="FFFFFF" w:themeFill="background1"/>
            <w:noWrap/>
            <w:vAlign w:val="bottom"/>
          </w:tcPr>
          <w:p w14:paraId="5A521983">
            <w:pPr>
              <w:widowControl/>
              <w:spacing w:line="360" w:lineRule="auto"/>
              <w:jc w:val="lef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工单流转节点查询　</w:t>
            </w:r>
          </w:p>
        </w:tc>
      </w:tr>
      <w:tr w14:paraId="3FD5902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66" w:type="dxa"/>
            <w:shd w:val="clear" w:color="auto" w:fill="FFFFFF" w:themeFill="background1"/>
            <w:noWrap/>
            <w:vAlign w:val="bottom"/>
          </w:tcPr>
          <w:p w14:paraId="37E3028B">
            <w:pPr>
              <w:widowControl/>
              <w:spacing w:line="360" w:lineRule="auto"/>
              <w:jc w:val="center"/>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12</w:t>
            </w:r>
          </w:p>
        </w:tc>
        <w:tc>
          <w:tcPr>
            <w:tcW w:w="2410" w:type="dxa"/>
            <w:shd w:val="clear" w:color="auto" w:fill="FFFFFF" w:themeFill="background1"/>
            <w:noWrap/>
            <w:vAlign w:val="bottom"/>
          </w:tcPr>
          <w:p w14:paraId="501B08BB">
            <w:pPr>
              <w:widowControl/>
              <w:spacing w:line="360" w:lineRule="auto"/>
              <w:jc w:val="lef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手工票</w:t>
            </w:r>
          </w:p>
        </w:tc>
        <w:tc>
          <w:tcPr>
            <w:tcW w:w="6095" w:type="dxa"/>
            <w:shd w:val="clear" w:color="auto" w:fill="FFFFFF" w:themeFill="background1"/>
            <w:noWrap/>
            <w:vAlign w:val="bottom"/>
          </w:tcPr>
          <w:p w14:paraId="125A6863">
            <w:pPr>
              <w:widowControl/>
              <w:spacing w:line="360" w:lineRule="auto"/>
              <w:jc w:val="lef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手工票业务的全功能，包括手工票数据的录入，作废，红冲以及开票。</w:t>
            </w:r>
          </w:p>
        </w:tc>
      </w:tr>
      <w:tr w14:paraId="6CE4E1A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shd w:val="clear" w:color="auto" w:fill="FFFFFF" w:themeFill="background1"/>
          <w:tblCellMar>
            <w:top w:w="0" w:type="dxa"/>
            <w:left w:w="108" w:type="dxa"/>
            <w:bottom w:w="0" w:type="dxa"/>
            <w:right w:w="108" w:type="dxa"/>
          </w:tblCellMar>
        </w:tblPrEx>
        <w:trPr>
          <w:trHeight w:val="270" w:hRule="atLeast"/>
        </w:trPr>
        <w:tc>
          <w:tcPr>
            <w:tcW w:w="866" w:type="dxa"/>
            <w:shd w:val="clear" w:color="auto" w:fill="FFFFFF" w:themeFill="background1"/>
            <w:noWrap/>
            <w:vAlign w:val="bottom"/>
          </w:tcPr>
          <w:p w14:paraId="66F2CF41">
            <w:pPr>
              <w:widowControl/>
              <w:spacing w:line="360" w:lineRule="auto"/>
              <w:jc w:val="center"/>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13</w:t>
            </w:r>
          </w:p>
        </w:tc>
        <w:tc>
          <w:tcPr>
            <w:tcW w:w="2410" w:type="dxa"/>
            <w:shd w:val="clear" w:color="auto" w:fill="FFFFFF" w:themeFill="background1"/>
            <w:noWrap/>
            <w:vAlign w:val="bottom"/>
          </w:tcPr>
          <w:p w14:paraId="4A6874DC">
            <w:pPr>
              <w:widowControl/>
              <w:spacing w:line="360" w:lineRule="auto"/>
              <w:jc w:val="lef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水费红冲</w:t>
            </w:r>
          </w:p>
        </w:tc>
        <w:tc>
          <w:tcPr>
            <w:tcW w:w="6095" w:type="dxa"/>
            <w:shd w:val="clear" w:color="auto" w:fill="FFFFFF" w:themeFill="background1"/>
            <w:noWrap/>
            <w:vAlign w:val="bottom"/>
          </w:tcPr>
          <w:p w14:paraId="207E38BF">
            <w:pPr>
              <w:widowControl/>
              <w:spacing w:line="360" w:lineRule="auto"/>
              <w:jc w:val="lef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用户当月水量的红冲处理，包括红冲申请和审核。</w:t>
            </w:r>
          </w:p>
        </w:tc>
      </w:tr>
      <w:tr w14:paraId="048CA6C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66" w:type="dxa"/>
            <w:shd w:val="clear" w:color="auto" w:fill="FFFFFF" w:themeFill="background1"/>
            <w:noWrap/>
            <w:vAlign w:val="bottom"/>
          </w:tcPr>
          <w:p w14:paraId="3CCFC8CC">
            <w:pPr>
              <w:widowControl/>
              <w:spacing w:line="360" w:lineRule="auto"/>
              <w:jc w:val="center"/>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14</w:t>
            </w:r>
          </w:p>
        </w:tc>
        <w:tc>
          <w:tcPr>
            <w:tcW w:w="2410" w:type="dxa"/>
            <w:shd w:val="clear" w:color="auto" w:fill="FFFFFF" w:themeFill="background1"/>
            <w:noWrap/>
            <w:vAlign w:val="bottom"/>
          </w:tcPr>
          <w:p w14:paraId="2595AF9E">
            <w:pPr>
              <w:widowControl/>
              <w:spacing w:line="360" w:lineRule="auto"/>
              <w:jc w:val="lef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当月水量修改</w:t>
            </w:r>
          </w:p>
        </w:tc>
        <w:tc>
          <w:tcPr>
            <w:tcW w:w="6095" w:type="dxa"/>
            <w:shd w:val="clear" w:color="auto" w:fill="FFFFFF" w:themeFill="background1"/>
            <w:noWrap/>
            <w:vAlign w:val="bottom"/>
          </w:tcPr>
          <w:p w14:paraId="1BD19236">
            <w:pPr>
              <w:widowControl/>
              <w:spacing w:line="360" w:lineRule="auto"/>
              <w:jc w:val="lef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用户当月水量的修改，包括修改申请和审核。</w:t>
            </w:r>
          </w:p>
        </w:tc>
      </w:tr>
      <w:tr w14:paraId="7CF3D3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66" w:type="dxa"/>
            <w:shd w:val="clear" w:color="auto" w:fill="FFFFFF" w:themeFill="background1"/>
            <w:noWrap/>
            <w:vAlign w:val="bottom"/>
          </w:tcPr>
          <w:p w14:paraId="5BD5EDC1">
            <w:pPr>
              <w:widowControl/>
              <w:spacing w:line="360" w:lineRule="auto"/>
              <w:jc w:val="center"/>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15</w:t>
            </w:r>
          </w:p>
        </w:tc>
        <w:tc>
          <w:tcPr>
            <w:tcW w:w="2410" w:type="dxa"/>
            <w:shd w:val="clear" w:color="auto" w:fill="FFFFFF" w:themeFill="background1"/>
            <w:noWrap/>
            <w:vAlign w:val="bottom"/>
          </w:tcPr>
          <w:p w14:paraId="4AA0B731">
            <w:pPr>
              <w:widowControl/>
              <w:spacing w:line="360" w:lineRule="auto"/>
              <w:jc w:val="lef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登录用户管理</w:t>
            </w:r>
          </w:p>
        </w:tc>
        <w:tc>
          <w:tcPr>
            <w:tcW w:w="6095" w:type="dxa"/>
            <w:shd w:val="clear" w:color="auto" w:fill="FFFFFF" w:themeFill="background1"/>
            <w:noWrap/>
            <w:vAlign w:val="bottom"/>
          </w:tcPr>
          <w:p w14:paraId="06B0143B">
            <w:pPr>
              <w:widowControl/>
              <w:spacing w:line="360" w:lineRule="auto"/>
              <w:jc w:val="lef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登录用户账户同时需要和营收系统，以及报装系统用户关联</w:t>
            </w:r>
          </w:p>
        </w:tc>
      </w:tr>
    </w:tbl>
    <w:p w14:paraId="032EE947">
      <w:pPr>
        <w:spacing w:line="360" w:lineRule="auto"/>
        <w:ind w:firstLine="420"/>
        <w:rPr>
          <w:rFonts w:cs="方正仿宋_GBK" w:asciiTheme="minorEastAsia" w:hAnsiTheme="minorEastAsia" w:eastAsiaTheme="minorEastAsia"/>
          <w:color w:val="auto"/>
          <w:szCs w:val="21"/>
          <w:highlight w:val="none"/>
        </w:rPr>
      </w:pPr>
    </w:p>
    <w:p w14:paraId="3DBE3020">
      <w:pPr>
        <w:pStyle w:val="29"/>
        <w:spacing w:line="360" w:lineRule="auto"/>
        <w:ind w:firstLine="426" w:firstLineChars="202"/>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七、营业抄表业务管理升级的主要功能</w:t>
      </w:r>
    </w:p>
    <w:p w14:paraId="5F9738EC">
      <w:pPr>
        <w:pStyle w:val="29"/>
        <w:spacing w:line="360" w:lineRule="auto"/>
        <w:ind w:firstLine="424" w:firstLineChars="202"/>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本次系统升级的主要功能清单见下表：</w:t>
      </w:r>
    </w:p>
    <w:tbl>
      <w:tblPr>
        <w:tblStyle w:val="20"/>
        <w:tblW w:w="5834" w:type="dxa"/>
        <w:tblInd w:w="937"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156"/>
        <w:gridCol w:w="3685"/>
        <w:gridCol w:w="993"/>
      </w:tblGrid>
      <w:tr w14:paraId="6B9F484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6563CE5B">
            <w:pPr>
              <w:widowControl/>
              <w:ind w:right="281"/>
              <w:jc w:val="righ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序 号</w:t>
            </w:r>
          </w:p>
        </w:tc>
        <w:tc>
          <w:tcPr>
            <w:tcW w:w="3685" w:type="dxa"/>
            <w:shd w:val="clear" w:color="auto" w:fill="auto"/>
            <w:noWrap/>
            <w:vAlign w:val="center"/>
          </w:tcPr>
          <w:p w14:paraId="658C7DE9">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功能菜单名称</w:t>
            </w:r>
          </w:p>
        </w:tc>
        <w:tc>
          <w:tcPr>
            <w:tcW w:w="993" w:type="dxa"/>
            <w:shd w:val="clear" w:color="auto" w:fill="auto"/>
            <w:noWrap/>
            <w:vAlign w:val="center"/>
          </w:tcPr>
          <w:p w14:paraId="6C01B7B7">
            <w:pPr>
              <w:widowControl/>
              <w:jc w:val="left"/>
              <w:rPr>
                <w:rFonts w:cs="宋体" w:asciiTheme="minorEastAsia" w:hAnsiTheme="minorEastAsia" w:eastAsiaTheme="minorEastAsia"/>
                <w:color w:val="auto"/>
                <w:kern w:val="0"/>
                <w:szCs w:val="21"/>
                <w:highlight w:val="none"/>
              </w:rPr>
            </w:pPr>
          </w:p>
        </w:tc>
      </w:tr>
      <w:tr w14:paraId="77D5265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8C5FB46">
            <w:pPr>
              <w:widowControl/>
              <w:ind w:right="281"/>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 xml:space="preserve">   1</w:t>
            </w:r>
          </w:p>
        </w:tc>
        <w:tc>
          <w:tcPr>
            <w:tcW w:w="3685" w:type="dxa"/>
            <w:shd w:val="clear" w:color="auto" w:fill="auto"/>
            <w:noWrap/>
            <w:vAlign w:val="center"/>
          </w:tcPr>
          <w:p w14:paraId="78685207">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 基础档案</w:t>
            </w:r>
          </w:p>
        </w:tc>
        <w:tc>
          <w:tcPr>
            <w:tcW w:w="993" w:type="dxa"/>
            <w:shd w:val="clear" w:color="auto" w:fill="auto"/>
            <w:noWrap/>
            <w:vAlign w:val="center"/>
          </w:tcPr>
          <w:p w14:paraId="1D8897C2">
            <w:pPr>
              <w:widowControl/>
              <w:jc w:val="left"/>
              <w:rPr>
                <w:rFonts w:cs="宋体" w:asciiTheme="minorEastAsia" w:hAnsiTheme="minorEastAsia" w:eastAsiaTheme="minorEastAsia"/>
                <w:color w:val="auto"/>
                <w:kern w:val="0"/>
                <w:szCs w:val="21"/>
                <w:highlight w:val="none"/>
              </w:rPr>
            </w:pPr>
          </w:p>
        </w:tc>
      </w:tr>
      <w:tr w14:paraId="0FE812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A3BEE2D">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w:t>
            </w:r>
          </w:p>
        </w:tc>
        <w:tc>
          <w:tcPr>
            <w:tcW w:w="3685" w:type="dxa"/>
            <w:shd w:val="clear" w:color="auto" w:fill="auto"/>
            <w:noWrap/>
            <w:vAlign w:val="center"/>
          </w:tcPr>
          <w:p w14:paraId="543505AE">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1.1 用户接水处理</w:t>
            </w:r>
          </w:p>
        </w:tc>
        <w:tc>
          <w:tcPr>
            <w:tcW w:w="993" w:type="dxa"/>
            <w:shd w:val="clear" w:color="auto" w:fill="auto"/>
            <w:noWrap/>
            <w:vAlign w:val="center"/>
          </w:tcPr>
          <w:p w14:paraId="65A02A6D">
            <w:pPr>
              <w:widowControl/>
              <w:jc w:val="left"/>
              <w:rPr>
                <w:rFonts w:cs="宋体" w:asciiTheme="minorEastAsia" w:hAnsiTheme="minorEastAsia" w:eastAsiaTheme="minorEastAsia"/>
                <w:color w:val="auto"/>
                <w:kern w:val="0"/>
                <w:szCs w:val="21"/>
                <w:highlight w:val="none"/>
              </w:rPr>
            </w:pPr>
          </w:p>
        </w:tc>
      </w:tr>
      <w:tr w14:paraId="44BA7A9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9A27829">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3</w:t>
            </w:r>
          </w:p>
        </w:tc>
        <w:tc>
          <w:tcPr>
            <w:tcW w:w="3685" w:type="dxa"/>
            <w:shd w:val="clear" w:color="auto" w:fill="auto"/>
            <w:noWrap/>
            <w:vAlign w:val="center"/>
          </w:tcPr>
          <w:p w14:paraId="0DD182D3">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 用户档案建立</w:t>
            </w:r>
          </w:p>
        </w:tc>
        <w:tc>
          <w:tcPr>
            <w:tcW w:w="993" w:type="dxa"/>
            <w:shd w:val="clear" w:color="auto" w:fill="auto"/>
            <w:noWrap/>
            <w:vAlign w:val="center"/>
          </w:tcPr>
          <w:p w14:paraId="5C9F40E1">
            <w:pPr>
              <w:widowControl/>
              <w:jc w:val="left"/>
              <w:rPr>
                <w:rFonts w:cs="宋体" w:asciiTheme="minorEastAsia" w:hAnsiTheme="minorEastAsia" w:eastAsiaTheme="minorEastAsia"/>
                <w:color w:val="auto"/>
                <w:kern w:val="0"/>
                <w:szCs w:val="21"/>
                <w:highlight w:val="none"/>
              </w:rPr>
            </w:pPr>
          </w:p>
        </w:tc>
      </w:tr>
      <w:tr w14:paraId="77C3229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26EF404D">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4</w:t>
            </w:r>
          </w:p>
        </w:tc>
        <w:tc>
          <w:tcPr>
            <w:tcW w:w="3685" w:type="dxa"/>
            <w:shd w:val="clear" w:color="auto" w:fill="auto"/>
            <w:noWrap/>
            <w:vAlign w:val="center"/>
          </w:tcPr>
          <w:p w14:paraId="0DDA2F12">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1.3 册号资料维护</w:t>
            </w:r>
          </w:p>
        </w:tc>
        <w:tc>
          <w:tcPr>
            <w:tcW w:w="993" w:type="dxa"/>
            <w:shd w:val="clear" w:color="auto" w:fill="auto"/>
            <w:noWrap/>
            <w:vAlign w:val="center"/>
          </w:tcPr>
          <w:p w14:paraId="62EFAE36">
            <w:pPr>
              <w:widowControl/>
              <w:jc w:val="left"/>
              <w:rPr>
                <w:rFonts w:cs="宋体" w:asciiTheme="minorEastAsia" w:hAnsiTheme="minorEastAsia" w:eastAsiaTheme="minorEastAsia"/>
                <w:color w:val="auto"/>
                <w:kern w:val="0"/>
                <w:szCs w:val="21"/>
                <w:highlight w:val="none"/>
              </w:rPr>
            </w:pPr>
          </w:p>
        </w:tc>
      </w:tr>
      <w:tr w14:paraId="721053F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5C4CAA97">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5</w:t>
            </w:r>
          </w:p>
        </w:tc>
        <w:tc>
          <w:tcPr>
            <w:tcW w:w="3685" w:type="dxa"/>
            <w:shd w:val="clear" w:color="auto" w:fill="auto"/>
            <w:noWrap/>
            <w:vAlign w:val="center"/>
          </w:tcPr>
          <w:p w14:paraId="6AE66448">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1.4 托收信息维护</w:t>
            </w:r>
          </w:p>
        </w:tc>
        <w:tc>
          <w:tcPr>
            <w:tcW w:w="993" w:type="dxa"/>
            <w:shd w:val="clear" w:color="auto" w:fill="auto"/>
            <w:noWrap/>
            <w:vAlign w:val="center"/>
          </w:tcPr>
          <w:p w14:paraId="4EED7C09">
            <w:pPr>
              <w:widowControl/>
              <w:jc w:val="left"/>
              <w:rPr>
                <w:rFonts w:cs="宋体" w:asciiTheme="minorEastAsia" w:hAnsiTheme="minorEastAsia" w:eastAsiaTheme="minorEastAsia"/>
                <w:color w:val="auto"/>
                <w:kern w:val="0"/>
                <w:szCs w:val="21"/>
                <w:highlight w:val="none"/>
              </w:rPr>
            </w:pPr>
          </w:p>
        </w:tc>
      </w:tr>
      <w:tr w14:paraId="207239C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019406FF">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w:t>
            </w:r>
          </w:p>
        </w:tc>
        <w:tc>
          <w:tcPr>
            <w:tcW w:w="3685" w:type="dxa"/>
            <w:shd w:val="clear" w:color="auto" w:fill="auto"/>
            <w:noWrap/>
            <w:vAlign w:val="center"/>
          </w:tcPr>
          <w:p w14:paraId="2FDDB9BD">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1.5 区域信息维护</w:t>
            </w:r>
          </w:p>
        </w:tc>
        <w:tc>
          <w:tcPr>
            <w:tcW w:w="993" w:type="dxa"/>
            <w:shd w:val="clear" w:color="auto" w:fill="auto"/>
            <w:noWrap/>
            <w:vAlign w:val="center"/>
          </w:tcPr>
          <w:p w14:paraId="032B0A3E">
            <w:pPr>
              <w:widowControl/>
              <w:jc w:val="left"/>
              <w:rPr>
                <w:rFonts w:cs="宋体" w:asciiTheme="minorEastAsia" w:hAnsiTheme="minorEastAsia" w:eastAsiaTheme="minorEastAsia"/>
                <w:color w:val="auto"/>
                <w:kern w:val="0"/>
                <w:szCs w:val="21"/>
                <w:highlight w:val="none"/>
              </w:rPr>
            </w:pPr>
          </w:p>
        </w:tc>
      </w:tr>
      <w:tr w14:paraId="0B340F9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62A48CE8">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w:t>
            </w:r>
          </w:p>
        </w:tc>
        <w:tc>
          <w:tcPr>
            <w:tcW w:w="3685" w:type="dxa"/>
            <w:shd w:val="clear" w:color="auto" w:fill="auto"/>
            <w:noWrap/>
            <w:vAlign w:val="center"/>
          </w:tcPr>
          <w:p w14:paraId="25A471B0">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1.6 增值税用户维护</w:t>
            </w:r>
          </w:p>
        </w:tc>
        <w:tc>
          <w:tcPr>
            <w:tcW w:w="993" w:type="dxa"/>
            <w:shd w:val="clear" w:color="auto" w:fill="auto"/>
            <w:noWrap/>
            <w:vAlign w:val="center"/>
          </w:tcPr>
          <w:p w14:paraId="0379F88C">
            <w:pPr>
              <w:widowControl/>
              <w:jc w:val="left"/>
              <w:rPr>
                <w:rFonts w:cs="宋体" w:asciiTheme="minorEastAsia" w:hAnsiTheme="minorEastAsia" w:eastAsiaTheme="minorEastAsia"/>
                <w:color w:val="auto"/>
                <w:kern w:val="0"/>
                <w:szCs w:val="21"/>
                <w:highlight w:val="none"/>
              </w:rPr>
            </w:pPr>
          </w:p>
        </w:tc>
      </w:tr>
      <w:tr w14:paraId="723088E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468C7428">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8</w:t>
            </w:r>
          </w:p>
        </w:tc>
        <w:tc>
          <w:tcPr>
            <w:tcW w:w="3685" w:type="dxa"/>
            <w:shd w:val="clear" w:color="auto" w:fill="auto"/>
            <w:noWrap/>
            <w:vAlign w:val="center"/>
          </w:tcPr>
          <w:p w14:paraId="6C7B4B7F">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1.7 联合编号维护</w:t>
            </w:r>
          </w:p>
        </w:tc>
        <w:tc>
          <w:tcPr>
            <w:tcW w:w="993" w:type="dxa"/>
            <w:shd w:val="clear" w:color="auto" w:fill="auto"/>
            <w:noWrap/>
            <w:vAlign w:val="center"/>
          </w:tcPr>
          <w:p w14:paraId="435E3369">
            <w:pPr>
              <w:widowControl/>
              <w:jc w:val="left"/>
              <w:rPr>
                <w:rFonts w:cs="宋体" w:asciiTheme="minorEastAsia" w:hAnsiTheme="minorEastAsia" w:eastAsiaTheme="minorEastAsia"/>
                <w:color w:val="auto"/>
                <w:kern w:val="0"/>
                <w:szCs w:val="21"/>
                <w:highlight w:val="none"/>
              </w:rPr>
            </w:pPr>
          </w:p>
        </w:tc>
      </w:tr>
      <w:tr w14:paraId="14258E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0562AD29">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9</w:t>
            </w:r>
          </w:p>
        </w:tc>
        <w:tc>
          <w:tcPr>
            <w:tcW w:w="3685" w:type="dxa"/>
            <w:shd w:val="clear" w:color="auto" w:fill="auto"/>
            <w:noWrap/>
            <w:vAlign w:val="center"/>
          </w:tcPr>
          <w:p w14:paraId="69FEE503">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1.8 档案浏览查询</w:t>
            </w:r>
          </w:p>
        </w:tc>
        <w:tc>
          <w:tcPr>
            <w:tcW w:w="993" w:type="dxa"/>
            <w:shd w:val="clear" w:color="auto" w:fill="auto"/>
            <w:noWrap/>
            <w:vAlign w:val="center"/>
          </w:tcPr>
          <w:p w14:paraId="7C4CE81B">
            <w:pPr>
              <w:widowControl/>
              <w:jc w:val="left"/>
              <w:rPr>
                <w:rFonts w:cs="宋体" w:asciiTheme="minorEastAsia" w:hAnsiTheme="minorEastAsia" w:eastAsiaTheme="minorEastAsia"/>
                <w:color w:val="auto"/>
                <w:kern w:val="0"/>
                <w:szCs w:val="21"/>
                <w:highlight w:val="none"/>
              </w:rPr>
            </w:pPr>
          </w:p>
        </w:tc>
      </w:tr>
      <w:tr w14:paraId="6710760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0A17DE44">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10</w:t>
            </w:r>
          </w:p>
        </w:tc>
        <w:tc>
          <w:tcPr>
            <w:tcW w:w="3685" w:type="dxa"/>
            <w:shd w:val="clear" w:color="auto" w:fill="auto"/>
            <w:noWrap/>
            <w:vAlign w:val="center"/>
          </w:tcPr>
          <w:p w14:paraId="2C7D36FD">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1.9 新户资料导入</w:t>
            </w:r>
          </w:p>
        </w:tc>
        <w:tc>
          <w:tcPr>
            <w:tcW w:w="993" w:type="dxa"/>
            <w:shd w:val="clear" w:color="auto" w:fill="auto"/>
            <w:noWrap/>
            <w:vAlign w:val="center"/>
          </w:tcPr>
          <w:p w14:paraId="1DA1249D">
            <w:pPr>
              <w:widowControl/>
              <w:jc w:val="left"/>
              <w:rPr>
                <w:rFonts w:cs="宋体" w:asciiTheme="minorEastAsia" w:hAnsiTheme="minorEastAsia" w:eastAsiaTheme="minorEastAsia"/>
                <w:color w:val="auto"/>
                <w:kern w:val="0"/>
                <w:szCs w:val="21"/>
                <w:highlight w:val="none"/>
              </w:rPr>
            </w:pPr>
          </w:p>
        </w:tc>
      </w:tr>
      <w:tr w14:paraId="0659B4A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3D9F9B86">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11</w:t>
            </w:r>
          </w:p>
        </w:tc>
        <w:tc>
          <w:tcPr>
            <w:tcW w:w="3685" w:type="dxa"/>
            <w:shd w:val="clear" w:color="auto" w:fill="auto"/>
            <w:noWrap/>
            <w:vAlign w:val="center"/>
          </w:tcPr>
          <w:p w14:paraId="42CCE58B">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1.10 信息综合查询</w:t>
            </w:r>
          </w:p>
        </w:tc>
        <w:tc>
          <w:tcPr>
            <w:tcW w:w="993" w:type="dxa"/>
            <w:shd w:val="clear" w:color="auto" w:fill="auto"/>
            <w:noWrap/>
            <w:vAlign w:val="center"/>
          </w:tcPr>
          <w:p w14:paraId="1C7481AE">
            <w:pPr>
              <w:widowControl/>
              <w:jc w:val="left"/>
              <w:rPr>
                <w:rFonts w:cs="宋体" w:asciiTheme="minorEastAsia" w:hAnsiTheme="minorEastAsia" w:eastAsiaTheme="minorEastAsia"/>
                <w:color w:val="auto"/>
                <w:kern w:val="0"/>
                <w:szCs w:val="21"/>
                <w:highlight w:val="none"/>
              </w:rPr>
            </w:pPr>
          </w:p>
        </w:tc>
      </w:tr>
      <w:tr w14:paraId="2845B2C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004EE0C5">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w:t>
            </w:r>
          </w:p>
        </w:tc>
        <w:tc>
          <w:tcPr>
            <w:tcW w:w="3685" w:type="dxa"/>
            <w:shd w:val="clear" w:color="auto" w:fill="auto"/>
            <w:noWrap/>
            <w:vAlign w:val="center"/>
          </w:tcPr>
          <w:p w14:paraId="21B93962">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1.11 新用户清单</w:t>
            </w:r>
          </w:p>
        </w:tc>
        <w:tc>
          <w:tcPr>
            <w:tcW w:w="993" w:type="dxa"/>
            <w:shd w:val="clear" w:color="auto" w:fill="auto"/>
            <w:noWrap/>
            <w:vAlign w:val="center"/>
          </w:tcPr>
          <w:p w14:paraId="280389FE">
            <w:pPr>
              <w:widowControl/>
              <w:jc w:val="left"/>
              <w:rPr>
                <w:rFonts w:cs="宋体" w:asciiTheme="minorEastAsia" w:hAnsiTheme="minorEastAsia" w:eastAsiaTheme="minorEastAsia"/>
                <w:color w:val="auto"/>
                <w:kern w:val="0"/>
                <w:szCs w:val="21"/>
                <w:highlight w:val="none"/>
              </w:rPr>
            </w:pPr>
          </w:p>
        </w:tc>
      </w:tr>
      <w:tr w14:paraId="4734581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3FA575E0">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13</w:t>
            </w:r>
          </w:p>
        </w:tc>
        <w:tc>
          <w:tcPr>
            <w:tcW w:w="3685" w:type="dxa"/>
            <w:shd w:val="clear" w:color="auto" w:fill="auto"/>
            <w:noWrap/>
            <w:vAlign w:val="center"/>
          </w:tcPr>
          <w:p w14:paraId="480A5802">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1.12 低保户档案维护</w:t>
            </w:r>
          </w:p>
        </w:tc>
        <w:tc>
          <w:tcPr>
            <w:tcW w:w="993" w:type="dxa"/>
            <w:shd w:val="clear" w:color="auto" w:fill="auto"/>
            <w:noWrap/>
            <w:vAlign w:val="center"/>
          </w:tcPr>
          <w:p w14:paraId="7365177D">
            <w:pPr>
              <w:widowControl/>
              <w:jc w:val="left"/>
              <w:rPr>
                <w:rFonts w:cs="宋体" w:asciiTheme="minorEastAsia" w:hAnsiTheme="minorEastAsia" w:eastAsiaTheme="minorEastAsia"/>
                <w:color w:val="auto"/>
                <w:kern w:val="0"/>
                <w:szCs w:val="21"/>
                <w:highlight w:val="none"/>
              </w:rPr>
            </w:pPr>
          </w:p>
        </w:tc>
      </w:tr>
      <w:tr w14:paraId="013DC0E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03938EBE">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14</w:t>
            </w:r>
          </w:p>
        </w:tc>
        <w:tc>
          <w:tcPr>
            <w:tcW w:w="3685" w:type="dxa"/>
            <w:shd w:val="clear" w:color="auto" w:fill="auto"/>
            <w:noWrap/>
            <w:vAlign w:val="center"/>
          </w:tcPr>
          <w:p w14:paraId="50E9B391">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1.13 代扣用户维护</w:t>
            </w:r>
          </w:p>
        </w:tc>
        <w:tc>
          <w:tcPr>
            <w:tcW w:w="993" w:type="dxa"/>
            <w:shd w:val="clear" w:color="auto" w:fill="auto"/>
            <w:noWrap/>
            <w:vAlign w:val="center"/>
          </w:tcPr>
          <w:p w14:paraId="6AE1AEFB">
            <w:pPr>
              <w:widowControl/>
              <w:jc w:val="left"/>
              <w:rPr>
                <w:rFonts w:cs="宋体" w:asciiTheme="minorEastAsia" w:hAnsiTheme="minorEastAsia" w:eastAsiaTheme="minorEastAsia"/>
                <w:color w:val="auto"/>
                <w:kern w:val="0"/>
                <w:szCs w:val="21"/>
                <w:highlight w:val="none"/>
              </w:rPr>
            </w:pPr>
          </w:p>
        </w:tc>
      </w:tr>
      <w:tr w14:paraId="3188514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678F251C">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15</w:t>
            </w:r>
          </w:p>
        </w:tc>
        <w:tc>
          <w:tcPr>
            <w:tcW w:w="3685" w:type="dxa"/>
            <w:shd w:val="clear" w:color="auto" w:fill="auto"/>
            <w:noWrap/>
            <w:vAlign w:val="center"/>
          </w:tcPr>
          <w:p w14:paraId="213851F9">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1.14 欠费用户清单（批量停水）</w:t>
            </w:r>
          </w:p>
        </w:tc>
        <w:tc>
          <w:tcPr>
            <w:tcW w:w="993" w:type="dxa"/>
            <w:shd w:val="clear" w:color="auto" w:fill="auto"/>
            <w:noWrap/>
            <w:vAlign w:val="center"/>
          </w:tcPr>
          <w:p w14:paraId="26165EBB">
            <w:pPr>
              <w:widowControl/>
              <w:jc w:val="left"/>
              <w:rPr>
                <w:rFonts w:cs="宋体" w:asciiTheme="minorEastAsia" w:hAnsiTheme="minorEastAsia" w:eastAsiaTheme="minorEastAsia"/>
                <w:color w:val="auto"/>
                <w:kern w:val="0"/>
                <w:szCs w:val="21"/>
                <w:highlight w:val="none"/>
              </w:rPr>
            </w:pPr>
          </w:p>
        </w:tc>
      </w:tr>
      <w:tr w14:paraId="76C8762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253832FE">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16</w:t>
            </w:r>
          </w:p>
        </w:tc>
        <w:tc>
          <w:tcPr>
            <w:tcW w:w="3685" w:type="dxa"/>
            <w:shd w:val="clear" w:color="auto" w:fill="auto"/>
            <w:noWrap/>
            <w:vAlign w:val="center"/>
          </w:tcPr>
          <w:p w14:paraId="20820D31">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 抄表管理</w:t>
            </w:r>
          </w:p>
        </w:tc>
        <w:tc>
          <w:tcPr>
            <w:tcW w:w="993" w:type="dxa"/>
            <w:shd w:val="clear" w:color="auto" w:fill="auto"/>
            <w:noWrap/>
            <w:vAlign w:val="center"/>
          </w:tcPr>
          <w:p w14:paraId="2C339939">
            <w:pPr>
              <w:widowControl/>
              <w:jc w:val="left"/>
              <w:rPr>
                <w:rFonts w:cs="宋体" w:asciiTheme="minorEastAsia" w:hAnsiTheme="minorEastAsia" w:eastAsiaTheme="minorEastAsia"/>
                <w:color w:val="auto"/>
                <w:kern w:val="0"/>
                <w:szCs w:val="21"/>
                <w:highlight w:val="none"/>
              </w:rPr>
            </w:pPr>
          </w:p>
        </w:tc>
      </w:tr>
      <w:tr w14:paraId="1D5B33B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275F612B">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17</w:t>
            </w:r>
          </w:p>
        </w:tc>
        <w:tc>
          <w:tcPr>
            <w:tcW w:w="3685" w:type="dxa"/>
            <w:shd w:val="clear" w:color="auto" w:fill="auto"/>
            <w:noWrap/>
            <w:vAlign w:val="center"/>
          </w:tcPr>
          <w:p w14:paraId="3468E747">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2.1 单户抄表录入</w:t>
            </w:r>
          </w:p>
        </w:tc>
        <w:tc>
          <w:tcPr>
            <w:tcW w:w="993" w:type="dxa"/>
            <w:shd w:val="clear" w:color="auto" w:fill="auto"/>
            <w:noWrap/>
            <w:vAlign w:val="center"/>
          </w:tcPr>
          <w:p w14:paraId="4B0C119B">
            <w:pPr>
              <w:widowControl/>
              <w:jc w:val="left"/>
              <w:rPr>
                <w:rFonts w:cs="宋体" w:asciiTheme="minorEastAsia" w:hAnsiTheme="minorEastAsia" w:eastAsiaTheme="minorEastAsia"/>
                <w:color w:val="auto"/>
                <w:kern w:val="0"/>
                <w:szCs w:val="21"/>
                <w:highlight w:val="none"/>
              </w:rPr>
            </w:pPr>
          </w:p>
        </w:tc>
      </w:tr>
      <w:tr w14:paraId="3EFDD05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11147AF6">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18</w:t>
            </w:r>
          </w:p>
        </w:tc>
        <w:tc>
          <w:tcPr>
            <w:tcW w:w="3685" w:type="dxa"/>
            <w:shd w:val="clear" w:color="auto" w:fill="auto"/>
            <w:noWrap/>
            <w:vAlign w:val="center"/>
          </w:tcPr>
          <w:p w14:paraId="301676A9">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2.2 整册抄表录入</w:t>
            </w:r>
          </w:p>
        </w:tc>
        <w:tc>
          <w:tcPr>
            <w:tcW w:w="993" w:type="dxa"/>
            <w:shd w:val="clear" w:color="auto" w:fill="auto"/>
            <w:noWrap/>
            <w:vAlign w:val="center"/>
          </w:tcPr>
          <w:p w14:paraId="22392123">
            <w:pPr>
              <w:widowControl/>
              <w:jc w:val="left"/>
              <w:rPr>
                <w:rFonts w:cs="宋体" w:asciiTheme="minorEastAsia" w:hAnsiTheme="minorEastAsia" w:eastAsiaTheme="minorEastAsia"/>
                <w:color w:val="auto"/>
                <w:kern w:val="0"/>
                <w:szCs w:val="21"/>
                <w:highlight w:val="none"/>
              </w:rPr>
            </w:pPr>
          </w:p>
        </w:tc>
      </w:tr>
      <w:tr w14:paraId="78B930F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51B9F53F">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19</w:t>
            </w:r>
          </w:p>
        </w:tc>
        <w:tc>
          <w:tcPr>
            <w:tcW w:w="3685" w:type="dxa"/>
            <w:shd w:val="clear" w:color="auto" w:fill="auto"/>
            <w:noWrap/>
            <w:vAlign w:val="center"/>
          </w:tcPr>
          <w:p w14:paraId="0FC30CDB">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2.3 远程抄表录入</w:t>
            </w:r>
          </w:p>
        </w:tc>
        <w:tc>
          <w:tcPr>
            <w:tcW w:w="993" w:type="dxa"/>
            <w:shd w:val="clear" w:color="auto" w:fill="auto"/>
            <w:noWrap/>
            <w:vAlign w:val="center"/>
          </w:tcPr>
          <w:p w14:paraId="669BF2B0">
            <w:pPr>
              <w:widowControl/>
              <w:jc w:val="left"/>
              <w:rPr>
                <w:rFonts w:cs="宋体" w:asciiTheme="minorEastAsia" w:hAnsiTheme="minorEastAsia" w:eastAsiaTheme="minorEastAsia"/>
                <w:color w:val="auto"/>
                <w:kern w:val="0"/>
                <w:szCs w:val="21"/>
                <w:highlight w:val="none"/>
              </w:rPr>
            </w:pPr>
          </w:p>
        </w:tc>
      </w:tr>
      <w:tr w14:paraId="401C0F9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1FE633F4">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20</w:t>
            </w:r>
          </w:p>
        </w:tc>
        <w:tc>
          <w:tcPr>
            <w:tcW w:w="3685" w:type="dxa"/>
            <w:shd w:val="clear" w:color="auto" w:fill="auto"/>
            <w:noWrap/>
            <w:vAlign w:val="center"/>
          </w:tcPr>
          <w:p w14:paraId="633F0FFB">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2.4 稽查抄表录入</w:t>
            </w:r>
          </w:p>
        </w:tc>
        <w:tc>
          <w:tcPr>
            <w:tcW w:w="993" w:type="dxa"/>
            <w:shd w:val="clear" w:color="auto" w:fill="auto"/>
            <w:noWrap/>
            <w:vAlign w:val="center"/>
          </w:tcPr>
          <w:p w14:paraId="5304AB59">
            <w:pPr>
              <w:widowControl/>
              <w:jc w:val="left"/>
              <w:rPr>
                <w:rFonts w:cs="宋体" w:asciiTheme="minorEastAsia" w:hAnsiTheme="minorEastAsia" w:eastAsiaTheme="minorEastAsia"/>
                <w:color w:val="auto"/>
                <w:kern w:val="0"/>
                <w:szCs w:val="21"/>
                <w:highlight w:val="none"/>
              </w:rPr>
            </w:pPr>
          </w:p>
        </w:tc>
      </w:tr>
      <w:tr w14:paraId="1A6282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1DAD45EE">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21</w:t>
            </w:r>
          </w:p>
        </w:tc>
        <w:tc>
          <w:tcPr>
            <w:tcW w:w="3685" w:type="dxa"/>
            <w:shd w:val="clear" w:color="auto" w:fill="auto"/>
            <w:noWrap/>
            <w:vAlign w:val="center"/>
          </w:tcPr>
          <w:p w14:paraId="4ED66A3C">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2.5 区域抄表录入</w:t>
            </w:r>
          </w:p>
        </w:tc>
        <w:tc>
          <w:tcPr>
            <w:tcW w:w="993" w:type="dxa"/>
            <w:shd w:val="clear" w:color="auto" w:fill="auto"/>
            <w:noWrap/>
            <w:vAlign w:val="center"/>
          </w:tcPr>
          <w:p w14:paraId="630990F6">
            <w:pPr>
              <w:widowControl/>
              <w:jc w:val="left"/>
              <w:rPr>
                <w:rFonts w:cs="宋体" w:asciiTheme="minorEastAsia" w:hAnsiTheme="minorEastAsia" w:eastAsiaTheme="minorEastAsia"/>
                <w:color w:val="auto"/>
                <w:kern w:val="0"/>
                <w:szCs w:val="21"/>
                <w:highlight w:val="none"/>
              </w:rPr>
            </w:pPr>
          </w:p>
        </w:tc>
      </w:tr>
      <w:tr w14:paraId="71A32F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51704632">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22</w:t>
            </w:r>
          </w:p>
        </w:tc>
        <w:tc>
          <w:tcPr>
            <w:tcW w:w="3685" w:type="dxa"/>
            <w:shd w:val="clear" w:color="auto" w:fill="auto"/>
            <w:noWrap/>
            <w:vAlign w:val="center"/>
          </w:tcPr>
          <w:p w14:paraId="504DBD4E">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2.6 托收抄表统计</w:t>
            </w:r>
          </w:p>
        </w:tc>
        <w:tc>
          <w:tcPr>
            <w:tcW w:w="993" w:type="dxa"/>
            <w:shd w:val="clear" w:color="auto" w:fill="auto"/>
            <w:noWrap/>
            <w:vAlign w:val="center"/>
          </w:tcPr>
          <w:p w14:paraId="4920C522">
            <w:pPr>
              <w:widowControl/>
              <w:jc w:val="left"/>
              <w:rPr>
                <w:rFonts w:cs="宋体" w:asciiTheme="minorEastAsia" w:hAnsiTheme="minorEastAsia" w:eastAsiaTheme="minorEastAsia"/>
                <w:color w:val="auto"/>
                <w:kern w:val="0"/>
                <w:szCs w:val="21"/>
                <w:highlight w:val="none"/>
              </w:rPr>
            </w:pPr>
          </w:p>
        </w:tc>
      </w:tr>
      <w:tr w14:paraId="506D320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A0AB67D">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23</w:t>
            </w:r>
          </w:p>
        </w:tc>
        <w:tc>
          <w:tcPr>
            <w:tcW w:w="3685" w:type="dxa"/>
            <w:shd w:val="clear" w:color="auto" w:fill="auto"/>
            <w:noWrap/>
            <w:vAlign w:val="center"/>
          </w:tcPr>
          <w:p w14:paraId="771ABB7F">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2.7 抄表录入明细</w:t>
            </w:r>
          </w:p>
        </w:tc>
        <w:tc>
          <w:tcPr>
            <w:tcW w:w="993" w:type="dxa"/>
            <w:shd w:val="clear" w:color="auto" w:fill="auto"/>
            <w:noWrap/>
            <w:vAlign w:val="center"/>
          </w:tcPr>
          <w:p w14:paraId="7CD942C8">
            <w:pPr>
              <w:widowControl/>
              <w:jc w:val="left"/>
              <w:rPr>
                <w:rFonts w:cs="宋体" w:asciiTheme="minorEastAsia" w:hAnsiTheme="minorEastAsia" w:eastAsiaTheme="minorEastAsia"/>
                <w:color w:val="auto"/>
                <w:kern w:val="0"/>
                <w:szCs w:val="21"/>
                <w:highlight w:val="none"/>
              </w:rPr>
            </w:pPr>
          </w:p>
        </w:tc>
      </w:tr>
      <w:tr w14:paraId="177FCDA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46C89474">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24</w:t>
            </w:r>
          </w:p>
        </w:tc>
        <w:tc>
          <w:tcPr>
            <w:tcW w:w="3685" w:type="dxa"/>
            <w:shd w:val="clear" w:color="auto" w:fill="auto"/>
            <w:noWrap/>
            <w:vAlign w:val="center"/>
          </w:tcPr>
          <w:p w14:paraId="115539D5">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2.8 当月数据修改</w:t>
            </w:r>
          </w:p>
        </w:tc>
        <w:tc>
          <w:tcPr>
            <w:tcW w:w="993" w:type="dxa"/>
            <w:shd w:val="clear" w:color="auto" w:fill="auto"/>
            <w:noWrap/>
            <w:vAlign w:val="center"/>
          </w:tcPr>
          <w:p w14:paraId="0C556E41">
            <w:pPr>
              <w:widowControl/>
              <w:jc w:val="left"/>
              <w:rPr>
                <w:rFonts w:cs="宋体" w:asciiTheme="minorEastAsia" w:hAnsiTheme="minorEastAsia" w:eastAsiaTheme="minorEastAsia"/>
                <w:color w:val="auto"/>
                <w:kern w:val="0"/>
                <w:szCs w:val="21"/>
                <w:highlight w:val="none"/>
              </w:rPr>
            </w:pPr>
          </w:p>
        </w:tc>
      </w:tr>
      <w:tr w14:paraId="5BBB4F2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089CEE2B">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25</w:t>
            </w:r>
          </w:p>
        </w:tc>
        <w:tc>
          <w:tcPr>
            <w:tcW w:w="3685" w:type="dxa"/>
            <w:shd w:val="clear" w:color="auto" w:fill="auto"/>
            <w:noWrap/>
            <w:vAlign w:val="center"/>
          </w:tcPr>
          <w:p w14:paraId="7D1859FC">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2.9 示数修改清单</w:t>
            </w:r>
          </w:p>
        </w:tc>
        <w:tc>
          <w:tcPr>
            <w:tcW w:w="993" w:type="dxa"/>
            <w:shd w:val="clear" w:color="auto" w:fill="auto"/>
            <w:noWrap/>
            <w:vAlign w:val="center"/>
          </w:tcPr>
          <w:p w14:paraId="35B54213">
            <w:pPr>
              <w:widowControl/>
              <w:jc w:val="left"/>
              <w:rPr>
                <w:rFonts w:cs="宋体" w:asciiTheme="minorEastAsia" w:hAnsiTheme="minorEastAsia" w:eastAsiaTheme="minorEastAsia"/>
                <w:color w:val="auto"/>
                <w:kern w:val="0"/>
                <w:szCs w:val="21"/>
                <w:highlight w:val="none"/>
              </w:rPr>
            </w:pPr>
          </w:p>
        </w:tc>
      </w:tr>
      <w:tr w14:paraId="6F4F1C0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45B6EB96">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26</w:t>
            </w:r>
          </w:p>
        </w:tc>
        <w:tc>
          <w:tcPr>
            <w:tcW w:w="3685" w:type="dxa"/>
            <w:shd w:val="clear" w:color="auto" w:fill="auto"/>
            <w:noWrap/>
            <w:vAlign w:val="center"/>
          </w:tcPr>
          <w:p w14:paraId="6618E4D1">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2.10 提交前整册复核</w:t>
            </w:r>
          </w:p>
        </w:tc>
        <w:tc>
          <w:tcPr>
            <w:tcW w:w="993" w:type="dxa"/>
            <w:shd w:val="clear" w:color="auto" w:fill="auto"/>
            <w:noWrap/>
            <w:vAlign w:val="center"/>
          </w:tcPr>
          <w:p w14:paraId="2DDE06F8">
            <w:pPr>
              <w:widowControl/>
              <w:jc w:val="left"/>
              <w:rPr>
                <w:rFonts w:cs="宋体" w:asciiTheme="minorEastAsia" w:hAnsiTheme="minorEastAsia" w:eastAsiaTheme="minorEastAsia"/>
                <w:color w:val="auto"/>
                <w:kern w:val="0"/>
                <w:szCs w:val="21"/>
                <w:highlight w:val="none"/>
              </w:rPr>
            </w:pPr>
          </w:p>
        </w:tc>
      </w:tr>
      <w:tr w14:paraId="5710F31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648AFD4E">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27</w:t>
            </w:r>
          </w:p>
        </w:tc>
        <w:tc>
          <w:tcPr>
            <w:tcW w:w="3685" w:type="dxa"/>
            <w:shd w:val="clear" w:color="auto" w:fill="auto"/>
            <w:noWrap/>
            <w:vAlign w:val="center"/>
          </w:tcPr>
          <w:p w14:paraId="4FD29D06">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2.11 提交后整册复核</w:t>
            </w:r>
          </w:p>
        </w:tc>
        <w:tc>
          <w:tcPr>
            <w:tcW w:w="993" w:type="dxa"/>
            <w:shd w:val="clear" w:color="auto" w:fill="auto"/>
            <w:noWrap/>
            <w:vAlign w:val="center"/>
          </w:tcPr>
          <w:p w14:paraId="5D5C02B2">
            <w:pPr>
              <w:widowControl/>
              <w:jc w:val="left"/>
              <w:rPr>
                <w:rFonts w:cs="宋体" w:asciiTheme="minorEastAsia" w:hAnsiTheme="minorEastAsia" w:eastAsiaTheme="minorEastAsia"/>
                <w:color w:val="auto"/>
                <w:kern w:val="0"/>
                <w:szCs w:val="21"/>
                <w:highlight w:val="none"/>
              </w:rPr>
            </w:pPr>
          </w:p>
        </w:tc>
      </w:tr>
      <w:tr w14:paraId="47008B2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26BCB0B7">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28</w:t>
            </w:r>
          </w:p>
        </w:tc>
        <w:tc>
          <w:tcPr>
            <w:tcW w:w="3685" w:type="dxa"/>
            <w:shd w:val="clear" w:color="auto" w:fill="auto"/>
            <w:noWrap/>
            <w:vAlign w:val="center"/>
          </w:tcPr>
          <w:p w14:paraId="46F6ECA9">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2.12 整册数据删除</w:t>
            </w:r>
          </w:p>
        </w:tc>
        <w:tc>
          <w:tcPr>
            <w:tcW w:w="993" w:type="dxa"/>
            <w:shd w:val="clear" w:color="auto" w:fill="auto"/>
            <w:noWrap/>
            <w:vAlign w:val="center"/>
          </w:tcPr>
          <w:p w14:paraId="401736D2">
            <w:pPr>
              <w:widowControl/>
              <w:jc w:val="left"/>
              <w:rPr>
                <w:rFonts w:cs="宋体" w:asciiTheme="minorEastAsia" w:hAnsiTheme="minorEastAsia" w:eastAsiaTheme="minorEastAsia"/>
                <w:color w:val="auto"/>
                <w:kern w:val="0"/>
                <w:szCs w:val="21"/>
                <w:highlight w:val="none"/>
              </w:rPr>
            </w:pPr>
          </w:p>
        </w:tc>
      </w:tr>
      <w:tr w14:paraId="3151871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E016FBD">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29</w:t>
            </w:r>
          </w:p>
        </w:tc>
        <w:tc>
          <w:tcPr>
            <w:tcW w:w="3685" w:type="dxa"/>
            <w:shd w:val="clear" w:color="auto" w:fill="auto"/>
            <w:noWrap/>
            <w:vAlign w:val="center"/>
          </w:tcPr>
          <w:p w14:paraId="1ADBCB7E">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2.13 整册提交</w:t>
            </w:r>
          </w:p>
        </w:tc>
        <w:tc>
          <w:tcPr>
            <w:tcW w:w="993" w:type="dxa"/>
            <w:shd w:val="clear" w:color="auto" w:fill="auto"/>
            <w:noWrap/>
            <w:vAlign w:val="center"/>
          </w:tcPr>
          <w:p w14:paraId="7F404A82">
            <w:pPr>
              <w:widowControl/>
              <w:jc w:val="left"/>
              <w:rPr>
                <w:rFonts w:cs="宋体" w:asciiTheme="minorEastAsia" w:hAnsiTheme="minorEastAsia" w:eastAsiaTheme="minorEastAsia"/>
                <w:color w:val="auto"/>
                <w:kern w:val="0"/>
                <w:szCs w:val="21"/>
                <w:highlight w:val="none"/>
              </w:rPr>
            </w:pPr>
          </w:p>
        </w:tc>
      </w:tr>
      <w:tr w14:paraId="586EA61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C10B29A">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30</w:t>
            </w:r>
          </w:p>
        </w:tc>
        <w:tc>
          <w:tcPr>
            <w:tcW w:w="3685" w:type="dxa"/>
            <w:shd w:val="clear" w:color="auto" w:fill="auto"/>
            <w:noWrap/>
            <w:vAlign w:val="center"/>
          </w:tcPr>
          <w:p w14:paraId="652E952F">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2.14 老册录入查询</w:t>
            </w:r>
          </w:p>
        </w:tc>
        <w:tc>
          <w:tcPr>
            <w:tcW w:w="993" w:type="dxa"/>
            <w:shd w:val="clear" w:color="auto" w:fill="auto"/>
            <w:noWrap/>
            <w:vAlign w:val="center"/>
          </w:tcPr>
          <w:p w14:paraId="79527698">
            <w:pPr>
              <w:widowControl/>
              <w:jc w:val="left"/>
              <w:rPr>
                <w:rFonts w:cs="宋体" w:asciiTheme="minorEastAsia" w:hAnsiTheme="minorEastAsia" w:eastAsiaTheme="minorEastAsia"/>
                <w:color w:val="auto"/>
                <w:kern w:val="0"/>
                <w:szCs w:val="21"/>
                <w:highlight w:val="none"/>
              </w:rPr>
            </w:pPr>
          </w:p>
        </w:tc>
      </w:tr>
      <w:tr w14:paraId="7DD1976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49D7E064">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31</w:t>
            </w:r>
          </w:p>
        </w:tc>
        <w:tc>
          <w:tcPr>
            <w:tcW w:w="3685" w:type="dxa"/>
            <w:shd w:val="clear" w:color="auto" w:fill="auto"/>
            <w:noWrap/>
            <w:vAlign w:val="center"/>
          </w:tcPr>
          <w:p w14:paraId="5E014F34">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2.15 册录入情况查询</w:t>
            </w:r>
          </w:p>
        </w:tc>
        <w:tc>
          <w:tcPr>
            <w:tcW w:w="993" w:type="dxa"/>
            <w:shd w:val="clear" w:color="auto" w:fill="auto"/>
            <w:noWrap/>
            <w:vAlign w:val="center"/>
          </w:tcPr>
          <w:p w14:paraId="6261EB4A">
            <w:pPr>
              <w:widowControl/>
              <w:jc w:val="left"/>
              <w:rPr>
                <w:rFonts w:cs="宋体" w:asciiTheme="minorEastAsia" w:hAnsiTheme="minorEastAsia" w:eastAsiaTheme="minorEastAsia"/>
                <w:color w:val="auto"/>
                <w:kern w:val="0"/>
                <w:szCs w:val="21"/>
                <w:highlight w:val="none"/>
              </w:rPr>
            </w:pPr>
          </w:p>
        </w:tc>
      </w:tr>
      <w:tr w14:paraId="035604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4DCDE788">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32</w:t>
            </w:r>
          </w:p>
        </w:tc>
        <w:tc>
          <w:tcPr>
            <w:tcW w:w="3685" w:type="dxa"/>
            <w:shd w:val="clear" w:color="auto" w:fill="auto"/>
            <w:noWrap/>
            <w:vAlign w:val="center"/>
          </w:tcPr>
          <w:p w14:paraId="61F44278">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2.16 稽查清单查询</w:t>
            </w:r>
          </w:p>
        </w:tc>
        <w:tc>
          <w:tcPr>
            <w:tcW w:w="993" w:type="dxa"/>
            <w:shd w:val="clear" w:color="auto" w:fill="auto"/>
            <w:noWrap/>
            <w:vAlign w:val="center"/>
          </w:tcPr>
          <w:p w14:paraId="4C41AC9E">
            <w:pPr>
              <w:widowControl/>
              <w:jc w:val="left"/>
              <w:rPr>
                <w:rFonts w:cs="宋体" w:asciiTheme="minorEastAsia" w:hAnsiTheme="minorEastAsia" w:eastAsiaTheme="minorEastAsia"/>
                <w:color w:val="auto"/>
                <w:kern w:val="0"/>
                <w:szCs w:val="21"/>
                <w:highlight w:val="none"/>
              </w:rPr>
            </w:pPr>
          </w:p>
        </w:tc>
      </w:tr>
      <w:tr w14:paraId="693C030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34ADBAA">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33</w:t>
            </w:r>
          </w:p>
        </w:tc>
        <w:tc>
          <w:tcPr>
            <w:tcW w:w="3685" w:type="dxa"/>
            <w:shd w:val="clear" w:color="auto" w:fill="auto"/>
            <w:noWrap/>
            <w:vAlign w:val="center"/>
          </w:tcPr>
          <w:p w14:paraId="6C1717D9">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2.17 抄表清单查询</w:t>
            </w:r>
          </w:p>
        </w:tc>
        <w:tc>
          <w:tcPr>
            <w:tcW w:w="993" w:type="dxa"/>
            <w:shd w:val="clear" w:color="auto" w:fill="auto"/>
            <w:noWrap/>
            <w:vAlign w:val="center"/>
          </w:tcPr>
          <w:p w14:paraId="63A21344">
            <w:pPr>
              <w:widowControl/>
              <w:jc w:val="left"/>
              <w:rPr>
                <w:rFonts w:cs="宋体" w:asciiTheme="minorEastAsia" w:hAnsiTheme="minorEastAsia" w:eastAsiaTheme="minorEastAsia"/>
                <w:color w:val="auto"/>
                <w:kern w:val="0"/>
                <w:szCs w:val="21"/>
                <w:highlight w:val="none"/>
              </w:rPr>
            </w:pPr>
          </w:p>
        </w:tc>
      </w:tr>
      <w:tr w14:paraId="73DA61E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125FA122">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34</w:t>
            </w:r>
          </w:p>
        </w:tc>
        <w:tc>
          <w:tcPr>
            <w:tcW w:w="3685" w:type="dxa"/>
            <w:shd w:val="clear" w:color="auto" w:fill="auto"/>
            <w:noWrap/>
            <w:vAlign w:val="center"/>
          </w:tcPr>
          <w:p w14:paraId="135CCE60">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2.18 表示数修改</w:t>
            </w:r>
          </w:p>
        </w:tc>
        <w:tc>
          <w:tcPr>
            <w:tcW w:w="993" w:type="dxa"/>
            <w:shd w:val="clear" w:color="auto" w:fill="auto"/>
            <w:noWrap/>
            <w:vAlign w:val="center"/>
          </w:tcPr>
          <w:p w14:paraId="41D82996">
            <w:pPr>
              <w:widowControl/>
              <w:jc w:val="left"/>
              <w:rPr>
                <w:rFonts w:cs="宋体" w:asciiTheme="minorEastAsia" w:hAnsiTheme="minorEastAsia" w:eastAsiaTheme="minorEastAsia"/>
                <w:color w:val="auto"/>
                <w:kern w:val="0"/>
                <w:szCs w:val="21"/>
                <w:highlight w:val="none"/>
              </w:rPr>
            </w:pPr>
          </w:p>
        </w:tc>
      </w:tr>
      <w:tr w14:paraId="11277B7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5F7FE4BE">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35</w:t>
            </w:r>
          </w:p>
        </w:tc>
        <w:tc>
          <w:tcPr>
            <w:tcW w:w="3685" w:type="dxa"/>
            <w:shd w:val="clear" w:color="auto" w:fill="auto"/>
            <w:noWrap/>
            <w:vAlign w:val="center"/>
          </w:tcPr>
          <w:p w14:paraId="68A8AA86">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3. 收费管理</w:t>
            </w:r>
          </w:p>
        </w:tc>
        <w:tc>
          <w:tcPr>
            <w:tcW w:w="993" w:type="dxa"/>
            <w:shd w:val="clear" w:color="auto" w:fill="auto"/>
            <w:noWrap/>
            <w:vAlign w:val="center"/>
          </w:tcPr>
          <w:p w14:paraId="1A7EC134">
            <w:pPr>
              <w:widowControl/>
              <w:jc w:val="left"/>
              <w:rPr>
                <w:rFonts w:cs="宋体" w:asciiTheme="minorEastAsia" w:hAnsiTheme="minorEastAsia" w:eastAsiaTheme="minorEastAsia"/>
                <w:color w:val="auto"/>
                <w:kern w:val="0"/>
                <w:szCs w:val="21"/>
                <w:highlight w:val="none"/>
              </w:rPr>
            </w:pPr>
          </w:p>
        </w:tc>
      </w:tr>
      <w:tr w14:paraId="497D56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0163AC17">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36</w:t>
            </w:r>
          </w:p>
        </w:tc>
        <w:tc>
          <w:tcPr>
            <w:tcW w:w="3685" w:type="dxa"/>
            <w:shd w:val="clear" w:color="auto" w:fill="auto"/>
            <w:noWrap/>
            <w:vAlign w:val="center"/>
          </w:tcPr>
          <w:p w14:paraId="29A3EAA8">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3.1 用水查询</w:t>
            </w:r>
          </w:p>
        </w:tc>
        <w:tc>
          <w:tcPr>
            <w:tcW w:w="993" w:type="dxa"/>
            <w:shd w:val="clear" w:color="auto" w:fill="auto"/>
            <w:noWrap/>
            <w:vAlign w:val="center"/>
          </w:tcPr>
          <w:p w14:paraId="4A48EB06">
            <w:pPr>
              <w:widowControl/>
              <w:jc w:val="left"/>
              <w:rPr>
                <w:rFonts w:cs="宋体" w:asciiTheme="minorEastAsia" w:hAnsiTheme="minorEastAsia" w:eastAsiaTheme="minorEastAsia"/>
                <w:color w:val="auto"/>
                <w:kern w:val="0"/>
                <w:szCs w:val="21"/>
                <w:highlight w:val="none"/>
              </w:rPr>
            </w:pPr>
          </w:p>
        </w:tc>
      </w:tr>
      <w:tr w14:paraId="1C0B195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31EC9B4E">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37</w:t>
            </w:r>
          </w:p>
        </w:tc>
        <w:tc>
          <w:tcPr>
            <w:tcW w:w="3685" w:type="dxa"/>
            <w:shd w:val="clear" w:color="auto" w:fill="auto"/>
            <w:noWrap/>
            <w:vAlign w:val="center"/>
          </w:tcPr>
          <w:p w14:paraId="0841A238">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3.2 柜台缴费</w:t>
            </w:r>
          </w:p>
        </w:tc>
        <w:tc>
          <w:tcPr>
            <w:tcW w:w="993" w:type="dxa"/>
            <w:shd w:val="clear" w:color="auto" w:fill="auto"/>
            <w:noWrap/>
            <w:vAlign w:val="center"/>
          </w:tcPr>
          <w:p w14:paraId="6F7D009C">
            <w:pPr>
              <w:widowControl/>
              <w:jc w:val="left"/>
              <w:rPr>
                <w:rFonts w:cs="宋体" w:asciiTheme="minorEastAsia" w:hAnsiTheme="minorEastAsia" w:eastAsiaTheme="minorEastAsia"/>
                <w:color w:val="auto"/>
                <w:kern w:val="0"/>
                <w:szCs w:val="21"/>
                <w:highlight w:val="none"/>
              </w:rPr>
            </w:pPr>
          </w:p>
        </w:tc>
      </w:tr>
      <w:tr w14:paraId="29E74C9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27102442">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38</w:t>
            </w:r>
          </w:p>
        </w:tc>
        <w:tc>
          <w:tcPr>
            <w:tcW w:w="3685" w:type="dxa"/>
            <w:shd w:val="clear" w:color="auto" w:fill="auto"/>
            <w:noWrap/>
            <w:vAlign w:val="center"/>
          </w:tcPr>
          <w:p w14:paraId="2FF9E294">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3.3 联合编号收费</w:t>
            </w:r>
          </w:p>
        </w:tc>
        <w:tc>
          <w:tcPr>
            <w:tcW w:w="993" w:type="dxa"/>
            <w:shd w:val="clear" w:color="auto" w:fill="auto"/>
            <w:noWrap/>
            <w:vAlign w:val="center"/>
          </w:tcPr>
          <w:p w14:paraId="04AD188C">
            <w:pPr>
              <w:widowControl/>
              <w:jc w:val="left"/>
              <w:rPr>
                <w:rFonts w:cs="宋体" w:asciiTheme="minorEastAsia" w:hAnsiTheme="minorEastAsia" w:eastAsiaTheme="minorEastAsia"/>
                <w:color w:val="auto"/>
                <w:kern w:val="0"/>
                <w:szCs w:val="21"/>
                <w:highlight w:val="none"/>
              </w:rPr>
            </w:pPr>
          </w:p>
        </w:tc>
      </w:tr>
      <w:tr w14:paraId="4934656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1F018FB">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39</w:t>
            </w:r>
          </w:p>
        </w:tc>
        <w:tc>
          <w:tcPr>
            <w:tcW w:w="3685" w:type="dxa"/>
            <w:shd w:val="clear" w:color="auto" w:fill="auto"/>
            <w:noWrap/>
            <w:vAlign w:val="center"/>
          </w:tcPr>
          <w:p w14:paraId="3D181CF9">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3.4 取消收费</w:t>
            </w:r>
          </w:p>
        </w:tc>
        <w:tc>
          <w:tcPr>
            <w:tcW w:w="993" w:type="dxa"/>
            <w:shd w:val="clear" w:color="auto" w:fill="auto"/>
            <w:noWrap/>
            <w:vAlign w:val="center"/>
          </w:tcPr>
          <w:p w14:paraId="665377A8">
            <w:pPr>
              <w:widowControl/>
              <w:jc w:val="left"/>
              <w:rPr>
                <w:rFonts w:cs="宋体" w:asciiTheme="minorEastAsia" w:hAnsiTheme="minorEastAsia" w:eastAsiaTheme="minorEastAsia"/>
                <w:color w:val="auto"/>
                <w:kern w:val="0"/>
                <w:szCs w:val="21"/>
                <w:highlight w:val="none"/>
              </w:rPr>
            </w:pPr>
          </w:p>
        </w:tc>
      </w:tr>
      <w:tr w14:paraId="57012E2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590A4060">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40</w:t>
            </w:r>
          </w:p>
        </w:tc>
        <w:tc>
          <w:tcPr>
            <w:tcW w:w="3685" w:type="dxa"/>
            <w:shd w:val="clear" w:color="auto" w:fill="auto"/>
            <w:noWrap/>
            <w:vAlign w:val="center"/>
          </w:tcPr>
          <w:p w14:paraId="5056BC93">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3.5 单户回录</w:t>
            </w:r>
          </w:p>
        </w:tc>
        <w:tc>
          <w:tcPr>
            <w:tcW w:w="993" w:type="dxa"/>
            <w:shd w:val="clear" w:color="auto" w:fill="auto"/>
            <w:noWrap/>
            <w:vAlign w:val="center"/>
          </w:tcPr>
          <w:p w14:paraId="77E50739">
            <w:pPr>
              <w:widowControl/>
              <w:jc w:val="left"/>
              <w:rPr>
                <w:rFonts w:cs="宋体" w:asciiTheme="minorEastAsia" w:hAnsiTheme="minorEastAsia" w:eastAsiaTheme="minorEastAsia"/>
                <w:color w:val="auto"/>
                <w:kern w:val="0"/>
                <w:szCs w:val="21"/>
                <w:highlight w:val="none"/>
              </w:rPr>
            </w:pPr>
          </w:p>
        </w:tc>
      </w:tr>
      <w:tr w14:paraId="575C067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52D1D1A7">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41</w:t>
            </w:r>
          </w:p>
        </w:tc>
        <w:tc>
          <w:tcPr>
            <w:tcW w:w="3685" w:type="dxa"/>
            <w:shd w:val="clear" w:color="auto" w:fill="auto"/>
            <w:noWrap/>
            <w:vAlign w:val="center"/>
          </w:tcPr>
          <w:p w14:paraId="55C5D918">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3.6 整册回录</w:t>
            </w:r>
          </w:p>
        </w:tc>
        <w:tc>
          <w:tcPr>
            <w:tcW w:w="993" w:type="dxa"/>
            <w:shd w:val="clear" w:color="auto" w:fill="auto"/>
            <w:noWrap/>
            <w:vAlign w:val="center"/>
          </w:tcPr>
          <w:p w14:paraId="5C811396">
            <w:pPr>
              <w:widowControl/>
              <w:jc w:val="left"/>
              <w:rPr>
                <w:rFonts w:cs="宋体" w:asciiTheme="minorEastAsia" w:hAnsiTheme="minorEastAsia" w:eastAsiaTheme="minorEastAsia"/>
                <w:color w:val="auto"/>
                <w:kern w:val="0"/>
                <w:szCs w:val="21"/>
                <w:highlight w:val="none"/>
              </w:rPr>
            </w:pPr>
          </w:p>
        </w:tc>
      </w:tr>
      <w:tr w14:paraId="4573E1D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68C4EE39">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42</w:t>
            </w:r>
          </w:p>
        </w:tc>
        <w:tc>
          <w:tcPr>
            <w:tcW w:w="3685" w:type="dxa"/>
            <w:shd w:val="clear" w:color="auto" w:fill="auto"/>
            <w:noWrap/>
            <w:vAlign w:val="center"/>
          </w:tcPr>
          <w:p w14:paraId="13805161">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3.7 低保发放</w:t>
            </w:r>
          </w:p>
        </w:tc>
        <w:tc>
          <w:tcPr>
            <w:tcW w:w="993" w:type="dxa"/>
            <w:shd w:val="clear" w:color="auto" w:fill="auto"/>
            <w:noWrap/>
            <w:vAlign w:val="center"/>
          </w:tcPr>
          <w:p w14:paraId="157F3F20">
            <w:pPr>
              <w:widowControl/>
              <w:jc w:val="left"/>
              <w:rPr>
                <w:rFonts w:cs="宋体" w:asciiTheme="minorEastAsia" w:hAnsiTheme="minorEastAsia" w:eastAsiaTheme="minorEastAsia"/>
                <w:color w:val="auto"/>
                <w:kern w:val="0"/>
                <w:szCs w:val="21"/>
                <w:highlight w:val="none"/>
              </w:rPr>
            </w:pPr>
          </w:p>
        </w:tc>
      </w:tr>
      <w:tr w14:paraId="46C7D75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0C687A05">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43</w:t>
            </w:r>
          </w:p>
        </w:tc>
        <w:tc>
          <w:tcPr>
            <w:tcW w:w="3685" w:type="dxa"/>
            <w:shd w:val="clear" w:color="auto" w:fill="auto"/>
            <w:noWrap/>
            <w:vAlign w:val="center"/>
          </w:tcPr>
          <w:p w14:paraId="69AC0C9A">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3.8 预存用户充值</w:t>
            </w:r>
          </w:p>
        </w:tc>
        <w:tc>
          <w:tcPr>
            <w:tcW w:w="993" w:type="dxa"/>
            <w:shd w:val="clear" w:color="auto" w:fill="auto"/>
            <w:noWrap/>
            <w:vAlign w:val="center"/>
          </w:tcPr>
          <w:p w14:paraId="359F7936">
            <w:pPr>
              <w:widowControl/>
              <w:jc w:val="left"/>
              <w:rPr>
                <w:rFonts w:cs="宋体" w:asciiTheme="minorEastAsia" w:hAnsiTheme="minorEastAsia" w:eastAsiaTheme="minorEastAsia"/>
                <w:color w:val="auto"/>
                <w:kern w:val="0"/>
                <w:szCs w:val="21"/>
                <w:highlight w:val="none"/>
              </w:rPr>
            </w:pPr>
          </w:p>
        </w:tc>
      </w:tr>
      <w:tr w14:paraId="5BCD582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3B9D81FF">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44</w:t>
            </w:r>
          </w:p>
        </w:tc>
        <w:tc>
          <w:tcPr>
            <w:tcW w:w="3685" w:type="dxa"/>
            <w:shd w:val="clear" w:color="auto" w:fill="auto"/>
            <w:noWrap/>
            <w:vAlign w:val="center"/>
          </w:tcPr>
          <w:p w14:paraId="51723B4C">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3.9 预存用户代扣</w:t>
            </w:r>
          </w:p>
        </w:tc>
        <w:tc>
          <w:tcPr>
            <w:tcW w:w="993" w:type="dxa"/>
            <w:shd w:val="clear" w:color="auto" w:fill="auto"/>
            <w:noWrap/>
            <w:vAlign w:val="center"/>
          </w:tcPr>
          <w:p w14:paraId="16B59A33">
            <w:pPr>
              <w:widowControl/>
              <w:jc w:val="left"/>
              <w:rPr>
                <w:rFonts w:cs="宋体" w:asciiTheme="minorEastAsia" w:hAnsiTheme="minorEastAsia" w:eastAsiaTheme="minorEastAsia"/>
                <w:color w:val="auto"/>
                <w:kern w:val="0"/>
                <w:szCs w:val="21"/>
                <w:highlight w:val="none"/>
              </w:rPr>
            </w:pPr>
          </w:p>
        </w:tc>
      </w:tr>
      <w:tr w14:paraId="3DFA88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24A3BED">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45</w:t>
            </w:r>
          </w:p>
        </w:tc>
        <w:tc>
          <w:tcPr>
            <w:tcW w:w="3685" w:type="dxa"/>
            <w:shd w:val="clear" w:color="auto" w:fill="auto"/>
            <w:noWrap/>
            <w:vAlign w:val="center"/>
          </w:tcPr>
          <w:p w14:paraId="24A45904">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3.10 预存用户退费</w:t>
            </w:r>
          </w:p>
        </w:tc>
        <w:tc>
          <w:tcPr>
            <w:tcW w:w="993" w:type="dxa"/>
            <w:shd w:val="clear" w:color="auto" w:fill="auto"/>
            <w:noWrap/>
            <w:vAlign w:val="center"/>
          </w:tcPr>
          <w:p w14:paraId="511ED04F">
            <w:pPr>
              <w:widowControl/>
              <w:jc w:val="left"/>
              <w:rPr>
                <w:rFonts w:cs="宋体" w:asciiTheme="minorEastAsia" w:hAnsiTheme="minorEastAsia" w:eastAsiaTheme="minorEastAsia"/>
                <w:color w:val="auto"/>
                <w:kern w:val="0"/>
                <w:szCs w:val="21"/>
                <w:highlight w:val="none"/>
              </w:rPr>
            </w:pPr>
          </w:p>
        </w:tc>
      </w:tr>
      <w:tr w14:paraId="0DE8889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3B552B36">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46</w:t>
            </w:r>
          </w:p>
        </w:tc>
        <w:tc>
          <w:tcPr>
            <w:tcW w:w="3685" w:type="dxa"/>
            <w:shd w:val="clear" w:color="auto" w:fill="auto"/>
            <w:noWrap/>
            <w:vAlign w:val="center"/>
          </w:tcPr>
          <w:p w14:paraId="12E904EB">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3.11 用户发票领用</w:t>
            </w:r>
          </w:p>
        </w:tc>
        <w:tc>
          <w:tcPr>
            <w:tcW w:w="993" w:type="dxa"/>
            <w:shd w:val="clear" w:color="auto" w:fill="auto"/>
            <w:noWrap/>
            <w:vAlign w:val="center"/>
          </w:tcPr>
          <w:p w14:paraId="544E72DC">
            <w:pPr>
              <w:widowControl/>
              <w:jc w:val="left"/>
              <w:rPr>
                <w:rFonts w:cs="宋体" w:asciiTheme="minorEastAsia" w:hAnsiTheme="minorEastAsia" w:eastAsiaTheme="minorEastAsia"/>
                <w:color w:val="auto"/>
                <w:kern w:val="0"/>
                <w:szCs w:val="21"/>
                <w:highlight w:val="none"/>
              </w:rPr>
            </w:pPr>
          </w:p>
        </w:tc>
      </w:tr>
      <w:tr w14:paraId="3AB7058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65C44E79">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47</w:t>
            </w:r>
          </w:p>
        </w:tc>
        <w:tc>
          <w:tcPr>
            <w:tcW w:w="3685" w:type="dxa"/>
            <w:shd w:val="clear" w:color="auto" w:fill="auto"/>
            <w:noWrap/>
            <w:vAlign w:val="center"/>
          </w:tcPr>
          <w:p w14:paraId="3BC1C93F">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3.12 用户发票作废</w:t>
            </w:r>
          </w:p>
        </w:tc>
        <w:tc>
          <w:tcPr>
            <w:tcW w:w="993" w:type="dxa"/>
            <w:shd w:val="clear" w:color="auto" w:fill="auto"/>
            <w:noWrap/>
            <w:vAlign w:val="center"/>
          </w:tcPr>
          <w:p w14:paraId="44B017AB">
            <w:pPr>
              <w:widowControl/>
              <w:jc w:val="left"/>
              <w:rPr>
                <w:rFonts w:cs="宋体" w:asciiTheme="minorEastAsia" w:hAnsiTheme="minorEastAsia" w:eastAsiaTheme="minorEastAsia"/>
                <w:color w:val="auto"/>
                <w:kern w:val="0"/>
                <w:szCs w:val="21"/>
                <w:highlight w:val="none"/>
              </w:rPr>
            </w:pPr>
          </w:p>
        </w:tc>
      </w:tr>
      <w:tr w14:paraId="2EC1E1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26FEA6B0">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48</w:t>
            </w:r>
          </w:p>
        </w:tc>
        <w:tc>
          <w:tcPr>
            <w:tcW w:w="3685" w:type="dxa"/>
            <w:shd w:val="clear" w:color="auto" w:fill="auto"/>
            <w:noWrap/>
            <w:vAlign w:val="center"/>
          </w:tcPr>
          <w:p w14:paraId="7AB8B650">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3.13 已领发票截转</w:t>
            </w:r>
          </w:p>
        </w:tc>
        <w:tc>
          <w:tcPr>
            <w:tcW w:w="993" w:type="dxa"/>
            <w:shd w:val="clear" w:color="auto" w:fill="auto"/>
            <w:noWrap/>
            <w:vAlign w:val="center"/>
          </w:tcPr>
          <w:p w14:paraId="5594A783">
            <w:pPr>
              <w:widowControl/>
              <w:jc w:val="left"/>
              <w:rPr>
                <w:rFonts w:cs="宋体" w:asciiTheme="minorEastAsia" w:hAnsiTheme="minorEastAsia" w:eastAsiaTheme="minorEastAsia"/>
                <w:color w:val="auto"/>
                <w:kern w:val="0"/>
                <w:szCs w:val="21"/>
                <w:highlight w:val="none"/>
              </w:rPr>
            </w:pPr>
          </w:p>
        </w:tc>
      </w:tr>
      <w:tr w14:paraId="00203A0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4E263789">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49</w:t>
            </w:r>
          </w:p>
        </w:tc>
        <w:tc>
          <w:tcPr>
            <w:tcW w:w="3685" w:type="dxa"/>
            <w:shd w:val="clear" w:color="auto" w:fill="auto"/>
            <w:noWrap/>
            <w:vAlign w:val="center"/>
          </w:tcPr>
          <w:p w14:paraId="0D7C70CC">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3.14 发票领用查询</w:t>
            </w:r>
          </w:p>
        </w:tc>
        <w:tc>
          <w:tcPr>
            <w:tcW w:w="993" w:type="dxa"/>
            <w:shd w:val="clear" w:color="auto" w:fill="auto"/>
            <w:noWrap/>
            <w:vAlign w:val="center"/>
          </w:tcPr>
          <w:p w14:paraId="747AA041">
            <w:pPr>
              <w:widowControl/>
              <w:jc w:val="left"/>
              <w:rPr>
                <w:rFonts w:cs="宋体" w:asciiTheme="minorEastAsia" w:hAnsiTheme="minorEastAsia" w:eastAsiaTheme="minorEastAsia"/>
                <w:color w:val="auto"/>
                <w:kern w:val="0"/>
                <w:szCs w:val="21"/>
                <w:highlight w:val="none"/>
              </w:rPr>
            </w:pPr>
          </w:p>
        </w:tc>
      </w:tr>
      <w:tr w14:paraId="3D67C20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0B877E08">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50</w:t>
            </w:r>
          </w:p>
        </w:tc>
        <w:tc>
          <w:tcPr>
            <w:tcW w:w="3685" w:type="dxa"/>
            <w:shd w:val="clear" w:color="auto" w:fill="auto"/>
            <w:noWrap/>
            <w:vAlign w:val="center"/>
          </w:tcPr>
          <w:p w14:paraId="15D35E6D">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3.15 发票使用查询</w:t>
            </w:r>
          </w:p>
        </w:tc>
        <w:tc>
          <w:tcPr>
            <w:tcW w:w="993" w:type="dxa"/>
            <w:shd w:val="clear" w:color="auto" w:fill="auto"/>
            <w:noWrap/>
            <w:vAlign w:val="center"/>
          </w:tcPr>
          <w:p w14:paraId="3F30D701">
            <w:pPr>
              <w:widowControl/>
              <w:jc w:val="left"/>
              <w:rPr>
                <w:rFonts w:cs="宋体" w:asciiTheme="minorEastAsia" w:hAnsiTheme="minorEastAsia" w:eastAsiaTheme="minorEastAsia"/>
                <w:color w:val="auto"/>
                <w:kern w:val="0"/>
                <w:szCs w:val="21"/>
                <w:highlight w:val="none"/>
              </w:rPr>
            </w:pPr>
          </w:p>
        </w:tc>
      </w:tr>
      <w:tr w14:paraId="083047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5D5323B8">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51</w:t>
            </w:r>
          </w:p>
        </w:tc>
        <w:tc>
          <w:tcPr>
            <w:tcW w:w="3685" w:type="dxa"/>
            <w:shd w:val="clear" w:color="auto" w:fill="auto"/>
            <w:noWrap/>
            <w:vAlign w:val="center"/>
          </w:tcPr>
          <w:p w14:paraId="1C8BFC08">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4. 用户变更</w:t>
            </w:r>
          </w:p>
        </w:tc>
        <w:tc>
          <w:tcPr>
            <w:tcW w:w="993" w:type="dxa"/>
            <w:shd w:val="clear" w:color="auto" w:fill="auto"/>
            <w:noWrap/>
            <w:vAlign w:val="center"/>
          </w:tcPr>
          <w:p w14:paraId="736BFDFA">
            <w:pPr>
              <w:widowControl/>
              <w:jc w:val="left"/>
              <w:rPr>
                <w:rFonts w:cs="宋体" w:asciiTheme="minorEastAsia" w:hAnsiTheme="minorEastAsia" w:eastAsiaTheme="minorEastAsia"/>
                <w:color w:val="auto"/>
                <w:kern w:val="0"/>
                <w:szCs w:val="21"/>
                <w:highlight w:val="none"/>
              </w:rPr>
            </w:pPr>
          </w:p>
        </w:tc>
      </w:tr>
      <w:tr w14:paraId="556257D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688CF55C">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52</w:t>
            </w:r>
          </w:p>
        </w:tc>
        <w:tc>
          <w:tcPr>
            <w:tcW w:w="3685" w:type="dxa"/>
            <w:shd w:val="clear" w:color="auto" w:fill="auto"/>
            <w:noWrap/>
            <w:vAlign w:val="center"/>
          </w:tcPr>
          <w:p w14:paraId="33EDB11A">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4.1 用户批量变更</w:t>
            </w:r>
          </w:p>
        </w:tc>
        <w:tc>
          <w:tcPr>
            <w:tcW w:w="993" w:type="dxa"/>
            <w:shd w:val="clear" w:color="auto" w:fill="auto"/>
            <w:noWrap/>
            <w:vAlign w:val="center"/>
          </w:tcPr>
          <w:p w14:paraId="7763DB47">
            <w:pPr>
              <w:widowControl/>
              <w:jc w:val="left"/>
              <w:rPr>
                <w:rFonts w:cs="宋体" w:asciiTheme="minorEastAsia" w:hAnsiTheme="minorEastAsia" w:eastAsiaTheme="minorEastAsia"/>
                <w:color w:val="auto"/>
                <w:kern w:val="0"/>
                <w:szCs w:val="21"/>
                <w:highlight w:val="none"/>
              </w:rPr>
            </w:pPr>
          </w:p>
        </w:tc>
      </w:tr>
      <w:tr w14:paraId="75AC474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6479288B">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53</w:t>
            </w:r>
          </w:p>
        </w:tc>
        <w:tc>
          <w:tcPr>
            <w:tcW w:w="3685" w:type="dxa"/>
            <w:shd w:val="clear" w:color="auto" w:fill="auto"/>
            <w:noWrap/>
            <w:vAlign w:val="center"/>
          </w:tcPr>
          <w:p w14:paraId="6380ACC5">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4.2 用户信息变更</w:t>
            </w:r>
          </w:p>
        </w:tc>
        <w:tc>
          <w:tcPr>
            <w:tcW w:w="993" w:type="dxa"/>
            <w:shd w:val="clear" w:color="auto" w:fill="auto"/>
            <w:noWrap/>
            <w:vAlign w:val="center"/>
          </w:tcPr>
          <w:p w14:paraId="7FB06839">
            <w:pPr>
              <w:widowControl/>
              <w:jc w:val="left"/>
              <w:rPr>
                <w:rFonts w:cs="宋体" w:asciiTheme="minorEastAsia" w:hAnsiTheme="minorEastAsia" w:eastAsiaTheme="minorEastAsia"/>
                <w:color w:val="auto"/>
                <w:kern w:val="0"/>
                <w:szCs w:val="21"/>
                <w:highlight w:val="none"/>
              </w:rPr>
            </w:pPr>
          </w:p>
        </w:tc>
      </w:tr>
      <w:tr w14:paraId="6260956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1FFCD023">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54</w:t>
            </w:r>
          </w:p>
        </w:tc>
        <w:tc>
          <w:tcPr>
            <w:tcW w:w="3685" w:type="dxa"/>
            <w:shd w:val="clear" w:color="auto" w:fill="auto"/>
            <w:noWrap/>
            <w:vAlign w:val="center"/>
          </w:tcPr>
          <w:p w14:paraId="3FC3992F">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4.3 用户撤销销户</w:t>
            </w:r>
          </w:p>
        </w:tc>
        <w:tc>
          <w:tcPr>
            <w:tcW w:w="993" w:type="dxa"/>
            <w:shd w:val="clear" w:color="auto" w:fill="auto"/>
            <w:noWrap/>
            <w:vAlign w:val="center"/>
          </w:tcPr>
          <w:p w14:paraId="3330D256">
            <w:pPr>
              <w:widowControl/>
              <w:jc w:val="left"/>
              <w:rPr>
                <w:rFonts w:cs="宋体" w:asciiTheme="minorEastAsia" w:hAnsiTheme="minorEastAsia" w:eastAsiaTheme="minorEastAsia"/>
                <w:color w:val="auto"/>
                <w:kern w:val="0"/>
                <w:szCs w:val="21"/>
                <w:highlight w:val="none"/>
              </w:rPr>
            </w:pPr>
          </w:p>
        </w:tc>
      </w:tr>
      <w:tr w14:paraId="158CF8E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3CCAF690">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55</w:t>
            </w:r>
          </w:p>
        </w:tc>
        <w:tc>
          <w:tcPr>
            <w:tcW w:w="3685" w:type="dxa"/>
            <w:shd w:val="clear" w:color="auto" w:fill="auto"/>
            <w:noWrap/>
            <w:vAlign w:val="center"/>
          </w:tcPr>
          <w:p w14:paraId="68D2A718">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4.4 用户部门变更</w:t>
            </w:r>
          </w:p>
        </w:tc>
        <w:tc>
          <w:tcPr>
            <w:tcW w:w="993" w:type="dxa"/>
            <w:shd w:val="clear" w:color="auto" w:fill="auto"/>
            <w:noWrap/>
            <w:vAlign w:val="center"/>
          </w:tcPr>
          <w:p w14:paraId="6C44597B">
            <w:pPr>
              <w:widowControl/>
              <w:jc w:val="left"/>
              <w:rPr>
                <w:rFonts w:cs="宋体" w:asciiTheme="minorEastAsia" w:hAnsiTheme="minorEastAsia" w:eastAsiaTheme="minorEastAsia"/>
                <w:color w:val="auto"/>
                <w:kern w:val="0"/>
                <w:szCs w:val="21"/>
                <w:highlight w:val="none"/>
              </w:rPr>
            </w:pPr>
          </w:p>
        </w:tc>
      </w:tr>
      <w:tr w14:paraId="3C22FB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176F4FD2">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56</w:t>
            </w:r>
          </w:p>
        </w:tc>
        <w:tc>
          <w:tcPr>
            <w:tcW w:w="3685" w:type="dxa"/>
            <w:shd w:val="clear" w:color="auto" w:fill="auto"/>
            <w:noWrap/>
            <w:vAlign w:val="center"/>
          </w:tcPr>
          <w:p w14:paraId="328D66C5">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4.5 档案变更查询</w:t>
            </w:r>
          </w:p>
        </w:tc>
        <w:tc>
          <w:tcPr>
            <w:tcW w:w="993" w:type="dxa"/>
            <w:shd w:val="clear" w:color="auto" w:fill="auto"/>
            <w:noWrap/>
            <w:vAlign w:val="center"/>
          </w:tcPr>
          <w:p w14:paraId="2C423642">
            <w:pPr>
              <w:widowControl/>
              <w:jc w:val="left"/>
              <w:rPr>
                <w:rFonts w:cs="宋体" w:asciiTheme="minorEastAsia" w:hAnsiTheme="minorEastAsia" w:eastAsiaTheme="minorEastAsia"/>
                <w:color w:val="auto"/>
                <w:kern w:val="0"/>
                <w:szCs w:val="21"/>
                <w:highlight w:val="none"/>
              </w:rPr>
            </w:pPr>
          </w:p>
        </w:tc>
      </w:tr>
      <w:tr w14:paraId="0728743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160E7F58">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57</w:t>
            </w:r>
          </w:p>
        </w:tc>
        <w:tc>
          <w:tcPr>
            <w:tcW w:w="3685" w:type="dxa"/>
            <w:shd w:val="clear" w:color="auto" w:fill="auto"/>
            <w:noWrap/>
            <w:vAlign w:val="center"/>
          </w:tcPr>
          <w:p w14:paraId="0E19DA65">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4.6 垃圾处理费变更</w:t>
            </w:r>
          </w:p>
        </w:tc>
        <w:tc>
          <w:tcPr>
            <w:tcW w:w="993" w:type="dxa"/>
            <w:shd w:val="clear" w:color="auto" w:fill="auto"/>
            <w:noWrap/>
            <w:vAlign w:val="center"/>
          </w:tcPr>
          <w:p w14:paraId="2B9430C5">
            <w:pPr>
              <w:widowControl/>
              <w:jc w:val="left"/>
              <w:rPr>
                <w:rFonts w:cs="宋体" w:asciiTheme="minorEastAsia" w:hAnsiTheme="minorEastAsia" w:eastAsiaTheme="minorEastAsia"/>
                <w:color w:val="auto"/>
                <w:kern w:val="0"/>
                <w:szCs w:val="21"/>
                <w:highlight w:val="none"/>
              </w:rPr>
            </w:pPr>
          </w:p>
        </w:tc>
      </w:tr>
      <w:tr w14:paraId="5B93D6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4E46B610">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58</w:t>
            </w:r>
          </w:p>
        </w:tc>
        <w:tc>
          <w:tcPr>
            <w:tcW w:w="3685" w:type="dxa"/>
            <w:shd w:val="clear" w:color="auto" w:fill="auto"/>
            <w:noWrap/>
            <w:vAlign w:val="center"/>
          </w:tcPr>
          <w:p w14:paraId="654BA08F">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5. 表务管理</w:t>
            </w:r>
          </w:p>
        </w:tc>
        <w:tc>
          <w:tcPr>
            <w:tcW w:w="993" w:type="dxa"/>
            <w:shd w:val="clear" w:color="auto" w:fill="auto"/>
            <w:noWrap/>
            <w:vAlign w:val="center"/>
          </w:tcPr>
          <w:p w14:paraId="283F8980">
            <w:pPr>
              <w:widowControl/>
              <w:jc w:val="left"/>
              <w:rPr>
                <w:rFonts w:cs="宋体" w:asciiTheme="minorEastAsia" w:hAnsiTheme="minorEastAsia" w:eastAsiaTheme="minorEastAsia"/>
                <w:color w:val="auto"/>
                <w:kern w:val="0"/>
                <w:szCs w:val="21"/>
                <w:highlight w:val="none"/>
              </w:rPr>
            </w:pPr>
          </w:p>
        </w:tc>
      </w:tr>
      <w:tr w14:paraId="54CA64A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64EDA247">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59</w:t>
            </w:r>
          </w:p>
        </w:tc>
        <w:tc>
          <w:tcPr>
            <w:tcW w:w="3685" w:type="dxa"/>
            <w:shd w:val="clear" w:color="auto" w:fill="auto"/>
            <w:noWrap/>
            <w:vAlign w:val="center"/>
          </w:tcPr>
          <w:p w14:paraId="1D57AA7D">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5.1 水表业务处理</w:t>
            </w:r>
          </w:p>
        </w:tc>
        <w:tc>
          <w:tcPr>
            <w:tcW w:w="993" w:type="dxa"/>
            <w:shd w:val="clear" w:color="auto" w:fill="auto"/>
            <w:noWrap/>
            <w:vAlign w:val="center"/>
          </w:tcPr>
          <w:p w14:paraId="0878ADD3">
            <w:pPr>
              <w:widowControl/>
              <w:jc w:val="left"/>
              <w:rPr>
                <w:rFonts w:cs="宋体" w:asciiTheme="minorEastAsia" w:hAnsiTheme="minorEastAsia" w:eastAsiaTheme="minorEastAsia"/>
                <w:color w:val="auto"/>
                <w:kern w:val="0"/>
                <w:szCs w:val="21"/>
                <w:highlight w:val="none"/>
              </w:rPr>
            </w:pPr>
          </w:p>
        </w:tc>
      </w:tr>
      <w:tr w14:paraId="00457EB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345FC69D">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60</w:t>
            </w:r>
          </w:p>
        </w:tc>
        <w:tc>
          <w:tcPr>
            <w:tcW w:w="3685" w:type="dxa"/>
            <w:shd w:val="clear" w:color="auto" w:fill="auto"/>
            <w:noWrap/>
            <w:vAlign w:val="center"/>
          </w:tcPr>
          <w:p w14:paraId="7824A4D7">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5.2 水表换表回录</w:t>
            </w:r>
          </w:p>
        </w:tc>
        <w:tc>
          <w:tcPr>
            <w:tcW w:w="993" w:type="dxa"/>
            <w:shd w:val="clear" w:color="auto" w:fill="auto"/>
            <w:noWrap/>
            <w:vAlign w:val="center"/>
          </w:tcPr>
          <w:p w14:paraId="00D2271F">
            <w:pPr>
              <w:widowControl/>
              <w:jc w:val="left"/>
              <w:rPr>
                <w:rFonts w:cs="宋体" w:asciiTheme="minorEastAsia" w:hAnsiTheme="minorEastAsia" w:eastAsiaTheme="minorEastAsia"/>
                <w:color w:val="auto"/>
                <w:kern w:val="0"/>
                <w:szCs w:val="21"/>
                <w:highlight w:val="none"/>
              </w:rPr>
            </w:pPr>
          </w:p>
        </w:tc>
      </w:tr>
      <w:tr w14:paraId="6314E44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3983254D">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61</w:t>
            </w:r>
          </w:p>
        </w:tc>
        <w:tc>
          <w:tcPr>
            <w:tcW w:w="3685" w:type="dxa"/>
            <w:shd w:val="clear" w:color="auto" w:fill="auto"/>
            <w:noWrap/>
            <w:vAlign w:val="center"/>
          </w:tcPr>
          <w:p w14:paraId="1C842A70">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5.3 水表更换查询</w:t>
            </w:r>
          </w:p>
        </w:tc>
        <w:tc>
          <w:tcPr>
            <w:tcW w:w="993" w:type="dxa"/>
            <w:shd w:val="clear" w:color="auto" w:fill="auto"/>
            <w:noWrap/>
            <w:vAlign w:val="center"/>
          </w:tcPr>
          <w:p w14:paraId="53CB7BCC">
            <w:pPr>
              <w:widowControl/>
              <w:jc w:val="left"/>
              <w:rPr>
                <w:rFonts w:cs="宋体" w:asciiTheme="minorEastAsia" w:hAnsiTheme="minorEastAsia" w:eastAsiaTheme="minorEastAsia"/>
                <w:color w:val="auto"/>
                <w:kern w:val="0"/>
                <w:szCs w:val="21"/>
                <w:highlight w:val="none"/>
              </w:rPr>
            </w:pPr>
          </w:p>
        </w:tc>
      </w:tr>
      <w:tr w14:paraId="3F3A169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675D29E">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62</w:t>
            </w:r>
          </w:p>
        </w:tc>
        <w:tc>
          <w:tcPr>
            <w:tcW w:w="3685" w:type="dxa"/>
            <w:shd w:val="clear" w:color="auto" w:fill="auto"/>
            <w:noWrap/>
            <w:vAlign w:val="center"/>
          </w:tcPr>
          <w:p w14:paraId="0A0B88A0">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5.4 水表停复查询</w:t>
            </w:r>
          </w:p>
        </w:tc>
        <w:tc>
          <w:tcPr>
            <w:tcW w:w="993" w:type="dxa"/>
            <w:shd w:val="clear" w:color="auto" w:fill="auto"/>
            <w:noWrap/>
            <w:vAlign w:val="center"/>
          </w:tcPr>
          <w:p w14:paraId="3D779483">
            <w:pPr>
              <w:widowControl/>
              <w:jc w:val="left"/>
              <w:rPr>
                <w:rFonts w:cs="宋体" w:asciiTheme="minorEastAsia" w:hAnsiTheme="minorEastAsia" w:eastAsiaTheme="minorEastAsia"/>
                <w:color w:val="auto"/>
                <w:kern w:val="0"/>
                <w:szCs w:val="21"/>
                <w:highlight w:val="none"/>
              </w:rPr>
            </w:pPr>
          </w:p>
        </w:tc>
      </w:tr>
      <w:tr w14:paraId="759883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230134A0">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63</w:t>
            </w:r>
          </w:p>
        </w:tc>
        <w:tc>
          <w:tcPr>
            <w:tcW w:w="3685" w:type="dxa"/>
            <w:shd w:val="clear" w:color="auto" w:fill="auto"/>
            <w:noWrap/>
            <w:vAlign w:val="center"/>
          </w:tcPr>
          <w:p w14:paraId="254FEE2E">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5.5 水表周检计划</w:t>
            </w:r>
          </w:p>
        </w:tc>
        <w:tc>
          <w:tcPr>
            <w:tcW w:w="993" w:type="dxa"/>
            <w:shd w:val="clear" w:color="auto" w:fill="auto"/>
            <w:noWrap/>
            <w:vAlign w:val="center"/>
          </w:tcPr>
          <w:p w14:paraId="4827FE76">
            <w:pPr>
              <w:widowControl/>
              <w:jc w:val="left"/>
              <w:rPr>
                <w:rFonts w:cs="宋体" w:asciiTheme="minorEastAsia" w:hAnsiTheme="minorEastAsia" w:eastAsiaTheme="minorEastAsia"/>
                <w:color w:val="auto"/>
                <w:kern w:val="0"/>
                <w:szCs w:val="21"/>
                <w:highlight w:val="none"/>
              </w:rPr>
            </w:pPr>
          </w:p>
        </w:tc>
      </w:tr>
      <w:tr w14:paraId="472348C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26919E4A">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64</w:t>
            </w:r>
          </w:p>
        </w:tc>
        <w:tc>
          <w:tcPr>
            <w:tcW w:w="3685" w:type="dxa"/>
            <w:shd w:val="clear" w:color="auto" w:fill="auto"/>
            <w:noWrap/>
            <w:vAlign w:val="center"/>
          </w:tcPr>
          <w:p w14:paraId="0E958625">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5.6 水表周检打印</w:t>
            </w:r>
          </w:p>
        </w:tc>
        <w:tc>
          <w:tcPr>
            <w:tcW w:w="993" w:type="dxa"/>
            <w:shd w:val="clear" w:color="auto" w:fill="auto"/>
            <w:noWrap/>
            <w:vAlign w:val="center"/>
          </w:tcPr>
          <w:p w14:paraId="4DA9677C">
            <w:pPr>
              <w:widowControl/>
              <w:jc w:val="left"/>
              <w:rPr>
                <w:rFonts w:cs="宋体" w:asciiTheme="minorEastAsia" w:hAnsiTheme="minorEastAsia" w:eastAsiaTheme="minorEastAsia"/>
                <w:color w:val="auto"/>
                <w:kern w:val="0"/>
                <w:szCs w:val="21"/>
                <w:highlight w:val="none"/>
              </w:rPr>
            </w:pPr>
          </w:p>
        </w:tc>
      </w:tr>
      <w:tr w14:paraId="4B7B945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B0CC687">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65</w:t>
            </w:r>
          </w:p>
        </w:tc>
        <w:tc>
          <w:tcPr>
            <w:tcW w:w="3685" w:type="dxa"/>
            <w:shd w:val="clear" w:color="auto" w:fill="auto"/>
            <w:noWrap/>
            <w:vAlign w:val="center"/>
          </w:tcPr>
          <w:p w14:paraId="522CF285">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 抄收报表</w:t>
            </w:r>
          </w:p>
        </w:tc>
        <w:tc>
          <w:tcPr>
            <w:tcW w:w="993" w:type="dxa"/>
            <w:shd w:val="clear" w:color="auto" w:fill="auto"/>
            <w:noWrap/>
            <w:vAlign w:val="center"/>
          </w:tcPr>
          <w:p w14:paraId="50D20004">
            <w:pPr>
              <w:widowControl/>
              <w:jc w:val="left"/>
              <w:rPr>
                <w:rFonts w:cs="宋体" w:asciiTheme="minorEastAsia" w:hAnsiTheme="minorEastAsia" w:eastAsiaTheme="minorEastAsia"/>
                <w:color w:val="auto"/>
                <w:kern w:val="0"/>
                <w:szCs w:val="21"/>
                <w:highlight w:val="none"/>
              </w:rPr>
            </w:pPr>
          </w:p>
        </w:tc>
      </w:tr>
      <w:tr w14:paraId="710C7D5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6FA6C80A">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66</w:t>
            </w:r>
          </w:p>
        </w:tc>
        <w:tc>
          <w:tcPr>
            <w:tcW w:w="3685" w:type="dxa"/>
            <w:shd w:val="clear" w:color="auto" w:fill="auto"/>
            <w:noWrap/>
            <w:vAlign w:val="center"/>
          </w:tcPr>
          <w:p w14:paraId="37571795">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6.1 收费报表</w:t>
            </w:r>
          </w:p>
        </w:tc>
        <w:tc>
          <w:tcPr>
            <w:tcW w:w="993" w:type="dxa"/>
            <w:shd w:val="clear" w:color="auto" w:fill="auto"/>
            <w:noWrap/>
            <w:vAlign w:val="center"/>
          </w:tcPr>
          <w:p w14:paraId="4DA2AC0A">
            <w:pPr>
              <w:widowControl/>
              <w:jc w:val="left"/>
              <w:rPr>
                <w:rFonts w:cs="宋体" w:asciiTheme="minorEastAsia" w:hAnsiTheme="minorEastAsia" w:eastAsiaTheme="minorEastAsia"/>
                <w:color w:val="auto"/>
                <w:kern w:val="0"/>
                <w:szCs w:val="21"/>
                <w:highlight w:val="none"/>
              </w:rPr>
            </w:pPr>
          </w:p>
        </w:tc>
      </w:tr>
      <w:tr w14:paraId="126EEBC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57E26E17">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67</w:t>
            </w:r>
          </w:p>
        </w:tc>
        <w:tc>
          <w:tcPr>
            <w:tcW w:w="3685" w:type="dxa"/>
            <w:shd w:val="clear" w:color="auto" w:fill="auto"/>
            <w:noWrap/>
            <w:vAlign w:val="center"/>
          </w:tcPr>
          <w:p w14:paraId="15957B49">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6.1.1 柜台收费日明细表</w:t>
            </w:r>
          </w:p>
        </w:tc>
        <w:tc>
          <w:tcPr>
            <w:tcW w:w="993" w:type="dxa"/>
            <w:shd w:val="clear" w:color="auto" w:fill="auto"/>
            <w:noWrap/>
            <w:vAlign w:val="center"/>
          </w:tcPr>
          <w:p w14:paraId="72B90494">
            <w:pPr>
              <w:widowControl/>
              <w:jc w:val="left"/>
              <w:rPr>
                <w:rFonts w:cs="宋体" w:asciiTheme="minorEastAsia" w:hAnsiTheme="minorEastAsia" w:eastAsiaTheme="minorEastAsia"/>
                <w:color w:val="auto"/>
                <w:kern w:val="0"/>
                <w:szCs w:val="21"/>
                <w:highlight w:val="none"/>
              </w:rPr>
            </w:pPr>
          </w:p>
        </w:tc>
      </w:tr>
      <w:tr w14:paraId="4CDC3E3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3735ADB6">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68</w:t>
            </w:r>
          </w:p>
        </w:tc>
        <w:tc>
          <w:tcPr>
            <w:tcW w:w="3685" w:type="dxa"/>
            <w:shd w:val="clear" w:color="auto" w:fill="auto"/>
            <w:noWrap/>
            <w:vAlign w:val="center"/>
          </w:tcPr>
          <w:p w14:paraId="2ED356DE">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6.1.2 柜台收费日汇总表</w:t>
            </w:r>
          </w:p>
        </w:tc>
        <w:tc>
          <w:tcPr>
            <w:tcW w:w="993" w:type="dxa"/>
            <w:shd w:val="clear" w:color="auto" w:fill="auto"/>
            <w:noWrap/>
            <w:vAlign w:val="center"/>
          </w:tcPr>
          <w:p w14:paraId="4E50FDF7">
            <w:pPr>
              <w:widowControl/>
              <w:jc w:val="left"/>
              <w:rPr>
                <w:rFonts w:cs="宋体" w:asciiTheme="minorEastAsia" w:hAnsiTheme="minorEastAsia" w:eastAsiaTheme="minorEastAsia"/>
                <w:color w:val="auto"/>
                <w:kern w:val="0"/>
                <w:szCs w:val="21"/>
                <w:highlight w:val="none"/>
              </w:rPr>
            </w:pPr>
          </w:p>
        </w:tc>
      </w:tr>
      <w:tr w14:paraId="49F4476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6D08E365">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69</w:t>
            </w:r>
          </w:p>
        </w:tc>
        <w:tc>
          <w:tcPr>
            <w:tcW w:w="3685" w:type="dxa"/>
            <w:shd w:val="clear" w:color="auto" w:fill="auto"/>
            <w:noWrap/>
            <w:vAlign w:val="center"/>
          </w:tcPr>
          <w:p w14:paraId="685565E3">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6.1.3 柜台收费区间汇总表</w:t>
            </w:r>
          </w:p>
        </w:tc>
        <w:tc>
          <w:tcPr>
            <w:tcW w:w="993" w:type="dxa"/>
            <w:shd w:val="clear" w:color="auto" w:fill="auto"/>
            <w:noWrap/>
            <w:vAlign w:val="center"/>
          </w:tcPr>
          <w:p w14:paraId="284F7F64">
            <w:pPr>
              <w:widowControl/>
              <w:jc w:val="left"/>
              <w:rPr>
                <w:rFonts w:cs="宋体" w:asciiTheme="minorEastAsia" w:hAnsiTheme="minorEastAsia" w:eastAsiaTheme="minorEastAsia"/>
                <w:color w:val="auto"/>
                <w:kern w:val="0"/>
                <w:szCs w:val="21"/>
                <w:highlight w:val="none"/>
              </w:rPr>
            </w:pPr>
          </w:p>
        </w:tc>
      </w:tr>
      <w:tr w14:paraId="6B101C7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03430166">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70</w:t>
            </w:r>
          </w:p>
        </w:tc>
        <w:tc>
          <w:tcPr>
            <w:tcW w:w="3685" w:type="dxa"/>
            <w:shd w:val="clear" w:color="auto" w:fill="auto"/>
            <w:noWrap/>
            <w:vAlign w:val="center"/>
          </w:tcPr>
          <w:p w14:paraId="60E3A4CD">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6.1.4 柜台收费日报</w:t>
            </w:r>
          </w:p>
        </w:tc>
        <w:tc>
          <w:tcPr>
            <w:tcW w:w="993" w:type="dxa"/>
            <w:shd w:val="clear" w:color="auto" w:fill="auto"/>
            <w:noWrap/>
            <w:vAlign w:val="center"/>
          </w:tcPr>
          <w:p w14:paraId="517633D3">
            <w:pPr>
              <w:widowControl/>
              <w:jc w:val="left"/>
              <w:rPr>
                <w:rFonts w:cs="宋体" w:asciiTheme="minorEastAsia" w:hAnsiTheme="minorEastAsia" w:eastAsiaTheme="minorEastAsia"/>
                <w:color w:val="auto"/>
                <w:kern w:val="0"/>
                <w:szCs w:val="21"/>
                <w:highlight w:val="none"/>
              </w:rPr>
            </w:pPr>
          </w:p>
        </w:tc>
      </w:tr>
      <w:tr w14:paraId="531DA7F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374B34E6">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71</w:t>
            </w:r>
          </w:p>
        </w:tc>
        <w:tc>
          <w:tcPr>
            <w:tcW w:w="3685" w:type="dxa"/>
            <w:shd w:val="clear" w:color="auto" w:fill="auto"/>
            <w:noWrap/>
            <w:vAlign w:val="center"/>
          </w:tcPr>
          <w:p w14:paraId="45828B6D">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6.1.5 网点部门收费统计</w:t>
            </w:r>
          </w:p>
        </w:tc>
        <w:tc>
          <w:tcPr>
            <w:tcW w:w="993" w:type="dxa"/>
            <w:shd w:val="clear" w:color="auto" w:fill="auto"/>
            <w:noWrap/>
            <w:vAlign w:val="center"/>
          </w:tcPr>
          <w:p w14:paraId="29A663F2">
            <w:pPr>
              <w:widowControl/>
              <w:jc w:val="left"/>
              <w:rPr>
                <w:rFonts w:cs="宋体" w:asciiTheme="minorEastAsia" w:hAnsiTheme="minorEastAsia" w:eastAsiaTheme="minorEastAsia"/>
                <w:color w:val="auto"/>
                <w:kern w:val="0"/>
                <w:szCs w:val="21"/>
                <w:highlight w:val="none"/>
              </w:rPr>
            </w:pPr>
          </w:p>
        </w:tc>
      </w:tr>
      <w:tr w14:paraId="2E65E8E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5FF5BAB">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72</w:t>
            </w:r>
          </w:p>
        </w:tc>
        <w:tc>
          <w:tcPr>
            <w:tcW w:w="3685" w:type="dxa"/>
            <w:shd w:val="clear" w:color="auto" w:fill="auto"/>
            <w:noWrap/>
            <w:vAlign w:val="center"/>
          </w:tcPr>
          <w:p w14:paraId="136E59F0">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6.1.6 取消收费明细报表</w:t>
            </w:r>
          </w:p>
        </w:tc>
        <w:tc>
          <w:tcPr>
            <w:tcW w:w="993" w:type="dxa"/>
            <w:shd w:val="clear" w:color="auto" w:fill="auto"/>
            <w:noWrap/>
            <w:vAlign w:val="center"/>
          </w:tcPr>
          <w:p w14:paraId="154BCB72">
            <w:pPr>
              <w:widowControl/>
              <w:jc w:val="left"/>
              <w:rPr>
                <w:rFonts w:cs="宋体" w:asciiTheme="minorEastAsia" w:hAnsiTheme="minorEastAsia" w:eastAsiaTheme="minorEastAsia"/>
                <w:color w:val="auto"/>
                <w:kern w:val="0"/>
                <w:szCs w:val="21"/>
                <w:highlight w:val="none"/>
              </w:rPr>
            </w:pPr>
          </w:p>
        </w:tc>
      </w:tr>
      <w:tr w14:paraId="068BB6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2D556F4D">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73</w:t>
            </w:r>
          </w:p>
        </w:tc>
        <w:tc>
          <w:tcPr>
            <w:tcW w:w="3685" w:type="dxa"/>
            <w:shd w:val="clear" w:color="auto" w:fill="auto"/>
            <w:noWrap/>
            <w:vAlign w:val="center"/>
          </w:tcPr>
          <w:p w14:paraId="3A8BB330">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6.1.7 银行收费日明细表</w:t>
            </w:r>
          </w:p>
        </w:tc>
        <w:tc>
          <w:tcPr>
            <w:tcW w:w="993" w:type="dxa"/>
            <w:shd w:val="clear" w:color="auto" w:fill="auto"/>
            <w:noWrap/>
            <w:vAlign w:val="center"/>
          </w:tcPr>
          <w:p w14:paraId="509BB2FE">
            <w:pPr>
              <w:widowControl/>
              <w:jc w:val="left"/>
              <w:rPr>
                <w:rFonts w:cs="宋体" w:asciiTheme="minorEastAsia" w:hAnsiTheme="minorEastAsia" w:eastAsiaTheme="minorEastAsia"/>
                <w:color w:val="auto"/>
                <w:kern w:val="0"/>
                <w:szCs w:val="21"/>
                <w:highlight w:val="none"/>
              </w:rPr>
            </w:pPr>
          </w:p>
        </w:tc>
      </w:tr>
      <w:tr w14:paraId="3EB5772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583A43E4">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74</w:t>
            </w:r>
          </w:p>
        </w:tc>
        <w:tc>
          <w:tcPr>
            <w:tcW w:w="3685" w:type="dxa"/>
            <w:shd w:val="clear" w:color="auto" w:fill="auto"/>
            <w:noWrap/>
            <w:vAlign w:val="center"/>
          </w:tcPr>
          <w:p w14:paraId="50780B09">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6.1.8 银行收费区间汇总</w:t>
            </w:r>
          </w:p>
        </w:tc>
        <w:tc>
          <w:tcPr>
            <w:tcW w:w="993" w:type="dxa"/>
            <w:shd w:val="clear" w:color="auto" w:fill="auto"/>
            <w:noWrap/>
            <w:vAlign w:val="center"/>
          </w:tcPr>
          <w:p w14:paraId="13124799">
            <w:pPr>
              <w:widowControl/>
              <w:jc w:val="left"/>
              <w:rPr>
                <w:rFonts w:cs="宋体" w:asciiTheme="minorEastAsia" w:hAnsiTheme="minorEastAsia" w:eastAsiaTheme="minorEastAsia"/>
                <w:color w:val="auto"/>
                <w:kern w:val="0"/>
                <w:szCs w:val="21"/>
                <w:highlight w:val="none"/>
              </w:rPr>
            </w:pPr>
          </w:p>
        </w:tc>
      </w:tr>
      <w:tr w14:paraId="196F75D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3044016B">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75</w:t>
            </w:r>
          </w:p>
        </w:tc>
        <w:tc>
          <w:tcPr>
            <w:tcW w:w="3685" w:type="dxa"/>
            <w:shd w:val="clear" w:color="auto" w:fill="auto"/>
            <w:noWrap/>
            <w:vAlign w:val="center"/>
          </w:tcPr>
          <w:p w14:paraId="3BEAEA4F">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6.1.9 银行收费分帐表</w:t>
            </w:r>
          </w:p>
        </w:tc>
        <w:tc>
          <w:tcPr>
            <w:tcW w:w="993" w:type="dxa"/>
            <w:shd w:val="clear" w:color="auto" w:fill="auto"/>
            <w:noWrap/>
            <w:vAlign w:val="center"/>
          </w:tcPr>
          <w:p w14:paraId="3BB7FA56">
            <w:pPr>
              <w:widowControl/>
              <w:jc w:val="left"/>
              <w:rPr>
                <w:rFonts w:cs="宋体" w:asciiTheme="minorEastAsia" w:hAnsiTheme="minorEastAsia" w:eastAsiaTheme="minorEastAsia"/>
                <w:color w:val="auto"/>
                <w:kern w:val="0"/>
                <w:szCs w:val="21"/>
                <w:highlight w:val="none"/>
              </w:rPr>
            </w:pPr>
          </w:p>
        </w:tc>
      </w:tr>
      <w:tr w14:paraId="19983AC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5E51D422">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76</w:t>
            </w:r>
          </w:p>
        </w:tc>
        <w:tc>
          <w:tcPr>
            <w:tcW w:w="3685" w:type="dxa"/>
            <w:shd w:val="clear" w:color="auto" w:fill="auto"/>
            <w:noWrap/>
            <w:vAlign w:val="center"/>
          </w:tcPr>
          <w:p w14:paraId="064CBF39">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6.1.10 柜台分摊收费明细</w:t>
            </w:r>
          </w:p>
        </w:tc>
        <w:tc>
          <w:tcPr>
            <w:tcW w:w="993" w:type="dxa"/>
            <w:shd w:val="clear" w:color="auto" w:fill="auto"/>
            <w:noWrap/>
            <w:vAlign w:val="center"/>
          </w:tcPr>
          <w:p w14:paraId="42614897">
            <w:pPr>
              <w:widowControl/>
              <w:jc w:val="left"/>
              <w:rPr>
                <w:rFonts w:cs="宋体" w:asciiTheme="minorEastAsia" w:hAnsiTheme="minorEastAsia" w:eastAsiaTheme="minorEastAsia"/>
                <w:color w:val="auto"/>
                <w:kern w:val="0"/>
                <w:szCs w:val="21"/>
                <w:highlight w:val="none"/>
              </w:rPr>
            </w:pPr>
          </w:p>
        </w:tc>
      </w:tr>
      <w:tr w14:paraId="27AAA3F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31C6769A">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77</w:t>
            </w:r>
          </w:p>
        </w:tc>
        <w:tc>
          <w:tcPr>
            <w:tcW w:w="3685" w:type="dxa"/>
            <w:shd w:val="clear" w:color="auto" w:fill="auto"/>
            <w:noWrap/>
            <w:vAlign w:val="center"/>
          </w:tcPr>
          <w:p w14:paraId="3AEFA4A3">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6.1.11 阶梯用户应收报表</w:t>
            </w:r>
          </w:p>
        </w:tc>
        <w:tc>
          <w:tcPr>
            <w:tcW w:w="993" w:type="dxa"/>
            <w:shd w:val="clear" w:color="auto" w:fill="auto"/>
            <w:noWrap/>
            <w:vAlign w:val="center"/>
          </w:tcPr>
          <w:p w14:paraId="0CB199DF">
            <w:pPr>
              <w:widowControl/>
              <w:jc w:val="left"/>
              <w:rPr>
                <w:rFonts w:cs="宋体" w:asciiTheme="minorEastAsia" w:hAnsiTheme="minorEastAsia" w:eastAsiaTheme="minorEastAsia"/>
                <w:color w:val="auto"/>
                <w:kern w:val="0"/>
                <w:szCs w:val="21"/>
                <w:highlight w:val="none"/>
              </w:rPr>
            </w:pPr>
          </w:p>
        </w:tc>
      </w:tr>
      <w:tr w14:paraId="1C8D14F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294A5631">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78</w:t>
            </w:r>
          </w:p>
        </w:tc>
        <w:tc>
          <w:tcPr>
            <w:tcW w:w="3685" w:type="dxa"/>
            <w:shd w:val="clear" w:color="auto" w:fill="auto"/>
            <w:noWrap/>
            <w:vAlign w:val="center"/>
          </w:tcPr>
          <w:p w14:paraId="7790CF66">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6.1.12 阶梯用户实收报表</w:t>
            </w:r>
          </w:p>
        </w:tc>
        <w:tc>
          <w:tcPr>
            <w:tcW w:w="993" w:type="dxa"/>
            <w:shd w:val="clear" w:color="auto" w:fill="auto"/>
            <w:noWrap/>
            <w:vAlign w:val="center"/>
          </w:tcPr>
          <w:p w14:paraId="21F9621E">
            <w:pPr>
              <w:widowControl/>
              <w:jc w:val="left"/>
              <w:rPr>
                <w:rFonts w:cs="宋体" w:asciiTheme="minorEastAsia" w:hAnsiTheme="minorEastAsia" w:eastAsiaTheme="minorEastAsia"/>
                <w:color w:val="auto"/>
                <w:kern w:val="0"/>
                <w:szCs w:val="21"/>
                <w:highlight w:val="none"/>
              </w:rPr>
            </w:pPr>
          </w:p>
        </w:tc>
      </w:tr>
      <w:tr w14:paraId="42A1441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3398E951">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79</w:t>
            </w:r>
          </w:p>
        </w:tc>
        <w:tc>
          <w:tcPr>
            <w:tcW w:w="3685" w:type="dxa"/>
            <w:shd w:val="clear" w:color="auto" w:fill="auto"/>
            <w:noWrap/>
            <w:vAlign w:val="center"/>
          </w:tcPr>
          <w:p w14:paraId="0760C161">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6.1.13 联合用户用水明细表</w:t>
            </w:r>
          </w:p>
        </w:tc>
        <w:tc>
          <w:tcPr>
            <w:tcW w:w="993" w:type="dxa"/>
            <w:shd w:val="clear" w:color="auto" w:fill="auto"/>
            <w:noWrap/>
            <w:vAlign w:val="center"/>
          </w:tcPr>
          <w:p w14:paraId="143CF7F1">
            <w:pPr>
              <w:widowControl/>
              <w:jc w:val="left"/>
              <w:rPr>
                <w:rFonts w:cs="宋体" w:asciiTheme="minorEastAsia" w:hAnsiTheme="minorEastAsia" w:eastAsiaTheme="minorEastAsia"/>
                <w:color w:val="auto"/>
                <w:kern w:val="0"/>
                <w:szCs w:val="21"/>
                <w:highlight w:val="none"/>
              </w:rPr>
            </w:pPr>
          </w:p>
        </w:tc>
      </w:tr>
      <w:tr w14:paraId="5241BB3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341A20D2">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80</w:t>
            </w:r>
          </w:p>
        </w:tc>
        <w:tc>
          <w:tcPr>
            <w:tcW w:w="3685" w:type="dxa"/>
            <w:shd w:val="clear" w:color="auto" w:fill="auto"/>
            <w:noWrap/>
            <w:vAlign w:val="center"/>
          </w:tcPr>
          <w:p w14:paraId="1A48F8DB">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6.2 部门应收</w:t>
            </w:r>
          </w:p>
        </w:tc>
        <w:tc>
          <w:tcPr>
            <w:tcW w:w="993" w:type="dxa"/>
            <w:shd w:val="clear" w:color="auto" w:fill="auto"/>
            <w:noWrap/>
            <w:vAlign w:val="center"/>
          </w:tcPr>
          <w:p w14:paraId="234D0418">
            <w:pPr>
              <w:widowControl/>
              <w:jc w:val="left"/>
              <w:rPr>
                <w:rFonts w:cs="宋体" w:asciiTheme="minorEastAsia" w:hAnsiTheme="minorEastAsia" w:eastAsiaTheme="minorEastAsia"/>
                <w:color w:val="auto"/>
                <w:kern w:val="0"/>
                <w:szCs w:val="21"/>
                <w:highlight w:val="none"/>
              </w:rPr>
            </w:pPr>
          </w:p>
        </w:tc>
      </w:tr>
      <w:tr w14:paraId="0405E72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2374BF6B">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81</w:t>
            </w:r>
          </w:p>
        </w:tc>
        <w:tc>
          <w:tcPr>
            <w:tcW w:w="3685" w:type="dxa"/>
            <w:shd w:val="clear" w:color="auto" w:fill="auto"/>
            <w:noWrap/>
            <w:vAlign w:val="center"/>
          </w:tcPr>
          <w:p w14:paraId="13FC0D02">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6.2.1 类别应收水费</w:t>
            </w:r>
          </w:p>
        </w:tc>
        <w:tc>
          <w:tcPr>
            <w:tcW w:w="993" w:type="dxa"/>
            <w:shd w:val="clear" w:color="auto" w:fill="auto"/>
            <w:noWrap/>
            <w:vAlign w:val="center"/>
          </w:tcPr>
          <w:p w14:paraId="76B6B084">
            <w:pPr>
              <w:widowControl/>
              <w:jc w:val="left"/>
              <w:rPr>
                <w:rFonts w:cs="宋体" w:asciiTheme="minorEastAsia" w:hAnsiTheme="minorEastAsia" w:eastAsiaTheme="minorEastAsia"/>
                <w:color w:val="auto"/>
                <w:kern w:val="0"/>
                <w:szCs w:val="21"/>
                <w:highlight w:val="none"/>
              </w:rPr>
            </w:pPr>
          </w:p>
        </w:tc>
      </w:tr>
      <w:tr w14:paraId="26E21E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113D047A">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82</w:t>
            </w:r>
          </w:p>
        </w:tc>
        <w:tc>
          <w:tcPr>
            <w:tcW w:w="3685" w:type="dxa"/>
            <w:shd w:val="clear" w:color="auto" w:fill="auto"/>
            <w:noWrap/>
            <w:vAlign w:val="center"/>
          </w:tcPr>
          <w:p w14:paraId="6208ED32">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6.2.2 价格应收水费</w:t>
            </w:r>
          </w:p>
        </w:tc>
        <w:tc>
          <w:tcPr>
            <w:tcW w:w="993" w:type="dxa"/>
            <w:shd w:val="clear" w:color="auto" w:fill="auto"/>
            <w:noWrap/>
            <w:vAlign w:val="center"/>
          </w:tcPr>
          <w:p w14:paraId="53588B2A">
            <w:pPr>
              <w:widowControl/>
              <w:jc w:val="left"/>
              <w:rPr>
                <w:rFonts w:cs="宋体" w:asciiTheme="minorEastAsia" w:hAnsiTheme="minorEastAsia" w:eastAsiaTheme="minorEastAsia"/>
                <w:color w:val="auto"/>
                <w:kern w:val="0"/>
                <w:szCs w:val="21"/>
                <w:highlight w:val="none"/>
              </w:rPr>
            </w:pPr>
          </w:p>
        </w:tc>
      </w:tr>
      <w:tr w14:paraId="1FAD276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46AB60DA">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83</w:t>
            </w:r>
          </w:p>
        </w:tc>
        <w:tc>
          <w:tcPr>
            <w:tcW w:w="3685" w:type="dxa"/>
            <w:shd w:val="clear" w:color="auto" w:fill="auto"/>
            <w:noWrap/>
            <w:vAlign w:val="center"/>
          </w:tcPr>
          <w:p w14:paraId="7E65444D">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6.2.3 部门水量统计</w:t>
            </w:r>
          </w:p>
        </w:tc>
        <w:tc>
          <w:tcPr>
            <w:tcW w:w="993" w:type="dxa"/>
            <w:shd w:val="clear" w:color="auto" w:fill="auto"/>
            <w:noWrap/>
            <w:vAlign w:val="center"/>
          </w:tcPr>
          <w:p w14:paraId="15875AA7">
            <w:pPr>
              <w:widowControl/>
              <w:jc w:val="left"/>
              <w:rPr>
                <w:rFonts w:cs="宋体" w:asciiTheme="minorEastAsia" w:hAnsiTheme="minorEastAsia" w:eastAsiaTheme="minorEastAsia"/>
                <w:color w:val="auto"/>
                <w:kern w:val="0"/>
                <w:szCs w:val="21"/>
                <w:highlight w:val="none"/>
              </w:rPr>
            </w:pPr>
          </w:p>
        </w:tc>
      </w:tr>
      <w:tr w14:paraId="30BAE9D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6183340">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84</w:t>
            </w:r>
          </w:p>
        </w:tc>
        <w:tc>
          <w:tcPr>
            <w:tcW w:w="3685" w:type="dxa"/>
            <w:shd w:val="clear" w:color="auto" w:fill="auto"/>
            <w:noWrap/>
            <w:vAlign w:val="center"/>
          </w:tcPr>
          <w:p w14:paraId="6B0AB100">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6.2.4 大用户区间汇总表</w:t>
            </w:r>
          </w:p>
        </w:tc>
        <w:tc>
          <w:tcPr>
            <w:tcW w:w="993" w:type="dxa"/>
            <w:shd w:val="clear" w:color="auto" w:fill="auto"/>
            <w:noWrap/>
            <w:vAlign w:val="center"/>
          </w:tcPr>
          <w:p w14:paraId="229857C6">
            <w:pPr>
              <w:widowControl/>
              <w:jc w:val="left"/>
              <w:rPr>
                <w:rFonts w:cs="宋体" w:asciiTheme="minorEastAsia" w:hAnsiTheme="minorEastAsia" w:eastAsiaTheme="minorEastAsia"/>
                <w:color w:val="auto"/>
                <w:kern w:val="0"/>
                <w:szCs w:val="21"/>
                <w:highlight w:val="none"/>
              </w:rPr>
            </w:pPr>
          </w:p>
        </w:tc>
      </w:tr>
      <w:tr w14:paraId="7E9098B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63D305C6">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85</w:t>
            </w:r>
          </w:p>
        </w:tc>
        <w:tc>
          <w:tcPr>
            <w:tcW w:w="3685" w:type="dxa"/>
            <w:shd w:val="clear" w:color="auto" w:fill="auto"/>
            <w:noWrap/>
            <w:vAlign w:val="center"/>
          </w:tcPr>
          <w:p w14:paraId="15A1F51F">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6.2.5 应收明细表</w:t>
            </w:r>
          </w:p>
        </w:tc>
        <w:tc>
          <w:tcPr>
            <w:tcW w:w="993" w:type="dxa"/>
            <w:shd w:val="clear" w:color="auto" w:fill="auto"/>
            <w:noWrap/>
            <w:vAlign w:val="center"/>
          </w:tcPr>
          <w:p w14:paraId="73E66F15">
            <w:pPr>
              <w:widowControl/>
              <w:jc w:val="left"/>
              <w:rPr>
                <w:rFonts w:cs="宋体" w:asciiTheme="minorEastAsia" w:hAnsiTheme="minorEastAsia" w:eastAsiaTheme="minorEastAsia"/>
                <w:color w:val="auto"/>
                <w:kern w:val="0"/>
                <w:szCs w:val="21"/>
                <w:highlight w:val="none"/>
              </w:rPr>
            </w:pPr>
          </w:p>
        </w:tc>
      </w:tr>
      <w:tr w14:paraId="55ECABF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7AC74A8">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86</w:t>
            </w:r>
          </w:p>
        </w:tc>
        <w:tc>
          <w:tcPr>
            <w:tcW w:w="3685" w:type="dxa"/>
            <w:shd w:val="clear" w:color="auto" w:fill="auto"/>
            <w:noWrap/>
            <w:vAlign w:val="center"/>
          </w:tcPr>
          <w:p w14:paraId="0DB0B6DF">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6.3 部门实收</w:t>
            </w:r>
          </w:p>
        </w:tc>
        <w:tc>
          <w:tcPr>
            <w:tcW w:w="993" w:type="dxa"/>
            <w:shd w:val="clear" w:color="auto" w:fill="auto"/>
            <w:noWrap/>
            <w:vAlign w:val="center"/>
          </w:tcPr>
          <w:p w14:paraId="3C4D7E28">
            <w:pPr>
              <w:widowControl/>
              <w:jc w:val="left"/>
              <w:rPr>
                <w:rFonts w:cs="宋体" w:asciiTheme="minorEastAsia" w:hAnsiTheme="minorEastAsia" w:eastAsiaTheme="minorEastAsia"/>
                <w:color w:val="auto"/>
                <w:kern w:val="0"/>
                <w:szCs w:val="21"/>
                <w:highlight w:val="none"/>
              </w:rPr>
            </w:pPr>
          </w:p>
        </w:tc>
      </w:tr>
      <w:tr w14:paraId="4C06D5F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39BE81E9">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87</w:t>
            </w:r>
          </w:p>
        </w:tc>
        <w:tc>
          <w:tcPr>
            <w:tcW w:w="3685" w:type="dxa"/>
            <w:shd w:val="clear" w:color="auto" w:fill="auto"/>
            <w:noWrap/>
            <w:vAlign w:val="center"/>
          </w:tcPr>
          <w:p w14:paraId="2BBC67DC">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6.3.1 类别回收日报</w:t>
            </w:r>
          </w:p>
        </w:tc>
        <w:tc>
          <w:tcPr>
            <w:tcW w:w="993" w:type="dxa"/>
            <w:shd w:val="clear" w:color="auto" w:fill="auto"/>
            <w:noWrap/>
            <w:vAlign w:val="center"/>
          </w:tcPr>
          <w:p w14:paraId="25629EE9">
            <w:pPr>
              <w:widowControl/>
              <w:jc w:val="left"/>
              <w:rPr>
                <w:rFonts w:cs="宋体" w:asciiTheme="minorEastAsia" w:hAnsiTheme="minorEastAsia" w:eastAsiaTheme="minorEastAsia"/>
                <w:color w:val="auto"/>
                <w:kern w:val="0"/>
                <w:szCs w:val="21"/>
                <w:highlight w:val="none"/>
              </w:rPr>
            </w:pPr>
          </w:p>
        </w:tc>
      </w:tr>
      <w:tr w14:paraId="0508B0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12C13B2C">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88</w:t>
            </w:r>
          </w:p>
        </w:tc>
        <w:tc>
          <w:tcPr>
            <w:tcW w:w="3685" w:type="dxa"/>
            <w:shd w:val="clear" w:color="auto" w:fill="auto"/>
            <w:noWrap/>
            <w:vAlign w:val="center"/>
          </w:tcPr>
          <w:p w14:paraId="0089C072">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6.3.2 价格回收日报</w:t>
            </w:r>
          </w:p>
        </w:tc>
        <w:tc>
          <w:tcPr>
            <w:tcW w:w="993" w:type="dxa"/>
            <w:shd w:val="clear" w:color="auto" w:fill="auto"/>
            <w:noWrap/>
            <w:vAlign w:val="center"/>
          </w:tcPr>
          <w:p w14:paraId="7B651E14">
            <w:pPr>
              <w:widowControl/>
              <w:jc w:val="left"/>
              <w:rPr>
                <w:rFonts w:cs="宋体" w:asciiTheme="minorEastAsia" w:hAnsiTheme="minorEastAsia" w:eastAsiaTheme="minorEastAsia"/>
                <w:color w:val="auto"/>
                <w:kern w:val="0"/>
                <w:szCs w:val="21"/>
                <w:highlight w:val="none"/>
              </w:rPr>
            </w:pPr>
          </w:p>
        </w:tc>
      </w:tr>
      <w:tr w14:paraId="723971F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BF26931">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89</w:t>
            </w:r>
          </w:p>
        </w:tc>
        <w:tc>
          <w:tcPr>
            <w:tcW w:w="3685" w:type="dxa"/>
            <w:shd w:val="clear" w:color="auto" w:fill="auto"/>
            <w:noWrap/>
            <w:vAlign w:val="center"/>
          </w:tcPr>
          <w:p w14:paraId="2638E661">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6.3.3 预存回收日报</w:t>
            </w:r>
          </w:p>
        </w:tc>
        <w:tc>
          <w:tcPr>
            <w:tcW w:w="993" w:type="dxa"/>
            <w:shd w:val="clear" w:color="auto" w:fill="auto"/>
            <w:noWrap/>
            <w:vAlign w:val="center"/>
          </w:tcPr>
          <w:p w14:paraId="444A809E">
            <w:pPr>
              <w:widowControl/>
              <w:jc w:val="left"/>
              <w:rPr>
                <w:rFonts w:cs="宋体" w:asciiTheme="minorEastAsia" w:hAnsiTheme="minorEastAsia" w:eastAsiaTheme="minorEastAsia"/>
                <w:color w:val="auto"/>
                <w:kern w:val="0"/>
                <w:szCs w:val="21"/>
                <w:highlight w:val="none"/>
              </w:rPr>
            </w:pPr>
          </w:p>
        </w:tc>
      </w:tr>
      <w:tr w14:paraId="03D1167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39F1FA71">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90</w:t>
            </w:r>
          </w:p>
        </w:tc>
        <w:tc>
          <w:tcPr>
            <w:tcW w:w="3685" w:type="dxa"/>
            <w:shd w:val="clear" w:color="auto" w:fill="auto"/>
            <w:noWrap/>
            <w:vAlign w:val="center"/>
          </w:tcPr>
          <w:p w14:paraId="45AFE5B4">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6.3.4 银行类别实收报表</w:t>
            </w:r>
          </w:p>
        </w:tc>
        <w:tc>
          <w:tcPr>
            <w:tcW w:w="993" w:type="dxa"/>
            <w:shd w:val="clear" w:color="auto" w:fill="auto"/>
            <w:noWrap/>
            <w:vAlign w:val="center"/>
          </w:tcPr>
          <w:p w14:paraId="0CD5F69B">
            <w:pPr>
              <w:widowControl/>
              <w:jc w:val="left"/>
              <w:rPr>
                <w:rFonts w:cs="宋体" w:asciiTheme="minorEastAsia" w:hAnsiTheme="minorEastAsia" w:eastAsiaTheme="minorEastAsia"/>
                <w:color w:val="auto"/>
                <w:kern w:val="0"/>
                <w:szCs w:val="21"/>
                <w:highlight w:val="none"/>
              </w:rPr>
            </w:pPr>
          </w:p>
        </w:tc>
      </w:tr>
      <w:tr w14:paraId="4849762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4A140463">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91</w:t>
            </w:r>
          </w:p>
        </w:tc>
        <w:tc>
          <w:tcPr>
            <w:tcW w:w="3685" w:type="dxa"/>
            <w:shd w:val="clear" w:color="auto" w:fill="auto"/>
            <w:noWrap/>
            <w:vAlign w:val="center"/>
          </w:tcPr>
          <w:p w14:paraId="22211C4D">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6.3.5 银行价格实收报表</w:t>
            </w:r>
          </w:p>
        </w:tc>
        <w:tc>
          <w:tcPr>
            <w:tcW w:w="993" w:type="dxa"/>
            <w:shd w:val="clear" w:color="auto" w:fill="auto"/>
            <w:noWrap/>
            <w:vAlign w:val="center"/>
          </w:tcPr>
          <w:p w14:paraId="641D7840">
            <w:pPr>
              <w:widowControl/>
              <w:jc w:val="left"/>
              <w:rPr>
                <w:rFonts w:cs="宋体" w:asciiTheme="minorEastAsia" w:hAnsiTheme="minorEastAsia" w:eastAsiaTheme="minorEastAsia"/>
                <w:color w:val="auto"/>
                <w:kern w:val="0"/>
                <w:szCs w:val="21"/>
                <w:highlight w:val="none"/>
              </w:rPr>
            </w:pPr>
          </w:p>
        </w:tc>
      </w:tr>
      <w:tr w14:paraId="7203909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42E47376">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92</w:t>
            </w:r>
          </w:p>
        </w:tc>
        <w:tc>
          <w:tcPr>
            <w:tcW w:w="3685" w:type="dxa"/>
            <w:shd w:val="clear" w:color="auto" w:fill="auto"/>
            <w:noWrap/>
            <w:vAlign w:val="center"/>
          </w:tcPr>
          <w:p w14:paraId="5E4672BA">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6.4 预存报表</w:t>
            </w:r>
          </w:p>
        </w:tc>
        <w:tc>
          <w:tcPr>
            <w:tcW w:w="993" w:type="dxa"/>
            <w:shd w:val="clear" w:color="auto" w:fill="auto"/>
            <w:noWrap/>
            <w:vAlign w:val="center"/>
          </w:tcPr>
          <w:p w14:paraId="077417B4">
            <w:pPr>
              <w:widowControl/>
              <w:jc w:val="left"/>
              <w:rPr>
                <w:rFonts w:cs="宋体" w:asciiTheme="minorEastAsia" w:hAnsiTheme="minorEastAsia" w:eastAsiaTheme="minorEastAsia"/>
                <w:color w:val="auto"/>
                <w:kern w:val="0"/>
                <w:szCs w:val="21"/>
                <w:highlight w:val="none"/>
              </w:rPr>
            </w:pPr>
          </w:p>
        </w:tc>
      </w:tr>
      <w:tr w14:paraId="399DDBD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1DE9AEBE">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93</w:t>
            </w:r>
          </w:p>
        </w:tc>
        <w:tc>
          <w:tcPr>
            <w:tcW w:w="3685" w:type="dxa"/>
            <w:shd w:val="clear" w:color="auto" w:fill="auto"/>
            <w:noWrap/>
            <w:vAlign w:val="center"/>
          </w:tcPr>
          <w:p w14:paraId="22D5B277">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6.4.1 预存用户档案</w:t>
            </w:r>
          </w:p>
        </w:tc>
        <w:tc>
          <w:tcPr>
            <w:tcW w:w="993" w:type="dxa"/>
            <w:shd w:val="clear" w:color="auto" w:fill="auto"/>
            <w:noWrap/>
            <w:vAlign w:val="center"/>
          </w:tcPr>
          <w:p w14:paraId="0E8CFC7F">
            <w:pPr>
              <w:widowControl/>
              <w:jc w:val="left"/>
              <w:rPr>
                <w:rFonts w:cs="宋体" w:asciiTheme="minorEastAsia" w:hAnsiTheme="minorEastAsia" w:eastAsiaTheme="minorEastAsia"/>
                <w:color w:val="auto"/>
                <w:kern w:val="0"/>
                <w:szCs w:val="21"/>
                <w:highlight w:val="none"/>
              </w:rPr>
            </w:pPr>
          </w:p>
        </w:tc>
      </w:tr>
      <w:tr w14:paraId="5C3E39B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208F91F0">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94</w:t>
            </w:r>
          </w:p>
        </w:tc>
        <w:tc>
          <w:tcPr>
            <w:tcW w:w="3685" w:type="dxa"/>
            <w:shd w:val="clear" w:color="auto" w:fill="auto"/>
            <w:noWrap/>
            <w:vAlign w:val="center"/>
          </w:tcPr>
          <w:p w14:paraId="37BD595B">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6.4.2 预存充值区间明细</w:t>
            </w:r>
          </w:p>
        </w:tc>
        <w:tc>
          <w:tcPr>
            <w:tcW w:w="993" w:type="dxa"/>
            <w:shd w:val="clear" w:color="auto" w:fill="auto"/>
            <w:noWrap/>
            <w:vAlign w:val="center"/>
          </w:tcPr>
          <w:p w14:paraId="43CD22D7">
            <w:pPr>
              <w:widowControl/>
              <w:jc w:val="left"/>
              <w:rPr>
                <w:rFonts w:cs="宋体" w:asciiTheme="minorEastAsia" w:hAnsiTheme="minorEastAsia" w:eastAsiaTheme="minorEastAsia"/>
                <w:color w:val="auto"/>
                <w:kern w:val="0"/>
                <w:szCs w:val="21"/>
                <w:highlight w:val="none"/>
              </w:rPr>
            </w:pPr>
          </w:p>
        </w:tc>
      </w:tr>
      <w:tr w14:paraId="7F2F769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57EF4337">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95</w:t>
            </w:r>
          </w:p>
        </w:tc>
        <w:tc>
          <w:tcPr>
            <w:tcW w:w="3685" w:type="dxa"/>
            <w:shd w:val="clear" w:color="auto" w:fill="auto"/>
            <w:noWrap/>
            <w:vAlign w:val="center"/>
          </w:tcPr>
          <w:p w14:paraId="0BF61D28">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6.4.3 预存抵扣区间明细</w:t>
            </w:r>
          </w:p>
        </w:tc>
        <w:tc>
          <w:tcPr>
            <w:tcW w:w="993" w:type="dxa"/>
            <w:shd w:val="clear" w:color="auto" w:fill="auto"/>
            <w:noWrap/>
            <w:vAlign w:val="center"/>
          </w:tcPr>
          <w:p w14:paraId="18529928">
            <w:pPr>
              <w:widowControl/>
              <w:jc w:val="left"/>
              <w:rPr>
                <w:rFonts w:cs="宋体" w:asciiTheme="minorEastAsia" w:hAnsiTheme="minorEastAsia" w:eastAsiaTheme="minorEastAsia"/>
                <w:color w:val="auto"/>
                <w:kern w:val="0"/>
                <w:szCs w:val="21"/>
                <w:highlight w:val="none"/>
              </w:rPr>
            </w:pPr>
          </w:p>
        </w:tc>
      </w:tr>
      <w:tr w14:paraId="25D5C62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4906AE00">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96</w:t>
            </w:r>
          </w:p>
        </w:tc>
        <w:tc>
          <w:tcPr>
            <w:tcW w:w="3685" w:type="dxa"/>
            <w:shd w:val="clear" w:color="auto" w:fill="auto"/>
            <w:noWrap/>
            <w:vAlign w:val="center"/>
          </w:tcPr>
          <w:p w14:paraId="380A297F">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6.4.4 预存充扣区间汇总</w:t>
            </w:r>
          </w:p>
        </w:tc>
        <w:tc>
          <w:tcPr>
            <w:tcW w:w="993" w:type="dxa"/>
            <w:shd w:val="clear" w:color="auto" w:fill="auto"/>
            <w:noWrap/>
            <w:vAlign w:val="center"/>
          </w:tcPr>
          <w:p w14:paraId="59C77CC2">
            <w:pPr>
              <w:widowControl/>
              <w:jc w:val="left"/>
              <w:rPr>
                <w:rFonts w:cs="宋体" w:asciiTheme="minorEastAsia" w:hAnsiTheme="minorEastAsia" w:eastAsiaTheme="minorEastAsia"/>
                <w:color w:val="auto"/>
                <w:kern w:val="0"/>
                <w:szCs w:val="21"/>
                <w:highlight w:val="none"/>
              </w:rPr>
            </w:pPr>
          </w:p>
        </w:tc>
      </w:tr>
      <w:tr w14:paraId="18EC20A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68433319">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97</w:t>
            </w:r>
          </w:p>
        </w:tc>
        <w:tc>
          <w:tcPr>
            <w:tcW w:w="3685" w:type="dxa"/>
            <w:shd w:val="clear" w:color="auto" w:fill="auto"/>
            <w:noWrap/>
            <w:vAlign w:val="center"/>
          </w:tcPr>
          <w:p w14:paraId="309ED3AE">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6.4.5 预存用户余额明细</w:t>
            </w:r>
          </w:p>
        </w:tc>
        <w:tc>
          <w:tcPr>
            <w:tcW w:w="993" w:type="dxa"/>
            <w:shd w:val="clear" w:color="auto" w:fill="auto"/>
            <w:noWrap/>
            <w:vAlign w:val="center"/>
          </w:tcPr>
          <w:p w14:paraId="776DE5EE">
            <w:pPr>
              <w:widowControl/>
              <w:jc w:val="left"/>
              <w:rPr>
                <w:rFonts w:cs="宋体" w:asciiTheme="minorEastAsia" w:hAnsiTheme="minorEastAsia" w:eastAsiaTheme="minorEastAsia"/>
                <w:color w:val="auto"/>
                <w:kern w:val="0"/>
                <w:szCs w:val="21"/>
                <w:highlight w:val="none"/>
              </w:rPr>
            </w:pPr>
          </w:p>
        </w:tc>
      </w:tr>
      <w:tr w14:paraId="77B84E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40D601B1">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98</w:t>
            </w:r>
          </w:p>
        </w:tc>
        <w:tc>
          <w:tcPr>
            <w:tcW w:w="3685" w:type="dxa"/>
            <w:shd w:val="clear" w:color="auto" w:fill="auto"/>
            <w:noWrap/>
            <w:vAlign w:val="center"/>
          </w:tcPr>
          <w:p w14:paraId="2E593CCE">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6.4.6 预存用户欠费明细</w:t>
            </w:r>
          </w:p>
        </w:tc>
        <w:tc>
          <w:tcPr>
            <w:tcW w:w="993" w:type="dxa"/>
            <w:shd w:val="clear" w:color="auto" w:fill="auto"/>
            <w:noWrap/>
            <w:vAlign w:val="center"/>
          </w:tcPr>
          <w:p w14:paraId="1297C796">
            <w:pPr>
              <w:widowControl/>
              <w:jc w:val="left"/>
              <w:rPr>
                <w:rFonts w:cs="宋体" w:asciiTheme="minorEastAsia" w:hAnsiTheme="minorEastAsia" w:eastAsiaTheme="minorEastAsia"/>
                <w:color w:val="auto"/>
                <w:kern w:val="0"/>
                <w:szCs w:val="21"/>
                <w:highlight w:val="none"/>
              </w:rPr>
            </w:pPr>
          </w:p>
        </w:tc>
      </w:tr>
      <w:tr w14:paraId="5234EF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42C6D163">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99</w:t>
            </w:r>
          </w:p>
        </w:tc>
        <w:tc>
          <w:tcPr>
            <w:tcW w:w="3685" w:type="dxa"/>
            <w:shd w:val="clear" w:color="auto" w:fill="auto"/>
            <w:noWrap/>
            <w:vAlign w:val="center"/>
          </w:tcPr>
          <w:p w14:paraId="59421082">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6.4.7 预存水费回收月报</w:t>
            </w:r>
          </w:p>
        </w:tc>
        <w:tc>
          <w:tcPr>
            <w:tcW w:w="993" w:type="dxa"/>
            <w:shd w:val="clear" w:color="auto" w:fill="auto"/>
            <w:noWrap/>
            <w:vAlign w:val="center"/>
          </w:tcPr>
          <w:p w14:paraId="653345BB">
            <w:pPr>
              <w:widowControl/>
              <w:jc w:val="left"/>
              <w:rPr>
                <w:rFonts w:cs="宋体" w:asciiTheme="minorEastAsia" w:hAnsiTheme="minorEastAsia" w:eastAsiaTheme="minorEastAsia"/>
                <w:color w:val="auto"/>
                <w:kern w:val="0"/>
                <w:szCs w:val="21"/>
                <w:highlight w:val="none"/>
              </w:rPr>
            </w:pPr>
          </w:p>
        </w:tc>
      </w:tr>
      <w:tr w14:paraId="38430DF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47A266CC">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100</w:t>
            </w:r>
          </w:p>
        </w:tc>
        <w:tc>
          <w:tcPr>
            <w:tcW w:w="3685" w:type="dxa"/>
            <w:shd w:val="clear" w:color="auto" w:fill="auto"/>
            <w:noWrap/>
            <w:vAlign w:val="center"/>
          </w:tcPr>
          <w:p w14:paraId="1EBA94C4">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6.5 综合报表</w:t>
            </w:r>
          </w:p>
        </w:tc>
        <w:tc>
          <w:tcPr>
            <w:tcW w:w="993" w:type="dxa"/>
            <w:shd w:val="clear" w:color="auto" w:fill="auto"/>
            <w:noWrap/>
            <w:vAlign w:val="center"/>
          </w:tcPr>
          <w:p w14:paraId="4AD66D0B">
            <w:pPr>
              <w:widowControl/>
              <w:jc w:val="left"/>
              <w:rPr>
                <w:rFonts w:cs="宋体" w:asciiTheme="minorEastAsia" w:hAnsiTheme="minorEastAsia" w:eastAsiaTheme="minorEastAsia"/>
                <w:color w:val="auto"/>
                <w:kern w:val="0"/>
                <w:szCs w:val="21"/>
                <w:highlight w:val="none"/>
              </w:rPr>
            </w:pPr>
          </w:p>
        </w:tc>
      </w:tr>
      <w:tr w14:paraId="7B7966D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26E8F484">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101</w:t>
            </w:r>
          </w:p>
        </w:tc>
        <w:tc>
          <w:tcPr>
            <w:tcW w:w="3685" w:type="dxa"/>
            <w:shd w:val="clear" w:color="auto" w:fill="auto"/>
            <w:noWrap/>
            <w:vAlign w:val="center"/>
          </w:tcPr>
          <w:p w14:paraId="5E05DABB">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6.5.1 抄计月报</w:t>
            </w:r>
          </w:p>
        </w:tc>
        <w:tc>
          <w:tcPr>
            <w:tcW w:w="993" w:type="dxa"/>
            <w:shd w:val="clear" w:color="auto" w:fill="auto"/>
            <w:noWrap/>
            <w:vAlign w:val="center"/>
          </w:tcPr>
          <w:p w14:paraId="7C42D021">
            <w:pPr>
              <w:widowControl/>
              <w:jc w:val="left"/>
              <w:rPr>
                <w:rFonts w:cs="宋体" w:asciiTheme="minorEastAsia" w:hAnsiTheme="minorEastAsia" w:eastAsiaTheme="minorEastAsia"/>
                <w:color w:val="auto"/>
                <w:kern w:val="0"/>
                <w:szCs w:val="21"/>
                <w:highlight w:val="none"/>
              </w:rPr>
            </w:pPr>
          </w:p>
        </w:tc>
      </w:tr>
      <w:tr w14:paraId="0D033A8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29E1842B">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102</w:t>
            </w:r>
          </w:p>
        </w:tc>
        <w:tc>
          <w:tcPr>
            <w:tcW w:w="3685" w:type="dxa"/>
            <w:shd w:val="clear" w:color="auto" w:fill="auto"/>
            <w:noWrap/>
            <w:vAlign w:val="center"/>
          </w:tcPr>
          <w:p w14:paraId="50736575">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6.5.2 含税月报</w:t>
            </w:r>
          </w:p>
        </w:tc>
        <w:tc>
          <w:tcPr>
            <w:tcW w:w="993" w:type="dxa"/>
            <w:shd w:val="clear" w:color="auto" w:fill="auto"/>
            <w:noWrap/>
            <w:vAlign w:val="center"/>
          </w:tcPr>
          <w:p w14:paraId="763BE1E0">
            <w:pPr>
              <w:widowControl/>
              <w:jc w:val="left"/>
              <w:rPr>
                <w:rFonts w:cs="宋体" w:asciiTheme="minorEastAsia" w:hAnsiTheme="minorEastAsia" w:eastAsiaTheme="minorEastAsia"/>
                <w:color w:val="auto"/>
                <w:kern w:val="0"/>
                <w:szCs w:val="21"/>
                <w:highlight w:val="none"/>
              </w:rPr>
            </w:pPr>
          </w:p>
        </w:tc>
      </w:tr>
      <w:tr w14:paraId="11DFD2D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6312E82C">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103</w:t>
            </w:r>
          </w:p>
        </w:tc>
        <w:tc>
          <w:tcPr>
            <w:tcW w:w="3685" w:type="dxa"/>
            <w:shd w:val="clear" w:color="auto" w:fill="auto"/>
            <w:noWrap/>
            <w:vAlign w:val="center"/>
          </w:tcPr>
          <w:p w14:paraId="11B52408">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6.5.3 含税月报生成</w:t>
            </w:r>
          </w:p>
        </w:tc>
        <w:tc>
          <w:tcPr>
            <w:tcW w:w="993" w:type="dxa"/>
            <w:shd w:val="clear" w:color="auto" w:fill="auto"/>
            <w:noWrap/>
            <w:vAlign w:val="center"/>
          </w:tcPr>
          <w:p w14:paraId="106772C4">
            <w:pPr>
              <w:widowControl/>
              <w:jc w:val="left"/>
              <w:rPr>
                <w:rFonts w:cs="宋体" w:asciiTheme="minorEastAsia" w:hAnsiTheme="minorEastAsia" w:eastAsiaTheme="minorEastAsia"/>
                <w:color w:val="auto"/>
                <w:kern w:val="0"/>
                <w:szCs w:val="21"/>
                <w:highlight w:val="none"/>
              </w:rPr>
            </w:pPr>
          </w:p>
        </w:tc>
      </w:tr>
      <w:tr w14:paraId="3300333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281A3364">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104</w:t>
            </w:r>
          </w:p>
        </w:tc>
        <w:tc>
          <w:tcPr>
            <w:tcW w:w="3685" w:type="dxa"/>
            <w:shd w:val="clear" w:color="auto" w:fill="auto"/>
            <w:noWrap/>
            <w:vAlign w:val="center"/>
          </w:tcPr>
          <w:p w14:paraId="052EE030">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6.5.4 区域计量月报</w:t>
            </w:r>
          </w:p>
        </w:tc>
        <w:tc>
          <w:tcPr>
            <w:tcW w:w="993" w:type="dxa"/>
            <w:shd w:val="clear" w:color="auto" w:fill="auto"/>
            <w:noWrap/>
            <w:vAlign w:val="center"/>
          </w:tcPr>
          <w:p w14:paraId="4EE3D62B">
            <w:pPr>
              <w:widowControl/>
              <w:jc w:val="left"/>
              <w:rPr>
                <w:rFonts w:cs="宋体" w:asciiTheme="minorEastAsia" w:hAnsiTheme="minorEastAsia" w:eastAsiaTheme="minorEastAsia"/>
                <w:color w:val="auto"/>
                <w:kern w:val="0"/>
                <w:szCs w:val="21"/>
                <w:highlight w:val="none"/>
              </w:rPr>
            </w:pPr>
          </w:p>
        </w:tc>
      </w:tr>
      <w:tr w14:paraId="721598C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FFC8057">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105</w:t>
            </w:r>
          </w:p>
        </w:tc>
        <w:tc>
          <w:tcPr>
            <w:tcW w:w="3685" w:type="dxa"/>
            <w:shd w:val="clear" w:color="auto" w:fill="auto"/>
            <w:noWrap/>
            <w:vAlign w:val="center"/>
          </w:tcPr>
          <w:p w14:paraId="35E5BA79">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6.5.5 区域计量表明细</w:t>
            </w:r>
          </w:p>
        </w:tc>
        <w:tc>
          <w:tcPr>
            <w:tcW w:w="993" w:type="dxa"/>
            <w:shd w:val="clear" w:color="auto" w:fill="auto"/>
            <w:noWrap/>
            <w:vAlign w:val="center"/>
          </w:tcPr>
          <w:p w14:paraId="6EF54B6C">
            <w:pPr>
              <w:widowControl/>
              <w:jc w:val="left"/>
              <w:rPr>
                <w:rFonts w:cs="宋体" w:asciiTheme="minorEastAsia" w:hAnsiTheme="minorEastAsia" w:eastAsiaTheme="minorEastAsia"/>
                <w:color w:val="auto"/>
                <w:kern w:val="0"/>
                <w:szCs w:val="21"/>
                <w:highlight w:val="none"/>
              </w:rPr>
            </w:pPr>
          </w:p>
        </w:tc>
      </w:tr>
      <w:tr w14:paraId="2A72AEC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598B4945">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106</w:t>
            </w:r>
          </w:p>
        </w:tc>
        <w:tc>
          <w:tcPr>
            <w:tcW w:w="3685" w:type="dxa"/>
            <w:shd w:val="clear" w:color="auto" w:fill="auto"/>
            <w:noWrap/>
            <w:vAlign w:val="center"/>
          </w:tcPr>
          <w:p w14:paraId="76FBB7D6">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6.5.6 余额违约金汇总</w:t>
            </w:r>
          </w:p>
        </w:tc>
        <w:tc>
          <w:tcPr>
            <w:tcW w:w="993" w:type="dxa"/>
            <w:shd w:val="clear" w:color="auto" w:fill="auto"/>
            <w:noWrap/>
            <w:vAlign w:val="center"/>
          </w:tcPr>
          <w:p w14:paraId="6E45F33F">
            <w:pPr>
              <w:widowControl/>
              <w:jc w:val="left"/>
              <w:rPr>
                <w:rFonts w:cs="宋体" w:asciiTheme="minorEastAsia" w:hAnsiTheme="minorEastAsia" w:eastAsiaTheme="minorEastAsia"/>
                <w:color w:val="auto"/>
                <w:kern w:val="0"/>
                <w:szCs w:val="21"/>
                <w:highlight w:val="none"/>
              </w:rPr>
            </w:pPr>
          </w:p>
        </w:tc>
      </w:tr>
      <w:tr w14:paraId="24C1FC7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1C8ABA92">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107</w:t>
            </w:r>
          </w:p>
        </w:tc>
        <w:tc>
          <w:tcPr>
            <w:tcW w:w="3685" w:type="dxa"/>
            <w:shd w:val="clear" w:color="auto" w:fill="auto"/>
            <w:noWrap/>
            <w:vAlign w:val="center"/>
          </w:tcPr>
          <w:p w14:paraId="797DB89D">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6.5.7 线路回收率统计</w:t>
            </w:r>
          </w:p>
        </w:tc>
        <w:tc>
          <w:tcPr>
            <w:tcW w:w="993" w:type="dxa"/>
            <w:shd w:val="clear" w:color="auto" w:fill="auto"/>
            <w:noWrap/>
            <w:vAlign w:val="center"/>
          </w:tcPr>
          <w:p w14:paraId="4289A66D">
            <w:pPr>
              <w:widowControl/>
              <w:jc w:val="left"/>
              <w:rPr>
                <w:rFonts w:cs="宋体" w:asciiTheme="minorEastAsia" w:hAnsiTheme="minorEastAsia" w:eastAsiaTheme="minorEastAsia"/>
                <w:color w:val="auto"/>
                <w:kern w:val="0"/>
                <w:szCs w:val="21"/>
                <w:highlight w:val="none"/>
              </w:rPr>
            </w:pPr>
          </w:p>
        </w:tc>
      </w:tr>
      <w:tr w14:paraId="6DBA48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6A64B7F3">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108</w:t>
            </w:r>
          </w:p>
        </w:tc>
        <w:tc>
          <w:tcPr>
            <w:tcW w:w="3685" w:type="dxa"/>
            <w:shd w:val="clear" w:color="auto" w:fill="auto"/>
            <w:noWrap/>
            <w:vAlign w:val="center"/>
          </w:tcPr>
          <w:p w14:paraId="29284C39">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6.5.8 根据用水量查询</w:t>
            </w:r>
          </w:p>
        </w:tc>
        <w:tc>
          <w:tcPr>
            <w:tcW w:w="993" w:type="dxa"/>
            <w:shd w:val="clear" w:color="auto" w:fill="auto"/>
            <w:noWrap/>
            <w:vAlign w:val="center"/>
          </w:tcPr>
          <w:p w14:paraId="4597058B">
            <w:pPr>
              <w:widowControl/>
              <w:jc w:val="left"/>
              <w:rPr>
                <w:rFonts w:cs="宋体" w:asciiTheme="minorEastAsia" w:hAnsiTheme="minorEastAsia" w:eastAsiaTheme="minorEastAsia"/>
                <w:color w:val="auto"/>
                <w:kern w:val="0"/>
                <w:szCs w:val="21"/>
                <w:highlight w:val="none"/>
              </w:rPr>
            </w:pPr>
          </w:p>
        </w:tc>
      </w:tr>
      <w:tr w14:paraId="7E52FE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02028192">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109</w:t>
            </w:r>
          </w:p>
        </w:tc>
        <w:tc>
          <w:tcPr>
            <w:tcW w:w="3685" w:type="dxa"/>
            <w:shd w:val="clear" w:color="auto" w:fill="auto"/>
            <w:noWrap/>
            <w:vAlign w:val="center"/>
          </w:tcPr>
          <w:p w14:paraId="75814E2E">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6.5.9 抄表员户数统计表</w:t>
            </w:r>
          </w:p>
        </w:tc>
        <w:tc>
          <w:tcPr>
            <w:tcW w:w="993" w:type="dxa"/>
            <w:shd w:val="clear" w:color="auto" w:fill="auto"/>
            <w:noWrap/>
            <w:vAlign w:val="center"/>
          </w:tcPr>
          <w:p w14:paraId="5E3D582F">
            <w:pPr>
              <w:widowControl/>
              <w:jc w:val="left"/>
              <w:rPr>
                <w:rFonts w:cs="宋体" w:asciiTheme="minorEastAsia" w:hAnsiTheme="minorEastAsia" w:eastAsiaTheme="minorEastAsia"/>
                <w:color w:val="auto"/>
                <w:kern w:val="0"/>
                <w:szCs w:val="21"/>
                <w:highlight w:val="none"/>
              </w:rPr>
            </w:pPr>
          </w:p>
        </w:tc>
      </w:tr>
      <w:tr w14:paraId="3AED15F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3198B885">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110</w:t>
            </w:r>
          </w:p>
        </w:tc>
        <w:tc>
          <w:tcPr>
            <w:tcW w:w="3685" w:type="dxa"/>
            <w:shd w:val="clear" w:color="auto" w:fill="auto"/>
            <w:noWrap/>
            <w:vAlign w:val="center"/>
          </w:tcPr>
          <w:p w14:paraId="6F7F852C">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6.5.10 用户用水量曲线图</w:t>
            </w:r>
          </w:p>
        </w:tc>
        <w:tc>
          <w:tcPr>
            <w:tcW w:w="993" w:type="dxa"/>
            <w:shd w:val="clear" w:color="auto" w:fill="auto"/>
            <w:noWrap/>
            <w:vAlign w:val="center"/>
          </w:tcPr>
          <w:p w14:paraId="767EE5F8">
            <w:pPr>
              <w:widowControl/>
              <w:jc w:val="left"/>
              <w:rPr>
                <w:rFonts w:cs="宋体" w:asciiTheme="minorEastAsia" w:hAnsiTheme="minorEastAsia" w:eastAsiaTheme="minorEastAsia"/>
                <w:color w:val="auto"/>
                <w:kern w:val="0"/>
                <w:szCs w:val="21"/>
                <w:highlight w:val="none"/>
              </w:rPr>
            </w:pPr>
          </w:p>
        </w:tc>
      </w:tr>
      <w:tr w14:paraId="263BAB1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4A57AE8D">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111</w:t>
            </w:r>
          </w:p>
        </w:tc>
        <w:tc>
          <w:tcPr>
            <w:tcW w:w="3685" w:type="dxa"/>
            <w:shd w:val="clear" w:color="auto" w:fill="auto"/>
            <w:noWrap/>
            <w:vAlign w:val="center"/>
          </w:tcPr>
          <w:p w14:paraId="57DB7049">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6.5.11 用水量异常分析表</w:t>
            </w:r>
          </w:p>
        </w:tc>
        <w:tc>
          <w:tcPr>
            <w:tcW w:w="993" w:type="dxa"/>
            <w:shd w:val="clear" w:color="auto" w:fill="auto"/>
            <w:noWrap/>
            <w:vAlign w:val="center"/>
          </w:tcPr>
          <w:p w14:paraId="5B25269D">
            <w:pPr>
              <w:widowControl/>
              <w:jc w:val="left"/>
              <w:rPr>
                <w:rFonts w:cs="宋体" w:asciiTheme="minorEastAsia" w:hAnsiTheme="minorEastAsia" w:eastAsiaTheme="minorEastAsia"/>
                <w:color w:val="auto"/>
                <w:kern w:val="0"/>
                <w:szCs w:val="21"/>
                <w:highlight w:val="none"/>
              </w:rPr>
            </w:pPr>
          </w:p>
        </w:tc>
      </w:tr>
      <w:tr w14:paraId="2C15CAC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2610AD9D">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112</w:t>
            </w:r>
          </w:p>
        </w:tc>
        <w:tc>
          <w:tcPr>
            <w:tcW w:w="3685" w:type="dxa"/>
            <w:shd w:val="clear" w:color="auto" w:fill="auto"/>
            <w:noWrap/>
            <w:vAlign w:val="center"/>
          </w:tcPr>
          <w:p w14:paraId="6CEE90B5">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6.5.12 稽查用水量对比分析</w:t>
            </w:r>
          </w:p>
        </w:tc>
        <w:tc>
          <w:tcPr>
            <w:tcW w:w="993" w:type="dxa"/>
            <w:shd w:val="clear" w:color="auto" w:fill="auto"/>
            <w:noWrap/>
            <w:vAlign w:val="center"/>
          </w:tcPr>
          <w:p w14:paraId="5C4A1BF7">
            <w:pPr>
              <w:widowControl/>
              <w:jc w:val="left"/>
              <w:rPr>
                <w:rFonts w:cs="宋体" w:asciiTheme="minorEastAsia" w:hAnsiTheme="minorEastAsia" w:eastAsiaTheme="minorEastAsia"/>
                <w:color w:val="auto"/>
                <w:kern w:val="0"/>
                <w:szCs w:val="21"/>
                <w:highlight w:val="none"/>
              </w:rPr>
            </w:pPr>
          </w:p>
        </w:tc>
      </w:tr>
      <w:tr w14:paraId="22C1947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2BEDA18A">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113</w:t>
            </w:r>
          </w:p>
        </w:tc>
        <w:tc>
          <w:tcPr>
            <w:tcW w:w="3685" w:type="dxa"/>
            <w:shd w:val="clear" w:color="auto" w:fill="auto"/>
            <w:noWrap/>
            <w:vAlign w:val="center"/>
          </w:tcPr>
          <w:p w14:paraId="257463FB">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6.5.13 收费员查帐单</w:t>
            </w:r>
          </w:p>
        </w:tc>
        <w:tc>
          <w:tcPr>
            <w:tcW w:w="993" w:type="dxa"/>
            <w:shd w:val="clear" w:color="auto" w:fill="auto"/>
            <w:noWrap/>
            <w:vAlign w:val="center"/>
          </w:tcPr>
          <w:p w14:paraId="0FB9F701">
            <w:pPr>
              <w:widowControl/>
              <w:jc w:val="left"/>
              <w:rPr>
                <w:rFonts w:cs="宋体" w:asciiTheme="minorEastAsia" w:hAnsiTheme="minorEastAsia" w:eastAsiaTheme="minorEastAsia"/>
                <w:color w:val="auto"/>
                <w:kern w:val="0"/>
                <w:szCs w:val="21"/>
                <w:highlight w:val="none"/>
              </w:rPr>
            </w:pPr>
          </w:p>
        </w:tc>
      </w:tr>
      <w:tr w14:paraId="5E6A58C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1166CA2B">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114</w:t>
            </w:r>
          </w:p>
        </w:tc>
        <w:tc>
          <w:tcPr>
            <w:tcW w:w="3685" w:type="dxa"/>
            <w:shd w:val="clear" w:color="auto" w:fill="auto"/>
            <w:noWrap/>
            <w:vAlign w:val="center"/>
          </w:tcPr>
          <w:p w14:paraId="47ED047F">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6.5.14 抄表情况查询</w:t>
            </w:r>
          </w:p>
        </w:tc>
        <w:tc>
          <w:tcPr>
            <w:tcW w:w="993" w:type="dxa"/>
            <w:shd w:val="clear" w:color="auto" w:fill="auto"/>
            <w:noWrap/>
            <w:vAlign w:val="center"/>
          </w:tcPr>
          <w:p w14:paraId="1B800010">
            <w:pPr>
              <w:widowControl/>
              <w:jc w:val="left"/>
              <w:rPr>
                <w:rFonts w:cs="宋体" w:asciiTheme="minorEastAsia" w:hAnsiTheme="minorEastAsia" w:eastAsiaTheme="minorEastAsia"/>
                <w:color w:val="auto"/>
                <w:kern w:val="0"/>
                <w:szCs w:val="21"/>
                <w:highlight w:val="none"/>
              </w:rPr>
            </w:pPr>
          </w:p>
        </w:tc>
      </w:tr>
      <w:tr w14:paraId="3FF8A7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70F6909">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115</w:t>
            </w:r>
          </w:p>
        </w:tc>
        <w:tc>
          <w:tcPr>
            <w:tcW w:w="3685" w:type="dxa"/>
            <w:shd w:val="clear" w:color="auto" w:fill="auto"/>
            <w:noWrap/>
            <w:vAlign w:val="center"/>
          </w:tcPr>
          <w:p w14:paraId="05C59181">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6.5.15 低保户退费清单</w:t>
            </w:r>
          </w:p>
        </w:tc>
        <w:tc>
          <w:tcPr>
            <w:tcW w:w="993" w:type="dxa"/>
            <w:shd w:val="clear" w:color="auto" w:fill="auto"/>
            <w:noWrap/>
            <w:vAlign w:val="center"/>
          </w:tcPr>
          <w:p w14:paraId="061975A1">
            <w:pPr>
              <w:widowControl/>
              <w:jc w:val="left"/>
              <w:rPr>
                <w:rFonts w:cs="宋体" w:asciiTheme="minorEastAsia" w:hAnsiTheme="minorEastAsia" w:eastAsiaTheme="minorEastAsia"/>
                <w:color w:val="auto"/>
                <w:kern w:val="0"/>
                <w:szCs w:val="21"/>
                <w:highlight w:val="none"/>
              </w:rPr>
            </w:pPr>
          </w:p>
        </w:tc>
      </w:tr>
      <w:tr w14:paraId="6AA43EC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4E0FC283">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116</w:t>
            </w:r>
          </w:p>
        </w:tc>
        <w:tc>
          <w:tcPr>
            <w:tcW w:w="3685" w:type="dxa"/>
            <w:shd w:val="clear" w:color="auto" w:fill="auto"/>
            <w:noWrap/>
            <w:vAlign w:val="center"/>
          </w:tcPr>
          <w:p w14:paraId="432A74D6">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6.5.16 用户状态统计</w:t>
            </w:r>
          </w:p>
        </w:tc>
        <w:tc>
          <w:tcPr>
            <w:tcW w:w="993" w:type="dxa"/>
            <w:shd w:val="clear" w:color="auto" w:fill="auto"/>
            <w:noWrap/>
            <w:vAlign w:val="center"/>
          </w:tcPr>
          <w:p w14:paraId="3CD201F3">
            <w:pPr>
              <w:widowControl/>
              <w:jc w:val="left"/>
              <w:rPr>
                <w:rFonts w:cs="宋体" w:asciiTheme="minorEastAsia" w:hAnsiTheme="minorEastAsia" w:eastAsiaTheme="minorEastAsia"/>
                <w:color w:val="auto"/>
                <w:kern w:val="0"/>
                <w:szCs w:val="21"/>
                <w:highlight w:val="none"/>
              </w:rPr>
            </w:pPr>
          </w:p>
        </w:tc>
      </w:tr>
      <w:tr w14:paraId="361C2AB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09E792D7">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117</w:t>
            </w:r>
          </w:p>
        </w:tc>
        <w:tc>
          <w:tcPr>
            <w:tcW w:w="3685" w:type="dxa"/>
            <w:shd w:val="clear" w:color="auto" w:fill="auto"/>
            <w:noWrap/>
            <w:vAlign w:val="center"/>
          </w:tcPr>
          <w:p w14:paraId="1691DA5E">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6.5.17 托收区间明细表</w:t>
            </w:r>
          </w:p>
        </w:tc>
        <w:tc>
          <w:tcPr>
            <w:tcW w:w="993" w:type="dxa"/>
            <w:shd w:val="clear" w:color="auto" w:fill="auto"/>
            <w:noWrap/>
            <w:vAlign w:val="center"/>
          </w:tcPr>
          <w:p w14:paraId="4E431715">
            <w:pPr>
              <w:widowControl/>
              <w:jc w:val="left"/>
              <w:rPr>
                <w:rFonts w:cs="宋体" w:asciiTheme="minorEastAsia" w:hAnsiTheme="minorEastAsia" w:eastAsiaTheme="minorEastAsia"/>
                <w:color w:val="auto"/>
                <w:kern w:val="0"/>
                <w:szCs w:val="21"/>
                <w:highlight w:val="none"/>
              </w:rPr>
            </w:pPr>
          </w:p>
        </w:tc>
      </w:tr>
      <w:tr w14:paraId="02D4D7C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6D126B4D">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118</w:t>
            </w:r>
          </w:p>
        </w:tc>
        <w:tc>
          <w:tcPr>
            <w:tcW w:w="3685" w:type="dxa"/>
            <w:shd w:val="clear" w:color="auto" w:fill="auto"/>
            <w:noWrap/>
            <w:vAlign w:val="center"/>
          </w:tcPr>
          <w:p w14:paraId="5B772CD1">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6.5.18 抄见统计分析</w:t>
            </w:r>
          </w:p>
        </w:tc>
        <w:tc>
          <w:tcPr>
            <w:tcW w:w="993" w:type="dxa"/>
            <w:shd w:val="clear" w:color="auto" w:fill="auto"/>
            <w:noWrap/>
            <w:vAlign w:val="center"/>
          </w:tcPr>
          <w:p w14:paraId="741B50B4">
            <w:pPr>
              <w:widowControl/>
              <w:jc w:val="left"/>
              <w:rPr>
                <w:rFonts w:cs="宋体" w:asciiTheme="minorEastAsia" w:hAnsiTheme="minorEastAsia" w:eastAsiaTheme="minorEastAsia"/>
                <w:color w:val="auto"/>
                <w:kern w:val="0"/>
                <w:szCs w:val="21"/>
                <w:highlight w:val="none"/>
              </w:rPr>
            </w:pPr>
          </w:p>
        </w:tc>
      </w:tr>
      <w:tr w14:paraId="6C49F6A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21DD31D5">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119</w:t>
            </w:r>
          </w:p>
        </w:tc>
        <w:tc>
          <w:tcPr>
            <w:tcW w:w="3685" w:type="dxa"/>
            <w:shd w:val="clear" w:color="auto" w:fill="auto"/>
            <w:noWrap/>
            <w:vAlign w:val="center"/>
          </w:tcPr>
          <w:p w14:paraId="2053F35D">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6.5.19 水表抄见率统计</w:t>
            </w:r>
          </w:p>
        </w:tc>
        <w:tc>
          <w:tcPr>
            <w:tcW w:w="993" w:type="dxa"/>
            <w:shd w:val="clear" w:color="auto" w:fill="auto"/>
            <w:noWrap/>
            <w:vAlign w:val="center"/>
          </w:tcPr>
          <w:p w14:paraId="4446D6BA">
            <w:pPr>
              <w:widowControl/>
              <w:jc w:val="left"/>
              <w:rPr>
                <w:rFonts w:cs="宋体" w:asciiTheme="minorEastAsia" w:hAnsiTheme="minorEastAsia" w:eastAsiaTheme="minorEastAsia"/>
                <w:color w:val="auto"/>
                <w:kern w:val="0"/>
                <w:szCs w:val="21"/>
                <w:highlight w:val="none"/>
              </w:rPr>
            </w:pPr>
          </w:p>
        </w:tc>
      </w:tr>
      <w:tr w14:paraId="7B2580C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75A6DA0">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120</w:t>
            </w:r>
          </w:p>
        </w:tc>
        <w:tc>
          <w:tcPr>
            <w:tcW w:w="3685" w:type="dxa"/>
            <w:shd w:val="clear" w:color="auto" w:fill="auto"/>
            <w:noWrap/>
            <w:vAlign w:val="center"/>
          </w:tcPr>
          <w:p w14:paraId="3FE1164E">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6.5.20 多月未抄未用统计</w:t>
            </w:r>
          </w:p>
        </w:tc>
        <w:tc>
          <w:tcPr>
            <w:tcW w:w="993" w:type="dxa"/>
            <w:shd w:val="clear" w:color="auto" w:fill="auto"/>
            <w:noWrap/>
            <w:vAlign w:val="center"/>
          </w:tcPr>
          <w:p w14:paraId="529E2C7B">
            <w:pPr>
              <w:widowControl/>
              <w:jc w:val="left"/>
              <w:rPr>
                <w:rFonts w:cs="宋体" w:asciiTheme="minorEastAsia" w:hAnsiTheme="minorEastAsia" w:eastAsiaTheme="minorEastAsia"/>
                <w:color w:val="auto"/>
                <w:kern w:val="0"/>
                <w:szCs w:val="21"/>
                <w:highlight w:val="none"/>
              </w:rPr>
            </w:pPr>
          </w:p>
        </w:tc>
      </w:tr>
      <w:tr w14:paraId="066A44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13B49155">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121</w:t>
            </w:r>
          </w:p>
        </w:tc>
        <w:tc>
          <w:tcPr>
            <w:tcW w:w="3685" w:type="dxa"/>
            <w:shd w:val="clear" w:color="auto" w:fill="auto"/>
            <w:noWrap/>
            <w:vAlign w:val="center"/>
          </w:tcPr>
          <w:p w14:paraId="4DAEFE17">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6.5.21 红冲实收明细表</w:t>
            </w:r>
          </w:p>
        </w:tc>
        <w:tc>
          <w:tcPr>
            <w:tcW w:w="993" w:type="dxa"/>
            <w:shd w:val="clear" w:color="auto" w:fill="auto"/>
            <w:noWrap/>
            <w:vAlign w:val="center"/>
          </w:tcPr>
          <w:p w14:paraId="27CA5580">
            <w:pPr>
              <w:widowControl/>
              <w:jc w:val="left"/>
              <w:rPr>
                <w:rFonts w:cs="宋体" w:asciiTheme="minorEastAsia" w:hAnsiTheme="minorEastAsia" w:eastAsiaTheme="minorEastAsia"/>
                <w:color w:val="auto"/>
                <w:kern w:val="0"/>
                <w:szCs w:val="21"/>
                <w:highlight w:val="none"/>
              </w:rPr>
            </w:pPr>
          </w:p>
        </w:tc>
      </w:tr>
      <w:tr w14:paraId="4C90FA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3338F581">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122</w:t>
            </w:r>
          </w:p>
        </w:tc>
        <w:tc>
          <w:tcPr>
            <w:tcW w:w="3685" w:type="dxa"/>
            <w:shd w:val="clear" w:color="auto" w:fill="auto"/>
            <w:noWrap/>
            <w:vAlign w:val="center"/>
          </w:tcPr>
          <w:p w14:paraId="1BDF27F8">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6.5.22 红冲实收汇总表</w:t>
            </w:r>
          </w:p>
        </w:tc>
        <w:tc>
          <w:tcPr>
            <w:tcW w:w="993" w:type="dxa"/>
            <w:shd w:val="clear" w:color="auto" w:fill="auto"/>
            <w:noWrap/>
            <w:vAlign w:val="center"/>
          </w:tcPr>
          <w:p w14:paraId="538F7EBA">
            <w:pPr>
              <w:widowControl/>
              <w:jc w:val="left"/>
              <w:rPr>
                <w:rFonts w:cs="宋体" w:asciiTheme="minorEastAsia" w:hAnsiTheme="minorEastAsia" w:eastAsiaTheme="minorEastAsia"/>
                <w:color w:val="auto"/>
                <w:kern w:val="0"/>
                <w:szCs w:val="21"/>
                <w:highlight w:val="none"/>
              </w:rPr>
            </w:pPr>
          </w:p>
        </w:tc>
      </w:tr>
      <w:tr w14:paraId="696CA4A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35F31A15">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123</w:t>
            </w:r>
          </w:p>
        </w:tc>
        <w:tc>
          <w:tcPr>
            <w:tcW w:w="3685" w:type="dxa"/>
            <w:shd w:val="clear" w:color="auto" w:fill="auto"/>
            <w:noWrap/>
            <w:vAlign w:val="center"/>
          </w:tcPr>
          <w:p w14:paraId="149CEC1A">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6.5.23 销户明细报表</w:t>
            </w:r>
          </w:p>
        </w:tc>
        <w:tc>
          <w:tcPr>
            <w:tcW w:w="993" w:type="dxa"/>
            <w:shd w:val="clear" w:color="auto" w:fill="auto"/>
            <w:noWrap/>
            <w:vAlign w:val="center"/>
          </w:tcPr>
          <w:p w14:paraId="32BAE42B">
            <w:pPr>
              <w:widowControl/>
              <w:jc w:val="left"/>
              <w:rPr>
                <w:rFonts w:cs="宋体" w:asciiTheme="minorEastAsia" w:hAnsiTheme="minorEastAsia" w:eastAsiaTheme="minorEastAsia"/>
                <w:color w:val="auto"/>
                <w:kern w:val="0"/>
                <w:szCs w:val="21"/>
                <w:highlight w:val="none"/>
              </w:rPr>
            </w:pPr>
          </w:p>
        </w:tc>
      </w:tr>
      <w:tr w14:paraId="4D7FC61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63C77B11">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124</w:t>
            </w:r>
          </w:p>
        </w:tc>
        <w:tc>
          <w:tcPr>
            <w:tcW w:w="3685" w:type="dxa"/>
            <w:shd w:val="clear" w:color="auto" w:fill="auto"/>
            <w:noWrap/>
            <w:vAlign w:val="center"/>
          </w:tcPr>
          <w:p w14:paraId="5771ED68">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6.5.24 户口本申请明细</w:t>
            </w:r>
          </w:p>
        </w:tc>
        <w:tc>
          <w:tcPr>
            <w:tcW w:w="993" w:type="dxa"/>
            <w:shd w:val="clear" w:color="auto" w:fill="auto"/>
            <w:noWrap/>
            <w:vAlign w:val="center"/>
          </w:tcPr>
          <w:p w14:paraId="34D95E4D">
            <w:pPr>
              <w:widowControl/>
              <w:jc w:val="left"/>
              <w:rPr>
                <w:rFonts w:cs="宋体" w:asciiTheme="minorEastAsia" w:hAnsiTheme="minorEastAsia" w:eastAsiaTheme="minorEastAsia"/>
                <w:color w:val="auto"/>
                <w:kern w:val="0"/>
                <w:szCs w:val="21"/>
                <w:highlight w:val="none"/>
              </w:rPr>
            </w:pPr>
          </w:p>
        </w:tc>
      </w:tr>
      <w:tr w14:paraId="6E6769C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07EAE9E5">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125</w:t>
            </w:r>
          </w:p>
        </w:tc>
        <w:tc>
          <w:tcPr>
            <w:tcW w:w="3685" w:type="dxa"/>
            <w:shd w:val="clear" w:color="auto" w:fill="auto"/>
            <w:noWrap/>
            <w:vAlign w:val="center"/>
          </w:tcPr>
          <w:p w14:paraId="1D7A94C9">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6.5.25 户口本申请汇总</w:t>
            </w:r>
          </w:p>
        </w:tc>
        <w:tc>
          <w:tcPr>
            <w:tcW w:w="993" w:type="dxa"/>
            <w:shd w:val="clear" w:color="auto" w:fill="auto"/>
            <w:noWrap/>
            <w:vAlign w:val="center"/>
          </w:tcPr>
          <w:p w14:paraId="20CC9409">
            <w:pPr>
              <w:widowControl/>
              <w:jc w:val="left"/>
              <w:rPr>
                <w:rFonts w:cs="宋体" w:asciiTheme="minorEastAsia" w:hAnsiTheme="minorEastAsia" w:eastAsiaTheme="minorEastAsia"/>
                <w:color w:val="auto"/>
                <w:kern w:val="0"/>
                <w:szCs w:val="21"/>
                <w:highlight w:val="none"/>
              </w:rPr>
            </w:pPr>
          </w:p>
        </w:tc>
      </w:tr>
      <w:tr w14:paraId="40ECA0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329C8A89">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126</w:t>
            </w:r>
          </w:p>
        </w:tc>
        <w:tc>
          <w:tcPr>
            <w:tcW w:w="3685" w:type="dxa"/>
            <w:shd w:val="clear" w:color="auto" w:fill="auto"/>
            <w:noWrap/>
            <w:vAlign w:val="center"/>
          </w:tcPr>
          <w:p w14:paraId="7C1D7E97">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6.5.26 水表口径统计表</w:t>
            </w:r>
          </w:p>
        </w:tc>
        <w:tc>
          <w:tcPr>
            <w:tcW w:w="993" w:type="dxa"/>
            <w:shd w:val="clear" w:color="auto" w:fill="auto"/>
            <w:noWrap/>
            <w:vAlign w:val="center"/>
          </w:tcPr>
          <w:p w14:paraId="1F49FB7D">
            <w:pPr>
              <w:widowControl/>
              <w:jc w:val="left"/>
              <w:rPr>
                <w:rFonts w:cs="宋体" w:asciiTheme="minorEastAsia" w:hAnsiTheme="minorEastAsia" w:eastAsiaTheme="minorEastAsia"/>
                <w:color w:val="auto"/>
                <w:kern w:val="0"/>
                <w:szCs w:val="21"/>
                <w:highlight w:val="none"/>
              </w:rPr>
            </w:pPr>
          </w:p>
        </w:tc>
      </w:tr>
      <w:tr w14:paraId="52A8D4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60CB9170">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127</w:t>
            </w:r>
          </w:p>
        </w:tc>
        <w:tc>
          <w:tcPr>
            <w:tcW w:w="3685" w:type="dxa"/>
            <w:shd w:val="clear" w:color="auto" w:fill="auto"/>
            <w:noWrap/>
            <w:vAlign w:val="center"/>
          </w:tcPr>
          <w:p w14:paraId="787B1ED8">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6.6 欠费报表</w:t>
            </w:r>
          </w:p>
        </w:tc>
        <w:tc>
          <w:tcPr>
            <w:tcW w:w="993" w:type="dxa"/>
            <w:shd w:val="clear" w:color="auto" w:fill="auto"/>
            <w:noWrap/>
            <w:vAlign w:val="center"/>
          </w:tcPr>
          <w:p w14:paraId="00204667">
            <w:pPr>
              <w:widowControl/>
              <w:jc w:val="left"/>
              <w:rPr>
                <w:rFonts w:cs="宋体" w:asciiTheme="minorEastAsia" w:hAnsiTheme="minorEastAsia" w:eastAsiaTheme="minorEastAsia"/>
                <w:color w:val="auto"/>
                <w:kern w:val="0"/>
                <w:szCs w:val="21"/>
                <w:highlight w:val="none"/>
              </w:rPr>
            </w:pPr>
          </w:p>
        </w:tc>
      </w:tr>
      <w:tr w14:paraId="2204523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0794203C">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128</w:t>
            </w:r>
          </w:p>
        </w:tc>
        <w:tc>
          <w:tcPr>
            <w:tcW w:w="3685" w:type="dxa"/>
            <w:shd w:val="clear" w:color="auto" w:fill="auto"/>
            <w:noWrap/>
            <w:vAlign w:val="center"/>
          </w:tcPr>
          <w:p w14:paraId="515AA0BB">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6.6.1 欠费明细汇总报表</w:t>
            </w:r>
          </w:p>
        </w:tc>
        <w:tc>
          <w:tcPr>
            <w:tcW w:w="993" w:type="dxa"/>
            <w:shd w:val="clear" w:color="auto" w:fill="auto"/>
            <w:noWrap/>
            <w:vAlign w:val="center"/>
          </w:tcPr>
          <w:p w14:paraId="7283E4F8">
            <w:pPr>
              <w:widowControl/>
              <w:jc w:val="left"/>
              <w:rPr>
                <w:rFonts w:cs="宋体" w:asciiTheme="minorEastAsia" w:hAnsiTheme="minorEastAsia" w:eastAsiaTheme="minorEastAsia"/>
                <w:color w:val="auto"/>
                <w:kern w:val="0"/>
                <w:szCs w:val="21"/>
                <w:highlight w:val="none"/>
              </w:rPr>
            </w:pPr>
          </w:p>
        </w:tc>
      </w:tr>
      <w:tr w14:paraId="1340A0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BE1EA40">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129</w:t>
            </w:r>
          </w:p>
        </w:tc>
        <w:tc>
          <w:tcPr>
            <w:tcW w:w="3685" w:type="dxa"/>
            <w:shd w:val="clear" w:color="auto" w:fill="auto"/>
            <w:noWrap/>
            <w:vAlign w:val="center"/>
          </w:tcPr>
          <w:p w14:paraId="18706A7A">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6.6.2 用户欠费情况查询</w:t>
            </w:r>
          </w:p>
        </w:tc>
        <w:tc>
          <w:tcPr>
            <w:tcW w:w="993" w:type="dxa"/>
            <w:shd w:val="clear" w:color="auto" w:fill="auto"/>
            <w:noWrap/>
            <w:vAlign w:val="center"/>
          </w:tcPr>
          <w:p w14:paraId="799EE211">
            <w:pPr>
              <w:widowControl/>
              <w:jc w:val="left"/>
              <w:rPr>
                <w:rFonts w:cs="宋体" w:asciiTheme="minorEastAsia" w:hAnsiTheme="minorEastAsia" w:eastAsiaTheme="minorEastAsia"/>
                <w:color w:val="auto"/>
                <w:kern w:val="0"/>
                <w:szCs w:val="21"/>
                <w:highlight w:val="none"/>
              </w:rPr>
            </w:pPr>
          </w:p>
        </w:tc>
      </w:tr>
      <w:tr w14:paraId="22131D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27A6FB5">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130</w:t>
            </w:r>
          </w:p>
        </w:tc>
        <w:tc>
          <w:tcPr>
            <w:tcW w:w="3685" w:type="dxa"/>
            <w:shd w:val="clear" w:color="auto" w:fill="auto"/>
            <w:noWrap/>
            <w:vAlign w:val="center"/>
          </w:tcPr>
          <w:p w14:paraId="363FD9F5">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6.6.3 抄表员欠费汇总表</w:t>
            </w:r>
          </w:p>
        </w:tc>
        <w:tc>
          <w:tcPr>
            <w:tcW w:w="993" w:type="dxa"/>
            <w:shd w:val="clear" w:color="auto" w:fill="auto"/>
            <w:noWrap/>
            <w:vAlign w:val="center"/>
          </w:tcPr>
          <w:p w14:paraId="0349E3A4">
            <w:pPr>
              <w:widowControl/>
              <w:jc w:val="left"/>
              <w:rPr>
                <w:rFonts w:cs="宋体" w:asciiTheme="minorEastAsia" w:hAnsiTheme="minorEastAsia" w:eastAsiaTheme="minorEastAsia"/>
                <w:color w:val="auto"/>
                <w:kern w:val="0"/>
                <w:szCs w:val="21"/>
                <w:highlight w:val="none"/>
              </w:rPr>
            </w:pPr>
          </w:p>
        </w:tc>
      </w:tr>
      <w:tr w14:paraId="38AA496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572373A7">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131</w:t>
            </w:r>
          </w:p>
        </w:tc>
        <w:tc>
          <w:tcPr>
            <w:tcW w:w="3685" w:type="dxa"/>
            <w:shd w:val="clear" w:color="auto" w:fill="auto"/>
            <w:noWrap/>
            <w:vAlign w:val="center"/>
          </w:tcPr>
          <w:p w14:paraId="7DCF5D10">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6.6.4 欠费汇总</w:t>
            </w:r>
          </w:p>
        </w:tc>
        <w:tc>
          <w:tcPr>
            <w:tcW w:w="993" w:type="dxa"/>
            <w:shd w:val="clear" w:color="auto" w:fill="auto"/>
            <w:noWrap/>
            <w:vAlign w:val="center"/>
          </w:tcPr>
          <w:p w14:paraId="060E3F0F">
            <w:pPr>
              <w:widowControl/>
              <w:jc w:val="left"/>
              <w:rPr>
                <w:rFonts w:cs="宋体" w:asciiTheme="minorEastAsia" w:hAnsiTheme="minorEastAsia" w:eastAsiaTheme="minorEastAsia"/>
                <w:color w:val="auto"/>
                <w:kern w:val="0"/>
                <w:szCs w:val="21"/>
                <w:highlight w:val="none"/>
              </w:rPr>
            </w:pPr>
          </w:p>
        </w:tc>
      </w:tr>
      <w:tr w14:paraId="6448BD9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684D4C4E">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132</w:t>
            </w:r>
          </w:p>
        </w:tc>
        <w:tc>
          <w:tcPr>
            <w:tcW w:w="3685" w:type="dxa"/>
            <w:shd w:val="clear" w:color="auto" w:fill="auto"/>
            <w:noWrap/>
            <w:vAlign w:val="center"/>
          </w:tcPr>
          <w:p w14:paraId="1BE10624">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6.7 表卡管理</w:t>
            </w:r>
          </w:p>
        </w:tc>
        <w:tc>
          <w:tcPr>
            <w:tcW w:w="993" w:type="dxa"/>
            <w:shd w:val="clear" w:color="auto" w:fill="auto"/>
            <w:noWrap/>
            <w:vAlign w:val="center"/>
          </w:tcPr>
          <w:p w14:paraId="06EDFC86">
            <w:pPr>
              <w:widowControl/>
              <w:jc w:val="left"/>
              <w:rPr>
                <w:rFonts w:cs="宋体" w:asciiTheme="minorEastAsia" w:hAnsiTheme="minorEastAsia" w:eastAsiaTheme="minorEastAsia"/>
                <w:color w:val="auto"/>
                <w:kern w:val="0"/>
                <w:szCs w:val="21"/>
                <w:highlight w:val="none"/>
              </w:rPr>
            </w:pPr>
          </w:p>
        </w:tc>
      </w:tr>
      <w:tr w14:paraId="120249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075CE355">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133</w:t>
            </w:r>
          </w:p>
        </w:tc>
        <w:tc>
          <w:tcPr>
            <w:tcW w:w="3685" w:type="dxa"/>
            <w:shd w:val="clear" w:color="auto" w:fill="auto"/>
            <w:noWrap/>
            <w:vAlign w:val="center"/>
          </w:tcPr>
          <w:p w14:paraId="482CD573">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6.7.1 用户交费卡打印</w:t>
            </w:r>
          </w:p>
        </w:tc>
        <w:tc>
          <w:tcPr>
            <w:tcW w:w="993" w:type="dxa"/>
            <w:shd w:val="clear" w:color="auto" w:fill="auto"/>
            <w:noWrap/>
            <w:vAlign w:val="center"/>
          </w:tcPr>
          <w:p w14:paraId="57440BC6">
            <w:pPr>
              <w:widowControl/>
              <w:jc w:val="left"/>
              <w:rPr>
                <w:rFonts w:cs="宋体" w:asciiTheme="minorEastAsia" w:hAnsiTheme="minorEastAsia" w:eastAsiaTheme="minorEastAsia"/>
                <w:color w:val="auto"/>
                <w:kern w:val="0"/>
                <w:szCs w:val="21"/>
                <w:highlight w:val="none"/>
              </w:rPr>
            </w:pPr>
          </w:p>
        </w:tc>
      </w:tr>
      <w:tr w14:paraId="33C0B1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684FB3E6">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134</w:t>
            </w:r>
          </w:p>
        </w:tc>
        <w:tc>
          <w:tcPr>
            <w:tcW w:w="3685" w:type="dxa"/>
            <w:shd w:val="clear" w:color="auto" w:fill="auto"/>
            <w:noWrap/>
            <w:vAlign w:val="center"/>
          </w:tcPr>
          <w:p w14:paraId="65D4AC7C">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6.7.2 抄表卡打印</w:t>
            </w:r>
          </w:p>
        </w:tc>
        <w:tc>
          <w:tcPr>
            <w:tcW w:w="993" w:type="dxa"/>
            <w:shd w:val="clear" w:color="auto" w:fill="auto"/>
            <w:noWrap/>
            <w:vAlign w:val="center"/>
          </w:tcPr>
          <w:p w14:paraId="47B56A8D">
            <w:pPr>
              <w:widowControl/>
              <w:jc w:val="left"/>
              <w:rPr>
                <w:rFonts w:cs="宋体" w:asciiTheme="minorEastAsia" w:hAnsiTheme="minorEastAsia" w:eastAsiaTheme="minorEastAsia"/>
                <w:color w:val="auto"/>
                <w:kern w:val="0"/>
                <w:szCs w:val="21"/>
                <w:highlight w:val="none"/>
              </w:rPr>
            </w:pPr>
          </w:p>
        </w:tc>
      </w:tr>
      <w:tr w14:paraId="1F04565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0F1F31FE">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135</w:t>
            </w:r>
          </w:p>
        </w:tc>
        <w:tc>
          <w:tcPr>
            <w:tcW w:w="3685" w:type="dxa"/>
            <w:shd w:val="clear" w:color="auto" w:fill="auto"/>
            <w:noWrap/>
            <w:vAlign w:val="center"/>
          </w:tcPr>
          <w:p w14:paraId="32D945F7">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6.7.3 水费缴费通知单</w:t>
            </w:r>
          </w:p>
        </w:tc>
        <w:tc>
          <w:tcPr>
            <w:tcW w:w="993" w:type="dxa"/>
            <w:shd w:val="clear" w:color="auto" w:fill="auto"/>
            <w:noWrap/>
            <w:vAlign w:val="center"/>
          </w:tcPr>
          <w:p w14:paraId="5649875E">
            <w:pPr>
              <w:widowControl/>
              <w:jc w:val="left"/>
              <w:rPr>
                <w:rFonts w:cs="宋体" w:asciiTheme="minorEastAsia" w:hAnsiTheme="minorEastAsia" w:eastAsiaTheme="minorEastAsia"/>
                <w:color w:val="auto"/>
                <w:kern w:val="0"/>
                <w:szCs w:val="21"/>
                <w:highlight w:val="none"/>
              </w:rPr>
            </w:pPr>
          </w:p>
        </w:tc>
      </w:tr>
      <w:tr w14:paraId="3E4C3D5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5B17B2B4">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136</w:t>
            </w:r>
          </w:p>
        </w:tc>
        <w:tc>
          <w:tcPr>
            <w:tcW w:w="3685" w:type="dxa"/>
            <w:shd w:val="clear" w:color="auto" w:fill="auto"/>
            <w:noWrap/>
            <w:vAlign w:val="center"/>
          </w:tcPr>
          <w:p w14:paraId="5730C66C">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 综合业务</w:t>
            </w:r>
          </w:p>
        </w:tc>
        <w:tc>
          <w:tcPr>
            <w:tcW w:w="993" w:type="dxa"/>
            <w:shd w:val="clear" w:color="auto" w:fill="auto"/>
            <w:noWrap/>
            <w:vAlign w:val="center"/>
          </w:tcPr>
          <w:p w14:paraId="03EF2E16">
            <w:pPr>
              <w:widowControl/>
              <w:jc w:val="left"/>
              <w:rPr>
                <w:rFonts w:cs="宋体" w:asciiTheme="minorEastAsia" w:hAnsiTheme="minorEastAsia" w:eastAsiaTheme="minorEastAsia"/>
                <w:color w:val="auto"/>
                <w:kern w:val="0"/>
                <w:szCs w:val="21"/>
                <w:highlight w:val="none"/>
              </w:rPr>
            </w:pPr>
          </w:p>
        </w:tc>
      </w:tr>
      <w:tr w14:paraId="65D6F75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E272B21">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137</w:t>
            </w:r>
          </w:p>
        </w:tc>
        <w:tc>
          <w:tcPr>
            <w:tcW w:w="3685" w:type="dxa"/>
            <w:shd w:val="clear" w:color="auto" w:fill="auto"/>
            <w:noWrap/>
            <w:vAlign w:val="center"/>
          </w:tcPr>
          <w:p w14:paraId="2055E078">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7.1 补打发票</w:t>
            </w:r>
          </w:p>
        </w:tc>
        <w:tc>
          <w:tcPr>
            <w:tcW w:w="993" w:type="dxa"/>
            <w:shd w:val="clear" w:color="auto" w:fill="auto"/>
            <w:noWrap/>
            <w:vAlign w:val="center"/>
          </w:tcPr>
          <w:p w14:paraId="390B3641">
            <w:pPr>
              <w:widowControl/>
              <w:jc w:val="left"/>
              <w:rPr>
                <w:rFonts w:cs="宋体" w:asciiTheme="minorEastAsia" w:hAnsiTheme="minorEastAsia" w:eastAsiaTheme="minorEastAsia"/>
                <w:color w:val="auto"/>
                <w:kern w:val="0"/>
                <w:szCs w:val="21"/>
                <w:highlight w:val="none"/>
              </w:rPr>
            </w:pPr>
          </w:p>
        </w:tc>
      </w:tr>
      <w:tr w14:paraId="3FC86A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3C53A931">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138</w:t>
            </w:r>
          </w:p>
        </w:tc>
        <w:tc>
          <w:tcPr>
            <w:tcW w:w="3685" w:type="dxa"/>
            <w:shd w:val="clear" w:color="auto" w:fill="auto"/>
            <w:noWrap/>
            <w:vAlign w:val="center"/>
          </w:tcPr>
          <w:p w14:paraId="0650D0B8">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7.2 增值税普票打印</w:t>
            </w:r>
          </w:p>
        </w:tc>
        <w:tc>
          <w:tcPr>
            <w:tcW w:w="993" w:type="dxa"/>
            <w:shd w:val="clear" w:color="auto" w:fill="auto"/>
            <w:noWrap/>
            <w:vAlign w:val="center"/>
          </w:tcPr>
          <w:p w14:paraId="5DAECE43">
            <w:pPr>
              <w:widowControl/>
              <w:jc w:val="left"/>
              <w:rPr>
                <w:rFonts w:cs="宋体" w:asciiTheme="minorEastAsia" w:hAnsiTheme="minorEastAsia" w:eastAsiaTheme="minorEastAsia"/>
                <w:color w:val="auto"/>
                <w:kern w:val="0"/>
                <w:szCs w:val="21"/>
                <w:highlight w:val="none"/>
              </w:rPr>
            </w:pPr>
          </w:p>
        </w:tc>
      </w:tr>
      <w:tr w14:paraId="6ECBB1D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29DDFB77">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139</w:t>
            </w:r>
          </w:p>
        </w:tc>
        <w:tc>
          <w:tcPr>
            <w:tcW w:w="3685" w:type="dxa"/>
            <w:shd w:val="clear" w:color="auto" w:fill="auto"/>
            <w:noWrap/>
            <w:vAlign w:val="center"/>
          </w:tcPr>
          <w:p w14:paraId="2F46871A">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7.3 单户整册发票打印</w:t>
            </w:r>
          </w:p>
        </w:tc>
        <w:tc>
          <w:tcPr>
            <w:tcW w:w="993" w:type="dxa"/>
            <w:shd w:val="clear" w:color="auto" w:fill="auto"/>
            <w:noWrap/>
            <w:vAlign w:val="center"/>
          </w:tcPr>
          <w:p w14:paraId="0795F1C1">
            <w:pPr>
              <w:widowControl/>
              <w:jc w:val="left"/>
              <w:rPr>
                <w:rFonts w:cs="宋体" w:asciiTheme="minorEastAsia" w:hAnsiTheme="minorEastAsia" w:eastAsiaTheme="minorEastAsia"/>
                <w:color w:val="auto"/>
                <w:kern w:val="0"/>
                <w:szCs w:val="21"/>
                <w:highlight w:val="none"/>
              </w:rPr>
            </w:pPr>
          </w:p>
        </w:tc>
      </w:tr>
      <w:tr w14:paraId="1E4289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5EBB978F">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140</w:t>
            </w:r>
          </w:p>
        </w:tc>
        <w:tc>
          <w:tcPr>
            <w:tcW w:w="3685" w:type="dxa"/>
            <w:shd w:val="clear" w:color="auto" w:fill="auto"/>
            <w:noWrap/>
            <w:vAlign w:val="center"/>
          </w:tcPr>
          <w:p w14:paraId="2B17BE92">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7.4 用户托收单打印</w:t>
            </w:r>
          </w:p>
        </w:tc>
        <w:tc>
          <w:tcPr>
            <w:tcW w:w="993" w:type="dxa"/>
            <w:shd w:val="clear" w:color="auto" w:fill="auto"/>
            <w:noWrap/>
            <w:vAlign w:val="center"/>
          </w:tcPr>
          <w:p w14:paraId="586FF4E6">
            <w:pPr>
              <w:widowControl/>
              <w:jc w:val="left"/>
              <w:rPr>
                <w:rFonts w:cs="宋体" w:asciiTheme="minorEastAsia" w:hAnsiTheme="minorEastAsia" w:eastAsiaTheme="minorEastAsia"/>
                <w:color w:val="auto"/>
                <w:kern w:val="0"/>
                <w:szCs w:val="21"/>
                <w:highlight w:val="none"/>
              </w:rPr>
            </w:pPr>
          </w:p>
        </w:tc>
      </w:tr>
      <w:tr w14:paraId="77B171B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50ED8B08">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141</w:t>
            </w:r>
          </w:p>
        </w:tc>
        <w:tc>
          <w:tcPr>
            <w:tcW w:w="3685" w:type="dxa"/>
            <w:shd w:val="clear" w:color="auto" w:fill="auto"/>
            <w:noWrap/>
            <w:vAlign w:val="center"/>
          </w:tcPr>
          <w:p w14:paraId="7CEC8F06">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7.5 户口本批量导入</w:t>
            </w:r>
          </w:p>
        </w:tc>
        <w:tc>
          <w:tcPr>
            <w:tcW w:w="993" w:type="dxa"/>
            <w:shd w:val="clear" w:color="auto" w:fill="auto"/>
            <w:noWrap/>
            <w:vAlign w:val="center"/>
          </w:tcPr>
          <w:p w14:paraId="2A46F866">
            <w:pPr>
              <w:widowControl/>
              <w:jc w:val="left"/>
              <w:rPr>
                <w:rFonts w:cs="宋体" w:asciiTheme="minorEastAsia" w:hAnsiTheme="minorEastAsia" w:eastAsiaTheme="minorEastAsia"/>
                <w:color w:val="auto"/>
                <w:kern w:val="0"/>
                <w:szCs w:val="21"/>
                <w:highlight w:val="none"/>
              </w:rPr>
            </w:pPr>
          </w:p>
        </w:tc>
      </w:tr>
      <w:tr w14:paraId="5F56901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4B3E4723">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142</w:t>
            </w:r>
          </w:p>
        </w:tc>
        <w:tc>
          <w:tcPr>
            <w:tcW w:w="3685" w:type="dxa"/>
            <w:shd w:val="clear" w:color="auto" w:fill="auto"/>
            <w:noWrap/>
            <w:vAlign w:val="center"/>
          </w:tcPr>
          <w:p w14:paraId="41FC17A3">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7.6 托收用户发票打印</w:t>
            </w:r>
          </w:p>
        </w:tc>
        <w:tc>
          <w:tcPr>
            <w:tcW w:w="993" w:type="dxa"/>
            <w:shd w:val="clear" w:color="auto" w:fill="auto"/>
            <w:noWrap/>
            <w:vAlign w:val="center"/>
          </w:tcPr>
          <w:p w14:paraId="510CFF16">
            <w:pPr>
              <w:widowControl/>
              <w:jc w:val="left"/>
              <w:rPr>
                <w:rFonts w:cs="宋体" w:asciiTheme="minorEastAsia" w:hAnsiTheme="minorEastAsia" w:eastAsiaTheme="minorEastAsia"/>
                <w:color w:val="auto"/>
                <w:kern w:val="0"/>
                <w:szCs w:val="21"/>
                <w:highlight w:val="none"/>
              </w:rPr>
            </w:pPr>
          </w:p>
        </w:tc>
      </w:tr>
      <w:tr w14:paraId="773828D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3B173782">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143</w:t>
            </w:r>
          </w:p>
        </w:tc>
        <w:tc>
          <w:tcPr>
            <w:tcW w:w="3685" w:type="dxa"/>
            <w:shd w:val="clear" w:color="auto" w:fill="auto"/>
            <w:noWrap/>
            <w:vAlign w:val="center"/>
          </w:tcPr>
          <w:p w14:paraId="3BD5D557">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7.7 银行托收清单打印</w:t>
            </w:r>
          </w:p>
        </w:tc>
        <w:tc>
          <w:tcPr>
            <w:tcW w:w="993" w:type="dxa"/>
            <w:shd w:val="clear" w:color="auto" w:fill="auto"/>
            <w:noWrap/>
            <w:vAlign w:val="center"/>
          </w:tcPr>
          <w:p w14:paraId="2559719F">
            <w:pPr>
              <w:widowControl/>
              <w:jc w:val="left"/>
              <w:rPr>
                <w:rFonts w:cs="宋体" w:asciiTheme="minorEastAsia" w:hAnsiTheme="minorEastAsia" w:eastAsiaTheme="minorEastAsia"/>
                <w:color w:val="auto"/>
                <w:kern w:val="0"/>
                <w:szCs w:val="21"/>
                <w:highlight w:val="none"/>
              </w:rPr>
            </w:pPr>
          </w:p>
        </w:tc>
      </w:tr>
      <w:tr w14:paraId="3F6279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5A21AACD">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144</w:t>
            </w:r>
          </w:p>
        </w:tc>
        <w:tc>
          <w:tcPr>
            <w:tcW w:w="3685" w:type="dxa"/>
            <w:shd w:val="clear" w:color="auto" w:fill="auto"/>
            <w:noWrap/>
            <w:vAlign w:val="center"/>
          </w:tcPr>
          <w:p w14:paraId="3358C15A">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7.8 当月未缴费明细</w:t>
            </w:r>
          </w:p>
        </w:tc>
        <w:tc>
          <w:tcPr>
            <w:tcW w:w="993" w:type="dxa"/>
            <w:shd w:val="clear" w:color="auto" w:fill="auto"/>
            <w:noWrap/>
            <w:vAlign w:val="center"/>
          </w:tcPr>
          <w:p w14:paraId="3712C02E">
            <w:pPr>
              <w:widowControl/>
              <w:jc w:val="left"/>
              <w:rPr>
                <w:rFonts w:cs="宋体" w:asciiTheme="minorEastAsia" w:hAnsiTheme="minorEastAsia" w:eastAsiaTheme="minorEastAsia"/>
                <w:color w:val="auto"/>
                <w:kern w:val="0"/>
                <w:szCs w:val="21"/>
                <w:highlight w:val="none"/>
              </w:rPr>
            </w:pPr>
          </w:p>
        </w:tc>
      </w:tr>
      <w:tr w14:paraId="378E542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9619113">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145</w:t>
            </w:r>
          </w:p>
        </w:tc>
        <w:tc>
          <w:tcPr>
            <w:tcW w:w="3685" w:type="dxa"/>
            <w:shd w:val="clear" w:color="auto" w:fill="auto"/>
            <w:noWrap/>
            <w:vAlign w:val="center"/>
          </w:tcPr>
          <w:p w14:paraId="67EDD473">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7.9 月末关帐处理</w:t>
            </w:r>
          </w:p>
        </w:tc>
        <w:tc>
          <w:tcPr>
            <w:tcW w:w="993" w:type="dxa"/>
            <w:shd w:val="clear" w:color="auto" w:fill="auto"/>
            <w:noWrap/>
            <w:vAlign w:val="center"/>
          </w:tcPr>
          <w:p w14:paraId="2C101B63">
            <w:pPr>
              <w:widowControl/>
              <w:jc w:val="left"/>
              <w:rPr>
                <w:rFonts w:cs="宋体" w:asciiTheme="minorEastAsia" w:hAnsiTheme="minorEastAsia" w:eastAsiaTheme="minorEastAsia"/>
                <w:color w:val="auto"/>
                <w:kern w:val="0"/>
                <w:szCs w:val="21"/>
                <w:highlight w:val="none"/>
              </w:rPr>
            </w:pPr>
          </w:p>
        </w:tc>
      </w:tr>
      <w:tr w14:paraId="18A821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2C336CBA">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146</w:t>
            </w:r>
          </w:p>
        </w:tc>
        <w:tc>
          <w:tcPr>
            <w:tcW w:w="3685" w:type="dxa"/>
            <w:shd w:val="clear" w:color="auto" w:fill="auto"/>
            <w:noWrap/>
            <w:vAlign w:val="center"/>
          </w:tcPr>
          <w:p w14:paraId="226D14D1">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7.10 发卡登记表</w:t>
            </w:r>
          </w:p>
        </w:tc>
        <w:tc>
          <w:tcPr>
            <w:tcW w:w="993" w:type="dxa"/>
            <w:shd w:val="clear" w:color="auto" w:fill="auto"/>
            <w:noWrap/>
            <w:vAlign w:val="center"/>
          </w:tcPr>
          <w:p w14:paraId="4D8746A3">
            <w:pPr>
              <w:widowControl/>
              <w:jc w:val="left"/>
              <w:rPr>
                <w:rFonts w:cs="宋体" w:asciiTheme="minorEastAsia" w:hAnsiTheme="minorEastAsia" w:eastAsiaTheme="minorEastAsia"/>
                <w:color w:val="auto"/>
                <w:kern w:val="0"/>
                <w:szCs w:val="21"/>
                <w:highlight w:val="none"/>
              </w:rPr>
            </w:pPr>
          </w:p>
        </w:tc>
      </w:tr>
      <w:tr w14:paraId="3D94C2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0E56616B">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147</w:t>
            </w:r>
          </w:p>
        </w:tc>
        <w:tc>
          <w:tcPr>
            <w:tcW w:w="3685" w:type="dxa"/>
            <w:shd w:val="clear" w:color="auto" w:fill="auto"/>
            <w:noWrap/>
            <w:vAlign w:val="center"/>
          </w:tcPr>
          <w:p w14:paraId="4C953AF4">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7.11 生成批扣文本</w:t>
            </w:r>
          </w:p>
        </w:tc>
        <w:tc>
          <w:tcPr>
            <w:tcW w:w="993" w:type="dxa"/>
            <w:shd w:val="clear" w:color="auto" w:fill="auto"/>
            <w:noWrap/>
            <w:vAlign w:val="center"/>
          </w:tcPr>
          <w:p w14:paraId="267870EC">
            <w:pPr>
              <w:widowControl/>
              <w:jc w:val="left"/>
              <w:rPr>
                <w:rFonts w:cs="宋体" w:asciiTheme="minorEastAsia" w:hAnsiTheme="minorEastAsia" w:eastAsiaTheme="minorEastAsia"/>
                <w:color w:val="auto"/>
                <w:kern w:val="0"/>
                <w:szCs w:val="21"/>
                <w:highlight w:val="none"/>
              </w:rPr>
            </w:pPr>
          </w:p>
        </w:tc>
      </w:tr>
      <w:tr w14:paraId="0D1824B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3B9279E0">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148</w:t>
            </w:r>
          </w:p>
        </w:tc>
        <w:tc>
          <w:tcPr>
            <w:tcW w:w="3685" w:type="dxa"/>
            <w:shd w:val="clear" w:color="auto" w:fill="auto"/>
            <w:noWrap/>
            <w:vAlign w:val="center"/>
          </w:tcPr>
          <w:p w14:paraId="692CD344">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7.12 支付宝对帐</w:t>
            </w:r>
          </w:p>
        </w:tc>
        <w:tc>
          <w:tcPr>
            <w:tcW w:w="993" w:type="dxa"/>
            <w:shd w:val="clear" w:color="auto" w:fill="auto"/>
            <w:noWrap/>
            <w:vAlign w:val="center"/>
          </w:tcPr>
          <w:p w14:paraId="25A5BF65">
            <w:pPr>
              <w:widowControl/>
              <w:jc w:val="left"/>
              <w:rPr>
                <w:rFonts w:cs="宋体" w:asciiTheme="minorEastAsia" w:hAnsiTheme="minorEastAsia" w:eastAsiaTheme="minorEastAsia"/>
                <w:color w:val="auto"/>
                <w:kern w:val="0"/>
                <w:szCs w:val="21"/>
                <w:highlight w:val="none"/>
              </w:rPr>
            </w:pPr>
          </w:p>
        </w:tc>
      </w:tr>
      <w:tr w14:paraId="6BB80FE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0D47BD6">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149</w:t>
            </w:r>
          </w:p>
        </w:tc>
        <w:tc>
          <w:tcPr>
            <w:tcW w:w="3685" w:type="dxa"/>
            <w:shd w:val="clear" w:color="auto" w:fill="auto"/>
            <w:noWrap/>
            <w:vAlign w:val="center"/>
          </w:tcPr>
          <w:p w14:paraId="340B62CD">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7.13 工行批扣</w:t>
            </w:r>
          </w:p>
        </w:tc>
        <w:tc>
          <w:tcPr>
            <w:tcW w:w="993" w:type="dxa"/>
            <w:shd w:val="clear" w:color="auto" w:fill="auto"/>
            <w:noWrap/>
            <w:vAlign w:val="center"/>
          </w:tcPr>
          <w:p w14:paraId="34926D9B">
            <w:pPr>
              <w:widowControl/>
              <w:jc w:val="left"/>
              <w:rPr>
                <w:rFonts w:cs="宋体" w:asciiTheme="minorEastAsia" w:hAnsiTheme="minorEastAsia" w:eastAsiaTheme="minorEastAsia"/>
                <w:color w:val="auto"/>
                <w:kern w:val="0"/>
                <w:szCs w:val="21"/>
                <w:highlight w:val="none"/>
              </w:rPr>
            </w:pPr>
          </w:p>
        </w:tc>
      </w:tr>
      <w:tr w14:paraId="754241D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02997138">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150</w:t>
            </w:r>
          </w:p>
        </w:tc>
        <w:tc>
          <w:tcPr>
            <w:tcW w:w="3685" w:type="dxa"/>
            <w:shd w:val="clear" w:color="auto" w:fill="auto"/>
            <w:noWrap/>
            <w:vAlign w:val="center"/>
          </w:tcPr>
          <w:p w14:paraId="18142BC9">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7.14 工行批扣设置</w:t>
            </w:r>
          </w:p>
        </w:tc>
        <w:tc>
          <w:tcPr>
            <w:tcW w:w="993" w:type="dxa"/>
            <w:shd w:val="clear" w:color="auto" w:fill="auto"/>
            <w:noWrap/>
            <w:vAlign w:val="center"/>
          </w:tcPr>
          <w:p w14:paraId="1F679070">
            <w:pPr>
              <w:widowControl/>
              <w:jc w:val="left"/>
              <w:rPr>
                <w:rFonts w:cs="宋体" w:asciiTheme="minorEastAsia" w:hAnsiTheme="minorEastAsia" w:eastAsiaTheme="minorEastAsia"/>
                <w:color w:val="auto"/>
                <w:kern w:val="0"/>
                <w:szCs w:val="21"/>
                <w:highlight w:val="none"/>
              </w:rPr>
            </w:pPr>
          </w:p>
        </w:tc>
      </w:tr>
      <w:tr w14:paraId="08DCE04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32F3167B">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151</w:t>
            </w:r>
          </w:p>
        </w:tc>
        <w:tc>
          <w:tcPr>
            <w:tcW w:w="3685" w:type="dxa"/>
            <w:shd w:val="clear" w:color="auto" w:fill="auto"/>
            <w:noWrap/>
            <w:vAlign w:val="center"/>
          </w:tcPr>
          <w:p w14:paraId="57B0B365">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7.15 集中代收付文件生成</w:t>
            </w:r>
          </w:p>
        </w:tc>
        <w:tc>
          <w:tcPr>
            <w:tcW w:w="993" w:type="dxa"/>
            <w:shd w:val="clear" w:color="auto" w:fill="auto"/>
            <w:noWrap/>
            <w:vAlign w:val="center"/>
          </w:tcPr>
          <w:p w14:paraId="16841DBB">
            <w:pPr>
              <w:widowControl/>
              <w:jc w:val="left"/>
              <w:rPr>
                <w:rFonts w:cs="宋体" w:asciiTheme="minorEastAsia" w:hAnsiTheme="minorEastAsia" w:eastAsiaTheme="minorEastAsia"/>
                <w:color w:val="auto"/>
                <w:kern w:val="0"/>
                <w:szCs w:val="21"/>
                <w:highlight w:val="none"/>
              </w:rPr>
            </w:pPr>
          </w:p>
        </w:tc>
      </w:tr>
      <w:tr w14:paraId="3C6DCB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62B80F47">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152</w:t>
            </w:r>
          </w:p>
        </w:tc>
        <w:tc>
          <w:tcPr>
            <w:tcW w:w="3685" w:type="dxa"/>
            <w:shd w:val="clear" w:color="auto" w:fill="auto"/>
            <w:noWrap/>
            <w:vAlign w:val="center"/>
          </w:tcPr>
          <w:p w14:paraId="3B06750B">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7.16 集中代收费对帐</w:t>
            </w:r>
          </w:p>
        </w:tc>
        <w:tc>
          <w:tcPr>
            <w:tcW w:w="993" w:type="dxa"/>
            <w:shd w:val="clear" w:color="auto" w:fill="auto"/>
            <w:noWrap/>
            <w:vAlign w:val="center"/>
          </w:tcPr>
          <w:p w14:paraId="593048CF">
            <w:pPr>
              <w:widowControl/>
              <w:jc w:val="left"/>
              <w:rPr>
                <w:rFonts w:cs="宋体" w:asciiTheme="minorEastAsia" w:hAnsiTheme="minorEastAsia" w:eastAsiaTheme="minorEastAsia"/>
                <w:color w:val="auto"/>
                <w:kern w:val="0"/>
                <w:szCs w:val="21"/>
                <w:highlight w:val="none"/>
              </w:rPr>
            </w:pPr>
          </w:p>
        </w:tc>
      </w:tr>
      <w:tr w14:paraId="55CBDBE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488A6056">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153</w:t>
            </w:r>
          </w:p>
        </w:tc>
        <w:tc>
          <w:tcPr>
            <w:tcW w:w="3685" w:type="dxa"/>
            <w:shd w:val="clear" w:color="auto" w:fill="auto"/>
            <w:noWrap/>
            <w:vAlign w:val="center"/>
          </w:tcPr>
          <w:p w14:paraId="29F3B503">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7.17 集中代收付发票打印</w:t>
            </w:r>
          </w:p>
        </w:tc>
        <w:tc>
          <w:tcPr>
            <w:tcW w:w="993" w:type="dxa"/>
            <w:shd w:val="clear" w:color="auto" w:fill="auto"/>
            <w:noWrap/>
            <w:vAlign w:val="center"/>
          </w:tcPr>
          <w:p w14:paraId="127110C8">
            <w:pPr>
              <w:widowControl/>
              <w:jc w:val="left"/>
              <w:rPr>
                <w:rFonts w:cs="宋体" w:asciiTheme="minorEastAsia" w:hAnsiTheme="minorEastAsia" w:eastAsiaTheme="minorEastAsia"/>
                <w:color w:val="auto"/>
                <w:kern w:val="0"/>
                <w:szCs w:val="21"/>
                <w:highlight w:val="none"/>
              </w:rPr>
            </w:pPr>
          </w:p>
        </w:tc>
      </w:tr>
      <w:tr w14:paraId="20795C1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644C2682">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154</w:t>
            </w:r>
          </w:p>
        </w:tc>
        <w:tc>
          <w:tcPr>
            <w:tcW w:w="3685" w:type="dxa"/>
            <w:shd w:val="clear" w:color="auto" w:fill="auto"/>
            <w:noWrap/>
            <w:vAlign w:val="center"/>
          </w:tcPr>
          <w:p w14:paraId="6C1A24DD">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7.18 交行实时收费对帐</w:t>
            </w:r>
          </w:p>
        </w:tc>
        <w:tc>
          <w:tcPr>
            <w:tcW w:w="993" w:type="dxa"/>
            <w:shd w:val="clear" w:color="auto" w:fill="auto"/>
            <w:noWrap/>
            <w:vAlign w:val="center"/>
          </w:tcPr>
          <w:p w14:paraId="79389BF3">
            <w:pPr>
              <w:widowControl/>
              <w:jc w:val="left"/>
              <w:rPr>
                <w:rFonts w:cs="宋体" w:asciiTheme="minorEastAsia" w:hAnsiTheme="minorEastAsia" w:eastAsiaTheme="minorEastAsia"/>
                <w:color w:val="auto"/>
                <w:kern w:val="0"/>
                <w:szCs w:val="21"/>
                <w:highlight w:val="none"/>
              </w:rPr>
            </w:pPr>
          </w:p>
        </w:tc>
      </w:tr>
      <w:tr w14:paraId="503B959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0964E56A">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155</w:t>
            </w:r>
          </w:p>
        </w:tc>
        <w:tc>
          <w:tcPr>
            <w:tcW w:w="3685" w:type="dxa"/>
            <w:shd w:val="clear" w:color="auto" w:fill="auto"/>
            <w:noWrap/>
            <w:vAlign w:val="center"/>
          </w:tcPr>
          <w:p w14:paraId="22881FCD">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7.19 工行建行现金对帐</w:t>
            </w:r>
          </w:p>
        </w:tc>
        <w:tc>
          <w:tcPr>
            <w:tcW w:w="993" w:type="dxa"/>
            <w:shd w:val="clear" w:color="auto" w:fill="auto"/>
            <w:noWrap/>
            <w:vAlign w:val="center"/>
          </w:tcPr>
          <w:p w14:paraId="6DCB3819">
            <w:pPr>
              <w:widowControl/>
              <w:jc w:val="left"/>
              <w:rPr>
                <w:rFonts w:cs="宋体" w:asciiTheme="minorEastAsia" w:hAnsiTheme="minorEastAsia" w:eastAsiaTheme="minorEastAsia"/>
                <w:color w:val="auto"/>
                <w:kern w:val="0"/>
                <w:szCs w:val="21"/>
                <w:highlight w:val="none"/>
              </w:rPr>
            </w:pPr>
          </w:p>
        </w:tc>
      </w:tr>
      <w:tr w14:paraId="3E14B9D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A330969">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156</w:t>
            </w:r>
          </w:p>
        </w:tc>
        <w:tc>
          <w:tcPr>
            <w:tcW w:w="3685" w:type="dxa"/>
            <w:shd w:val="clear" w:color="auto" w:fill="auto"/>
            <w:noWrap/>
            <w:vAlign w:val="center"/>
          </w:tcPr>
          <w:p w14:paraId="4993A68E">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7.20 工行建行批扣对帐</w:t>
            </w:r>
          </w:p>
        </w:tc>
        <w:tc>
          <w:tcPr>
            <w:tcW w:w="993" w:type="dxa"/>
            <w:shd w:val="clear" w:color="auto" w:fill="auto"/>
            <w:noWrap/>
            <w:vAlign w:val="center"/>
          </w:tcPr>
          <w:p w14:paraId="5F75695F">
            <w:pPr>
              <w:widowControl/>
              <w:jc w:val="left"/>
              <w:rPr>
                <w:rFonts w:cs="宋体" w:asciiTheme="minorEastAsia" w:hAnsiTheme="minorEastAsia" w:eastAsiaTheme="minorEastAsia"/>
                <w:color w:val="auto"/>
                <w:kern w:val="0"/>
                <w:szCs w:val="21"/>
                <w:highlight w:val="none"/>
              </w:rPr>
            </w:pPr>
          </w:p>
        </w:tc>
      </w:tr>
      <w:tr w14:paraId="6C461B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054E7760">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157</w:t>
            </w:r>
          </w:p>
        </w:tc>
        <w:tc>
          <w:tcPr>
            <w:tcW w:w="3685" w:type="dxa"/>
            <w:shd w:val="clear" w:color="auto" w:fill="auto"/>
            <w:noWrap/>
            <w:vAlign w:val="center"/>
          </w:tcPr>
          <w:p w14:paraId="7BEA2CF2">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7.21 人行对帐</w:t>
            </w:r>
          </w:p>
        </w:tc>
        <w:tc>
          <w:tcPr>
            <w:tcW w:w="993" w:type="dxa"/>
            <w:shd w:val="clear" w:color="auto" w:fill="auto"/>
            <w:noWrap/>
            <w:vAlign w:val="center"/>
          </w:tcPr>
          <w:p w14:paraId="76FA9FEE">
            <w:pPr>
              <w:widowControl/>
              <w:jc w:val="left"/>
              <w:rPr>
                <w:rFonts w:cs="宋体" w:asciiTheme="minorEastAsia" w:hAnsiTheme="minorEastAsia" w:eastAsiaTheme="minorEastAsia"/>
                <w:color w:val="auto"/>
                <w:kern w:val="0"/>
                <w:szCs w:val="21"/>
                <w:highlight w:val="none"/>
              </w:rPr>
            </w:pPr>
          </w:p>
        </w:tc>
      </w:tr>
      <w:tr w14:paraId="39451AC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2BF67E13">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158</w:t>
            </w:r>
          </w:p>
        </w:tc>
        <w:tc>
          <w:tcPr>
            <w:tcW w:w="3685" w:type="dxa"/>
            <w:shd w:val="clear" w:color="auto" w:fill="auto"/>
            <w:noWrap/>
            <w:vAlign w:val="center"/>
          </w:tcPr>
          <w:p w14:paraId="7FBBF188">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7.22 缴费卡打印</w:t>
            </w:r>
          </w:p>
        </w:tc>
        <w:tc>
          <w:tcPr>
            <w:tcW w:w="993" w:type="dxa"/>
            <w:shd w:val="clear" w:color="auto" w:fill="auto"/>
            <w:noWrap/>
            <w:vAlign w:val="center"/>
          </w:tcPr>
          <w:p w14:paraId="3A5D4462">
            <w:pPr>
              <w:widowControl/>
              <w:jc w:val="left"/>
              <w:rPr>
                <w:rFonts w:cs="宋体" w:asciiTheme="minorEastAsia" w:hAnsiTheme="minorEastAsia" w:eastAsiaTheme="minorEastAsia"/>
                <w:color w:val="auto"/>
                <w:kern w:val="0"/>
                <w:szCs w:val="21"/>
                <w:highlight w:val="none"/>
              </w:rPr>
            </w:pPr>
          </w:p>
        </w:tc>
      </w:tr>
      <w:tr w14:paraId="5086002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34D9664E">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159</w:t>
            </w:r>
          </w:p>
        </w:tc>
        <w:tc>
          <w:tcPr>
            <w:tcW w:w="3685" w:type="dxa"/>
            <w:shd w:val="clear" w:color="auto" w:fill="auto"/>
            <w:noWrap/>
            <w:vAlign w:val="center"/>
          </w:tcPr>
          <w:p w14:paraId="19A15AFF">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7.23 核对单打印</w:t>
            </w:r>
          </w:p>
        </w:tc>
        <w:tc>
          <w:tcPr>
            <w:tcW w:w="993" w:type="dxa"/>
            <w:shd w:val="clear" w:color="auto" w:fill="auto"/>
            <w:noWrap/>
            <w:vAlign w:val="center"/>
          </w:tcPr>
          <w:p w14:paraId="77F78DF7">
            <w:pPr>
              <w:widowControl/>
              <w:jc w:val="left"/>
              <w:rPr>
                <w:rFonts w:cs="宋体" w:asciiTheme="minorEastAsia" w:hAnsiTheme="minorEastAsia" w:eastAsiaTheme="minorEastAsia"/>
                <w:color w:val="auto"/>
                <w:kern w:val="0"/>
                <w:szCs w:val="21"/>
                <w:highlight w:val="none"/>
              </w:rPr>
            </w:pPr>
          </w:p>
        </w:tc>
      </w:tr>
      <w:tr w14:paraId="1245B3B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3C540540">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160</w:t>
            </w:r>
          </w:p>
        </w:tc>
        <w:tc>
          <w:tcPr>
            <w:tcW w:w="3685" w:type="dxa"/>
            <w:shd w:val="clear" w:color="auto" w:fill="auto"/>
            <w:noWrap/>
            <w:vAlign w:val="center"/>
          </w:tcPr>
          <w:p w14:paraId="2E776B02">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7.24 提醒单打印</w:t>
            </w:r>
          </w:p>
        </w:tc>
        <w:tc>
          <w:tcPr>
            <w:tcW w:w="993" w:type="dxa"/>
            <w:shd w:val="clear" w:color="auto" w:fill="auto"/>
            <w:noWrap/>
            <w:vAlign w:val="center"/>
          </w:tcPr>
          <w:p w14:paraId="35D02E6A">
            <w:pPr>
              <w:widowControl/>
              <w:jc w:val="left"/>
              <w:rPr>
                <w:rFonts w:cs="宋体" w:asciiTheme="minorEastAsia" w:hAnsiTheme="minorEastAsia" w:eastAsiaTheme="minorEastAsia"/>
                <w:color w:val="auto"/>
                <w:kern w:val="0"/>
                <w:szCs w:val="21"/>
                <w:highlight w:val="none"/>
              </w:rPr>
            </w:pPr>
          </w:p>
        </w:tc>
      </w:tr>
      <w:tr w14:paraId="5C488D8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4257149">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161</w:t>
            </w:r>
          </w:p>
        </w:tc>
        <w:tc>
          <w:tcPr>
            <w:tcW w:w="3685" w:type="dxa"/>
            <w:shd w:val="clear" w:color="auto" w:fill="auto"/>
            <w:noWrap/>
            <w:vAlign w:val="center"/>
          </w:tcPr>
          <w:p w14:paraId="28A9C6AC">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7.25 微信对帐</w:t>
            </w:r>
          </w:p>
        </w:tc>
        <w:tc>
          <w:tcPr>
            <w:tcW w:w="993" w:type="dxa"/>
            <w:shd w:val="clear" w:color="auto" w:fill="auto"/>
            <w:noWrap/>
            <w:vAlign w:val="center"/>
          </w:tcPr>
          <w:p w14:paraId="52399CDF">
            <w:pPr>
              <w:widowControl/>
              <w:jc w:val="left"/>
              <w:rPr>
                <w:rFonts w:cs="宋体" w:asciiTheme="minorEastAsia" w:hAnsiTheme="minorEastAsia" w:eastAsiaTheme="minorEastAsia"/>
                <w:color w:val="auto"/>
                <w:kern w:val="0"/>
                <w:szCs w:val="21"/>
                <w:highlight w:val="none"/>
              </w:rPr>
            </w:pPr>
          </w:p>
        </w:tc>
      </w:tr>
      <w:tr w14:paraId="74D0AB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4D6A59AC">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162</w:t>
            </w:r>
          </w:p>
        </w:tc>
        <w:tc>
          <w:tcPr>
            <w:tcW w:w="3685" w:type="dxa"/>
            <w:shd w:val="clear" w:color="auto" w:fill="auto"/>
            <w:noWrap/>
            <w:vAlign w:val="center"/>
          </w:tcPr>
          <w:p w14:paraId="53EF5E82">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8. 短信管理</w:t>
            </w:r>
          </w:p>
        </w:tc>
        <w:tc>
          <w:tcPr>
            <w:tcW w:w="993" w:type="dxa"/>
            <w:shd w:val="clear" w:color="auto" w:fill="auto"/>
            <w:noWrap/>
            <w:vAlign w:val="center"/>
          </w:tcPr>
          <w:p w14:paraId="4830F9E2">
            <w:pPr>
              <w:widowControl/>
              <w:jc w:val="left"/>
              <w:rPr>
                <w:rFonts w:cs="宋体" w:asciiTheme="minorEastAsia" w:hAnsiTheme="minorEastAsia" w:eastAsiaTheme="minorEastAsia"/>
                <w:color w:val="auto"/>
                <w:kern w:val="0"/>
                <w:szCs w:val="21"/>
                <w:highlight w:val="none"/>
              </w:rPr>
            </w:pPr>
          </w:p>
        </w:tc>
      </w:tr>
      <w:tr w14:paraId="0665767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6A5A6F4F">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163</w:t>
            </w:r>
          </w:p>
        </w:tc>
        <w:tc>
          <w:tcPr>
            <w:tcW w:w="3685" w:type="dxa"/>
            <w:shd w:val="clear" w:color="auto" w:fill="auto"/>
            <w:noWrap/>
            <w:vAlign w:val="center"/>
          </w:tcPr>
          <w:p w14:paraId="1F1EEC2D">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8.1 广而告之</w:t>
            </w:r>
          </w:p>
        </w:tc>
        <w:tc>
          <w:tcPr>
            <w:tcW w:w="993" w:type="dxa"/>
            <w:shd w:val="clear" w:color="auto" w:fill="auto"/>
            <w:noWrap/>
            <w:vAlign w:val="center"/>
          </w:tcPr>
          <w:p w14:paraId="7412A35F">
            <w:pPr>
              <w:widowControl/>
              <w:jc w:val="left"/>
              <w:rPr>
                <w:rFonts w:cs="宋体" w:asciiTheme="minorEastAsia" w:hAnsiTheme="minorEastAsia" w:eastAsiaTheme="minorEastAsia"/>
                <w:color w:val="auto"/>
                <w:kern w:val="0"/>
                <w:szCs w:val="21"/>
                <w:highlight w:val="none"/>
              </w:rPr>
            </w:pPr>
          </w:p>
        </w:tc>
      </w:tr>
      <w:tr w14:paraId="53E9826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624CEEDD">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164</w:t>
            </w:r>
          </w:p>
        </w:tc>
        <w:tc>
          <w:tcPr>
            <w:tcW w:w="3685" w:type="dxa"/>
            <w:shd w:val="clear" w:color="auto" w:fill="auto"/>
            <w:noWrap/>
            <w:vAlign w:val="center"/>
          </w:tcPr>
          <w:p w14:paraId="62621D65">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8.2 抄表通知</w:t>
            </w:r>
          </w:p>
        </w:tc>
        <w:tc>
          <w:tcPr>
            <w:tcW w:w="993" w:type="dxa"/>
            <w:shd w:val="clear" w:color="auto" w:fill="auto"/>
            <w:noWrap/>
            <w:vAlign w:val="center"/>
          </w:tcPr>
          <w:p w14:paraId="78E80D48">
            <w:pPr>
              <w:widowControl/>
              <w:jc w:val="left"/>
              <w:rPr>
                <w:rFonts w:cs="宋体" w:asciiTheme="minorEastAsia" w:hAnsiTheme="minorEastAsia" w:eastAsiaTheme="minorEastAsia"/>
                <w:color w:val="auto"/>
                <w:kern w:val="0"/>
                <w:szCs w:val="21"/>
                <w:highlight w:val="none"/>
              </w:rPr>
            </w:pPr>
          </w:p>
        </w:tc>
      </w:tr>
      <w:tr w14:paraId="37F78D1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63F0523D">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165</w:t>
            </w:r>
          </w:p>
        </w:tc>
        <w:tc>
          <w:tcPr>
            <w:tcW w:w="3685" w:type="dxa"/>
            <w:shd w:val="clear" w:color="auto" w:fill="auto"/>
            <w:noWrap/>
            <w:vAlign w:val="center"/>
          </w:tcPr>
          <w:p w14:paraId="4D4FAF27">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8.3 欠费催缴</w:t>
            </w:r>
          </w:p>
        </w:tc>
        <w:tc>
          <w:tcPr>
            <w:tcW w:w="993" w:type="dxa"/>
            <w:shd w:val="clear" w:color="auto" w:fill="auto"/>
            <w:noWrap/>
            <w:vAlign w:val="center"/>
          </w:tcPr>
          <w:p w14:paraId="22F9A155">
            <w:pPr>
              <w:widowControl/>
              <w:jc w:val="left"/>
              <w:rPr>
                <w:rFonts w:cs="宋体" w:asciiTheme="minorEastAsia" w:hAnsiTheme="minorEastAsia" w:eastAsiaTheme="minorEastAsia"/>
                <w:color w:val="auto"/>
                <w:kern w:val="0"/>
                <w:szCs w:val="21"/>
                <w:highlight w:val="none"/>
              </w:rPr>
            </w:pPr>
          </w:p>
        </w:tc>
      </w:tr>
      <w:tr w14:paraId="7A4215F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6450A987">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166</w:t>
            </w:r>
          </w:p>
        </w:tc>
        <w:tc>
          <w:tcPr>
            <w:tcW w:w="3685" w:type="dxa"/>
            <w:shd w:val="clear" w:color="auto" w:fill="auto"/>
            <w:noWrap/>
            <w:vAlign w:val="center"/>
          </w:tcPr>
          <w:p w14:paraId="5092B5DE">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8.4 员工信息</w:t>
            </w:r>
          </w:p>
        </w:tc>
        <w:tc>
          <w:tcPr>
            <w:tcW w:w="993" w:type="dxa"/>
            <w:shd w:val="clear" w:color="auto" w:fill="auto"/>
            <w:noWrap/>
            <w:vAlign w:val="center"/>
          </w:tcPr>
          <w:p w14:paraId="63ED0776">
            <w:pPr>
              <w:widowControl/>
              <w:jc w:val="left"/>
              <w:rPr>
                <w:rFonts w:cs="宋体" w:asciiTheme="minorEastAsia" w:hAnsiTheme="minorEastAsia" w:eastAsiaTheme="minorEastAsia"/>
                <w:color w:val="auto"/>
                <w:kern w:val="0"/>
                <w:szCs w:val="21"/>
                <w:highlight w:val="none"/>
              </w:rPr>
            </w:pPr>
          </w:p>
        </w:tc>
      </w:tr>
      <w:tr w14:paraId="728D120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49A55A9D">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167</w:t>
            </w:r>
          </w:p>
        </w:tc>
        <w:tc>
          <w:tcPr>
            <w:tcW w:w="3685" w:type="dxa"/>
            <w:shd w:val="clear" w:color="auto" w:fill="auto"/>
            <w:noWrap/>
            <w:vAlign w:val="center"/>
          </w:tcPr>
          <w:p w14:paraId="28219313">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8.5 发送查询</w:t>
            </w:r>
          </w:p>
        </w:tc>
        <w:tc>
          <w:tcPr>
            <w:tcW w:w="993" w:type="dxa"/>
            <w:shd w:val="clear" w:color="auto" w:fill="auto"/>
            <w:noWrap/>
            <w:vAlign w:val="center"/>
          </w:tcPr>
          <w:p w14:paraId="2C99412D">
            <w:pPr>
              <w:widowControl/>
              <w:jc w:val="left"/>
              <w:rPr>
                <w:rFonts w:cs="宋体" w:asciiTheme="minorEastAsia" w:hAnsiTheme="minorEastAsia" w:eastAsiaTheme="minorEastAsia"/>
                <w:color w:val="auto"/>
                <w:kern w:val="0"/>
                <w:szCs w:val="21"/>
                <w:highlight w:val="none"/>
              </w:rPr>
            </w:pPr>
          </w:p>
        </w:tc>
      </w:tr>
      <w:tr w14:paraId="08E9668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D612DC1">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168</w:t>
            </w:r>
          </w:p>
        </w:tc>
        <w:tc>
          <w:tcPr>
            <w:tcW w:w="3685" w:type="dxa"/>
            <w:shd w:val="clear" w:color="auto" w:fill="auto"/>
            <w:noWrap/>
            <w:vAlign w:val="center"/>
          </w:tcPr>
          <w:p w14:paraId="66A722DF">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8.6 发送统计</w:t>
            </w:r>
          </w:p>
        </w:tc>
        <w:tc>
          <w:tcPr>
            <w:tcW w:w="993" w:type="dxa"/>
            <w:shd w:val="clear" w:color="auto" w:fill="auto"/>
            <w:noWrap/>
            <w:vAlign w:val="center"/>
          </w:tcPr>
          <w:p w14:paraId="7B616051">
            <w:pPr>
              <w:widowControl/>
              <w:jc w:val="left"/>
              <w:rPr>
                <w:rFonts w:cs="宋体" w:asciiTheme="minorEastAsia" w:hAnsiTheme="minorEastAsia" w:eastAsiaTheme="minorEastAsia"/>
                <w:color w:val="auto"/>
                <w:kern w:val="0"/>
                <w:szCs w:val="21"/>
                <w:highlight w:val="none"/>
              </w:rPr>
            </w:pPr>
          </w:p>
        </w:tc>
      </w:tr>
      <w:tr w14:paraId="7015AF2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4B52B05A">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169</w:t>
            </w:r>
          </w:p>
        </w:tc>
        <w:tc>
          <w:tcPr>
            <w:tcW w:w="3685" w:type="dxa"/>
            <w:shd w:val="clear" w:color="auto" w:fill="auto"/>
            <w:noWrap/>
            <w:vAlign w:val="center"/>
          </w:tcPr>
          <w:p w14:paraId="09688C3D">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8.7 回传查询</w:t>
            </w:r>
          </w:p>
        </w:tc>
        <w:tc>
          <w:tcPr>
            <w:tcW w:w="993" w:type="dxa"/>
            <w:shd w:val="clear" w:color="auto" w:fill="auto"/>
            <w:noWrap/>
            <w:vAlign w:val="center"/>
          </w:tcPr>
          <w:p w14:paraId="571A6A8D">
            <w:pPr>
              <w:widowControl/>
              <w:jc w:val="left"/>
              <w:rPr>
                <w:rFonts w:cs="宋体" w:asciiTheme="minorEastAsia" w:hAnsiTheme="minorEastAsia" w:eastAsiaTheme="minorEastAsia"/>
                <w:color w:val="auto"/>
                <w:kern w:val="0"/>
                <w:szCs w:val="21"/>
                <w:highlight w:val="none"/>
              </w:rPr>
            </w:pPr>
          </w:p>
        </w:tc>
      </w:tr>
      <w:tr w14:paraId="2AAEC8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06FD16CB">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170</w:t>
            </w:r>
          </w:p>
        </w:tc>
        <w:tc>
          <w:tcPr>
            <w:tcW w:w="3685" w:type="dxa"/>
            <w:shd w:val="clear" w:color="auto" w:fill="auto"/>
            <w:noWrap/>
            <w:vAlign w:val="center"/>
          </w:tcPr>
          <w:p w14:paraId="5E6987F6">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8.8 单户查询</w:t>
            </w:r>
          </w:p>
        </w:tc>
        <w:tc>
          <w:tcPr>
            <w:tcW w:w="993" w:type="dxa"/>
            <w:shd w:val="clear" w:color="auto" w:fill="auto"/>
            <w:noWrap/>
            <w:vAlign w:val="center"/>
          </w:tcPr>
          <w:p w14:paraId="5AF974CC">
            <w:pPr>
              <w:widowControl/>
              <w:jc w:val="left"/>
              <w:rPr>
                <w:rFonts w:cs="宋体" w:asciiTheme="minorEastAsia" w:hAnsiTheme="minorEastAsia" w:eastAsiaTheme="minorEastAsia"/>
                <w:color w:val="auto"/>
                <w:kern w:val="0"/>
                <w:szCs w:val="21"/>
                <w:highlight w:val="none"/>
              </w:rPr>
            </w:pPr>
          </w:p>
        </w:tc>
      </w:tr>
      <w:tr w14:paraId="06B121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34449A2">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171</w:t>
            </w:r>
          </w:p>
        </w:tc>
        <w:tc>
          <w:tcPr>
            <w:tcW w:w="3685" w:type="dxa"/>
            <w:shd w:val="clear" w:color="auto" w:fill="auto"/>
            <w:noWrap/>
            <w:vAlign w:val="center"/>
          </w:tcPr>
          <w:p w14:paraId="5E455B2C">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8.9 短信参数设定</w:t>
            </w:r>
          </w:p>
        </w:tc>
        <w:tc>
          <w:tcPr>
            <w:tcW w:w="993" w:type="dxa"/>
            <w:shd w:val="clear" w:color="auto" w:fill="auto"/>
            <w:noWrap/>
            <w:vAlign w:val="center"/>
          </w:tcPr>
          <w:p w14:paraId="57E2C67C">
            <w:pPr>
              <w:widowControl/>
              <w:jc w:val="left"/>
              <w:rPr>
                <w:rFonts w:cs="宋体" w:asciiTheme="minorEastAsia" w:hAnsiTheme="minorEastAsia" w:eastAsiaTheme="minorEastAsia"/>
                <w:color w:val="auto"/>
                <w:kern w:val="0"/>
                <w:szCs w:val="21"/>
                <w:highlight w:val="none"/>
              </w:rPr>
            </w:pPr>
          </w:p>
        </w:tc>
      </w:tr>
      <w:tr w14:paraId="66BF9FB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4EB7830D">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172</w:t>
            </w:r>
          </w:p>
        </w:tc>
        <w:tc>
          <w:tcPr>
            <w:tcW w:w="3685" w:type="dxa"/>
            <w:shd w:val="clear" w:color="auto" w:fill="auto"/>
            <w:noWrap/>
            <w:vAlign w:val="center"/>
          </w:tcPr>
          <w:p w14:paraId="1BBE1692">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8.10 网络信息查询</w:t>
            </w:r>
          </w:p>
        </w:tc>
        <w:tc>
          <w:tcPr>
            <w:tcW w:w="993" w:type="dxa"/>
            <w:shd w:val="clear" w:color="auto" w:fill="auto"/>
            <w:noWrap/>
            <w:vAlign w:val="center"/>
          </w:tcPr>
          <w:p w14:paraId="2DD13316">
            <w:pPr>
              <w:widowControl/>
              <w:jc w:val="left"/>
              <w:rPr>
                <w:rFonts w:cs="宋体" w:asciiTheme="minorEastAsia" w:hAnsiTheme="minorEastAsia" w:eastAsiaTheme="minorEastAsia"/>
                <w:color w:val="auto"/>
                <w:kern w:val="0"/>
                <w:szCs w:val="21"/>
                <w:highlight w:val="none"/>
              </w:rPr>
            </w:pPr>
          </w:p>
        </w:tc>
      </w:tr>
      <w:tr w14:paraId="5537D9F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08409E70">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173</w:t>
            </w:r>
          </w:p>
        </w:tc>
        <w:tc>
          <w:tcPr>
            <w:tcW w:w="3685" w:type="dxa"/>
            <w:shd w:val="clear" w:color="auto" w:fill="auto"/>
            <w:noWrap/>
            <w:vAlign w:val="center"/>
          </w:tcPr>
          <w:p w14:paraId="72A1162D">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9. 系统设置</w:t>
            </w:r>
          </w:p>
        </w:tc>
        <w:tc>
          <w:tcPr>
            <w:tcW w:w="993" w:type="dxa"/>
            <w:shd w:val="clear" w:color="auto" w:fill="auto"/>
            <w:noWrap/>
            <w:vAlign w:val="center"/>
          </w:tcPr>
          <w:p w14:paraId="57B8A469">
            <w:pPr>
              <w:widowControl/>
              <w:jc w:val="left"/>
              <w:rPr>
                <w:rFonts w:cs="宋体" w:asciiTheme="minorEastAsia" w:hAnsiTheme="minorEastAsia" w:eastAsiaTheme="minorEastAsia"/>
                <w:color w:val="auto"/>
                <w:kern w:val="0"/>
                <w:szCs w:val="21"/>
                <w:highlight w:val="none"/>
              </w:rPr>
            </w:pPr>
          </w:p>
        </w:tc>
      </w:tr>
      <w:tr w14:paraId="49A6B6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25A4E9DF">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174</w:t>
            </w:r>
          </w:p>
        </w:tc>
        <w:tc>
          <w:tcPr>
            <w:tcW w:w="3685" w:type="dxa"/>
            <w:shd w:val="clear" w:color="auto" w:fill="auto"/>
            <w:noWrap/>
            <w:vAlign w:val="center"/>
          </w:tcPr>
          <w:p w14:paraId="30BB4DED">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9.1 系统参数维护</w:t>
            </w:r>
          </w:p>
        </w:tc>
        <w:tc>
          <w:tcPr>
            <w:tcW w:w="993" w:type="dxa"/>
            <w:shd w:val="clear" w:color="auto" w:fill="auto"/>
            <w:noWrap/>
            <w:vAlign w:val="center"/>
          </w:tcPr>
          <w:p w14:paraId="250D034D">
            <w:pPr>
              <w:widowControl/>
              <w:jc w:val="left"/>
              <w:rPr>
                <w:rFonts w:cs="宋体" w:asciiTheme="minorEastAsia" w:hAnsiTheme="minorEastAsia" w:eastAsiaTheme="minorEastAsia"/>
                <w:color w:val="auto"/>
                <w:kern w:val="0"/>
                <w:szCs w:val="21"/>
                <w:highlight w:val="none"/>
              </w:rPr>
            </w:pPr>
          </w:p>
        </w:tc>
      </w:tr>
      <w:tr w14:paraId="19A0815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3AA26B32">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175</w:t>
            </w:r>
          </w:p>
        </w:tc>
        <w:tc>
          <w:tcPr>
            <w:tcW w:w="3685" w:type="dxa"/>
            <w:shd w:val="clear" w:color="auto" w:fill="auto"/>
            <w:noWrap/>
            <w:vAlign w:val="center"/>
          </w:tcPr>
          <w:p w14:paraId="11F450B6">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9.2 区域计量维护</w:t>
            </w:r>
          </w:p>
        </w:tc>
        <w:tc>
          <w:tcPr>
            <w:tcW w:w="993" w:type="dxa"/>
            <w:shd w:val="clear" w:color="auto" w:fill="auto"/>
            <w:noWrap/>
            <w:vAlign w:val="center"/>
          </w:tcPr>
          <w:p w14:paraId="768CC359">
            <w:pPr>
              <w:widowControl/>
              <w:jc w:val="left"/>
              <w:rPr>
                <w:rFonts w:cs="宋体" w:asciiTheme="minorEastAsia" w:hAnsiTheme="minorEastAsia" w:eastAsiaTheme="minorEastAsia"/>
                <w:color w:val="auto"/>
                <w:kern w:val="0"/>
                <w:szCs w:val="21"/>
                <w:highlight w:val="none"/>
              </w:rPr>
            </w:pPr>
          </w:p>
        </w:tc>
      </w:tr>
      <w:tr w14:paraId="638EA87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21852EEA">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176</w:t>
            </w:r>
          </w:p>
        </w:tc>
        <w:tc>
          <w:tcPr>
            <w:tcW w:w="3685" w:type="dxa"/>
            <w:shd w:val="clear" w:color="auto" w:fill="auto"/>
            <w:noWrap/>
            <w:vAlign w:val="center"/>
          </w:tcPr>
          <w:p w14:paraId="1DB215E5">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9.3 用水单价设置</w:t>
            </w:r>
          </w:p>
        </w:tc>
        <w:tc>
          <w:tcPr>
            <w:tcW w:w="993" w:type="dxa"/>
            <w:shd w:val="clear" w:color="auto" w:fill="auto"/>
            <w:noWrap/>
            <w:vAlign w:val="center"/>
          </w:tcPr>
          <w:p w14:paraId="3EF3790B">
            <w:pPr>
              <w:widowControl/>
              <w:jc w:val="left"/>
              <w:rPr>
                <w:rFonts w:cs="宋体" w:asciiTheme="minorEastAsia" w:hAnsiTheme="minorEastAsia" w:eastAsiaTheme="minorEastAsia"/>
                <w:color w:val="auto"/>
                <w:kern w:val="0"/>
                <w:szCs w:val="21"/>
                <w:highlight w:val="none"/>
              </w:rPr>
            </w:pPr>
          </w:p>
        </w:tc>
      </w:tr>
      <w:tr w14:paraId="28805E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277DF59">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177</w:t>
            </w:r>
          </w:p>
        </w:tc>
        <w:tc>
          <w:tcPr>
            <w:tcW w:w="3685" w:type="dxa"/>
            <w:shd w:val="clear" w:color="auto" w:fill="auto"/>
            <w:noWrap/>
            <w:vAlign w:val="center"/>
          </w:tcPr>
          <w:p w14:paraId="33A5F325">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9.4 用水调价处理</w:t>
            </w:r>
          </w:p>
        </w:tc>
        <w:tc>
          <w:tcPr>
            <w:tcW w:w="993" w:type="dxa"/>
            <w:shd w:val="clear" w:color="auto" w:fill="auto"/>
            <w:noWrap/>
            <w:vAlign w:val="center"/>
          </w:tcPr>
          <w:p w14:paraId="2995CCBC">
            <w:pPr>
              <w:widowControl/>
              <w:jc w:val="left"/>
              <w:rPr>
                <w:rFonts w:cs="宋体" w:asciiTheme="minorEastAsia" w:hAnsiTheme="minorEastAsia" w:eastAsiaTheme="minorEastAsia"/>
                <w:color w:val="auto"/>
                <w:kern w:val="0"/>
                <w:szCs w:val="21"/>
                <w:highlight w:val="none"/>
              </w:rPr>
            </w:pPr>
          </w:p>
        </w:tc>
      </w:tr>
      <w:tr w14:paraId="3FF1713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596E4C93">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178</w:t>
            </w:r>
          </w:p>
        </w:tc>
        <w:tc>
          <w:tcPr>
            <w:tcW w:w="3685" w:type="dxa"/>
            <w:shd w:val="clear" w:color="auto" w:fill="auto"/>
            <w:noWrap/>
            <w:vAlign w:val="center"/>
          </w:tcPr>
          <w:p w14:paraId="483B33D1">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9.5 用水阶梯设置</w:t>
            </w:r>
          </w:p>
        </w:tc>
        <w:tc>
          <w:tcPr>
            <w:tcW w:w="993" w:type="dxa"/>
            <w:shd w:val="clear" w:color="auto" w:fill="auto"/>
            <w:noWrap/>
            <w:vAlign w:val="center"/>
          </w:tcPr>
          <w:p w14:paraId="27A4FCD1">
            <w:pPr>
              <w:widowControl/>
              <w:jc w:val="left"/>
              <w:rPr>
                <w:rFonts w:cs="宋体" w:asciiTheme="minorEastAsia" w:hAnsiTheme="minorEastAsia" w:eastAsiaTheme="minorEastAsia"/>
                <w:color w:val="auto"/>
                <w:kern w:val="0"/>
                <w:szCs w:val="21"/>
                <w:highlight w:val="none"/>
              </w:rPr>
            </w:pPr>
          </w:p>
        </w:tc>
      </w:tr>
      <w:tr w14:paraId="66CC6AF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5B985889">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179</w:t>
            </w:r>
          </w:p>
        </w:tc>
        <w:tc>
          <w:tcPr>
            <w:tcW w:w="3685" w:type="dxa"/>
            <w:shd w:val="clear" w:color="auto" w:fill="auto"/>
            <w:noWrap/>
            <w:vAlign w:val="center"/>
          </w:tcPr>
          <w:p w14:paraId="4CB7F22D">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10. 权限设置</w:t>
            </w:r>
          </w:p>
        </w:tc>
        <w:tc>
          <w:tcPr>
            <w:tcW w:w="993" w:type="dxa"/>
            <w:shd w:val="clear" w:color="auto" w:fill="auto"/>
            <w:noWrap/>
            <w:vAlign w:val="center"/>
          </w:tcPr>
          <w:p w14:paraId="5B7559A3">
            <w:pPr>
              <w:widowControl/>
              <w:jc w:val="left"/>
              <w:rPr>
                <w:rFonts w:cs="宋体" w:asciiTheme="minorEastAsia" w:hAnsiTheme="minorEastAsia" w:eastAsiaTheme="minorEastAsia"/>
                <w:color w:val="auto"/>
                <w:kern w:val="0"/>
                <w:szCs w:val="21"/>
                <w:highlight w:val="none"/>
              </w:rPr>
            </w:pPr>
          </w:p>
        </w:tc>
      </w:tr>
      <w:tr w14:paraId="6ACF837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3107F68">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180</w:t>
            </w:r>
          </w:p>
        </w:tc>
        <w:tc>
          <w:tcPr>
            <w:tcW w:w="3685" w:type="dxa"/>
            <w:shd w:val="clear" w:color="auto" w:fill="auto"/>
            <w:noWrap/>
            <w:vAlign w:val="center"/>
          </w:tcPr>
          <w:p w14:paraId="2F6A4A2B">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10.1 分组权限设置</w:t>
            </w:r>
          </w:p>
        </w:tc>
        <w:tc>
          <w:tcPr>
            <w:tcW w:w="993" w:type="dxa"/>
            <w:shd w:val="clear" w:color="auto" w:fill="auto"/>
            <w:noWrap/>
            <w:vAlign w:val="center"/>
          </w:tcPr>
          <w:p w14:paraId="28165027">
            <w:pPr>
              <w:widowControl/>
              <w:jc w:val="left"/>
              <w:rPr>
                <w:rFonts w:cs="宋体" w:asciiTheme="minorEastAsia" w:hAnsiTheme="minorEastAsia" w:eastAsiaTheme="minorEastAsia"/>
                <w:color w:val="auto"/>
                <w:kern w:val="0"/>
                <w:szCs w:val="21"/>
                <w:highlight w:val="none"/>
              </w:rPr>
            </w:pPr>
          </w:p>
        </w:tc>
      </w:tr>
      <w:tr w14:paraId="66F6DD7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448342D8">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181</w:t>
            </w:r>
          </w:p>
        </w:tc>
        <w:tc>
          <w:tcPr>
            <w:tcW w:w="3685" w:type="dxa"/>
            <w:shd w:val="clear" w:color="auto" w:fill="auto"/>
            <w:noWrap/>
            <w:vAlign w:val="center"/>
          </w:tcPr>
          <w:p w14:paraId="658E41DD">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10.2 人员权限分配</w:t>
            </w:r>
          </w:p>
        </w:tc>
        <w:tc>
          <w:tcPr>
            <w:tcW w:w="993" w:type="dxa"/>
            <w:shd w:val="clear" w:color="auto" w:fill="auto"/>
            <w:noWrap/>
            <w:vAlign w:val="center"/>
          </w:tcPr>
          <w:p w14:paraId="77E3808F">
            <w:pPr>
              <w:widowControl/>
              <w:jc w:val="left"/>
              <w:rPr>
                <w:rFonts w:cs="宋体" w:asciiTheme="minorEastAsia" w:hAnsiTheme="minorEastAsia" w:eastAsiaTheme="minorEastAsia"/>
                <w:color w:val="auto"/>
                <w:kern w:val="0"/>
                <w:szCs w:val="21"/>
                <w:highlight w:val="none"/>
              </w:rPr>
            </w:pPr>
          </w:p>
        </w:tc>
      </w:tr>
      <w:tr w14:paraId="1EB6664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13CAA3F7">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182</w:t>
            </w:r>
          </w:p>
        </w:tc>
        <w:tc>
          <w:tcPr>
            <w:tcW w:w="3685" w:type="dxa"/>
            <w:shd w:val="clear" w:color="auto" w:fill="auto"/>
            <w:noWrap/>
            <w:vAlign w:val="center"/>
          </w:tcPr>
          <w:p w14:paraId="1CAEB070">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10.3 自动升级设置</w:t>
            </w:r>
          </w:p>
        </w:tc>
        <w:tc>
          <w:tcPr>
            <w:tcW w:w="993" w:type="dxa"/>
            <w:shd w:val="clear" w:color="auto" w:fill="auto"/>
            <w:noWrap/>
            <w:vAlign w:val="center"/>
          </w:tcPr>
          <w:p w14:paraId="32211572">
            <w:pPr>
              <w:widowControl/>
              <w:jc w:val="left"/>
              <w:rPr>
                <w:rFonts w:cs="宋体" w:asciiTheme="minorEastAsia" w:hAnsiTheme="minorEastAsia" w:eastAsiaTheme="minorEastAsia"/>
                <w:color w:val="auto"/>
                <w:kern w:val="0"/>
                <w:szCs w:val="21"/>
                <w:highlight w:val="none"/>
              </w:rPr>
            </w:pPr>
          </w:p>
        </w:tc>
      </w:tr>
      <w:tr w14:paraId="5F0F2C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2C242D21">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183</w:t>
            </w:r>
          </w:p>
        </w:tc>
        <w:tc>
          <w:tcPr>
            <w:tcW w:w="3685" w:type="dxa"/>
            <w:shd w:val="clear" w:color="auto" w:fill="auto"/>
            <w:noWrap/>
            <w:vAlign w:val="center"/>
          </w:tcPr>
          <w:p w14:paraId="3636D86E">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10.4 上传升级文件</w:t>
            </w:r>
          </w:p>
        </w:tc>
        <w:tc>
          <w:tcPr>
            <w:tcW w:w="993" w:type="dxa"/>
            <w:shd w:val="clear" w:color="auto" w:fill="auto"/>
            <w:noWrap/>
            <w:vAlign w:val="center"/>
          </w:tcPr>
          <w:p w14:paraId="1D26F192">
            <w:pPr>
              <w:widowControl/>
              <w:jc w:val="left"/>
              <w:rPr>
                <w:rFonts w:cs="宋体" w:asciiTheme="minorEastAsia" w:hAnsiTheme="minorEastAsia" w:eastAsiaTheme="minorEastAsia"/>
                <w:color w:val="auto"/>
                <w:kern w:val="0"/>
                <w:szCs w:val="21"/>
                <w:highlight w:val="none"/>
              </w:rPr>
            </w:pPr>
          </w:p>
        </w:tc>
      </w:tr>
      <w:tr w14:paraId="7531297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263DA959">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184</w:t>
            </w:r>
          </w:p>
        </w:tc>
        <w:tc>
          <w:tcPr>
            <w:tcW w:w="3685" w:type="dxa"/>
            <w:shd w:val="clear" w:color="auto" w:fill="auto"/>
            <w:noWrap/>
            <w:vAlign w:val="center"/>
          </w:tcPr>
          <w:p w14:paraId="5DE96C0B">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11. 个人设置</w:t>
            </w:r>
          </w:p>
        </w:tc>
        <w:tc>
          <w:tcPr>
            <w:tcW w:w="993" w:type="dxa"/>
            <w:shd w:val="clear" w:color="auto" w:fill="auto"/>
            <w:noWrap/>
            <w:vAlign w:val="center"/>
          </w:tcPr>
          <w:p w14:paraId="2BD0909D">
            <w:pPr>
              <w:widowControl/>
              <w:jc w:val="left"/>
              <w:rPr>
                <w:rFonts w:cs="宋体" w:asciiTheme="minorEastAsia" w:hAnsiTheme="minorEastAsia" w:eastAsiaTheme="minorEastAsia"/>
                <w:color w:val="auto"/>
                <w:kern w:val="0"/>
                <w:szCs w:val="21"/>
                <w:highlight w:val="none"/>
              </w:rPr>
            </w:pPr>
          </w:p>
        </w:tc>
      </w:tr>
      <w:tr w14:paraId="48828A7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017A3143">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185</w:t>
            </w:r>
          </w:p>
        </w:tc>
        <w:tc>
          <w:tcPr>
            <w:tcW w:w="3685" w:type="dxa"/>
            <w:shd w:val="clear" w:color="auto" w:fill="auto"/>
            <w:noWrap/>
            <w:vAlign w:val="center"/>
          </w:tcPr>
          <w:p w14:paraId="08537660">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11.1 登陆密码修改</w:t>
            </w:r>
          </w:p>
        </w:tc>
        <w:tc>
          <w:tcPr>
            <w:tcW w:w="993" w:type="dxa"/>
            <w:shd w:val="clear" w:color="auto" w:fill="auto"/>
            <w:noWrap/>
            <w:vAlign w:val="center"/>
          </w:tcPr>
          <w:p w14:paraId="1F4A8B07">
            <w:pPr>
              <w:widowControl/>
              <w:jc w:val="left"/>
              <w:rPr>
                <w:rFonts w:cs="宋体" w:asciiTheme="minorEastAsia" w:hAnsiTheme="minorEastAsia" w:eastAsiaTheme="minorEastAsia"/>
                <w:color w:val="auto"/>
                <w:kern w:val="0"/>
                <w:szCs w:val="21"/>
                <w:highlight w:val="none"/>
              </w:rPr>
            </w:pPr>
          </w:p>
        </w:tc>
      </w:tr>
      <w:tr w14:paraId="4C44208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4C932359">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186</w:t>
            </w:r>
          </w:p>
        </w:tc>
        <w:tc>
          <w:tcPr>
            <w:tcW w:w="3685" w:type="dxa"/>
            <w:shd w:val="clear" w:color="auto" w:fill="auto"/>
            <w:noWrap/>
            <w:vAlign w:val="center"/>
          </w:tcPr>
          <w:p w14:paraId="0F25E616">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11.2 快捷菜单设置</w:t>
            </w:r>
          </w:p>
        </w:tc>
        <w:tc>
          <w:tcPr>
            <w:tcW w:w="993" w:type="dxa"/>
            <w:shd w:val="clear" w:color="auto" w:fill="auto"/>
            <w:noWrap/>
            <w:vAlign w:val="center"/>
          </w:tcPr>
          <w:p w14:paraId="05AD1CFA">
            <w:pPr>
              <w:widowControl/>
              <w:jc w:val="left"/>
              <w:rPr>
                <w:rFonts w:cs="宋体" w:asciiTheme="minorEastAsia" w:hAnsiTheme="minorEastAsia" w:eastAsiaTheme="minorEastAsia"/>
                <w:color w:val="auto"/>
                <w:kern w:val="0"/>
                <w:szCs w:val="21"/>
                <w:highlight w:val="none"/>
              </w:rPr>
            </w:pPr>
          </w:p>
        </w:tc>
      </w:tr>
      <w:tr w14:paraId="62ED07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3C320D46">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187</w:t>
            </w:r>
          </w:p>
        </w:tc>
        <w:tc>
          <w:tcPr>
            <w:tcW w:w="3685" w:type="dxa"/>
            <w:shd w:val="clear" w:color="auto" w:fill="auto"/>
            <w:noWrap/>
            <w:vAlign w:val="center"/>
          </w:tcPr>
          <w:p w14:paraId="2E8C22B2">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 业务流程</w:t>
            </w:r>
          </w:p>
        </w:tc>
        <w:tc>
          <w:tcPr>
            <w:tcW w:w="993" w:type="dxa"/>
            <w:shd w:val="clear" w:color="auto" w:fill="auto"/>
            <w:noWrap/>
            <w:vAlign w:val="center"/>
          </w:tcPr>
          <w:p w14:paraId="5341E82A">
            <w:pPr>
              <w:widowControl/>
              <w:jc w:val="left"/>
              <w:rPr>
                <w:rFonts w:cs="宋体" w:asciiTheme="minorEastAsia" w:hAnsiTheme="minorEastAsia" w:eastAsiaTheme="minorEastAsia"/>
                <w:color w:val="auto"/>
                <w:kern w:val="0"/>
                <w:szCs w:val="21"/>
                <w:highlight w:val="none"/>
              </w:rPr>
            </w:pPr>
          </w:p>
        </w:tc>
      </w:tr>
      <w:tr w14:paraId="38A7508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3C7688EC">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188</w:t>
            </w:r>
          </w:p>
        </w:tc>
        <w:tc>
          <w:tcPr>
            <w:tcW w:w="3685" w:type="dxa"/>
            <w:shd w:val="clear" w:color="auto" w:fill="auto"/>
            <w:noWrap/>
            <w:vAlign w:val="center"/>
          </w:tcPr>
          <w:p w14:paraId="71ED2298">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12.1 业务申请</w:t>
            </w:r>
          </w:p>
        </w:tc>
        <w:tc>
          <w:tcPr>
            <w:tcW w:w="993" w:type="dxa"/>
            <w:shd w:val="clear" w:color="auto" w:fill="auto"/>
            <w:noWrap/>
            <w:vAlign w:val="center"/>
          </w:tcPr>
          <w:p w14:paraId="25E5A188">
            <w:pPr>
              <w:widowControl/>
              <w:jc w:val="left"/>
              <w:rPr>
                <w:rFonts w:cs="宋体" w:asciiTheme="minorEastAsia" w:hAnsiTheme="minorEastAsia" w:eastAsiaTheme="minorEastAsia"/>
                <w:color w:val="auto"/>
                <w:kern w:val="0"/>
                <w:szCs w:val="21"/>
                <w:highlight w:val="none"/>
              </w:rPr>
            </w:pPr>
          </w:p>
        </w:tc>
      </w:tr>
      <w:tr w14:paraId="16573F5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02655AC3">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189</w:t>
            </w:r>
          </w:p>
        </w:tc>
        <w:tc>
          <w:tcPr>
            <w:tcW w:w="3685" w:type="dxa"/>
            <w:shd w:val="clear" w:color="auto" w:fill="auto"/>
            <w:noWrap/>
            <w:vAlign w:val="center"/>
          </w:tcPr>
          <w:p w14:paraId="4740FC58">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12.1.1 用户建档修改</w:t>
            </w:r>
          </w:p>
        </w:tc>
        <w:tc>
          <w:tcPr>
            <w:tcW w:w="993" w:type="dxa"/>
            <w:shd w:val="clear" w:color="auto" w:fill="auto"/>
            <w:noWrap/>
            <w:vAlign w:val="center"/>
          </w:tcPr>
          <w:p w14:paraId="00F362CC">
            <w:pPr>
              <w:widowControl/>
              <w:jc w:val="left"/>
              <w:rPr>
                <w:rFonts w:cs="宋体" w:asciiTheme="minorEastAsia" w:hAnsiTheme="minorEastAsia" w:eastAsiaTheme="minorEastAsia"/>
                <w:color w:val="auto"/>
                <w:kern w:val="0"/>
                <w:szCs w:val="21"/>
                <w:highlight w:val="none"/>
              </w:rPr>
            </w:pPr>
          </w:p>
        </w:tc>
      </w:tr>
      <w:tr w14:paraId="505BF9D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6D740696">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190</w:t>
            </w:r>
          </w:p>
        </w:tc>
        <w:tc>
          <w:tcPr>
            <w:tcW w:w="3685" w:type="dxa"/>
            <w:shd w:val="clear" w:color="auto" w:fill="auto"/>
            <w:noWrap/>
            <w:vAlign w:val="center"/>
          </w:tcPr>
          <w:p w14:paraId="7CE32B8F">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12.1.2 用户销户申请</w:t>
            </w:r>
          </w:p>
        </w:tc>
        <w:tc>
          <w:tcPr>
            <w:tcW w:w="993" w:type="dxa"/>
            <w:shd w:val="clear" w:color="auto" w:fill="auto"/>
            <w:noWrap/>
            <w:vAlign w:val="center"/>
          </w:tcPr>
          <w:p w14:paraId="1097B24A">
            <w:pPr>
              <w:widowControl/>
              <w:jc w:val="left"/>
              <w:rPr>
                <w:rFonts w:cs="宋体" w:asciiTheme="minorEastAsia" w:hAnsiTheme="minorEastAsia" w:eastAsiaTheme="minorEastAsia"/>
                <w:color w:val="auto"/>
                <w:kern w:val="0"/>
                <w:szCs w:val="21"/>
                <w:highlight w:val="none"/>
              </w:rPr>
            </w:pPr>
          </w:p>
        </w:tc>
      </w:tr>
      <w:tr w14:paraId="7003853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573BE06">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191</w:t>
            </w:r>
          </w:p>
        </w:tc>
        <w:tc>
          <w:tcPr>
            <w:tcW w:w="3685" w:type="dxa"/>
            <w:shd w:val="clear" w:color="auto" w:fill="auto"/>
            <w:noWrap/>
            <w:vAlign w:val="center"/>
          </w:tcPr>
          <w:p w14:paraId="6750B8DD">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12.1.3 用户过户申请</w:t>
            </w:r>
          </w:p>
        </w:tc>
        <w:tc>
          <w:tcPr>
            <w:tcW w:w="993" w:type="dxa"/>
            <w:shd w:val="clear" w:color="auto" w:fill="auto"/>
            <w:noWrap/>
            <w:vAlign w:val="center"/>
          </w:tcPr>
          <w:p w14:paraId="40A92C2E">
            <w:pPr>
              <w:widowControl/>
              <w:jc w:val="left"/>
              <w:rPr>
                <w:rFonts w:cs="宋体" w:asciiTheme="minorEastAsia" w:hAnsiTheme="minorEastAsia" w:eastAsiaTheme="minorEastAsia"/>
                <w:color w:val="auto"/>
                <w:kern w:val="0"/>
                <w:szCs w:val="21"/>
                <w:highlight w:val="none"/>
              </w:rPr>
            </w:pPr>
          </w:p>
        </w:tc>
      </w:tr>
      <w:tr w14:paraId="6D457C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3EE3F798">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192</w:t>
            </w:r>
          </w:p>
        </w:tc>
        <w:tc>
          <w:tcPr>
            <w:tcW w:w="3685" w:type="dxa"/>
            <w:shd w:val="clear" w:color="auto" w:fill="auto"/>
            <w:noWrap/>
            <w:vAlign w:val="center"/>
          </w:tcPr>
          <w:p w14:paraId="1158DF20">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12.1.4 价格变更申请</w:t>
            </w:r>
          </w:p>
        </w:tc>
        <w:tc>
          <w:tcPr>
            <w:tcW w:w="993" w:type="dxa"/>
            <w:shd w:val="clear" w:color="auto" w:fill="auto"/>
            <w:noWrap/>
            <w:vAlign w:val="center"/>
          </w:tcPr>
          <w:p w14:paraId="5E18C47E">
            <w:pPr>
              <w:widowControl/>
              <w:jc w:val="left"/>
              <w:rPr>
                <w:rFonts w:cs="宋体" w:asciiTheme="minorEastAsia" w:hAnsiTheme="minorEastAsia" w:eastAsiaTheme="minorEastAsia"/>
                <w:color w:val="auto"/>
                <w:kern w:val="0"/>
                <w:szCs w:val="21"/>
                <w:highlight w:val="none"/>
              </w:rPr>
            </w:pPr>
          </w:p>
        </w:tc>
      </w:tr>
      <w:tr w14:paraId="1517F78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033EA936">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193</w:t>
            </w:r>
          </w:p>
        </w:tc>
        <w:tc>
          <w:tcPr>
            <w:tcW w:w="3685" w:type="dxa"/>
            <w:shd w:val="clear" w:color="auto" w:fill="auto"/>
            <w:noWrap/>
            <w:vAlign w:val="center"/>
          </w:tcPr>
          <w:p w14:paraId="145BA6DA">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12.1.5 当月水量变更</w:t>
            </w:r>
          </w:p>
        </w:tc>
        <w:tc>
          <w:tcPr>
            <w:tcW w:w="993" w:type="dxa"/>
            <w:shd w:val="clear" w:color="auto" w:fill="auto"/>
            <w:noWrap/>
            <w:vAlign w:val="center"/>
          </w:tcPr>
          <w:p w14:paraId="5BA4C2A6">
            <w:pPr>
              <w:widowControl/>
              <w:jc w:val="left"/>
              <w:rPr>
                <w:rFonts w:cs="宋体" w:asciiTheme="minorEastAsia" w:hAnsiTheme="minorEastAsia" w:eastAsiaTheme="minorEastAsia"/>
                <w:color w:val="auto"/>
                <w:kern w:val="0"/>
                <w:szCs w:val="21"/>
                <w:highlight w:val="none"/>
              </w:rPr>
            </w:pPr>
          </w:p>
        </w:tc>
      </w:tr>
      <w:tr w14:paraId="6A7115B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023B63CB">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194</w:t>
            </w:r>
          </w:p>
        </w:tc>
        <w:tc>
          <w:tcPr>
            <w:tcW w:w="3685" w:type="dxa"/>
            <w:shd w:val="clear" w:color="auto" w:fill="auto"/>
            <w:noWrap/>
            <w:vAlign w:val="center"/>
          </w:tcPr>
          <w:p w14:paraId="586783BD">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12.1.6 用户红冲申请</w:t>
            </w:r>
          </w:p>
        </w:tc>
        <w:tc>
          <w:tcPr>
            <w:tcW w:w="993" w:type="dxa"/>
            <w:shd w:val="clear" w:color="auto" w:fill="auto"/>
            <w:noWrap/>
            <w:vAlign w:val="center"/>
          </w:tcPr>
          <w:p w14:paraId="40218CE5">
            <w:pPr>
              <w:widowControl/>
              <w:jc w:val="left"/>
              <w:rPr>
                <w:rFonts w:cs="宋体" w:asciiTheme="minorEastAsia" w:hAnsiTheme="minorEastAsia" w:eastAsiaTheme="minorEastAsia"/>
                <w:color w:val="auto"/>
                <w:kern w:val="0"/>
                <w:szCs w:val="21"/>
                <w:highlight w:val="none"/>
              </w:rPr>
            </w:pPr>
          </w:p>
        </w:tc>
      </w:tr>
      <w:tr w14:paraId="05D418A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06A3E1D5">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195</w:t>
            </w:r>
          </w:p>
        </w:tc>
        <w:tc>
          <w:tcPr>
            <w:tcW w:w="3685" w:type="dxa"/>
            <w:shd w:val="clear" w:color="auto" w:fill="auto"/>
            <w:noWrap/>
            <w:vAlign w:val="center"/>
          </w:tcPr>
          <w:p w14:paraId="20AA9E27">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12.1.7 往月水量修改</w:t>
            </w:r>
          </w:p>
        </w:tc>
        <w:tc>
          <w:tcPr>
            <w:tcW w:w="993" w:type="dxa"/>
            <w:shd w:val="clear" w:color="auto" w:fill="auto"/>
            <w:noWrap/>
            <w:vAlign w:val="center"/>
          </w:tcPr>
          <w:p w14:paraId="127231CC">
            <w:pPr>
              <w:widowControl/>
              <w:jc w:val="left"/>
              <w:rPr>
                <w:rFonts w:cs="宋体" w:asciiTheme="minorEastAsia" w:hAnsiTheme="minorEastAsia" w:eastAsiaTheme="minorEastAsia"/>
                <w:color w:val="auto"/>
                <w:kern w:val="0"/>
                <w:szCs w:val="21"/>
                <w:highlight w:val="none"/>
              </w:rPr>
            </w:pPr>
          </w:p>
        </w:tc>
      </w:tr>
      <w:tr w14:paraId="47A6D3A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4F08534">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196</w:t>
            </w:r>
          </w:p>
        </w:tc>
        <w:tc>
          <w:tcPr>
            <w:tcW w:w="3685" w:type="dxa"/>
            <w:shd w:val="clear" w:color="auto" w:fill="auto"/>
            <w:noWrap/>
            <w:vAlign w:val="center"/>
          </w:tcPr>
          <w:p w14:paraId="7032260D">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12.1.8 违约金减免</w:t>
            </w:r>
          </w:p>
        </w:tc>
        <w:tc>
          <w:tcPr>
            <w:tcW w:w="993" w:type="dxa"/>
            <w:shd w:val="clear" w:color="auto" w:fill="auto"/>
            <w:noWrap/>
            <w:vAlign w:val="center"/>
          </w:tcPr>
          <w:p w14:paraId="5D1F8675">
            <w:pPr>
              <w:widowControl/>
              <w:jc w:val="left"/>
              <w:rPr>
                <w:rFonts w:cs="宋体" w:asciiTheme="minorEastAsia" w:hAnsiTheme="minorEastAsia" w:eastAsiaTheme="minorEastAsia"/>
                <w:color w:val="auto"/>
                <w:kern w:val="0"/>
                <w:szCs w:val="21"/>
                <w:highlight w:val="none"/>
              </w:rPr>
            </w:pPr>
          </w:p>
        </w:tc>
      </w:tr>
      <w:tr w14:paraId="248431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64E704D0">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197</w:t>
            </w:r>
          </w:p>
        </w:tc>
        <w:tc>
          <w:tcPr>
            <w:tcW w:w="3685" w:type="dxa"/>
            <w:shd w:val="clear" w:color="auto" w:fill="auto"/>
            <w:noWrap/>
            <w:vAlign w:val="center"/>
          </w:tcPr>
          <w:p w14:paraId="67BFE0EC">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12.2 业务审核</w:t>
            </w:r>
          </w:p>
        </w:tc>
        <w:tc>
          <w:tcPr>
            <w:tcW w:w="993" w:type="dxa"/>
            <w:shd w:val="clear" w:color="auto" w:fill="auto"/>
            <w:noWrap/>
            <w:vAlign w:val="center"/>
          </w:tcPr>
          <w:p w14:paraId="4B1D2AE6">
            <w:pPr>
              <w:widowControl/>
              <w:jc w:val="left"/>
              <w:rPr>
                <w:rFonts w:cs="宋体" w:asciiTheme="minorEastAsia" w:hAnsiTheme="minorEastAsia" w:eastAsiaTheme="minorEastAsia"/>
                <w:color w:val="auto"/>
                <w:kern w:val="0"/>
                <w:szCs w:val="21"/>
                <w:highlight w:val="none"/>
              </w:rPr>
            </w:pPr>
          </w:p>
        </w:tc>
      </w:tr>
      <w:tr w14:paraId="4C69FA9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5350B122">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198</w:t>
            </w:r>
          </w:p>
        </w:tc>
        <w:tc>
          <w:tcPr>
            <w:tcW w:w="3685" w:type="dxa"/>
            <w:shd w:val="clear" w:color="auto" w:fill="auto"/>
            <w:noWrap/>
            <w:vAlign w:val="center"/>
          </w:tcPr>
          <w:p w14:paraId="5A1DBA56">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12.2.1 用户建档审核</w:t>
            </w:r>
          </w:p>
        </w:tc>
        <w:tc>
          <w:tcPr>
            <w:tcW w:w="993" w:type="dxa"/>
            <w:shd w:val="clear" w:color="auto" w:fill="auto"/>
            <w:noWrap/>
            <w:vAlign w:val="center"/>
          </w:tcPr>
          <w:p w14:paraId="12D96E33">
            <w:pPr>
              <w:widowControl/>
              <w:jc w:val="left"/>
              <w:rPr>
                <w:rFonts w:cs="宋体" w:asciiTheme="minorEastAsia" w:hAnsiTheme="minorEastAsia" w:eastAsiaTheme="minorEastAsia"/>
                <w:color w:val="auto"/>
                <w:kern w:val="0"/>
                <w:szCs w:val="21"/>
                <w:highlight w:val="none"/>
              </w:rPr>
            </w:pPr>
          </w:p>
        </w:tc>
      </w:tr>
      <w:tr w14:paraId="44EA53F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5052514E">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199</w:t>
            </w:r>
          </w:p>
        </w:tc>
        <w:tc>
          <w:tcPr>
            <w:tcW w:w="3685" w:type="dxa"/>
            <w:shd w:val="clear" w:color="auto" w:fill="auto"/>
            <w:noWrap/>
            <w:vAlign w:val="center"/>
          </w:tcPr>
          <w:p w14:paraId="51FFC00F">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12.2.2 用户销户审核</w:t>
            </w:r>
          </w:p>
        </w:tc>
        <w:tc>
          <w:tcPr>
            <w:tcW w:w="993" w:type="dxa"/>
            <w:shd w:val="clear" w:color="auto" w:fill="auto"/>
            <w:noWrap/>
            <w:vAlign w:val="center"/>
          </w:tcPr>
          <w:p w14:paraId="529D3B6F">
            <w:pPr>
              <w:widowControl/>
              <w:jc w:val="left"/>
              <w:rPr>
                <w:rFonts w:cs="宋体" w:asciiTheme="minorEastAsia" w:hAnsiTheme="minorEastAsia" w:eastAsiaTheme="minorEastAsia"/>
                <w:color w:val="auto"/>
                <w:kern w:val="0"/>
                <w:szCs w:val="21"/>
                <w:highlight w:val="none"/>
              </w:rPr>
            </w:pPr>
          </w:p>
        </w:tc>
      </w:tr>
      <w:tr w14:paraId="3DD22FB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0D4D2B71">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200</w:t>
            </w:r>
          </w:p>
        </w:tc>
        <w:tc>
          <w:tcPr>
            <w:tcW w:w="3685" w:type="dxa"/>
            <w:shd w:val="clear" w:color="auto" w:fill="auto"/>
            <w:noWrap/>
            <w:vAlign w:val="center"/>
          </w:tcPr>
          <w:p w14:paraId="0DE24D55">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12.2.3 过户变更审核</w:t>
            </w:r>
          </w:p>
        </w:tc>
        <w:tc>
          <w:tcPr>
            <w:tcW w:w="993" w:type="dxa"/>
            <w:shd w:val="clear" w:color="auto" w:fill="auto"/>
            <w:noWrap/>
            <w:vAlign w:val="center"/>
          </w:tcPr>
          <w:p w14:paraId="0167935B">
            <w:pPr>
              <w:widowControl/>
              <w:jc w:val="left"/>
              <w:rPr>
                <w:rFonts w:cs="宋体" w:asciiTheme="minorEastAsia" w:hAnsiTheme="minorEastAsia" w:eastAsiaTheme="minorEastAsia"/>
                <w:color w:val="auto"/>
                <w:kern w:val="0"/>
                <w:szCs w:val="21"/>
                <w:highlight w:val="none"/>
              </w:rPr>
            </w:pPr>
          </w:p>
        </w:tc>
      </w:tr>
      <w:tr w14:paraId="445F59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D2462AD">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201</w:t>
            </w:r>
          </w:p>
        </w:tc>
        <w:tc>
          <w:tcPr>
            <w:tcW w:w="3685" w:type="dxa"/>
            <w:shd w:val="clear" w:color="auto" w:fill="auto"/>
            <w:noWrap/>
            <w:vAlign w:val="center"/>
          </w:tcPr>
          <w:p w14:paraId="6A6B5D00">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12.2.4 价格变更审核</w:t>
            </w:r>
          </w:p>
        </w:tc>
        <w:tc>
          <w:tcPr>
            <w:tcW w:w="993" w:type="dxa"/>
            <w:shd w:val="clear" w:color="auto" w:fill="auto"/>
            <w:noWrap/>
            <w:vAlign w:val="center"/>
          </w:tcPr>
          <w:p w14:paraId="50D6A000">
            <w:pPr>
              <w:widowControl/>
              <w:jc w:val="left"/>
              <w:rPr>
                <w:rFonts w:cs="宋体" w:asciiTheme="minorEastAsia" w:hAnsiTheme="minorEastAsia" w:eastAsiaTheme="minorEastAsia"/>
                <w:color w:val="auto"/>
                <w:kern w:val="0"/>
                <w:szCs w:val="21"/>
                <w:highlight w:val="none"/>
              </w:rPr>
            </w:pPr>
          </w:p>
        </w:tc>
      </w:tr>
      <w:tr w14:paraId="4667467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6EA32B8F">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202</w:t>
            </w:r>
          </w:p>
        </w:tc>
        <w:tc>
          <w:tcPr>
            <w:tcW w:w="3685" w:type="dxa"/>
            <w:shd w:val="clear" w:color="auto" w:fill="auto"/>
            <w:noWrap/>
            <w:vAlign w:val="center"/>
          </w:tcPr>
          <w:p w14:paraId="6609CAB0">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12.2.5 水量变更审核</w:t>
            </w:r>
          </w:p>
        </w:tc>
        <w:tc>
          <w:tcPr>
            <w:tcW w:w="993" w:type="dxa"/>
            <w:shd w:val="clear" w:color="auto" w:fill="auto"/>
            <w:noWrap/>
            <w:vAlign w:val="center"/>
          </w:tcPr>
          <w:p w14:paraId="05752E2F">
            <w:pPr>
              <w:widowControl/>
              <w:jc w:val="left"/>
              <w:rPr>
                <w:rFonts w:cs="宋体" w:asciiTheme="minorEastAsia" w:hAnsiTheme="minorEastAsia" w:eastAsiaTheme="minorEastAsia"/>
                <w:color w:val="auto"/>
                <w:kern w:val="0"/>
                <w:szCs w:val="21"/>
                <w:highlight w:val="none"/>
              </w:rPr>
            </w:pPr>
          </w:p>
        </w:tc>
      </w:tr>
      <w:tr w14:paraId="31411A2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2F2D8C5A">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203</w:t>
            </w:r>
          </w:p>
        </w:tc>
        <w:tc>
          <w:tcPr>
            <w:tcW w:w="3685" w:type="dxa"/>
            <w:shd w:val="clear" w:color="auto" w:fill="auto"/>
            <w:noWrap/>
            <w:vAlign w:val="center"/>
          </w:tcPr>
          <w:p w14:paraId="0007B760">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12.2.6 红冲申请审核</w:t>
            </w:r>
          </w:p>
        </w:tc>
        <w:tc>
          <w:tcPr>
            <w:tcW w:w="993" w:type="dxa"/>
            <w:shd w:val="clear" w:color="auto" w:fill="auto"/>
            <w:noWrap/>
            <w:vAlign w:val="center"/>
          </w:tcPr>
          <w:p w14:paraId="2EB079A7">
            <w:pPr>
              <w:widowControl/>
              <w:jc w:val="left"/>
              <w:rPr>
                <w:rFonts w:cs="宋体" w:asciiTheme="minorEastAsia" w:hAnsiTheme="minorEastAsia" w:eastAsiaTheme="minorEastAsia"/>
                <w:color w:val="auto"/>
                <w:kern w:val="0"/>
                <w:szCs w:val="21"/>
                <w:highlight w:val="none"/>
              </w:rPr>
            </w:pPr>
          </w:p>
        </w:tc>
      </w:tr>
      <w:tr w14:paraId="29D02EA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63E5D038">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204</w:t>
            </w:r>
          </w:p>
        </w:tc>
        <w:tc>
          <w:tcPr>
            <w:tcW w:w="3685" w:type="dxa"/>
            <w:shd w:val="clear" w:color="auto" w:fill="auto"/>
            <w:noWrap/>
            <w:vAlign w:val="center"/>
          </w:tcPr>
          <w:p w14:paraId="30C15F85">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12.2.7 往月水量修改审核</w:t>
            </w:r>
          </w:p>
        </w:tc>
        <w:tc>
          <w:tcPr>
            <w:tcW w:w="993" w:type="dxa"/>
            <w:shd w:val="clear" w:color="auto" w:fill="auto"/>
            <w:noWrap/>
            <w:vAlign w:val="center"/>
          </w:tcPr>
          <w:p w14:paraId="2DC8C5CC">
            <w:pPr>
              <w:widowControl/>
              <w:jc w:val="left"/>
              <w:rPr>
                <w:rFonts w:cs="宋体" w:asciiTheme="minorEastAsia" w:hAnsiTheme="minorEastAsia" w:eastAsiaTheme="minorEastAsia"/>
                <w:color w:val="auto"/>
                <w:kern w:val="0"/>
                <w:szCs w:val="21"/>
                <w:highlight w:val="none"/>
              </w:rPr>
            </w:pPr>
          </w:p>
        </w:tc>
      </w:tr>
      <w:tr w14:paraId="3503BF3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08A3B80D">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205</w:t>
            </w:r>
          </w:p>
        </w:tc>
        <w:tc>
          <w:tcPr>
            <w:tcW w:w="3685" w:type="dxa"/>
            <w:shd w:val="clear" w:color="auto" w:fill="auto"/>
            <w:noWrap/>
            <w:vAlign w:val="center"/>
          </w:tcPr>
          <w:p w14:paraId="5C32848B">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12.2.8 违约金减免审核</w:t>
            </w:r>
          </w:p>
        </w:tc>
        <w:tc>
          <w:tcPr>
            <w:tcW w:w="993" w:type="dxa"/>
            <w:shd w:val="clear" w:color="auto" w:fill="auto"/>
            <w:noWrap/>
            <w:vAlign w:val="center"/>
          </w:tcPr>
          <w:p w14:paraId="535AB51A">
            <w:pPr>
              <w:widowControl/>
              <w:jc w:val="left"/>
              <w:rPr>
                <w:rFonts w:cs="宋体" w:asciiTheme="minorEastAsia" w:hAnsiTheme="minorEastAsia" w:eastAsiaTheme="minorEastAsia"/>
                <w:color w:val="auto"/>
                <w:kern w:val="0"/>
                <w:szCs w:val="21"/>
                <w:highlight w:val="none"/>
              </w:rPr>
            </w:pPr>
          </w:p>
        </w:tc>
      </w:tr>
      <w:tr w14:paraId="4171C65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14E3E566">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206</w:t>
            </w:r>
          </w:p>
        </w:tc>
        <w:tc>
          <w:tcPr>
            <w:tcW w:w="3685" w:type="dxa"/>
            <w:shd w:val="clear" w:color="auto" w:fill="auto"/>
            <w:noWrap/>
            <w:vAlign w:val="center"/>
          </w:tcPr>
          <w:p w14:paraId="0EDB007A">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12.3 业务流程监控</w:t>
            </w:r>
          </w:p>
        </w:tc>
        <w:tc>
          <w:tcPr>
            <w:tcW w:w="993" w:type="dxa"/>
            <w:shd w:val="clear" w:color="auto" w:fill="auto"/>
            <w:noWrap/>
            <w:vAlign w:val="center"/>
          </w:tcPr>
          <w:p w14:paraId="77F46EA9">
            <w:pPr>
              <w:widowControl/>
              <w:jc w:val="left"/>
              <w:rPr>
                <w:rFonts w:cs="宋体" w:asciiTheme="minorEastAsia" w:hAnsiTheme="minorEastAsia" w:eastAsiaTheme="minorEastAsia"/>
                <w:color w:val="auto"/>
                <w:kern w:val="0"/>
                <w:szCs w:val="21"/>
                <w:highlight w:val="none"/>
              </w:rPr>
            </w:pPr>
          </w:p>
        </w:tc>
      </w:tr>
      <w:tr w14:paraId="1E0B215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3E10D0A2">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207</w:t>
            </w:r>
          </w:p>
        </w:tc>
        <w:tc>
          <w:tcPr>
            <w:tcW w:w="3685" w:type="dxa"/>
            <w:shd w:val="clear" w:color="auto" w:fill="auto"/>
            <w:noWrap/>
            <w:vAlign w:val="center"/>
          </w:tcPr>
          <w:p w14:paraId="4FCFC6A3">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13. 区域供水</w:t>
            </w:r>
          </w:p>
        </w:tc>
        <w:tc>
          <w:tcPr>
            <w:tcW w:w="993" w:type="dxa"/>
            <w:shd w:val="clear" w:color="auto" w:fill="auto"/>
            <w:noWrap/>
            <w:vAlign w:val="center"/>
          </w:tcPr>
          <w:p w14:paraId="0A7B4CD3">
            <w:pPr>
              <w:widowControl/>
              <w:jc w:val="left"/>
              <w:rPr>
                <w:rFonts w:cs="宋体" w:asciiTheme="minorEastAsia" w:hAnsiTheme="minorEastAsia" w:eastAsiaTheme="minorEastAsia"/>
                <w:color w:val="auto"/>
                <w:kern w:val="0"/>
                <w:szCs w:val="21"/>
                <w:highlight w:val="none"/>
              </w:rPr>
            </w:pPr>
          </w:p>
        </w:tc>
      </w:tr>
      <w:tr w14:paraId="33D244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745A602B">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208</w:t>
            </w:r>
          </w:p>
        </w:tc>
        <w:tc>
          <w:tcPr>
            <w:tcW w:w="3685" w:type="dxa"/>
            <w:shd w:val="clear" w:color="auto" w:fill="auto"/>
            <w:noWrap/>
            <w:vAlign w:val="center"/>
          </w:tcPr>
          <w:p w14:paraId="029C4592">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13.1 乡镇信息维护</w:t>
            </w:r>
          </w:p>
        </w:tc>
        <w:tc>
          <w:tcPr>
            <w:tcW w:w="993" w:type="dxa"/>
            <w:shd w:val="clear" w:color="auto" w:fill="auto"/>
            <w:noWrap/>
            <w:vAlign w:val="center"/>
          </w:tcPr>
          <w:p w14:paraId="3CA3C9F4">
            <w:pPr>
              <w:widowControl/>
              <w:jc w:val="left"/>
              <w:rPr>
                <w:rFonts w:cs="宋体" w:asciiTheme="minorEastAsia" w:hAnsiTheme="minorEastAsia" w:eastAsiaTheme="minorEastAsia"/>
                <w:color w:val="auto"/>
                <w:kern w:val="0"/>
                <w:szCs w:val="21"/>
                <w:highlight w:val="none"/>
              </w:rPr>
            </w:pPr>
          </w:p>
        </w:tc>
      </w:tr>
      <w:tr w14:paraId="6D7EC02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26091F40">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209</w:t>
            </w:r>
          </w:p>
        </w:tc>
        <w:tc>
          <w:tcPr>
            <w:tcW w:w="3685" w:type="dxa"/>
            <w:shd w:val="clear" w:color="auto" w:fill="auto"/>
            <w:noWrap/>
            <w:vAlign w:val="center"/>
          </w:tcPr>
          <w:p w14:paraId="0B38F94B">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13.2 城区区域供水欠费汇总</w:t>
            </w:r>
          </w:p>
        </w:tc>
        <w:tc>
          <w:tcPr>
            <w:tcW w:w="993" w:type="dxa"/>
            <w:shd w:val="clear" w:color="auto" w:fill="auto"/>
            <w:noWrap/>
            <w:vAlign w:val="center"/>
          </w:tcPr>
          <w:p w14:paraId="2AA99988">
            <w:pPr>
              <w:widowControl/>
              <w:jc w:val="left"/>
              <w:rPr>
                <w:rFonts w:cs="宋体" w:asciiTheme="minorEastAsia" w:hAnsiTheme="minorEastAsia" w:eastAsiaTheme="minorEastAsia"/>
                <w:color w:val="auto"/>
                <w:kern w:val="0"/>
                <w:szCs w:val="21"/>
                <w:highlight w:val="none"/>
              </w:rPr>
            </w:pPr>
          </w:p>
        </w:tc>
      </w:tr>
      <w:tr w14:paraId="3823FA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1156" w:type="dxa"/>
            <w:shd w:val="clear" w:color="auto" w:fill="auto"/>
            <w:noWrap/>
            <w:vAlign w:val="center"/>
          </w:tcPr>
          <w:p w14:paraId="044056D6">
            <w:pPr>
              <w:widowControl/>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210</w:t>
            </w:r>
          </w:p>
        </w:tc>
        <w:tc>
          <w:tcPr>
            <w:tcW w:w="3685" w:type="dxa"/>
            <w:shd w:val="clear" w:color="auto" w:fill="auto"/>
            <w:noWrap/>
            <w:vAlign w:val="center"/>
          </w:tcPr>
          <w:p w14:paraId="3C6BA7A5">
            <w:pPr>
              <w:widowControl/>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13.3 城区区域供水欠费情况</w:t>
            </w:r>
          </w:p>
        </w:tc>
        <w:tc>
          <w:tcPr>
            <w:tcW w:w="993" w:type="dxa"/>
            <w:shd w:val="clear" w:color="auto" w:fill="auto"/>
            <w:noWrap/>
            <w:vAlign w:val="center"/>
          </w:tcPr>
          <w:p w14:paraId="167EA94E">
            <w:pPr>
              <w:widowControl/>
              <w:jc w:val="left"/>
              <w:rPr>
                <w:rFonts w:cs="宋体" w:asciiTheme="minorEastAsia" w:hAnsiTheme="minorEastAsia" w:eastAsiaTheme="minorEastAsia"/>
                <w:color w:val="auto"/>
                <w:kern w:val="0"/>
                <w:szCs w:val="21"/>
                <w:highlight w:val="none"/>
              </w:rPr>
            </w:pPr>
          </w:p>
        </w:tc>
      </w:tr>
    </w:tbl>
    <w:p w14:paraId="328E7FA1">
      <w:pPr>
        <w:pStyle w:val="29"/>
        <w:spacing w:line="360" w:lineRule="auto"/>
        <w:ind w:firstLine="424" w:firstLineChars="202"/>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其它需要新增或改进升级的功能：</w:t>
      </w:r>
    </w:p>
    <w:p w14:paraId="6C046EDA">
      <w:pPr>
        <w:pStyle w:val="29"/>
        <w:spacing w:line="360" w:lineRule="auto"/>
        <w:ind w:firstLine="424" w:firstLineChars="202"/>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1、用户档案。在原有用户档案信息目录基础上，增加标准地址、工商编码、区域编码、职业划分等，便于抄见水量按区域、职业统计分析，标准地址可实现精准服务。</w:t>
      </w:r>
    </w:p>
    <w:p w14:paraId="72146A7B">
      <w:pPr>
        <w:pStyle w:val="29"/>
        <w:spacing w:line="360" w:lineRule="auto"/>
        <w:ind w:firstLine="424" w:firstLineChars="202"/>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2、窗口收费。用户缴费时记录缴费方式（现金、刷卡、微信、支付宝、转账、支票），并可根据收费员、缴费方式统计日、月情况，结合备用金情况，详细台账，便于盘点。</w:t>
      </w:r>
    </w:p>
    <w:p w14:paraId="552088E5">
      <w:pPr>
        <w:pStyle w:val="29"/>
        <w:spacing w:line="360" w:lineRule="auto"/>
        <w:ind w:firstLine="424" w:firstLineChars="202"/>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3、更名过户。不同类型用户更名过户（单表用户、合表用户、企业单位），固化所需材料，图片存档。疑难问题，管理人员审核。</w:t>
      </w:r>
    </w:p>
    <w:p w14:paraId="139B9DAA">
      <w:pPr>
        <w:pStyle w:val="29"/>
        <w:spacing w:line="360" w:lineRule="auto"/>
        <w:ind w:firstLine="424" w:firstLineChars="202"/>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抄表管理。设置用户类型，核定抄表计件价格，根据计件考核标准，计算计件应得。异常故障（整改、换表、违章、维修、复核等）用户，可选择后管理人员审核，直接将工单发送到相应班组。需通知用户信息，经管理人员审核后，当日推送到用户。按抄表册、用户职业类别等，进行水量同比、对比，异常直接推送复核。复核岗可通过抄表现场图片、视频等，判断抄表质量。现场记录情况，抄表员复核后，系统更新存档。</w:t>
      </w:r>
    </w:p>
    <w:p w14:paraId="6ACF1927">
      <w:pPr>
        <w:pStyle w:val="29"/>
        <w:spacing w:line="360" w:lineRule="auto"/>
        <w:ind w:firstLine="424" w:firstLineChars="202"/>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5、报表。丰富报表的对比分析功能，展示结果可报表、曲线、柱图、饼图等。抄见水量按日、月对比按户、册、线路，按水价、职业类别同比、环比，也可按区域对比分析抄见水量变化情况。对欠费未缴也有有效统计分析。</w:t>
      </w:r>
    </w:p>
    <w:p w14:paraId="6C16B79F">
      <w:pPr>
        <w:pStyle w:val="29"/>
        <w:spacing w:line="360" w:lineRule="auto"/>
        <w:ind w:firstLine="424" w:firstLineChars="202"/>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6、工程管理。表位整改、移表等工程，电脑端分配任务，手机端记录现场施工情况及材料使用，按月结算劳务费用。</w:t>
      </w:r>
    </w:p>
    <w:p w14:paraId="18FAE5F8">
      <w:pPr>
        <w:pStyle w:val="29"/>
        <w:spacing w:line="360" w:lineRule="auto"/>
        <w:ind w:firstLine="424" w:firstLineChars="202"/>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7、水量复核。直接读取智能表数据采集系统，分析日用量、月用量，筛选异常，现场复核。数据提交收费前，根据同比、环比、经验水量进行对比分析，异常提请复核。复核可参照现场表计照片。</w:t>
      </w:r>
    </w:p>
    <w:p w14:paraId="6A1B70F8">
      <w:pPr>
        <w:spacing w:line="360" w:lineRule="auto"/>
        <w:ind w:firstLine="312" w:firstLineChars="149"/>
        <w:rPr>
          <w:rFonts w:asciiTheme="minorEastAsia" w:hAnsiTheme="minorEastAsia" w:eastAsiaTheme="minorEastAsia"/>
          <w:color w:val="auto"/>
          <w:szCs w:val="21"/>
          <w:highlight w:val="none"/>
        </w:rPr>
      </w:pPr>
    </w:p>
    <w:p w14:paraId="5BF9A611">
      <w:pPr>
        <w:spacing w:line="360" w:lineRule="auto"/>
        <w:rPr>
          <w:rFonts w:cs="微软雅黑" w:asciiTheme="minorEastAsia" w:hAnsiTheme="minorEastAsia" w:eastAsiaTheme="minorEastAsia"/>
          <w:b/>
          <w:color w:val="auto"/>
          <w:kern w:val="21"/>
          <w:szCs w:val="21"/>
          <w:highlight w:val="none"/>
        </w:rPr>
      </w:pPr>
      <w:r>
        <w:rPr>
          <w:rFonts w:hint="eastAsia" w:cs="微软雅黑" w:asciiTheme="minorEastAsia" w:hAnsiTheme="minorEastAsia" w:eastAsiaTheme="minorEastAsia"/>
          <w:b/>
          <w:color w:val="auto"/>
          <w:kern w:val="21"/>
          <w:szCs w:val="21"/>
          <w:highlight w:val="none"/>
        </w:rPr>
        <w:t>八、新增营收分区计量抄表分析管理子系统</w:t>
      </w:r>
    </w:p>
    <w:p w14:paraId="355A0326">
      <w:pPr>
        <w:spacing w:line="360" w:lineRule="auto"/>
        <w:rPr>
          <w:rFonts w:cs="微软雅黑" w:asciiTheme="minorEastAsia" w:hAnsiTheme="minorEastAsia" w:eastAsiaTheme="minorEastAsia"/>
          <w:color w:val="auto"/>
          <w:kern w:val="21"/>
          <w:szCs w:val="21"/>
          <w:highlight w:val="none"/>
        </w:rPr>
      </w:pPr>
      <w:r>
        <w:rPr>
          <w:rFonts w:hint="eastAsia" w:cs="微软雅黑" w:asciiTheme="minorEastAsia" w:hAnsiTheme="minorEastAsia" w:eastAsiaTheme="minorEastAsia"/>
          <w:color w:val="auto"/>
          <w:kern w:val="21"/>
          <w:szCs w:val="21"/>
          <w:highlight w:val="none"/>
        </w:rPr>
        <w:tab/>
      </w:r>
      <w:r>
        <w:rPr>
          <w:rFonts w:hint="eastAsia" w:cs="微软雅黑" w:asciiTheme="minorEastAsia" w:hAnsiTheme="minorEastAsia" w:eastAsiaTheme="minorEastAsia"/>
          <w:color w:val="auto"/>
          <w:kern w:val="21"/>
          <w:szCs w:val="21"/>
          <w:highlight w:val="none"/>
        </w:rPr>
        <w:t>对营业部门来说，产销差率是一个重要的考核指标，管网漏损不但浪费水资源，也可能引起次生灾害。2021年国家发改委、水利部引发了《“十四五”节水型社会建设规划》明确：到2025年城市公共管网漏损率目标是控制在9%以下。</w:t>
      </w:r>
    </w:p>
    <w:p w14:paraId="35159C83">
      <w:pPr>
        <w:spacing w:line="360" w:lineRule="auto"/>
        <w:rPr>
          <w:rFonts w:cs="微软雅黑" w:asciiTheme="minorEastAsia" w:hAnsiTheme="minorEastAsia" w:eastAsiaTheme="minorEastAsia"/>
          <w:color w:val="auto"/>
          <w:kern w:val="21"/>
          <w:szCs w:val="21"/>
          <w:highlight w:val="none"/>
        </w:rPr>
      </w:pPr>
      <w:r>
        <w:rPr>
          <w:rFonts w:hint="eastAsia" w:cs="微软雅黑" w:asciiTheme="minorEastAsia" w:hAnsiTheme="minorEastAsia" w:eastAsiaTheme="minorEastAsia"/>
          <w:color w:val="auto"/>
          <w:kern w:val="21"/>
          <w:szCs w:val="21"/>
          <w:highlight w:val="none"/>
        </w:rPr>
        <w:tab/>
      </w:r>
      <w:r>
        <w:rPr>
          <w:rFonts w:hint="eastAsia" w:cs="微软雅黑" w:asciiTheme="minorEastAsia" w:hAnsiTheme="minorEastAsia" w:eastAsiaTheme="minorEastAsia"/>
          <w:color w:val="auto"/>
          <w:kern w:val="21"/>
          <w:szCs w:val="21"/>
          <w:highlight w:val="none"/>
        </w:rPr>
        <w:t>为降低产销差率，按需选择分区计量实施路线，建设分区计量工程，逐步实现供水管网的网格化。根据区域计量的数据，结合区域内用户抄表数据计算区域产销差率，可以有针对性的发现问题，还能够及时发现和定位漏水点，减少漏损和浪费，降低漏损率和产销差。</w:t>
      </w:r>
    </w:p>
    <w:p w14:paraId="2F123735">
      <w:pPr>
        <w:spacing w:line="360" w:lineRule="auto"/>
        <w:rPr>
          <w:rFonts w:cs="微软雅黑" w:asciiTheme="minorEastAsia" w:hAnsiTheme="minorEastAsia" w:eastAsiaTheme="minorEastAsia"/>
          <w:color w:val="auto"/>
          <w:kern w:val="21"/>
          <w:szCs w:val="21"/>
          <w:highlight w:val="none"/>
        </w:rPr>
      </w:pPr>
      <w:r>
        <w:rPr>
          <w:rFonts w:hint="eastAsia" w:cs="微软雅黑" w:asciiTheme="minorEastAsia" w:hAnsiTheme="minorEastAsia" w:eastAsiaTheme="minorEastAsia"/>
          <w:color w:val="auto"/>
          <w:kern w:val="21"/>
          <w:szCs w:val="21"/>
          <w:highlight w:val="none"/>
        </w:rPr>
        <w:tab/>
      </w:r>
      <w:r>
        <w:rPr>
          <w:rFonts w:hint="eastAsia" w:cs="微软雅黑" w:asciiTheme="minorEastAsia" w:hAnsiTheme="minorEastAsia" w:eastAsiaTheme="minorEastAsia"/>
          <w:color w:val="auto"/>
          <w:kern w:val="21"/>
          <w:szCs w:val="21"/>
          <w:highlight w:val="none"/>
        </w:rPr>
        <w:t>结合本次营业抄收管理系统升级，实现分区计量抄表分析功能。主要功能模块包括但不限于：</w:t>
      </w:r>
    </w:p>
    <w:p w14:paraId="23C60754">
      <w:pPr>
        <w:pStyle w:val="29"/>
        <w:numPr>
          <w:ilvl w:val="0"/>
          <w:numId w:val="11"/>
        </w:numPr>
        <w:spacing w:line="360" w:lineRule="auto"/>
        <w:ind w:firstLineChars="0"/>
        <w:rPr>
          <w:rFonts w:cs="微软雅黑" w:asciiTheme="minorEastAsia" w:hAnsiTheme="minorEastAsia" w:eastAsiaTheme="minorEastAsia"/>
          <w:color w:val="auto"/>
          <w:kern w:val="21"/>
          <w:szCs w:val="21"/>
          <w:highlight w:val="none"/>
        </w:rPr>
      </w:pPr>
      <w:r>
        <w:rPr>
          <w:rFonts w:hint="eastAsia" w:cs="微软雅黑" w:asciiTheme="minorEastAsia" w:hAnsiTheme="minorEastAsia" w:eastAsiaTheme="minorEastAsia"/>
          <w:color w:val="auto"/>
          <w:kern w:val="21"/>
          <w:szCs w:val="21"/>
          <w:highlight w:val="none"/>
        </w:rPr>
        <w:t>区域计量表档案信息管理：档案建立、修改、启用/停用等；</w:t>
      </w:r>
    </w:p>
    <w:p w14:paraId="1564DE09">
      <w:pPr>
        <w:pStyle w:val="29"/>
        <w:numPr>
          <w:ilvl w:val="0"/>
          <w:numId w:val="11"/>
        </w:numPr>
        <w:spacing w:line="360" w:lineRule="auto"/>
        <w:ind w:firstLineChars="0"/>
        <w:rPr>
          <w:rFonts w:cs="微软雅黑" w:asciiTheme="minorEastAsia" w:hAnsiTheme="minorEastAsia" w:eastAsiaTheme="minorEastAsia"/>
          <w:color w:val="auto"/>
          <w:kern w:val="21"/>
          <w:szCs w:val="21"/>
          <w:highlight w:val="none"/>
        </w:rPr>
      </w:pPr>
      <w:r>
        <w:rPr>
          <w:rFonts w:hint="eastAsia" w:cs="微软雅黑" w:asciiTheme="minorEastAsia" w:hAnsiTheme="minorEastAsia" w:eastAsiaTheme="minorEastAsia"/>
          <w:color w:val="auto"/>
          <w:kern w:val="21"/>
          <w:szCs w:val="21"/>
          <w:highlight w:val="none"/>
        </w:rPr>
        <w:t>区域表抄表管理：抄表录入/导入、抄表信息修改、抄表复核等；</w:t>
      </w:r>
    </w:p>
    <w:p w14:paraId="1364FEF2">
      <w:pPr>
        <w:pStyle w:val="29"/>
        <w:numPr>
          <w:ilvl w:val="0"/>
          <w:numId w:val="11"/>
        </w:numPr>
        <w:spacing w:line="360" w:lineRule="auto"/>
        <w:ind w:firstLineChars="0"/>
        <w:rPr>
          <w:rFonts w:cs="微软雅黑" w:asciiTheme="minorEastAsia" w:hAnsiTheme="minorEastAsia" w:eastAsiaTheme="minorEastAsia"/>
          <w:color w:val="auto"/>
          <w:kern w:val="21"/>
          <w:szCs w:val="21"/>
          <w:highlight w:val="none"/>
        </w:rPr>
      </w:pPr>
      <w:r>
        <w:rPr>
          <w:rFonts w:cs="微软雅黑" w:asciiTheme="minorEastAsia" w:hAnsiTheme="minorEastAsia" w:eastAsiaTheme="minorEastAsia"/>
          <w:color w:val="auto"/>
          <w:kern w:val="21"/>
          <w:szCs w:val="21"/>
          <w:highlight w:val="none"/>
        </w:rPr>
        <w:t>区域内用户表管理：用户表纳入、删除，包括整册、单户、地理位置坐标圈入等；</w:t>
      </w:r>
    </w:p>
    <w:p w14:paraId="44685E46">
      <w:pPr>
        <w:pStyle w:val="29"/>
        <w:numPr>
          <w:ilvl w:val="0"/>
          <w:numId w:val="11"/>
        </w:numPr>
        <w:spacing w:line="360" w:lineRule="auto"/>
        <w:ind w:firstLineChars="0"/>
        <w:rPr>
          <w:rFonts w:cs="微软雅黑" w:asciiTheme="minorEastAsia" w:hAnsiTheme="minorEastAsia" w:eastAsiaTheme="minorEastAsia"/>
          <w:color w:val="auto"/>
          <w:kern w:val="21"/>
          <w:szCs w:val="21"/>
          <w:highlight w:val="none"/>
        </w:rPr>
      </w:pPr>
      <w:r>
        <w:rPr>
          <w:rFonts w:cs="微软雅黑" w:asciiTheme="minorEastAsia" w:hAnsiTheme="minorEastAsia" w:eastAsiaTheme="minorEastAsia"/>
          <w:color w:val="auto"/>
          <w:kern w:val="21"/>
          <w:szCs w:val="21"/>
          <w:highlight w:val="none"/>
        </w:rPr>
        <w:t>区域表计量统计分析：年度</w:t>
      </w:r>
      <w:r>
        <w:rPr>
          <w:rFonts w:hint="eastAsia" w:cs="微软雅黑" w:asciiTheme="minorEastAsia" w:hAnsiTheme="minorEastAsia" w:eastAsiaTheme="minorEastAsia"/>
          <w:color w:val="auto"/>
          <w:kern w:val="21"/>
          <w:szCs w:val="21"/>
          <w:highlight w:val="none"/>
        </w:rPr>
        <w:t>/月底产销差分析、各分区产销差汇总排名分析、分段计量分析等。</w:t>
      </w:r>
    </w:p>
    <w:p w14:paraId="5B5F8F99">
      <w:pPr>
        <w:spacing w:line="360" w:lineRule="auto"/>
        <w:rPr>
          <w:rFonts w:cs="微软雅黑" w:asciiTheme="minorEastAsia" w:hAnsiTheme="minorEastAsia" w:eastAsiaTheme="minorEastAsia"/>
          <w:color w:val="auto"/>
          <w:kern w:val="21"/>
          <w:szCs w:val="21"/>
          <w:highlight w:val="none"/>
        </w:rPr>
      </w:pPr>
    </w:p>
    <w:p w14:paraId="6A0D4258">
      <w:pPr>
        <w:pStyle w:val="29"/>
        <w:spacing w:line="360" w:lineRule="auto"/>
        <w:ind w:firstLine="424" w:firstLineChars="202"/>
        <w:rPr>
          <w:rFonts w:cs="微软雅黑" w:asciiTheme="minorEastAsia" w:hAnsiTheme="minorEastAsia" w:eastAsiaTheme="minorEastAsia"/>
          <w:color w:val="auto"/>
          <w:kern w:val="21"/>
          <w:szCs w:val="21"/>
          <w:highlight w:val="none"/>
        </w:rPr>
      </w:pPr>
      <w:r>
        <w:rPr>
          <w:rFonts w:hint="eastAsia" w:cs="微软雅黑" w:asciiTheme="minorEastAsia" w:hAnsiTheme="minorEastAsia" w:eastAsiaTheme="minorEastAsia"/>
          <w:color w:val="auto"/>
          <w:kern w:val="21"/>
          <w:szCs w:val="21"/>
          <w:highlight w:val="none"/>
        </w:rPr>
        <w:t>本次升级对营收系统标准体系结构分解细化，进而建立智慧水务标准体系框架，为将来智慧水务系统建设及业务标准做好准备工作。</w:t>
      </w:r>
    </w:p>
    <w:p w14:paraId="427DC6FC">
      <w:pPr>
        <w:spacing w:line="360" w:lineRule="auto"/>
        <w:rPr>
          <w:rFonts w:hint="eastAsia" w:asciiTheme="minorEastAsia" w:hAnsiTheme="minorEastAsia" w:eastAsiaTheme="minorEastAsia"/>
          <w:b/>
          <w:color w:val="auto"/>
          <w:szCs w:val="21"/>
          <w:highlight w:val="none"/>
        </w:rPr>
      </w:pPr>
    </w:p>
    <w:p w14:paraId="264042AE">
      <w:pPr>
        <w:spacing w:line="360" w:lineRule="auto"/>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（二）</w:t>
      </w:r>
      <w:r>
        <w:rPr>
          <w:rFonts w:asciiTheme="minorEastAsia" w:hAnsiTheme="minorEastAsia" w:eastAsiaTheme="minorEastAsia"/>
          <w:b/>
          <w:color w:val="auto"/>
          <w:sz w:val="24"/>
          <w:highlight w:val="none"/>
        </w:rPr>
        <w:t>为减少对营业部门日常工作的影响，项目实施时实行新老系统同步并行运行逐步替换的方法。</w:t>
      </w:r>
    </w:p>
    <w:p w14:paraId="1442ECA1">
      <w:pPr>
        <w:rPr>
          <w:rFonts w:hint="eastAsia"/>
          <w:color w:val="auto"/>
          <w:sz w:val="24"/>
          <w:highlight w:val="none"/>
        </w:rPr>
      </w:pPr>
    </w:p>
    <w:p w14:paraId="5F167CBB">
      <w:pPr>
        <w:spacing w:line="440" w:lineRule="exact"/>
        <w:rPr>
          <w:rFonts w:ascii="宋体" w:hAnsi="宋体"/>
          <w:b/>
          <w:color w:val="auto"/>
          <w:sz w:val="24"/>
          <w:highlight w:val="none"/>
        </w:rPr>
      </w:pPr>
      <w:r>
        <w:rPr>
          <w:rFonts w:hint="eastAsia" w:ascii="宋体" w:hAnsi="宋体"/>
          <w:b/>
          <w:color w:val="auto"/>
          <w:sz w:val="24"/>
          <w:highlight w:val="none"/>
        </w:rPr>
        <w:t>（三）、营业抄收管理系统升级实施的其它要求</w:t>
      </w:r>
    </w:p>
    <w:p w14:paraId="7AADC2DF">
      <w:pPr>
        <w:spacing w:line="440" w:lineRule="exact"/>
        <w:rPr>
          <w:rFonts w:ascii="宋体" w:hAnsi="宋体"/>
          <w:color w:val="auto"/>
          <w:szCs w:val="21"/>
          <w:highlight w:val="none"/>
        </w:rPr>
      </w:pPr>
      <w:r>
        <w:rPr>
          <w:rFonts w:hint="eastAsia" w:ascii="宋体" w:hAnsi="宋体"/>
          <w:color w:val="auto"/>
          <w:szCs w:val="21"/>
          <w:highlight w:val="none"/>
        </w:rPr>
        <w:tab/>
      </w:r>
      <w:r>
        <w:rPr>
          <w:rFonts w:hint="eastAsia" w:ascii="宋体" w:hAnsi="宋体"/>
          <w:color w:val="auto"/>
          <w:szCs w:val="21"/>
          <w:highlight w:val="none"/>
        </w:rPr>
        <w:t>3.1对外服务系统接口</w:t>
      </w:r>
    </w:p>
    <w:p w14:paraId="7371A8A5">
      <w:pPr>
        <w:pStyle w:val="29"/>
        <w:spacing w:line="440" w:lineRule="exact"/>
        <w:ind w:left="420" w:firstLineChars="0"/>
        <w:rPr>
          <w:rFonts w:ascii="宋体" w:hAnsi="宋体"/>
          <w:color w:val="auto"/>
          <w:szCs w:val="21"/>
          <w:highlight w:val="none"/>
        </w:rPr>
      </w:pPr>
      <w:r>
        <w:rPr>
          <w:rFonts w:hint="eastAsia" w:ascii="宋体" w:hAnsi="宋体"/>
          <w:color w:val="auto"/>
          <w:szCs w:val="21"/>
          <w:highlight w:val="none"/>
        </w:rPr>
        <w:t>3．1．1、根据城控集团要求，满足城控集团柜台业务三网合一的要求。</w:t>
      </w:r>
    </w:p>
    <w:p w14:paraId="3C467759">
      <w:pPr>
        <w:pStyle w:val="29"/>
        <w:spacing w:line="440" w:lineRule="exact"/>
        <w:ind w:left="420" w:firstLineChars="0"/>
        <w:rPr>
          <w:rFonts w:ascii="宋体" w:hAnsi="宋体"/>
          <w:color w:val="auto"/>
          <w:szCs w:val="21"/>
          <w:highlight w:val="none"/>
        </w:rPr>
      </w:pPr>
      <w:r>
        <w:rPr>
          <w:rFonts w:hint="eastAsia" w:ascii="宋体" w:hAnsi="宋体"/>
          <w:color w:val="auto"/>
          <w:szCs w:val="21"/>
          <w:highlight w:val="none"/>
        </w:rPr>
        <w:t>3．1．2、保持各个银行及其它代收代缴机构接口的正常运行。</w:t>
      </w:r>
    </w:p>
    <w:p w14:paraId="3264548F">
      <w:pPr>
        <w:pStyle w:val="29"/>
        <w:spacing w:line="440" w:lineRule="exact"/>
        <w:ind w:left="420" w:firstLineChars="0"/>
        <w:rPr>
          <w:rFonts w:ascii="宋体" w:hAnsi="宋体"/>
          <w:color w:val="auto"/>
          <w:szCs w:val="21"/>
          <w:highlight w:val="none"/>
        </w:rPr>
      </w:pPr>
      <w:r>
        <w:rPr>
          <w:rFonts w:hint="eastAsia" w:ascii="宋体" w:hAnsi="宋体"/>
          <w:color w:val="auto"/>
          <w:szCs w:val="21"/>
          <w:highlight w:val="none"/>
        </w:rPr>
        <w:t>3．1．3、可对接OA系统，相关工单可以通过OA系统接口推入到OA系统业务流程。</w:t>
      </w:r>
    </w:p>
    <w:p w14:paraId="5B3F5AA7">
      <w:pPr>
        <w:pStyle w:val="29"/>
        <w:spacing w:line="440" w:lineRule="exact"/>
        <w:ind w:left="840" w:firstLine="0" w:firstLineChars="0"/>
        <w:rPr>
          <w:rFonts w:ascii="宋体" w:hAnsi="宋体"/>
          <w:color w:val="auto"/>
          <w:sz w:val="24"/>
          <w:szCs w:val="24"/>
          <w:highlight w:val="none"/>
        </w:rPr>
      </w:pPr>
    </w:p>
    <w:p w14:paraId="01DD424B">
      <w:pPr>
        <w:spacing w:line="440" w:lineRule="exact"/>
        <w:ind w:firstLine="420"/>
        <w:rPr>
          <w:rFonts w:ascii="宋体" w:hAnsi="宋体"/>
          <w:color w:val="auto"/>
          <w:highlight w:val="none"/>
        </w:rPr>
      </w:pPr>
      <w:r>
        <w:rPr>
          <w:rFonts w:hint="eastAsia" w:ascii="宋体" w:hAnsi="宋体"/>
          <w:color w:val="auto"/>
          <w:highlight w:val="none"/>
        </w:rPr>
        <w:t>3．2、保持“我的扬州APP”接口及相关功能。</w:t>
      </w:r>
    </w:p>
    <w:p w14:paraId="24075FCB">
      <w:pPr>
        <w:spacing w:line="440" w:lineRule="exact"/>
        <w:rPr>
          <w:rFonts w:ascii="宋体" w:hAnsi="宋体"/>
          <w:color w:val="auto"/>
          <w:highlight w:val="none"/>
        </w:rPr>
      </w:pPr>
    </w:p>
    <w:p w14:paraId="1FDEA82F">
      <w:pPr>
        <w:spacing w:line="440" w:lineRule="exact"/>
        <w:ind w:firstLine="420"/>
        <w:rPr>
          <w:rFonts w:ascii="宋体" w:hAnsi="宋体"/>
          <w:color w:val="auto"/>
          <w:highlight w:val="none"/>
        </w:rPr>
      </w:pPr>
      <w:r>
        <w:rPr>
          <w:rFonts w:hint="eastAsia" w:ascii="宋体" w:hAnsi="宋体"/>
          <w:color w:val="auto"/>
          <w:highlight w:val="none"/>
        </w:rPr>
        <w:t>3．3、与报装业务管理系统的无缝衔接</w:t>
      </w:r>
    </w:p>
    <w:p w14:paraId="6E10CEC0">
      <w:pPr>
        <w:spacing w:line="440" w:lineRule="exact"/>
        <w:rPr>
          <w:rFonts w:ascii="宋体" w:hAnsi="宋体"/>
          <w:color w:val="auto"/>
          <w:highlight w:val="none"/>
        </w:rPr>
      </w:pPr>
      <w:r>
        <w:rPr>
          <w:rFonts w:hint="eastAsia" w:ascii="宋体" w:hAnsi="宋体"/>
          <w:color w:val="auto"/>
          <w:highlight w:val="none"/>
        </w:rPr>
        <w:tab/>
      </w:r>
      <w:r>
        <w:rPr>
          <w:rFonts w:hint="eastAsia" w:ascii="宋体" w:hAnsi="宋体"/>
          <w:color w:val="auto"/>
          <w:highlight w:val="none"/>
        </w:rPr>
        <w:tab/>
      </w:r>
      <w:r>
        <w:rPr>
          <w:rFonts w:hint="eastAsia" w:ascii="宋体" w:hAnsi="宋体"/>
          <w:color w:val="auto"/>
          <w:highlight w:val="none"/>
        </w:rPr>
        <w:t>3．3．1、安装完毕移交抄表收费</w:t>
      </w:r>
    </w:p>
    <w:p w14:paraId="2EC7E31E">
      <w:pPr>
        <w:spacing w:line="440" w:lineRule="exact"/>
        <w:rPr>
          <w:rFonts w:ascii="宋体" w:hAnsi="宋体"/>
          <w:color w:val="auto"/>
          <w:highlight w:val="none"/>
        </w:rPr>
      </w:pPr>
      <w:r>
        <w:rPr>
          <w:rFonts w:hint="eastAsia" w:ascii="宋体" w:hAnsi="宋体"/>
          <w:color w:val="auto"/>
          <w:highlight w:val="none"/>
        </w:rPr>
        <w:tab/>
      </w:r>
      <w:r>
        <w:rPr>
          <w:rFonts w:hint="eastAsia" w:ascii="宋体" w:hAnsi="宋体"/>
          <w:color w:val="auto"/>
          <w:highlight w:val="none"/>
        </w:rPr>
        <w:tab/>
      </w:r>
      <w:r>
        <w:rPr>
          <w:rFonts w:hint="eastAsia" w:ascii="宋体" w:hAnsi="宋体"/>
          <w:color w:val="auto"/>
          <w:highlight w:val="none"/>
        </w:rPr>
        <w:tab/>
      </w:r>
      <w:r>
        <w:rPr>
          <w:rFonts w:hint="eastAsia" w:ascii="宋体" w:hAnsi="宋体"/>
          <w:color w:val="auto"/>
          <w:highlight w:val="none"/>
        </w:rPr>
        <w:t>可以选择单户或批量自动移交。</w:t>
      </w:r>
    </w:p>
    <w:p w14:paraId="5AD77379">
      <w:pPr>
        <w:spacing w:line="440" w:lineRule="exact"/>
        <w:rPr>
          <w:rFonts w:ascii="宋体" w:hAnsi="宋体"/>
          <w:color w:val="auto"/>
          <w:highlight w:val="none"/>
        </w:rPr>
      </w:pPr>
      <w:r>
        <w:rPr>
          <w:rFonts w:hint="eastAsia" w:ascii="宋体" w:hAnsi="宋体"/>
          <w:color w:val="auto"/>
          <w:highlight w:val="none"/>
        </w:rPr>
        <w:tab/>
      </w:r>
      <w:r>
        <w:rPr>
          <w:rFonts w:hint="eastAsia" w:ascii="宋体" w:hAnsi="宋体"/>
          <w:color w:val="auto"/>
          <w:highlight w:val="none"/>
        </w:rPr>
        <w:tab/>
      </w:r>
      <w:r>
        <w:rPr>
          <w:rFonts w:hint="eastAsia" w:ascii="宋体" w:hAnsi="宋体"/>
          <w:color w:val="auto"/>
          <w:highlight w:val="none"/>
        </w:rPr>
        <w:t>3．3．2、移交之后的跟踪服务</w:t>
      </w:r>
    </w:p>
    <w:p w14:paraId="49033696">
      <w:pPr>
        <w:spacing w:line="440" w:lineRule="exact"/>
        <w:ind w:left="840" w:firstLine="420"/>
        <w:rPr>
          <w:rFonts w:ascii="宋体" w:hAnsi="宋体"/>
          <w:color w:val="auto"/>
          <w:highlight w:val="none"/>
        </w:rPr>
      </w:pPr>
      <w:r>
        <w:rPr>
          <w:rFonts w:hint="eastAsia" w:ascii="宋体" w:hAnsi="宋体"/>
          <w:color w:val="auto"/>
          <w:highlight w:val="none"/>
        </w:rPr>
        <w:t>可直接查询移交之后用户的抄表收费情况。</w:t>
      </w:r>
    </w:p>
    <w:p w14:paraId="2F6D6A2C">
      <w:pPr>
        <w:spacing w:line="440" w:lineRule="exact"/>
        <w:rPr>
          <w:rFonts w:ascii="宋体" w:hAnsi="宋体"/>
          <w:color w:val="auto"/>
          <w:highlight w:val="none"/>
        </w:rPr>
      </w:pPr>
      <w:r>
        <w:rPr>
          <w:rFonts w:hint="eastAsia" w:ascii="宋体" w:hAnsi="宋体"/>
          <w:color w:val="auto"/>
          <w:highlight w:val="none"/>
        </w:rPr>
        <w:tab/>
      </w:r>
      <w:r>
        <w:rPr>
          <w:rFonts w:hint="eastAsia" w:ascii="宋体" w:hAnsi="宋体"/>
          <w:color w:val="auto"/>
          <w:highlight w:val="none"/>
        </w:rPr>
        <w:tab/>
      </w:r>
      <w:r>
        <w:rPr>
          <w:rFonts w:hint="eastAsia" w:ascii="宋体" w:hAnsi="宋体"/>
          <w:color w:val="auto"/>
          <w:highlight w:val="none"/>
        </w:rPr>
        <w:t>3．3．3、移交用户的审核</w:t>
      </w:r>
    </w:p>
    <w:p w14:paraId="2EDF8BD5">
      <w:pPr>
        <w:spacing w:line="440" w:lineRule="exact"/>
        <w:rPr>
          <w:rFonts w:ascii="宋体" w:hAnsi="宋体"/>
          <w:color w:val="auto"/>
          <w:highlight w:val="none"/>
        </w:rPr>
      </w:pPr>
      <w:r>
        <w:rPr>
          <w:rFonts w:hint="eastAsia" w:ascii="宋体" w:hAnsi="宋体"/>
          <w:color w:val="auto"/>
          <w:highlight w:val="none"/>
        </w:rPr>
        <w:tab/>
      </w:r>
      <w:r>
        <w:rPr>
          <w:rFonts w:hint="eastAsia" w:ascii="宋体" w:hAnsi="宋体"/>
          <w:color w:val="auto"/>
          <w:highlight w:val="none"/>
        </w:rPr>
        <w:tab/>
      </w:r>
      <w:r>
        <w:rPr>
          <w:rFonts w:hint="eastAsia" w:ascii="宋体" w:hAnsi="宋体"/>
          <w:color w:val="auto"/>
          <w:highlight w:val="none"/>
        </w:rPr>
        <w:tab/>
      </w:r>
      <w:r>
        <w:rPr>
          <w:rFonts w:hint="eastAsia" w:ascii="宋体" w:hAnsi="宋体"/>
          <w:color w:val="auto"/>
          <w:highlight w:val="none"/>
        </w:rPr>
        <w:t>用户类别、价格、安装资料等信息审核。</w:t>
      </w:r>
    </w:p>
    <w:p w14:paraId="39F2E410">
      <w:pPr>
        <w:spacing w:line="440" w:lineRule="exact"/>
        <w:rPr>
          <w:rFonts w:ascii="宋体" w:hAnsi="宋体"/>
          <w:color w:val="auto"/>
          <w:highlight w:val="none"/>
        </w:rPr>
      </w:pPr>
      <w:r>
        <w:rPr>
          <w:rFonts w:hint="eastAsia" w:ascii="宋体" w:hAnsi="宋体"/>
          <w:color w:val="auto"/>
          <w:highlight w:val="none"/>
        </w:rPr>
        <w:tab/>
      </w:r>
      <w:r>
        <w:rPr>
          <w:rFonts w:hint="eastAsia" w:ascii="宋体" w:hAnsi="宋体"/>
          <w:color w:val="auto"/>
          <w:highlight w:val="none"/>
        </w:rPr>
        <w:tab/>
      </w:r>
      <w:r>
        <w:rPr>
          <w:rFonts w:hint="eastAsia" w:ascii="宋体" w:hAnsi="宋体"/>
          <w:color w:val="auto"/>
          <w:highlight w:val="none"/>
        </w:rPr>
        <w:t>3．3．4、 抄表安排</w:t>
      </w:r>
    </w:p>
    <w:p w14:paraId="2D83E5BD">
      <w:pPr>
        <w:spacing w:line="440" w:lineRule="exact"/>
        <w:rPr>
          <w:rFonts w:ascii="宋体" w:hAnsi="宋体"/>
          <w:color w:val="auto"/>
          <w:highlight w:val="none"/>
        </w:rPr>
      </w:pPr>
      <w:r>
        <w:rPr>
          <w:rFonts w:hint="eastAsia" w:ascii="宋体" w:hAnsi="宋体"/>
          <w:color w:val="auto"/>
          <w:highlight w:val="none"/>
        </w:rPr>
        <w:tab/>
      </w:r>
      <w:r>
        <w:rPr>
          <w:rFonts w:hint="eastAsia" w:ascii="宋体" w:hAnsi="宋体"/>
          <w:color w:val="auto"/>
          <w:highlight w:val="none"/>
        </w:rPr>
        <w:tab/>
      </w:r>
      <w:r>
        <w:rPr>
          <w:rFonts w:hint="eastAsia" w:ascii="宋体" w:hAnsi="宋体"/>
          <w:color w:val="auto"/>
          <w:highlight w:val="none"/>
        </w:rPr>
        <w:tab/>
      </w:r>
      <w:r>
        <w:rPr>
          <w:rFonts w:hint="eastAsia" w:ascii="宋体" w:hAnsi="宋体"/>
          <w:color w:val="auto"/>
          <w:highlight w:val="none"/>
        </w:rPr>
        <w:t>指定抄表员、分册管理等。</w:t>
      </w:r>
    </w:p>
    <w:p w14:paraId="0901639E">
      <w:pPr>
        <w:spacing w:line="440" w:lineRule="exact"/>
        <w:rPr>
          <w:rFonts w:ascii="宋体" w:hAnsi="宋体"/>
          <w:color w:val="auto"/>
          <w:highlight w:val="none"/>
        </w:rPr>
      </w:pPr>
    </w:p>
    <w:p w14:paraId="39D20BA4">
      <w:pPr>
        <w:spacing w:line="440" w:lineRule="exact"/>
        <w:ind w:firstLine="420"/>
        <w:rPr>
          <w:rFonts w:ascii="宋体" w:hAnsi="宋体"/>
          <w:color w:val="auto"/>
          <w:highlight w:val="none"/>
        </w:rPr>
      </w:pPr>
      <w:r>
        <w:rPr>
          <w:rFonts w:hint="eastAsia" w:ascii="宋体" w:hAnsi="宋体"/>
          <w:color w:val="auto"/>
          <w:highlight w:val="none"/>
        </w:rPr>
        <w:t>3．4 B/S模式版本的逐步替换</w:t>
      </w:r>
    </w:p>
    <w:p w14:paraId="4BAECEA3">
      <w:pPr>
        <w:spacing w:line="440" w:lineRule="exact"/>
        <w:ind w:left="420" w:firstLine="420"/>
        <w:rPr>
          <w:rFonts w:ascii="宋体" w:hAnsi="宋体"/>
          <w:color w:val="auto"/>
          <w:highlight w:val="none"/>
        </w:rPr>
      </w:pPr>
      <w:r>
        <w:rPr>
          <w:rFonts w:hint="eastAsia" w:ascii="宋体" w:hAnsi="宋体"/>
          <w:color w:val="auto"/>
          <w:highlight w:val="none"/>
        </w:rPr>
        <w:t>为保证营业抄收业务稳定运行的要求，新老系统要</w:t>
      </w:r>
      <w:r>
        <w:rPr>
          <w:rFonts w:asciiTheme="minorEastAsia" w:hAnsiTheme="minorEastAsia" w:eastAsiaTheme="minorEastAsia"/>
          <w:b/>
          <w:color w:val="auto"/>
          <w:szCs w:val="21"/>
          <w:highlight w:val="none"/>
        </w:rPr>
        <w:t>同步并行运行逐步替换，</w:t>
      </w:r>
      <w:r>
        <w:rPr>
          <w:rFonts w:hint="eastAsia" w:ascii="宋体" w:hAnsi="宋体"/>
          <w:color w:val="auto"/>
          <w:highlight w:val="none"/>
        </w:rPr>
        <w:t>同时需要满足城控集团三网合一的部署要求，能够与市民卡系统、燃气业务管理系统融合使用。</w:t>
      </w:r>
    </w:p>
    <w:p w14:paraId="5CE3AC03">
      <w:pPr>
        <w:spacing w:line="440" w:lineRule="exact"/>
        <w:ind w:firstLine="420"/>
        <w:rPr>
          <w:rFonts w:ascii="宋体" w:hAnsi="宋体"/>
          <w:color w:val="auto"/>
          <w:highlight w:val="none"/>
        </w:rPr>
      </w:pPr>
    </w:p>
    <w:p w14:paraId="1A1EA98B">
      <w:pPr>
        <w:spacing w:line="440" w:lineRule="exact"/>
        <w:rPr>
          <w:rFonts w:ascii="宋体" w:hAnsi="宋体"/>
          <w:b/>
          <w:color w:val="auto"/>
          <w:highlight w:val="none"/>
        </w:rPr>
      </w:pPr>
      <w:r>
        <w:rPr>
          <w:rFonts w:hint="eastAsia" w:ascii="宋体" w:hAnsi="宋体"/>
          <w:b/>
          <w:color w:val="auto"/>
          <w:highlight w:val="none"/>
        </w:rPr>
        <w:t>（四）、营业抄收管理系统升级历史数据处理</w:t>
      </w:r>
    </w:p>
    <w:p w14:paraId="6A3C9C14">
      <w:pPr>
        <w:spacing w:line="440" w:lineRule="exact"/>
        <w:rPr>
          <w:rFonts w:ascii="宋体" w:hAnsi="宋体"/>
          <w:color w:val="auto"/>
          <w:highlight w:val="none"/>
        </w:rPr>
      </w:pPr>
      <w:r>
        <w:rPr>
          <w:rFonts w:hint="eastAsia" w:ascii="宋体" w:hAnsi="宋体"/>
          <w:color w:val="auto"/>
          <w:highlight w:val="none"/>
        </w:rPr>
        <w:tab/>
      </w:r>
      <w:r>
        <w:rPr>
          <w:rFonts w:hint="eastAsia" w:ascii="宋体" w:hAnsi="宋体"/>
          <w:color w:val="auto"/>
          <w:highlight w:val="none"/>
        </w:rPr>
        <w:tab/>
      </w:r>
      <w:r>
        <w:rPr>
          <w:rFonts w:hint="eastAsia" w:ascii="宋体" w:hAnsi="宋体"/>
          <w:color w:val="auto"/>
          <w:highlight w:val="none"/>
        </w:rPr>
        <w:t>4．1、处理原则</w:t>
      </w:r>
    </w:p>
    <w:p w14:paraId="30662BF1">
      <w:pPr>
        <w:spacing w:line="440" w:lineRule="exact"/>
        <w:rPr>
          <w:rFonts w:ascii="宋体" w:hAnsi="宋体"/>
          <w:color w:val="auto"/>
          <w:highlight w:val="none"/>
        </w:rPr>
      </w:pPr>
      <w:r>
        <w:rPr>
          <w:rFonts w:hint="eastAsia" w:ascii="宋体" w:hAnsi="宋体"/>
          <w:color w:val="auto"/>
          <w:highlight w:val="none"/>
        </w:rPr>
        <w:tab/>
      </w:r>
      <w:r>
        <w:rPr>
          <w:rFonts w:hint="eastAsia" w:ascii="宋体" w:hAnsi="宋体"/>
          <w:color w:val="auto"/>
          <w:highlight w:val="none"/>
        </w:rPr>
        <w:tab/>
      </w:r>
      <w:r>
        <w:rPr>
          <w:rFonts w:hint="eastAsia" w:ascii="宋体" w:hAnsi="宋体"/>
          <w:color w:val="auto"/>
          <w:highlight w:val="none"/>
        </w:rPr>
        <w:t>4．1．1 清理主数据为已使用主数据编码，对于未使用的编码予以停用。</w:t>
      </w:r>
    </w:p>
    <w:p w14:paraId="3E8CEA7C">
      <w:pPr>
        <w:spacing w:line="440" w:lineRule="exact"/>
        <w:ind w:left="420" w:firstLine="420"/>
        <w:rPr>
          <w:rFonts w:ascii="宋体" w:hAnsi="宋体"/>
          <w:color w:val="auto"/>
          <w:highlight w:val="none"/>
        </w:rPr>
      </w:pPr>
      <w:r>
        <w:rPr>
          <w:rFonts w:hint="eastAsia" w:ascii="宋体" w:hAnsi="宋体"/>
          <w:color w:val="auto"/>
          <w:highlight w:val="none"/>
        </w:rPr>
        <w:t>4．1．2 对原系统基础编码数据，保留原编码规则，不进行编码改动，只完善维护相关属性。</w:t>
      </w:r>
    </w:p>
    <w:p w14:paraId="7487C606">
      <w:pPr>
        <w:spacing w:line="440" w:lineRule="exact"/>
        <w:ind w:left="420" w:firstLine="420"/>
        <w:rPr>
          <w:rFonts w:ascii="宋体" w:hAnsi="宋体"/>
          <w:color w:val="auto"/>
          <w:highlight w:val="none"/>
        </w:rPr>
      </w:pPr>
      <w:r>
        <w:rPr>
          <w:rFonts w:hint="eastAsia" w:ascii="宋体" w:hAnsi="宋体"/>
          <w:color w:val="auto"/>
          <w:highlight w:val="none"/>
        </w:rPr>
        <w:t>4．1．3 属性值不完整的编码数据，按照其主数据规范标准进行补充完善以符合主数据标准化的要求。</w:t>
      </w:r>
    </w:p>
    <w:p w14:paraId="73DE1502">
      <w:pPr>
        <w:spacing w:line="440" w:lineRule="exact"/>
        <w:rPr>
          <w:rFonts w:ascii="宋体" w:hAnsi="宋体"/>
          <w:color w:val="auto"/>
          <w:highlight w:val="none"/>
        </w:rPr>
      </w:pPr>
      <w:r>
        <w:rPr>
          <w:rFonts w:hint="eastAsia" w:ascii="宋体" w:hAnsi="宋体"/>
          <w:color w:val="auto"/>
          <w:highlight w:val="none"/>
        </w:rPr>
        <w:tab/>
      </w:r>
      <w:r>
        <w:rPr>
          <w:rFonts w:hint="eastAsia" w:ascii="宋体" w:hAnsi="宋体"/>
          <w:color w:val="auto"/>
          <w:highlight w:val="none"/>
        </w:rPr>
        <w:tab/>
      </w:r>
      <w:r>
        <w:rPr>
          <w:rFonts w:hint="eastAsia" w:ascii="宋体" w:hAnsi="宋体"/>
          <w:color w:val="auto"/>
          <w:highlight w:val="none"/>
        </w:rPr>
        <w:t>4．1．4 要对所有历史数据进行导入处理，保证历史数据的完整性。</w:t>
      </w:r>
    </w:p>
    <w:p w14:paraId="1511FDCB">
      <w:pPr>
        <w:spacing w:line="440" w:lineRule="exact"/>
        <w:rPr>
          <w:rFonts w:ascii="宋体" w:hAnsi="宋体"/>
          <w:color w:val="auto"/>
          <w:highlight w:val="none"/>
        </w:rPr>
      </w:pPr>
    </w:p>
    <w:p w14:paraId="1CE066B5">
      <w:pPr>
        <w:spacing w:line="440" w:lineRule="exact"/>
        <w:rPr>
          <w:rFonts w:ascii="宋体" w:hAnsi="宋体"/>
          <w:color w:val="auto"/>
          <w:highlight w:val="none"/>
        </w:rPr>
      </w:pPr>
      <w:r>
        <w:rPr>
          <w:rFonts w:hint="eastAsia" w:ascii="宋体" w:hAnsi="宋体"/>
          <w:color w:val="auto"/>
          <w:highlight w:val="none"/>
        </w:rPr>
        <w:tab/>
      </w:r>
      <w:r>
        <w:rPr>
          <w:rFonts w:hint="eastAsia" w:ascii="宋体" w:hAnsi="宋体"/>
          <w:color w:val="auto"/>
          <w:highlight w:val="none"/>
        </w:rPr>
        <w:tab/>
      </w:r>
      <w:r>
        <w:rPr>
          <w:rFonts w:hint="eastAsia" w:ascii="宋体" w:hAnsi="宋体"/>
          <w:color w:val="auto"/>
          <w:highlight w:val="none"/>
        </w:rPr>
        <w:t>4．2、处理策略</w:t>
      </w:r>
    </w:p>
    <w:p w14:paraId="59C9C30D">
      <w:pPr>
        <w:spacing w:line="440" w:lineRule="exact"/>
        <w:rPr>
          <w:rFonts w:ascii="宋体" w:hAnsi="宋体"/>
          <w:color w:val="auto"/>
          <w:highlight w:val="none"/>
        </w:rPr>
      </w:pPr>
      <w:r>
        <w:rPr>
          <w:rFonts w:hint="eastAsia" w:ascii="宋体" w:hAnsi="宋体"/>
          <w:color w:val="auto"/>
          <w:highlight w:val="none"/>
        </w:rPr>
        <w:tab/>
      </w:r>
      <w:r>
        <w:rPr>
          <w:rFonts w:hint="eastAsia" w:ascii="宋体" w:hAnsi="宋体"/>
          <w:color w:val="auto"/>
          <w:highlight w:val="none"/>
        </w:rPr>
        <w:tab/>
      </w:r>
      <w:r>
        <w:rPr>
          <w:rFonts w:hint="eastAsia" w:ascii="宋体" w:hAnsi="宋体"/>
          <w:color w:val="auto"/>
          <w:highlight w:val="none"/>
        </w:rPr>
        <w:t>4．2．1 初步标记：根据新的分离标准体系对历史数据进行清理、标记，按照保留、停用等状态进行标记。</w:t>
      </w:r>
    </w:p>
    <w:p w14:paraId="529674D8">
      <w:pPr>
        <w:spacing w:line="440" w:lineRule="exact"/>
        <w:ind w:left="420" w:firstLine="420"/>
        <w:rPr>
          <w:rFonts w:ascii="宋体" w:hAnsi="宋体"/>
          <w:color w:val="auto"/>
          <w:highlight w:val="none"/>
        </w:rPr>
      </w:pPr>
      <w:r>
        <w:rPr>
          <w:rFonts w:hint="eastAsia" w:ascii="宋体" w:hAnsi="宋体"/>
          <w:color w:val="auto"/>
          <w:highlight w:val="none"/>
        </w:rPr>
        <w:t>4．2．2 分类处理：首先制定出清理收集模板，按照清理模板要求的属性规范进行填写收集。</w:t>
      </w:r>
    </w:p>
    <w:p w14:paraId="200B38F4">
      <w:pPr>
        <w:spacing w:line="440" w:lineRule="exact"/>
        <w:ind w:left="420" w:firstLine="420"/>
        <w:rPr>
          <w:rFonts w:ascii="宋体" w:hAnsi="宋体"/>
          <w:color w:val="auto"/>
          <w:highlight w:val="none"/>
        </w:rPr>
      </w:pPr>
      <w:r>
        <w:rPr>
          <w:rFonts w:hint="eastAsia" w:ascii="宋体" w:hAnsi="宋体"/>
          <w:color w:val="auto"/>
          <w:highlight w:val="none"/>
        </w:rPr>
        <w:t>4．2．3 先分后合：按工作内容和主数据数量分别提交，最终统一合并汇总，完成历史数据导入。</w:t>
      </w:r>
    </w:p>
    <w:p w14:paraId="5C8C08F8">
      <w:pPr>
        <w:spacing w:line="440" w:lineRule="exact"/>
        <w:ind w:left="420" w:firstLine="420"/>
        <w:rPr>
          <w:rFonts w:ascii="宋体" w:hAnsi="宋体"/>
          <w:color w:val="auto"/>
          <w:highlight w:val="none"/>
        </w:rPr>
      </w:pPr>
      <w:r>
        <w:rPr>
          <w:rFonts w:hint="eastAsia" w:ascii="宋体" w:hAnsi="宋体"/>
          <w:color w:val="auto"/>
          <w:highlight w:val="none"/>
        </w:rPr>
        <w:t>4．2．4 检查反馈：定期检查以保证历史数据处理的质量，对问题及时反馈，避免盲目处理数据。</w:t>
      </w:r>
    </w:p>
    <w:p w14:paraId="338520B5">
      <w:pPr>
        <w:spacing w:line="440" w:lineRule="exact"/>
        <w:ind w:left="420" w:firstLine="420"/>
        <w:rPr>
          <w:rFonts w:ascii="宋体" w:hAnsi="宋体"/>
          <w:color w:val="auto"/>
          <w:highlight w:val="none"/>
        </w:rPr>
      </w:pPr>
      <w:r>
        <w:rPr>
          <w:rFonts w:hint="eastAsia" w:ascii="宋体" w:hAnsi="宋体"/>
          <w:color w:val="auto"/>
          <w:highlight w:val="none"/>
        </w:rPr>
        <w:t>4．3 处理步骤</w:t>
      </w:r>
    </w:p>
    <w:p w14:paraId="33C97F1A">
      <w:pPr>
        <w:spacing w:line="440" w:lineRule="exact"/>
        <w:rPr>
          <w:rFonts w:ascii="宋体" w:hAnsi="宋体"/>
          <w:color w:val="auto"/>
          <w:highlight w:val="none"/>
        </w:rPr>
      </w:pPr>
      <w:r>
        <w:rPr>
          <w:rFonts w:hint="eastAsia" w:ascii="宋体" w:hAnsi="宋体"/>
          <w:color w:val="auto"/>
          <w:highlight w:val="none"/>
        </w:rPr>
        <w:tab/>
      </w:r>
      <w:r>
        <w:rPr>
          <w:rFonts w:hint="eastAsia" w:ascii="宋体" w:hAnsi="宋体"/>
          <w:color w:val="auto"/>
          <w:highlight w:val="none"/>
        </w:rPr>
        <w:tab/>
      </w:r>
      <w:r>
        <w:rPr>
          <w:rFonts w:hint="eastAsia" w:ascii="宋体" w:hAnsi="宋体"/>
          <w:color w:val="auto"/>
          <w:highlight w:val="none"/>
        </w:rPr>
        <w:t>4．3．1 历史数据处理方案准备。</w:t>
      </w:r>
    </w:p>
    <w:p w14:paraId="455A37F7">
      <w:pPr>
        <w:spacing w:line="440" w:lineRule="exact"/>
        <w:rPr>
          <w:rFonts w:ascii="宋体" w:hAnsi="宋体"/>
          <w:color w:val="auto"/>
          <w:highlight w:val="none"/>
        </w:rPr>
      </w:pPr>
      <w:r>
        <w:rPr>
          <w:rFonts w:hint="eastAsia" w:ascii="宋体" w:hAnsi="宋体"/>
          <w:color w:val="auto"/>
          <w:highlight w:val="none"/>
        </w:rPr>
        <w:tab/>
      </w:r>
      <w:r>
        <w:rPr>
          <w:rFonts w:hint="eastAsia" w:ascii="宋体" w:hAnsi="宋体"/>
          <w:color w:val="auto"/>
          <w:highlight w:val="none"/>
        </w:rPr>
        <w:tab/>
      </w:r>
      <w:r>
        <w:rPr>
          <w:rFonts w:hint="eastAsia" w:ascii="宋体" w:hAnsi="宋体"/>
          <w:color w:val="auto"/>
          <w:highlight w:val="none"/>
        </w:rPr>
        <w:t>4．3．2 历史数据初步处理。</w:t>
      </w:r>
    </w:p>
    <w:p w14:paraId="2D8B704C">
      <w:pPr>
        <w:spacing w:line="440" w:lineRule="exact"/>
        <w:rPr>
          <w:rFonts w:ascii="宋体" w:hAnsi="宋体"/>
          <w:color w:val="auto"/>
          <w:highlight w:val="none"/>
        </w:rPr>
      </w:pPr>
      <w:r>
        <w:rPr>
          <w:rFonts w:hint="eastAsia" w:ascii="宋体" w:hAnsi="宋体"/>
          <w:color w:val="auto"/>
          <w:highlight w:val="none"/>
        </w:rPr>
        <w:tab/>
      </w:r>
      <w:r>
        <w:rPr>
          <w:rFonts w:hint="eastAsia" w:ascii="宋体" w:hAnsi="宋体"/>
          <w:color w:val="auto"/>
          <w:highlight w:val="none"/>
        </w:rPr>
        <w:tab/>
      </w:r>
      <w:r>
        <w:rPr>
          <w:rFonts w:hint="eastAsia" w:ascii="宋体" w:hAnsi="宋体"/>
          <w:color w:val="auto"/>
          <w:highlight w:val="none"/>
        </w:rPr>
        <w:t>4．3．3 历史数据清理细化。</w:t>
      </w:r>
    </w:p>
    <w:p w14:paraId="67715384">
      <w:pPr>
        <w:spacing w:line="440" w:lineRule="exact"/>
        <w:rPr>
          <w:rFonts w:ascii="宋体" w:hAnsi="宋体"/>
          <w:color w:val="auto"/>
          <w:highlight w:val="none"/>
        </w:rPr>
      </w:pPr>
      <w:r>
        <w:rPr>
          <w:rFonts w:hint="eastAsia" w:ascii="宋体" w:hAnsi="宋体"/>
          <w:color w:val="auto"/>
          <w:highlight w:val="none"/>
        </w:rPr>
        <w:tab/>
      </w:r>
      <w:r>
        <w:rPr>
          <w:rFonts w:hint="eastAsia" w:ascii="宋体" w:hAnsi="宋体"/>
          <w:color w:val="auto"/>
          <w:highlight w:val="none"/>
        </w:rPr>
        <w:tab/>
      </w:r>
      <w:r>
        <w:rPr>
          <w:rFonts w:hint="eastAsia" w:ascii="宋体" w:hAnsi="宋体"/>
          <w:color w:val="auto"/>
          <w:highlight w:val="none"/>
        </w:rPr>
        <w:t>4．3．4 历史数据处理结果检查。</w:t>
      </w:r>
    </w:p>
    <w:p w14:paraId="35F34A08">
      <w:pPr>
        <w:pStyle w:val="29"/>
        <w:spacing w:line="440" w:lineRule="exact"/>
        <w:ind w:firstLineChars="0"/>
        <w:rPr>
          <w:rFonts w:ascii="宋体" w:hAnsi="宋体"/>
          <w:color w:val="auto"/>
          <w:sz w:val="24"/>
          <w:szCs w:val="24"/>
          <w:highlight w:val="none"/>
        </w:rPr>
      </w:pPr>
    </w:p>
    <w:bookmarkEnd w:id="3"/>
    <w:bookmarkEnd w:id="4"/>
    <w:bookmarkEnd w:id="5"/>
    <w:p w14:paraId="64DCB76C">
      <w:pPr>
        <w:pStyle w:val="12"/>
        <w:snapToGrid w:val="0"/>
        <w:spacing w:line="440" w:lineRule="exact"/>
        <w:jc w:val="left"/>
        <w:rPr>
          <w:rFonts w:hAnsi="宋体"/>
          <w:b/>
          <w:color w:val="auto"/>
          <w:sz w:val="24"/>
          <w:szCs w:val="24"/>
          <w:highlight w:val="none"/>
        </w:rPr>
      </w:pPr>
      <w:r>
        <w:rPr>
          <w:rFonts w:hint="eastAsia" w:hAnsi="宋体"/>
          <w:b/>
          <w:color w:val="auto"/>
          <w:sz w:val="24"/>
          <w:szCs w:val="24"/>
          <w:highlight w:val="none"/>
        </w:rPr>
        <w:t>（五）、项目工期：</w:t>
      </w:r>
    </w:p>
    <w:p w14:paraId="4A0C4C41">
      <w:pPr>
        <w:pStyle w:val="12"/>
        <w:snapToGrid w:val="0"/>
        <w:spacing w:line="440" w:lineRule="exact"/>
        <w:ind w:firstLine="420"/>
        <w:jc w:val="left"/>
        <w:rPr>
          <w:rFonts w:hAnsi="宋体"/>
          <w:b/>
          <w:color w:val="auto"/>
          <w:sz w:val="24"/>
          <w:szCs w:val="24"/>
          <w:highlight w:val="none"/>
        </w:rPr>
      </w:pPr>
      <w:r>
        <w:rPr>
          <w:rFonts w:hint="eastAsia" w:hAnsi="宋体"/>
          <w:color w:val="auto"/>
          <w:kern w:val="0"/>
          <w:sz w:val="24"/>
          <w:szCs w:val="24"/>
          <w:highlight w:val="none"/>
        </w:rPr>
        <w:t>信息系统：</w:t>
      </w:r>
      <w:r>
        <w:rPr>
          <w:rFonts w:hint="eastAsia" w:hAnsi="宋体"/>
          <w:color w:val="auto"/>
          <w:sz w:val="24"/>
          <w:szCs w:val="24"/>
          <w:highlight w:val="none"/>
        </w:rPr>
        <w:t>营业抄收管理系统升级</w:t>
      </w:r>
    </w:p>
    <w:p w14:paraId="29E4DCD5">
      <w:pPr>
        <w:pStyle w:val="12"/>
        <w:snapToGrid w:val="0"/>
        <w:spacing w:line="440" w:lineRule="exact"/>
        <w:ind w:firstLine="480" w:firstLineChars="200"/>
        <w:rPr>
          <w:rFonts w:hAnsi="宋体"/>
          <w:color w:val="auto"/>
          <w:kern w:val="0"/>
          <w:sz w:val="24"/>
          <w:szCs w:val="24"/>
          <w:highlight w:val="none"/>
        </w:rPr>
      </w:pPr>
      <w:r>
        <w:rPr>
          <w:rFonts w:hint="eastAsia" w:hAnsi="宋体"/>
          <w:color w:val="auto"/>
          <w:kern w:val="0"/>
          <w:sz w:val="24"/>
          <w:szCs w:val="24"/>
          <w:highlight w:val="none"/>
        </w:rPr>
        <w:t>工期：合同签订后3个月内，完成</w:t>
      </w:r>
      <w:r>
        <w:rPr>
          <w:rFonts w:hint="eastAsia" w:hAnsi="宋体"/>
          <w:color w:val="auto"/>
          <w:sz w:val="24"/>
          <w:szCs w:val="24"/>
          <w:highlight w:val="none"/>
        </w:rPr>
        <w:t>营业抄收管理系统升级</w:t>
      </w:r>
      <w:r>
        <w:rPr>
          <w:rFonts w:hint="eastAsia" w:hAnsi="宋体"/>
          <w:color w:val="auto"/>
          <w:kern w:val="0"/>
          <w:sz w:val="24"/>
          <w:szCs w:val="24"/>
          <w:highlight w:val="none"/>
        </w:rPr>
        <w:t>开发工作，并提交全部成果。</w:t>
      </w:r>
    </w:p>
    <w:p w14:paraId="4F21ACE9">
      <w:pPr>
        <w:pStyle w:val="12"/>
        <w:snapToGrid w:val="0"/>
        <w:spacing w:line="440" w:lineRule="exact"/>
        <w:ind w:firstLine="420" w:firstLineChars="200"/>
        <w:rPr>
          <w:rFonts w:ascii="宋体" w:hAnsi="宋体"/>
          <w:color w:val="auto"/>
          <w:highlight w:val="none"/>
        </w:rPr>
      </w:pPr>
      <w:r>
        <w:rPr>
          <w:rFonts w:hint="eastAsia" w:ascii="宋体" w:hAnsi="宋体"/>
          <w:color w:val="auto"/>
          <w:highlight w:val="none"/>
        </w:rPr>
        <w:t>第一阶段：乙方须在合同签订后10个工作日内完成对招标方相关业务的调研工作，并进一步优化需求分析，细化系统建设计划、目标任务书和测试验收方案。</w:t>
      </w:r>
    </w:p>
    <w:p w14:paraId="5062123D">
      <w:pPr>
        <w:pStyle w:val="12"/>
        <w:snapToGrid w:val="0"/>
        <w:spacing w:line="440" w:lineRule="exact"/>
        <w:ind w:firstLine="420" w:firstLineChars="200"/>
        <w:rPr>
          <w:rFonts w:ascii="宋体" w:hAnsi="宋体"/>
          <w:color w:val="auto"/>
          <w:highlight w:val="none"/>
        </w:rPr>
      </w:pPr>
      <w:r>
        <w:rPr>
          <w:rFonts w:hint="eastAsia" w:ascii="宋体" w:hAnsi="宋体"/>
          <w:color w:val="auto"/>
          <w:highlight w:val="none"/>
        </w:rPr>
        <w:t>第二阶段：合同签订后2个月内完成主要功能开发，并提交试运行。</w:t>
      </w:r>
    </w:p>
    <w:p w14:paraId="6184F754">
      <w:pPr>
        <w:pStyle w:val="12"/>
        <w:snapToGrid w:val="0"/>
        <w:spacing w:line="440" w:lineRule="exact"/>
        <w:ind w:firstLine="420" w:firstLineChars="200"/>
        <w:rPr>
          <w:rFonts w:ascii="宋体" w:hAnsi="宋体"/>
          <w:color w:val="auto"/>
          <w:highlight w:val="none"/>
        </w:rPr>
      </w:pPr>
      <w:r>
        <w:rPr>
          <w:rFonts w:hint="eastAsia" w:ascii="宋体" w:hAnsi="宋体"/>
          <w:color w:val="auto"/>
          <w:highlight w:val="none"/>
        </w:rPr>
        <w:t>第三阶段：合同签订后,3个月内完成软件开发，并提交试运行三个月，在所有软件功能满足招标文件需求后，由甲方对系统进行终验。</w:t>
      </w:r>
    </w:p>
    <w:p w14:paraId="240D9961">
      <w:pPr>
        <w:pStyle w:val="12"/>
        <w:snapToGrid w:val="0"/>
        <w:spacing w:line="440" w:lineRule="exact"/>
        <w:ind w:firstLine="422" w:firstLineChars="200"/>
        <w:rPr>
          <w:rFonts w:ascii="宋体" w:hAnsi="宋体"/>
          <w:color w:val="auto"/>
          <w:spacing w:val="-6"/>
          <w:highlight w:val="none"/>
        </w:rPr>
      </w:pPr>
      <w:r>
        <w:rPr>
          <w:rFonts w:hint="eastAsia" w:ascii="宋体" w:hAnsi="宋体"/>
          <w:b/>
          <w:bCs/>
          <w:color w:val="auto"/>
          <w:highlight w:val="none"/>
        </w:rPr>
        <w:t>（六）、项目交付方式：</w:t>
      </w:r>
      <w:r>
        <w:rPr>
          <w:rFonts w:hint="eastAsia" w:ascii="宋体" w:hAnsi="宋体"/>
          <w:color w:val="auto"/>
          <w:spacing w:val="-6"/>
          <w:highlight w:val="none"/>
        </w:rPr>
        <w:t>经买方组织验收合格并签字盖章后即为项目交付。</w:t>
      </w:r>
    </w:p>
    <w:p w14:paraId="0F0E3428">
      <w:pPr>
        <w:pStyle w:val="12"/>
        <w:snapToGrid w:val="0"/>
        <w:spacing w:line="440" w:lineRule="exact"/>
        <w:ind w:firstLine="422" w:firstLineChars="200"/>
        <w:rPr>
          <w:rFonts w:ascii="宋体" w:hAnsi="宋体"/>
          <w:color w:val="auto"/>
          <w:highlight w:val="none"/>
        </w:rPr>
      </w:pPr>
      <w:r>
        <w:rPr>
          <w:rFonts w:hint="eastAsia" w:ascii="宋体" w:hAnsi="宋体"/>
          <w:b/>
          <w:bCs/>
          <w:color w:val="auto"/>
          <w:highlight w:val="none"/>
        </w:rPr>
        <w:t>（七）、项目质量标准：</w:t>
      </w:r>
      <w:r>
        <w:rPr>
          <w:rFonts w:hint="eastAsia" w:ascii="宋体" w:hAnsi="宋体"/>
          <w:color w:val="auto"/>
          <w:spacing w:val="-6"/>
          <w:highlight w:val="none"/>
        </w:rPr>
        <w:t>经业主组织验收达到</w:t>
      </w:r>
      <w:r>
        <w:rPr>
          <w:rFonts w:hint="eastAsia" w:ascii="宋体" w:hAnsi="宋体"/>
          <w:color w:val="auto"/>
          <w:spacing w:val="-6"/>
          <w:highlight w:val="none"/>
          <w:u w:val="single"/>
        </w:rPr>
        <w:t>招标文件要求</w:t>
      </w:r>
      <w:r>
        <w:rPr>
          <w:rFonts w:hint="eastAsia" w:ascii="宋体" w:hAnsi="宋体"/>
          <w:color w:val="auto"/>
          <w:highlight w:val="none"/>
        </w:rPr>
        <w:t>。项目经买方组织有关人员验收，确认定为不合格的，卖方应负违约责任，由此所造成的返工、整改或更换材料所涉及的费用及延误工期所遭受的损失由卖方承担。</w:t>
      </w:r>
    </w:p>
    <w:p w14:paraId="73545CF4">
      <w:pPr>
        <w:pStyle w:val="12"/>
        <w:snapToGrid w:val="0"/>
        <w:spacing w:line="440" w:lineRule="exact"/>
        <w:ind w:firstLine="422" w:firstLineChars="200"/>
        <w:rPr>
          <w:rFonts w:ascii="宋体" w:hAnsi="宋体"/>
          <w:b/>
          <w:color w:val="auto"/>
          <w:highlight w:val="none"/>
        </w:rPr>
      </w:pPr>
      <w:r>
        <w:rPr>
          <w:rFonts w:hint="eastAsia" w:ascii="宋体" w:hAnsi="宋体"/>
          <w:b/>
          <w:color w:val="auto"/>
          <w:highlight w:val="none"/>
        </w:rPr>
        <w:t>（八）、安装调试要求：</w:t>
      </w:r>
    </w:p>
    <w:p w14:paraId="37BD7FE6">
      <w:pPr>
        <w:pStyle w:val="12"/>
        <w:snapToGrid w:val="0"/>
        <w:spacing w:line="440" w:lineRule="exact"/>
        <w:ind w:firstLine="420" w:firstLineChars="200"/>
        <w:rPr>
          <w:rFonts w:hint="eastAsia" w:ascii="宋体" w:hAnsi="宋体"/>
          <w:color w:val="auto"/>
          <w:highlight w:val="none"/>
        </w:rPr>
      </w:pPr>
      <w:r>
        <w:rPr>
          <w:rFonts w:hint="eastAsia" w:ascii="宋体" w:hAnsi="宋体"/>
          <w:color w:val="auto"/>
          <w:highlight w:val="none"/>
        </w:rPr>
        <w:t>1、本项目所需软件功能及性能等技术规格按招标文件要求执行。所有货物（软件）质量必须符合国家标准或行业标准以及原厂出厂标准（以说明书为准），均应有出厂合格证，不得以次充好，并符合安全环保要求（按国家标准或现行行业标准）。</w:t>
      </w:r>
    </w:p>
    <w:p w14:paraId="33657D87">
      <w:pPr>
        <w:pStyle w:val="12"/>
        <w:snapToGrid w:val="0"/>
        <w:spacing w:line="440" w:lineRule="exact"/>
        <w:ind w:firstLine="420" w:firstLineChars="200"/>
        <w:rPr>
          <w:rFonts w:hint="eastAsia" w:ascii="宋体" w:hAnsi="宋体"/>
          <w:color w:val="auto"/>
          <w:highlight w:val="none"/>
        </w:rPr>
      </w:pPr>
      <w:r>
        <w:rPr>
          <w:rFonts w:hint="eastAsia" w:ascii="宋体" w:hAnsi="宋体"/>
          <w:color w:val="auto"/>
          <w:highlight w:val="none"/>
        </w:rPr>
        <w:t>2、所有货物（软件）交货时应现场验货，须经买方确认后方可进行安装调试。</w:t>
      </w:r>
    </w:p>
    <w:p w14:paraId="2FFFB0A4">
      <w:pPr>
        <w:pStyle w:val="12"/>
        <w:snapToGrid w:val="0"/>
        <w:spacing w:line="440" w:lineRule="exact"/>
        <w:ind w:firstLine="420" w:firstLineChars="200"/>
        <w:rPr>
          <w:rFonts w:ascii="宋体" w:hAnsi="宋体"/>
          <w:color w:val="auto"/>
          <w:highlight w:val="none"/>
        </w:rPr>
      </w:pPr>
      <w:r>
        <w:rPr>
          <w:rFonts w:hint="eastAsia" w:ascii="宋体" w:hAnsi="宋体"/>
          <w:color w:val="auto"/>
          <w:highlight w:val="none"/>
        </w:rPr>
        <w:t>3、软件知识产权：乙方所提供的所有软件产品牵涉软件的版权问题的一切责任由乙方承担。4、由中标供应商负责派技术人员到现场进行安装、调试，直至验收合格。</w:t>
      </w:r>
    </w:p>
    <w:p w14:paraId="1E08FBE1">
      <w:pPr>
        <w:autoSpaceDE w:val="0"/>
        <w:autoSpaceDN w:val="0"/>
        <w:adjustRightInd w:val="0"/>
        <w:spacing w:line="440" w:lineRule="exact"/>
        <w:ind w:firstLine="422" w:firstLineChars="200"/>
        <w:jc w:val="left"/>
        <w:rPr>
          <w:rFonts w:ascii="宋体" w:hAnsi="宋体"/>
          <w:b/>
          <w:bCs/>
          <w:color w:val="auto"/>
          <w:highlight w:val="none"/>
        </w:rPr>
      </w:pPr>
      <w:r>
        <w:rPr>
          <w:rFonts w:hint="eastAsia" w:ascii="宋体" w:hAnsi="宋体"/>
          <w:b/>
          <w:bCs/>
          <w:color w:val="auto"/>
          <w:highlight w:val="none"/>
        </w:rPr>
        <w:t>（九）、验收：</w:t>
      </w:r>
    </w:p>
    <w:p w14:paraId="42DFF993">
      <w:pPr>
        <w:autoSpaceDE w:val="0"/>
        <w:autoSpaceDN w:val="0"/>
        <w:adjustRightInd w:val="0"/>
        <w:spacing w:line="440" w:lineRule="exact"/>
        <w:ind w:firstLine="367" w:firstLineChars="175"/>
        <w:rPr>
          <w:rFonts w:ascii="宋体" w:hAnsi="宋体"/>
          <w:color w:val="auto"/>
          <w:highlight w:val="none"/>
        </w:rPr>
      </w:pPr>
      <w:r>
        <w:rPr>
          <w:rFonts w:hint="eastAsia" w:ascii="宋体" w:hAnsi="宋体"/>
          <w:color w:val="auto"/>
          <w:highlight w:val="none"/>
        </w:rPr>
        <w:t>按中华人民共和国现行技术标准和合同规定的验收评定标准等规范验收。</w:t>
      </w:r>
    </w:p>
    <w:p w14:paraId="5701C690">
      <w:pPr>
        <w:autoSpaceDE w:val="0"/>
        <w:autoSpaceDN w:val="0"/>
        <w:adjustRightInd w:val="0"/>
        <w:spacing w:line="440" w:lineRule="exact"/>
        <w:ind w:firstLine="420"/>
        <w:rPr>
          <w:rFonts w:ascii="宋体" w:hAnsi="宋体"/>
          <w:color w:val="auto"/>
          <w:highlight w:val="none"/>
        </w:rPr>
      </w:pPr>
      <w:r>
        <w:rPr>
          <w:rFonts w:hint="eastAsia" w:ascii="宋体" w:hAnsi="宋体"/>
          <w:color w:val="auto"/>
          <w:highlight w:val="none"/>
        </w:rPr>
        <w:t>1、测试和验收</w:t>
      </w:r>
    </w:p>
    <w:p w14:paraId="0164408C">
      <w:pPr>
        <w:autoSpaceDE w:val="0"/>
        <w:autoSpaceDN w:val="0"/>
        <w:adjustRightInd w:val="0"/>
        <w:spacing w:line="440" w:lineRule="exact"/>
        <w:ind w:firstLine="420"/>
        <w:rPr>
          <w:rFonts w:ascii="宋体" w:hAnsi="宋体"/>
          <w:color w:val="auto"/>
          <w:highlight w:val="none"/>
        </w:rPr>
      </w:pPr>
      <w:r>
        <w:rPr>
          <w:rFonts w:hint="eastAsia" w:ascii="宋体" w:hAnsi="宋体"/>
          <w:color w:val="auto"/>
          <w:highlight w:val="none"/>
        </w:rPr>
        <w:t>初步验收和最终验收由甲方根据中华人民共和国现行技术标准及本文件的相关规定，自行组织。</w:t>
      </w:r>
    </w:p>
    <w:p w14:paraId="582F6492">
      <w:pPr>
        <w:autoSpaceDE w:val="0"/>
        <w:autoSpaceDN w:val="0"/>
        <w:adjustRightInd w:val="0"/>
        <w:spacing w:line="440" w:lineRule="exact"/>
        <w:ind w:firstLine="420"/>
        <w:rPr>
          <w:rFonts w:ascii="宋体" w:hAnsi="宋体"/>
          <w:color w:val="auto"/>
          <w:highlight w:val="none"/>
        </w:rPr>
      </w:pPr>
      <w:r>
        <w:rPr>
          <w:rFonts w:hint="eastAsia" w:ascii="宋体" w:hAnsi="宋体"/>
          <w:color w:val="auto"/>
          <w:highlight w:val="none"/>
        </w:rPr>
        <w:t>2、验收方式</w:t>
      </w:r>
    </w:p>
    <w:p w14:paraId="51D510B1">
      <w:pPr>
        <w:autoSpaceDE w:val="0"/>
        <w:autoSpaceDN w:val="0"/>
        <w:adjustRightInd w:val="0"/>
        <w:spacing w:line="440" w:lineRule="exact"/>
        <w:ind w:firstLine="420"/>
        <w:rPr>
          <w:rFonts w:ascii="宋体" w:hAnsi="宋体"/>
          <w:color w:val="auto"/>
          <w:highlight w:val="none"/>
        </w:rPr>
      </w:pPr>
      <w:r>
        <w:rPr>
          <w:rFonts w:hint="eastAsia" w:ascii="宋体" w:hAnsi="宋体"/>
          <w:color w:val="auto"/>
          <w:highlight w:val="none"/>
        </w:rPr>
        <w:t>信息系统：采用软件现场演示对各项功能进行验收。</w:t>
      </w:r>
    </w:p>
    <w:p w14:paraId="4F80BC5B">
      <w:pPr>
        <w:autoSpaceDE w:val="0"/>
        <w:autoSpaceDN w:val="0"/>
        <w:adjustRightInd w:val="0"/>
        <w:spacing w:line="440" w:lineRule="exact"/>
        <w:ind w:firstLine="420"/>
        <w:rPr>
          <w:rFonts w:ascii="宋体" w:hAnsi="宋体"/>
          <w:color w:val="auto"/>
          <w:highlight w:val="none"/>
        </w:rPr>
      </w:pPr>
      <w:r>
        <w:rPr>
          <w:rFonts w:hint="eastAsia" w:ascii="宋体" w:hAnsi="宋体"/>
          <w:color w:val="auto"/>
          <w:highlight w:val="none"/>
        </w:rPr>
        <w:t>3、验收文档要求</w:t>
      </w:r>
    </w:p>
    <w:p w14:paraId="7A307043">
      <w:pPr>
        <w:autoSpaceDE w:val="0"/>
        <w:autoSpaceDN w:val="0"/>
        <w:adjustRightInd w:val="0"/>
        <w:spacing w:line="440" w:lineRule="exact"/>
        <w:ind w:firstLine="420"/>
        <w:rPr>
          <w:rFonts w:ascii="宋体" w:hAnsi="宋体"/>
          <w:color w:val="auto"/>
          <w:highlight w:val="none"/>
        </w:rPr>
      </w:pPr>
      <w:r>
        <w:rPr>
          <w:rFonts w:hint="eastAsia" w:ascii="宋体" w:hAnsi="宋体"/>
          <w:color w:val="auto"/>
          <w:highlight w:val="none"/>
        </w:rPr>
        <w:t>乙方应负责在项目最终验收时将系统从合同签定之日起所有关于本项目的文档资料整理成册交付甲方。</w:t>
      </w:r>
    </w:p>
    <w:p w14:paraId="0DB6B5D6">
      <w:pPr>
        <w:autoSpaceDE w:val="0"/>
        <w:autoSpaceDN w:val="0"/>
        <w:adjustRightInd w:val="0"/>
        <w:spacing w:line="440" w:lineRule="exact"/>
        <w:ind w:firstLine="420"/>
        <w:rPr>
          <w:rFonts w:ascii="宋体" w:hAnsi="宋体"/>
          <w:color w:val="auto"/>
          <w:highlight w:val="none"/>
        </w:rPr>
      </w:pPr>
      <w:r>
        <w:rPr>
          <w:rFonts w:hint="eastAsia" w:ascii="宋体" w:hAnsi="宋体"/>
          <w:color w:val="auto"/>
          <w:highlight w:val="none"/>
        </w:rPr>
        <w:t>4、项目成果组成</w:t>
      </w:r>
    </w:p>
    <w:p w14:paraId="6998F308">
      <w:pPr>
        <w:autoSpaceDE w:val="0"/>
        <w:autoSpaceDN w:val="0"/>
        <w:adjustRightInd w:val="0"/>
        <w:spacing w:line="440" w:lineRule="exact"/>
        <w:ind w:firstLine="420"/>
        <w:rPr>
          <w:rFonts w:ascii="宋体" w:hAnsi="宋体"/>
          <w:color w:val="auto"/>
          <w:highlight w:val="none"/>
        </w:rPr>
      </w:pPr>
      <w:r>
        <w:rPr>
          <w:rFonts w:hint="eastAsia" w:ascii="宋体" w:hAnsi="宋体"/>
          <w:color w:val="auto"/>
          <w:highlight w:val="none"/>
        </w:rPr>
        <w:t>提供软件系统的可安装执行文件及数据字典。</w:t>
      </w:r>
    </w:p>
    <w:p w14:paraId="15F68021">
      <w:pPr>
        <w:autoSpaceDE w:val="0"/>
        <w:autoSpaceDN w:val="0"/>
        <w:adjustRightInd w:val="0"/>
        <w:spacing w:line="440" w:lineRule="exact"/>
        <w:ind w:firstLine="420"/>
        <w:rPr>
          <w:rFonts w:ascii="宋体" w:hAnsi="宋体"/>
          <w:color w:val="auto"/>
          <w:highlight w:val="none"/>
        </w:rPr>
      </w:pPr>
      <w:r>
        <w:rPr>
          <w:rFonts w:hint="eastAsia" w:ascii="宋体" w:hAnsi="宋体"/>
          <w:color w:val="auto"/>
          <w:highlight w:val="none"/>
        </w:rPr>
        <w:t>提供的其他技术手册包括：软件用户操作手册和安装维护手册。</w:t>
      </w:r>
    </w:p>
    <w:p w14:paraId="168FF81C">
      <w:pPr>
        <w:autoSpaceDE w:val="0"/>
        <w:autoSpaceDN w:val="0"/>
        <w:adjustRightInd w:val="0"/>
        <w:spacing w:line="440" w:lineRule="exact"/>
        <w:jc w:val="left"/>
        <w:rPr>
          <w:rFonts w:ascii="宋体" w:hAnsi="宋体"/>
          <w:b/>
          <w:color w:val="auto"/>
          <w:highlight w:val="none"/>
        </w:rPr>
      </w:pPr>
    </w:p>
    <w:p w14:paraId="6F0854E4">
      <w:pPr>
        <w:autoSpaceDE w:val="0"/>
        <w:autoSpaceDN w:val="0"/>
        <w:adjustRightInd w:val="0"/>
        <w:spacing w:line="440" w:lineRule="exact"/>
        <w:ind w:firstLine="422" w:firstLineChars="200"/>
        <w:jc w:val="left"/>
        <w:rPr>
          <w:rFonts w:ascii="宋体" w:hAnsi="宋体"/>
          <w:b/>
          <w:bCs/>
          <w:color w:val="auto"/>
          <w:highlight w:val="none"/>
        </w:rPr>
      </w:pPr>
      <w:r>
        <w:rPr>
          <w:rFonts w:hint="eastAsia" w:ascii="宋体" w:hAnsi="宋体"/>
          <w:b/>
          <w:color w:val="auto"/>
          <w:highlight w:val="none"/>
        </w:rPr>
        <w:t>（十）、知识产权</w:t>
      </w:r>
    </w:p>
    <w:p w14:paraId="7AD5DB20">
      <w:pPr>
        <w:pStyle w:val="12"/>
        <w:snapToGrid w:val="0"/>
        <w:spacing w:line="440" w:lineRule="exact"/>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1、项目终验、付清不含质保金的全部款项后</w:t>
      </w:r>
      <w:r>
        <w:rPr>
          <w:rFonts w:hint="eastAsia" w:cs="宋体" w:asciiTheme="minorEastAsia" w:hAnsiTheme="minorEastAsia" w:eastAsiaTheme="minorEastAsia"/>
          <w:color w:val="auto"/>
          <w:highlight w:val="none"/>
        </w:rPr>
        <w:t>，</w:t>
      </w:r>
      <w:r>
        <w:rPr>
          <w:rFonts w:hint="eastAsia" w:asciiTheme="minorEastAsia" w:hAnsiTheme="minorEastAsia" w:eastAsiaTheme="minorEastAsia"/>
          <w:color w:val="auto"/>
          <w:highlight w:val="none"/>
        </w:rPr>
        <w:t>甲方是本项目全部成果的唯一所有者和使用者。</w:t>
      </w:r>
    </w:p>
    <w:p w14:paraId="486C1300">
      <w:pPr>
        <w:pStyle w:val="12"/>
        <w:snapToGrid w:val="0"/>
        <w:spacing w:line="440" w:lineRule="exact"/>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乙方应保证甲方在使用所提供的系统或系统任何一部分时，免受第三方提出的侵犯专利权、商标权的起诉、行动、行政程序索赔、请求等。乙方对提供的所有产品一切侵权指控负责，并承担甲方为此而产生的所有损失、损害和费用。</w:t>
      </w:r>
    </w:p>
    <w:p w14:paraId="0E1A689D">
      <w:pPr>
        <w:spacing w:line="440" w:lineRule="exact"/>
        <w:ind w:firstLine="422" w:firstLineChars="200"/>
        <w:jc w:val="left"/>
        <w:rPr>
          <w:rFonts w:ascii="宋体" w:hAnsi="宋体"/>
          <w:b/>
          <w:color w:val="auto"/>
          <w:highlight w:val="none"/>
        </w:rPr>
      </w:pPr>
      <w:r>
        <w:rPr>
          <w:rFonts w:hint="eastAsia" w:ascii="宋体" w:hAnsi="宋体"/>
          <w:b/>
          <w:bCs/>
          <w:color w:val="auto"/>
          <w:highlight w:val="none"/>
        </w:rPr>
        <w:t>（十一）、</w:t>
      </w:r>
      <w:r>
        <w:rPr>
          <w:rFonts w:hint="eastAsia" w:ascii="宋体" w:hAnsi="宋体"/>
          <w:b/>
          <w:color w:val="auto"/>
          <w:highlight w:val="none"/>
        </w:rPr>
        <w:t>人员培训：</w:t>
      </w:r>
    </w:p>
    <w:p w14:paraId="02300C38">
      <w:pPr>
        <w:spacing w:line="440" w:lineRule="exact"/>
        <w:ind w:firstLine="472" w:firstLineChars="225"/>
        <w:rPr>
          <w:rFonts w:ascii="宋体" w:hAnsi="宋体"/>
          <w:color w:val="auto"/>
          <w:highlight w:val="none"/>
        </w:rPr>
      </w:pPr>
      <w:r>
        <w:rPr>
          <w:rFonts w:hint="eastAsia" w:ascii="宋体" w:hAnsi="宋体"/>
          <w:color w:val="auto"/>
          <w:highlight w:val="none"/>
        </w:rPr>
        <w:t>1、乙方应根据项目实际需要，根据甲方的系统管理员、业务操作人员等的</w:t>
      </w:r>
      <w:r>
        <w:rPr>
          <w:rFonts w:hint="eastAsia" w:ascii="宋体" w:hAnsi="宋体"/>
          <w:bCs/>
          <w:color w:val="auto"/>
          <w:highlight w:val="none"/>
          <w:shd w:val="clear" w:color="auto" w:fill="FFFFFF"/>
        </w:rPr>
        <w:t>工作性质的不同定制不同的培训方案</w:t>
      </w:r>
      <w:r>
        <w:rPr>
          <w:rFonts w:hint="eastAsia" w:ascii="宋体" w:hAnsi="宋体"/>
          <w:color w:val="auto"/>
          <w:highlight w:val="none"/>
        </w:rPr>
        <w:t xml:space="preserve">，在系统正式运行前提供不少于2轮次的培训服务。 </w:t>
      </w:r>
    </w:p>
    <w:p w14:paraId="29BA1FE6">
      <w:pPr>
        <w:spacing w:line="440" w:lineRule="exact"/>
        <w:ind w:left="840"/>
        <w:rPr>
          <w:rFonts w:ascii="宋体" w:hAnsi="宋体"/>
          <w:color w:val="auto"/>
          <w:highlight w:val="none"/>
        </w:rPr>
      </w:pPr>
      <w:r>
        <w:rPr>
          <w:rFonts w:hint="eastAsia" w:ascii="宋体" w:hAnsi="宋体"/>
          <w:color w:val="auto"/>
          <w:highlight w:val="none"/>
        </w:rPr>
        <w:t>1）培训对象：信息系统软件使用人员、系统管理员等；</w:t>
      </w:r>
    </w:p>
    <w:p w14:paraId="59335A05">
      <w:pPr>
        <w:spacing w:line="440" w:lineRule="exact"/>
        <w:ind w:left="840"/>
        <w:rPr>
          <w:rFonts w:ascii="宋体" w:hAnsi="宋体"/>
          <w:color w:val="auto"/>
          <w:highlight w:val="none"/>
        </w:rPr>
      </w:pPr>
      <w:r>
        <w:rPr>
          <w:rFonts w:hint="eastAsia" w:ascii="宋体" w:hAnsi="宋体"/>
          <w:color w:val="auto"/>
          <w:highlight w:val="none"/>
        </w:rPr>
        <w:t>2）免费参加由软件供应商举办的各类公开讲座、培训；</w:t>
      </w:r>
    </w:p>
    <w:p w14:paraId="69FBACE8">
      <w:pPr>
        <w:spacing w:line="440" w:lineRule="exact"/>
        <w:ind w:left="840"/>
        <w:rPr>
          <w:rFonts w:ascii="宋体" w:hAnsi="宋体"/>
          <w:color w:val="auto"/>
          <w:highlight w:val="none"/>
        </w:rPr>
      </w:pPr>
      <w:r>
        <w:rPr>
          <w:rFonts w:hint="eastAsia" w:ascii="宋体" w:hAnsi="宋体"/>
          <w:color w:val="auto"/>
          <w:highlight w:val="none"/>
        </w:rPr>
        <w:t>3）提供完善的说明文档，包括安装手册、用户使用手册等（包括两份文本文档和电子文档）。</w:t>
      </w:r>
    </w:p>
    <w:p w14:paraId="37124516">
      <w:pPr>
        <w:autoSpaceDE w:val="0"/>
        <w:autoSpaceDN w:val="0"/>
        <w:adjustRightInd w:val="0"/>
        <w:spacing w:line="440" w:lineRule="exact"/>
        <w:ind w:firstLine="472" w:firstLineChars="225"/>
        <w:rPr>
          <w:rFonts w:ascii="宋体" w:hAnsi="宋体"/>
          <w:color w:val="auto"/>
          <w:highlight w:val="none"/>
        </w:rPr>
      </w:pPr>
      <w:r>
        <w:rPr>
          <w:rFonts w:hint="eastAsia" w:ascii="宋体" w:hAnsi="宋体"/>
          <w:color w:val="auto"/>
          <w:highlight w:val="none"/>
        </w:rPr>
        <w:t>2、质保期内每半年为甲方提供一次信息系统软件培训，保证招标人后期软件的顺利使用、推广与维护。</w:t>
      </w:r>
    </w:p>
    <w:p w14:paraId="5F1CD9E5">
      <w:pPr>
        <w:autoSpaceDE w:val="0"/>
        <w:autoSpaceDN w:val="0"/>
        <w:adjustRightInd w:val="0"/>
        <w:spacing w:line="440" w:lineRule="exact"/>
        <w:ind w:firstLine="472" w:firstLineChars="225"/>
        <w:rPr>
          <w:rFonts w:ascii="宋体" w:hAnsi="宋体"/>
          <w:color w:val="auto"/>
          <w:highlight w:val="none"/>
        </w:rPr>
      </w:pPr>
      <w:r>
        <w:rPr>
          <w:rFonts w:hint="eastAsia" w:ascii="宋体" w:hAnsi="宋体"/>
          <w:color w:val="auto"/>
          <w:highlight w:val="none"/>
        </w:rPr>
        <w:t>3、培训地点为甲方公司所在地，如甲方需要派人员赴中标方公司进行更高层次的培训、学习，中标方应无偿接收并给予安排培训、学习相关事宜。</w:t>
      </w:r>
    </w:p>
    <w:p w14:paraId="32451568">
      <w:pPr>
        <w:tabs>
          <w:tab w:val="left" w:pos="-420"/>
          <w:tab w:val="left" w:pos="0"/>
          <w:tab w:val="left" w:pos="840"/>
        </w:tabs>
        <w:spacing w:line="440" w:lineRule="exact"/>
        <w:rPr>
          <w:rFonts w:ascii="宋体" w:hAnsi="宋体"/>
          <w:color w:val="auto"/>
          <w:highlight w:val="none"/>
        </w:rPr>
      </w:pPr>
    </w:p>
    <w:p w14:paraId="2C5C9A3F">
      <w:pPr>
        <w:tabs>
          <w:tab w:val="left" w:pos="-420"/>
          <w:tab w:val="left" w:pos="0"/>
          <w:tab w:val="left" w:pos="840"/>
        </w:tabs>
        <w:spacing w:line="440" w:lineRule="exact"/>
        <w:rPr>
          <w:rFonts w:ascii="宋体" w:hAnsi="宋体"/>
          <w:color w:val="auto"/>
          <w:highlight w:val="none"/>
        </w:rPr>
      </w:pPr>
      <w:r>
        <w:rPr>
          <w:rFonts w:hint="eastAsia" w:ascii="宋体" w:hAnsi="宋体"/>
          <w:color w:val="auto"/>
          <w:highlight w:val="none"/>
        </w:rPr>
        <w:t>（</w:t>
      </w:r>
      <w:r>
        <w:rPr>
          <w:rFonts w:hint="eastAsia" w:ascii="宋体" w:hAnsi="宋体"/>
          <w:b/>
          <w:bCs/>
          <w:color w:val="auto"/>
          <w:highlight w:val="none"/>
        </w:rPr>
        <w:t>十二）、质量及售后服务保证：</w:t>
      </w:r>
    </w:p>
    <w:p w14:paraId="22E239CF">
      <w:pPr>
        <w:autoSpaceDE w:val="0"/>
        <w:autoSpaceDN w:val="0"/>
        <w:adjustRightInd w:val="0"/>
        <w:spacing w:line="440" w:lineRule="exact"/>
        <w:ind w:firstLine="525" w:firstLineChars="25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1、系统终验后12个月</w:t>
      </w:r>
      <w:r>
        <w:rPr>
          <w:rFonts w:asciiTheme="minorEastAsia" w:hAnsiTheme="minorEastAsia" w:eastAsiaTheme="minorEastAsia"/>
          <w:color w:val="auto"/>
          <w:szCs w:val="21"/>
          <w:highlight w:val="none"/>
        </w:rPr>
        <w:t>内对</w:t>
      </w:r>
      <w:r>
        <w:rPr>
          <w:rFonts w:hint="eastAsia" w:asciiTheme="minorEastAsia" w:hAnsiTheme="minorEastAsia" w:eastAsiaTheme="minorEastAsia"/>
          <w:color w:val="auto"/>
          <w:szCs w:val="21"/>
          <w:highlight w:val="none"/>
        </w:rPr>
        <w:t>甲</w:t>
      </w:r>
      <w:r>
        <w:rPr>
          <w:rFonts w:asciiTheme="minorEastAsia" w:hAnsiTheme="minorEastAsia" w:eastAsiaTheme="minorEastAsia"/>
          <w:color w:val="auto"/>
          <w:szCs w:val="21"/>
          <w:highlight w:val="none"/>
        </w:rPr>
        <w:t>方提出的软件问题要求免费进行更改，</w:t>
      </w:r>
      <w:r>
        <w:rPr>
          <w:rFonts w:hint="eastAsia" w:asciiTheme="minorEastAsia" w:hAnsiTheme="minorEastAsia" w:eastAsiaTheme="minorEastAsia"/>
          <w:color w:val="auto"/>
          <w:szCs w:val="21"/>
          <w:highlight w:val="none"/>
        </w:rPr>
        <w:t>乙方</w:t>
      </w:r>
      <w:r>
        <w:rPr>
          <w:rFonts w:asciiTheme="minorEastAsia" w:hAnsiTheme="minorEastAsia" w:eastAsiaTheme="minorEastAsia"/>
          <w:color w:val="auto"/>
          <w:szCs w:val="21"/>
          <w:highlight w:val="none"/>
        </w:rPr>
        <w:t>如有新版本软件，必须在这期间对甲方软件免费升级</w:t>
      </w:r>
      <w:r>
        <w:rPr>
          <w:rFonts w:hint="eastAsia" w:asciiTheme="minorEastAsia" w:hAnsiTheme="minorEastAsia" w:eastAsiaTheme="minorEastAsia"/>
          <w:color w:val="auto"/>
          <w:szCs w:val="21"/>
          <w:highlight w:val="none"/>
        </w:rPr>
        <w:t>，在此期间：</w:t>
      </w:r>
    </w:p>
    <w:p w14:paraId="1DD6CFE2">
      <w:pPr>
        <w:autoSpaceDE w:val="0"/>
        <w:autoSpaceDN w:val="0"/>
        <w:adjustRightInd w:val="0"/>
        <w:spacing w:line="440" w:lineRule="exact"/>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①乙方须按照甲方要求，为甲方提供及时、便捷的服务，所有费用均计入投标报价。</w:t>
      </w:r>
    </w:p>
    <w:p w14:paraId="7BC28AD4">
      <w:pPr>
        <w:autoSpaceDE w:val="0"/>
        <w:autoSpaceDN w:val="0"/>
        <w:adjustRightInd w:val="0"/>
        <w:spacing w:line="440" w:lineRule="exact"/>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②乙方须提供免费的更新、升级和其他技术支持等服务，其方式为上门服务（甲方另有要求的除外），所有费用均计入投标报价。</w:t>
      </w:r>
    </w:p>
    <w:p w14:paraId="02386851">
      <w:pPr>
        <w:pStyle w:val="12"/>
        <w:snapToGrid w:val="0"/>
        <w:spacing w:line="440" w:lineRule="exact"/>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③为甲方提供技术支持，包括系统维护、跟踪检测，保证投标产品的正常运行。</w:t>
      </w:r>
    </w:p>
    <w:p w14:paraId="2C437DE8">
      <w:pPr>
        <w:pStyle w:val="12"/>
        <w:snapToGrid w:val="0"/>
        <w:spacing w:line="440" w:lineRule="exact"/>
        <w:ind w:firstLine="592" w:firstLineChars="282"/>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w:t>
      </w:r>
      <w:r>
        <w:rPr>
          <w:rFonts w:hint="eastAsia" w:asciiTheme="minorEastAsia" w:hAnsiTheme="minorEastAsia" w:eastAsiaTheme="minorEastAsia"/>
          <w:color w:val="auto"/>
          <w:kern w:val="0"/>
          <w:highlight w:val="none"/>
        </w:rPr>
        <w:t>乙方免费对甲方系统操作人员进行培训，直到完全掌握如何操作为止；</w:t>
      </w:r>
    </w:p>
    <w:p w14:paraId="519C41F4">
      <w:pPr>
        <w:pStyle w:val="12"/>
        <w:snapToGrid w:val="0"/>
        <w:spacing w:line="440" w:lineRule="exact"/>
        <w:ind w:firstLine="592" w:firstLineChars="282"/>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3、提供永久性</w:t>
      </w:r>
      <w:r>
        <w:rPr>
          <w:rFonts w:hint="eastAsia" w:asciiTheme="minorEastAsia" w:hAnsiTheme="minorEastAsia" w:eastAsiaTheme="minorEastAsia"/>
          <w:b/>
          <w:color w:val="auto"/>
          <w:highlight w:val="none"/>
          <w:u w:val="single"/>
        </w:rPr>
        <w:t>7×24小时</w:t>
      </w:r>
      <w:r>
        <w:rPr>
          <w:rFonts w:hint="eastAsia" w:asciiTheme="minorEastAsia" w:hAnsiTheme="minorEastAsia" w:eastAsiaTheme="minorEastAsia"/>
          <w:color w:val="auto"/>
          <w:highlight w:val="none"/>
        </w:rPr>
        <w:t>技术支持，包括各种软件系统故障及对各种突发事件采取应急措施等，服务响应时间为</w:t>
      </w:r>
      <w:r>
        <w:rPr>
          <w:rFonts w:hint="eastAsia" w:asciiTheme="minorEastAsia" w:hAnsiTheme="minorEastAsia" w:eastAsiaTheme="minorEastAsia"/>
          <w:b/>
          <w:color w:val="auto"/>
          <w:highlight w:val="none"/>
          <w:u w:val="single"/>
        </w:rPr>
        <w:t>1小时</w:t>
      </w:r>
      <w:r>
        <w:rPr>
          <w:rFonts w:hint="eastAsia" w:asciiTheme="minorEastAsia" w:hAnsiTheme="minorEastAsia" w:eastAsiaTheme="minorEastAsia"/>
          <w:color w:val="auto"/>
          <w:highlight w:val="none"/>
        </w:rPr>
        <w:t>。在维护期内，乙方须及时为甲方提供解决方案，或者利用远程维护方式解决问题。若不能在2小时内解决故障问题，乙方应在</w:t>
      </w:r>
      <w:r>
        <w:rPr>
          <w:rFonts w:hint="eastAsia" w:asciiTheme="minorEastAsia" w:hAnsiTheme="minorEastAsia" w:eastAsiaTheme="minorEastAsia"/>
          <w:b/>
          <w:color w:val="auto"/>
          <w:highlight w:val="none"/>
          <w:u w:val="single"/>
        </w:rPr>
        <w:t xml:space="preserve">  下一工作日  </w:t>
      </w:r>
      <w:r>
        <w:rPr>
          <w:rFonts w:hint="eastAsia" w:asciiTheme="minorEastAsia" w:hAnsiTheme="minorEastAsia" w:eastAsiaTheme="minorEastAsia"/>
          <w:color w:val="auto"/>
          <w:highlight w:val="none"/>
        </w:rPr>
        <w:t>派人到现场上门服务，排除故障，并分析故障原因，提出书面故障分析报告及防范措施。</w:t>
      </w:r>
    </w:p>
    <w:p w14:paraId="44882F80">
      <w:pPr>
        <w:pStyle w:val="12"/>
        <w:snapToGrid w:val="0"/>
        <w:spacing w:line="440" w:lineRule="exact"/>
        <w:ind w:firstLine="592" w:firstLineChars="282"/>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4、提供质保期满后的年度软件维护服务（包括软件改进、日常维护等）；</w:t>
      </w:r>
      <w:r>
        <w:rPr>
          <w:rFonts w:hint="eastAsia" w:asciiTheme="minorEastAsia" w:hAnsiTheme="minorEastAsia" w:eastAsiaTheme="minorEastAsia"/>
          <w:bCs/>
          <w:color w:val="auto"/>
          <w:highlight w:val="none"/>
        </w:rPr>
        <w:t>维护期内，保修和维修相关的费用由乙方负责</w:t>
      </w:r>
      <w:r>
        <w:rPr>
          <w:rFonts w:hint="eastAsia" w:asciiTheme="minorEastAsia" w:hAnsiTheme="minorEastAsia" w:eastAsiaTheme="minorEastAsia"/>
          <w:color w:val="auto"/>
          <w:highlight w:val="none"/>
        </w:rPr>
        <w:t>。</w:t>
      </w:r>
    </w:p>
    <w:p w14:paraId="3835C0A8">
      <w:pPr>
        <w:spacing w:line="440" w:lineRule="exact"/>
        <w:rPr>
          <w:rFonts w:ascii="楷体_GB2312" w:eastAsia="楷体_GB2312"/>
          <w:b/>
          <w:color w:val="auto"/>
          <w:sz w:val="24"/>
          <w:highlight w:val="none"/>
        </w:rPr>
      </w:pPr>
    </w:p>
    <w:p w14:paraId="33D4B86B">
      <w:pPr>
        <w:spacing w:line="440" w:lineRule="exact"/>
        <w:rPr>
          <w:rFonts w:ascii="楷体_GB2312" w:eastAsia="楷体_GB2312"/>
          <w:color w:val="auto"/>
          <w:sz w:val="24"/>
          <w:highlight w:val="none"/>
        </w:rPr>
      </w:pPr>
    </w:p>
    <w:sectPr>
      <w:headerReference r:id="rId5" w:type="first"/>
      <w:footerReference r:id="rId8" w:type="first"/>
      <w:headerReference r:id="rId3" w:type="default"/>
      <w:footerReference r:id="rId6" w:type="default"/>
      <w:headerReference r:id="rId4" w:type="even"/>
      <w:footerReference r:id="rId7" w:type="even"/>
      <w:pgSz w:w="11907" w:h="16840"/>
      <w:pgMar w:top="1247"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楷体_GB2312">
    <w:altName w:val="楷体"/>
    <w:panose1 w:val="00000000000000000000"/>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BF958">
    <w:pPr>
      <w:pStyle w:val="15"/>
    </w:pPr>
    <w:r>
      <w:pict>
        <v:shape id="_x0000_s1026"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Q+V+SdAAAAADAQAADwAAAAAAAAABACAAAAAiAAAAZHJz&#10;L2Rvd25yZXYueG1sUEsBAhQAFAAAAAgAh07iQG05nRbTAQAApQMAAA4AAAAAAAAAAQAgAAAAHwEA&#10;AGRycy9lMm9Eb2MueG1sUEsFBgAAAAAGAAYAWQEAAGQFAAAAAA==&#10;">
          <v:path/>
          <v:fill on="f" focussize="0,0"/>
          <v:stroke on="f" joinstyle="miter"/>
          <v:imagedata o:title=""/>
          <o:lock v:ext="edit"/>
          <v:textbox inset="0mm,0mm,0mm,0mm" style="mso-fit-shape-to-text:t;">
            <w:txbxContent>
              <w:p w14:paraId="00977B27">
                <w:pPr>
                  <w:pStyle w:val="15"/>
                </w:pPr>
                <w:r>
                  <w:fldChar w:fldCharType="begin"/>
                </w:r>
                <w:r>
                  <w:instrText xml:space="preserve"> PAGE  \* MERGEFORMAT </w:instrText>
                </w:r>
                <w:r>
                  <w:fldChar w:fldCharType="separate"/>
                </w:r>
                <w:r>
                  <w:t>10</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DF9D50">
    <w:pPr>
      <w:pStyle w:val="1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4673AA">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8E668F">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581145">
    <w:pPr>
      <w:pStyle w:val="1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C821EB">
    <w:pPr>
      <w:pStyle w:val="1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435EDC"/>
    <w:multiLevelType w:val="singleLevel"/>
    <w:tmpl w:val="84435EDC"/>
    <w:lvl w:ilvl="0" w:tentative="0">
      <w:start w:val="8"/>
      <w:numFmt w:val="decimal"/>
      <w:suff w:val="nothing"/>
      <w:lvlText w:val="%1、"/>
      <w:lvlJc w:val="left"/>
    </w:lvl>
  </w:abstractNum>
  <w:abstractNum w:abstractNumId="1">
    <w:nsid w:val="07B26DC7"/>
    <w:multiLevelType w:val="singleLevel"/>
    <w:tmpl w:val="07B26DC7"/>
    <w:lvl w:ilvl="0" w:tentative="0">
      <w:start w:val="1"/>
      <w:numFmt w:val="decimal"/>
      <w:lvlText w:val="%1、"/>
      <w:lvlJc w:val="left"/>
      <w:pPr>
        <w:tabs>
          <w:tab w:val="left" w:pos="720"/>
        </w:tabs>
        <w:ind w:left="720" w:hanging="720"/>
      </w:pPr>
    </w:lvl>
  </w:abstractNum>
  <w:abstractNum w:abstractNumId="2">
    <w:nsid w:val="156C089B"/>
    <w:multiLevelType w:val="multilevel"/>
    <w:tmpl w:val="156C089B"/>
    <w:lvl w:ilvl="0" w:tentative="0">
      <w:start w:val="1"/>
      <w:numFmt w:val="decimalEnclosedCircle"/>
      <w:lvlText w:val="%1"/>
      <w:lvlJc w:val="left"/>
      <w:pPr>
        <w:ind w:left="1140" w:hanging="360"/>
      </w:pPr>
      <w:rPr>
        <w:rFonts w:hint="default" w:ascii="宋体" w:hAnsi="宋体"/>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3">
    <w:nsid w:val="18A230DB"/>
    <w:multiLevelType w:val="multilevel"/>
    <w:tmpl w:val="18A230DB"/>
    <w:lvl w:ilvl="0" w:tentative="0">
      <w:start w:val="1"/>
      <w:numFmt w:val="decimal"/>
      <w:lvlText w:val="%1、"/>
      <w:lvlJc w:val="left"/>
      <w:pPr>
        <w:ind w:left="780" w:hanging="360"/>
      </w:pPr>
      <w:rPr>
        <w:rFonts w:hint="default"/>
      </w:rPr>
    </w:lvl>
    <w:lvl w:ilvl="1" w:tentative="0">
      <w:start w:val="1"/>
      <w:numFmt w:val="lowerLetter"/>
      <w:lvlText w:val="%2)"/>
      <w:lvlJc w:val="left"/>
      <w:pPr>
        <w:ind w:left="1538" w:hanging="420"/>
      </w:pPr>
    </w:lvl>
    <w:lvl w:ilvl="2" w:tentative="0">
      <w:start w:val="1"/>
      <w:numFmt w:val="lowerRoman"/>
      <w:lvlText w:val="%3."/>
      <w:lvlJc w:val="right"/>
      <w:pPr>
        <w:ind w:left="1958" w:hanging="420"/>
      </w:pPr>
    </w:lvl>
    <w:lvl w:ilvl="3" w:tentative="0">
      <w:start w:val="1"/>
      <w:numFmt w:val="decimal"/>
      <w:lvlText w:val="%4."/>
      <w:lvlJc w:val="left"/>
      <w:pPr>
        <w:ind w:left="2378" w:hanging="420"/>
      </w:pPr>
    </w:lvl>
    <w:lvl w:ilvl="4" w:tentative="0">
      <w:start w:val="1"/>
      <w:numFmt w:val="lowerLetter"/>
      <w:lvlText w:val="%5)"/>
      <w:lvlJc w:val="left"/>
      <w:pPr>
        <w:ind w:left="2798" w:hanging="420"/>
      </w:pPr>
    </w:lvl>
    <w:lvl w:ilvl="5" w:tentative="0">
      <w:start w:val="1"/>
      <w:numFmt w:val="lowerRoman"/>
      <w:lvlText w:val="%6."/>
      <w:lvlJc w:val="right"/>
      <w:pPr>
        <w:ind w:left="3218" w:hanging="420"/>
      </w:pPr>
    </w:lvl>
    <w:lvl w:ilvl="6" w:tentative="0">
      <w:start w:val="1"/>
      <w:numFmt w:val="decimal"/>
      <w:lvlText w:val="%7."/>
      <w:lvlJc w:val="left"/>
      <w:pPr>
        <w:ind w:left="3638" w:hanging="420"/>
      </w:pPr>
    </w:lvl>
    <w:lvl w:ilvl="7" w:tentative="0">
      <w:start w:val="1"/>
      <w:numFmt w:val="lowerLetter"/>
      <w:lvlText w:val="%8)"/>
      <w:lvlJc w:val="left"/>
      <w:pPr>
        <w:ind w:left="4058" w:hanging="420"/>
      </w:pPr>
    </w:lvl>
    <w:lvl w:ilvl="8" w:tentative="0">
      <w:start w:val="1"/>
      <w:numFmt w:val="lowerRoman"/>
      <w:lvlText w:val="%9."/>
      <w:lvlJc w:val="right"/>
      <w:pPr>
        <w:ind w:left="4478" w:hanging="420"/>
      </w:pPr>
    </w:lvl>
  </w:abstractNum>
  <w:abstractNum w:abstractNumId="4">
    <w:nsid w:val="1F9A7D71"/>
    <w:multiLevelType w:val="singleLevel"/>
    <w:tmpl w:val="1F9A7D71"/>
    <w:lvl w:ilvl="0" w:tentative="0">
      <w:start w:val="1"/>
      <w:numFmt w:val="none"/>
      <w:lvlText w:val="一、"/>
      <w:lvlJc w:val="left"/>
      <w:pPr>
        <w:tabs>
          <w:tab w:val="left" w:pos="480"/>
        </w:tabs>
        <w:ind w:left="480" w:hanging="480"/>
      </w:pPr>
    </w:lvl>
  </w:abstractNum>
  <w:abstractNum w:abstractNumId="5">
    <w:nsid w:val="2B5F13CB"/>
    <w:multiLevelType w:val="singleLevel"/>
    <w:tmpl w:val="2B5F13CB"/>
    <w:lvl w:ilvl="0" w:tentative="0">
      <w:start w:val="1"/>
      <w:numFmt w:val="decimal"/>
      <w:lvlText w:val="%1．"/>
      <w:lvlJc w:val="left"/>
      <w:pPr>
        <w:tabs>
          <w:tab w:val="left" w:pos="1080"/>
        </w:tabs>
        <w:ind w:left="1080" w:hanging="360"/>
      </w:pPr>
    </w:lvl>
  </w:abstractNum>
  <w:abstractNum w:abstractNumId="6">
    <w:nsid w:val="42173C3B"/>
    <w:multiLevelType w:val="multilevel"/>
    <w:tmpl w:val="42173C3B"/>
    <w:lvl w:ilvl="0" w:tentative="0">
      <w:start w:val="1"/>
      <w:numFmt w:val="decimal"/>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4A8B6D70"/>
    <w:multiLevelType w:val="multilevel"/>
    <w:tmpl w:val="4A8B6D70"/>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56DD156E"/>
    <w:multiLevelType w:val="multilevel"/>
    <w:tmpl w:val="56DD156E"/>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7EFC5D7D"/>
    <w:multiLevelType w:val="multilevel"/>
    <w:tmpl w:val="7EFC5D7D"/>
    <w:lvl w:ilvl="0" w:tentative="0">
      <w:start w:val="1"/>
      <w:numFmt w:val="upp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9"/>
  </w:num>
  <w:num w:numId="2">
    <w:abstractNumId w:val="0"/>
  </w:num>
  <w:num w:numId="3">
    <w:abstractNumId w:val="5"/>
    <w:lvlOverride w:ilvl="0">
      <w:startOverride w:val="1"/>
    </w:lvlOverride>
  </w:num>
  <w:num w:numId="4">
    <w:abstractNumId w:val="4"/>
    <w:lvlOverride w:ilvl="0">
      <w:startOverride w:val="1"/>
    </w:lvlOverride>
  </w:num>
  <w:num w:numId="5">
    <w:abstractNumId w:val="1"/>
    <w:lvlOverride w:ilvl="0">
      <w:startOverride w:val="1"/>
    </w:lvlOverride>
  </w:num>
  <w:num w:numId="6">
    <w:abstractNumId w:val="8"/>
  </w:num>
  <w:num w:numId="7">
    <w:abstractNumId w:val="10"/>
  </w:num>
  <w:num w:numId="8">
    <w:abstractNumId w:val="7"/>
  </w:num>
  <w:num w:numId="9">
    <w:abstractNumId w:val="3"/>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dmZjMyMDhiY2RkZTYxNmZmYTdjOWU1MjI2YzIzZTcifQ=="/>
  </w:docVars>
  <w:rsids>
    <w:rsidRoot w:val="00224C83"/>
    <w:rsid w:val="00003464"/>
    <w:rsid w:val="000057D8"/>
    <w:rsid w:val="00012FD2"/>
    <w:rsid w:val="000224F2"/>
    <w:rsid w:val="00024A7B"/>
    <w:rsid w:val="00042AEB"/>
    <w:rsid w:val="00042C73"/>
    <w:rsid w:val="00085EA4"/>
    <w:rsid w:val="0009202D"/>
    <w:rsid w:val="000A791F"/>
    <w:rsid w:val="000B58C3"/>
    <w:rsid w:val="000C16C8"/>
    <w:rsid w:val="000D03D3"/>
    <w:rsid w:val="000D7629"/>
    <w:rsid w:val="000F25D5"/>
    <w:rsid w:val="00117A82"/>
    <w:rsid w:val="0012174A"/>
    <w:rsid w:val="00122EC8"/>
    <w:rsid w:val="00131447"/>
    <w:rsid w:val="00133406"/>
    <w:rsid w:val="00133938"/>
    <w:rsid w:val="001417F7"/>
    <w:rsid w:val="001434AF"/>
    <w:rsid w:val="001459DF"/>
    <w:rsid w:val="0015035A"/>
    <w:rsid w:val="00152859"/>
    <w:rsid w:val="00157810"/>
    <w:rsid w:val="00171042"/>
    <w:rsid w:val="001716B9"/>
    <w:rsid w:val="00174771"/>
    <w:rsid w:val="00177D20"/>
    <w:rsid w:val="001800C5"/>
    <w:rsid w:val="001809F7"/>
    <w:rsid w:val="0018571B"/>
    <w:rsid w:val="00185C06"/>
    <w:rsid w:val="001B1081"/>
    <w:rsid w:val="001B2961"/>
    <w:rsid w:val="001B378C"/>
    <w:rsid w:val="001C40FE"/>
    <w:rsid w:val="001D15BD"/>
    <w:rsid w:val="001D1C16"/>
    <w:rsid w:val="001E75BA"/>
    <w:rsid w:val="001F048A"/>
    <w:rsid w:val="00201A21"/>
    <w:rsid w:val="00207319"/>
    <w:rsid w:val="00224C83"/>
    <w:rsid w:val="00231E75"/>
    <w:rsid w:val="00233960"/>
    <w:rsid w:val="0023640B"/>
    <w:rsid w:val="0024112C"/>
    <w:rsid w:val="0024312E"/>
    <w:rsid w:val="0024736C"/>
    <w:rsid w:val="00251939"/>
    <w:rsid w:val="00251F24"/>
    <w:rsid w:val="00252DC4"/>
    <w:rsid w:val="0026173B"/>
    <w:rsid w:val="00265882"/>
    <w:rsid w:val="002665AF"/>
    <w:rsid w:val="002750D4"/>
    <w:rsid w:val="0028447F"/>
    <w:rsid w:val="002B2A37"/>
    <w:rsid w:val="002C01D0"/>
    <w:rsid w:val="002C0BB6"/>
    <w:rsid w:val="002C3D77"/>
    <w:rsid w:val="002D3DDD"/>
    <w:rsid w:val="002D40B8"/>
    <w:rsid w:val="002E5650"/>
    <w:rsid w:val="002F1BD2"/>
    <w:rsid w:val="002F5160"/>
    <w:rsid w:val="0030314A"/>
    <w:rsid w:val="00326BC8"/>
    <w:rsid w:val="003272D0"/>
    <w:rsid w:val="0034120A"/>
    <w:rsid w:val="00351AB6"/>
    <w:rsid w:val="00354CBE"/>
    <w:rsid w:val="00371EF7"/>
    <w:rsid w:val="00373AF3"/>
    <w:rsid w:val="00393B04"/>
    <w:rsid w:val="003A29AC"/>
    <w:rsid w:val="003A5650"/>
    <w:rsid w:val="003B4637"/>
    <w:rsid w:val="00403233"/>
    <w:rsid w:val="00407983"/>
    <w:rsid w:val="004131C6"/>
    <w:rsid w:val="004434D1"/>
    <w:rsid w:val="00445BC9"/>
    <w:rsid w:val="0045063D"/>
    <w:rsid w:val="00475115"/>
    <w:rsid w:val="0048240D"/>
    <w:rsid w:val="004829E3"/>
    <w:rsid w:val="004849A0"/>
    <w:rsid w:val="00484DBE"/>
    <w:rsid w:val="00487582"/>
    <w:rsid w:val="004B227B"/>
    <w:rsid w:val="004C3CA1"/>
    <w:rsid w:val="004C6778"/>
    <w:rsid w:val="004C7D26"/>
    <w:rsid w:val="004E251F"/>
    <w:rsid w:val="004E33FE"/>
    <w:rsid w:val="004E7CDA"/>
    <w:rsid w:val="00526FA5"/>
    <w:rsid w:val="00530F3D"/>
    <w:rsid w:val="00531545"/>
    <w:rsid w:val="00533783"/>
    <w:rsid w:val="0054084E"/>
    <w:rsid w:val="005410C1"/>
    <w:rsid w:val="00541D89"/>
    <w:rsid w:val="0054354A"/>
    <w:rsid w:val="00545B29"/>
    <w:rsid w:val="00551E61"/>
    <w:rsid w:val="00554BDF"/>
    <w:rsid w:val="0056094C"/>
    <w:rsid w:val="00561FF8"/>
    <w:rsid w:val="00572B97"/>
    <w:rsid w:val="00572E84"/>
    <w:rsid w:val="00582C00"/>
    <w:rsid w:val="0058414D"/>
    <w:rsid w:val="00593382"/>
    <w:rsid w:val="00593387"/>
    <w:rsid w:val="0059528B"/>
    <w:rsid w:val="00595838"/>
    <w:rsid w:val="005970FE"/>
    <w:rsid w:val="005A2F8B"/>
    <w:rsid w:val="005C0DA9"/>
    <w:rsid w:val="005C1904"/>
    <w:rsid w:val="005C3352"/>
    <w:rsid w:val="005D50F4"/>
    <w:rsid w:val="005D6C67"/>
    <w:rsid w:val="005E5422"/>
    <w:rsid w:val="005F102B"/>
    <w:rsid w:val="005F4D80"/>
    <w:rsid w:val="00642C44"/>
    <w:rsid w:val="0064504E"/>
    <w:rsid w:val="006501CF"/>
    <w:rsid w:val="00654B78"/>
    <w:rsid w:val="00666D13"/>
    <w:rsid w:val="006802D0"/>
    <w:rsid w:val="00680F6C"/>
    <w:rsid w:val="00695DA5"/>
    <w:rsid w:val="006B015D"/>
    <w:rsid w:val="006B0FCE"/>
    <w:rsid w:val="006B0FDD"/>
    <w:rsid w:val="006B2F9C"/>
    <w:rsid w:val="006C2706"/>
    <w:rsid w:val="006E0974"/>
    <w:rsid w:val="006E12F1"/>
    <w:rsid w:val="006E2165"/>
    <w:rsid w:val="006F54EF"/>
    <w:rsid w:val="00706B70"/>
    <w:rsid w:val="00713341"/>
    <w:rsid w:val="007139AE"/>
    <w:rsid w:val="00714449"/>
    <w:rsid w:val="007303C0"/>
    <w:rsid w:val="007308E9"/>
    <w:rsid w:val="0073211A"/>
    <w:rsid w:val="00736A19"/>
    <w:rsid w:val="0074032B"/>
    <w:rsid w:val="00740CB5"/>
    <w:rsid w:val="00741B74"/>
    <w:rsid w:val="00747859"/>
    <w:rsid w:val="007536A0"/>
    <w:rsid w:val="00764327"/>
    <w:rsid w:val="00781A59"/>
    <w:rsid w:val="007911E6"/>
    <w:rsid w:val="007A4F2E"/>
    <w:rsid w:val="007C076D"/>
    <w:rsid w:val="007D54F6"/>
    <w:rsid w:val="007E3706"/>
    <w:rsid w:val="008214F3"/>
    <w:rsid w:val="0083280D"/>
    <w:rsid w:val="008355A2"/>
    <w:rsid w:val="00835D81"/>
    <w:rsid w:val="00835FF9"/>
    <w:rsid w:val="00836C75"/>
    <w:rsid w:val="00842C4C"/>
    <w:rsid w:val="0085460E"/>
    <w:rsid w:val="008607F5"/>
    <w:rsid w:val="00863A6C"/>
    <w:rsid w:val="00870E52"/>
    <w:rsid w:val="008765F0"/>
    <w:rsid w:val="0088190A"/>
    <w:rsid w:val="00886DEF"/>
    <w:rsid w:val="00890B90"/>
    <w:rsid w:val="00893E4E"/>
    <w:rsid w:val="00894B23"/>
    <w:rsid w:val="008A3105"/>
    <w:rsid w:val="008B2F7E"/>
    <w:rsid w:val="008B4967"/>
    <w:rsid w:val="008B5CC2"/>
    <w:rsid w:val="008C745B"/>
    <w:rsid w:val="008D7B82"/>
    <w:rsid w:val="008E03C7"/>
    <w:rsid w:val="008E0B51"/>
    <w:rsid w:val="008F2BDA"/>
    <w:rsid w:val="008F370D"/>
    <w:rsid w:val="00904CF4"/>
    <w:rsid w:val="00905B56"/>
    <w:rsid w:val="009075DB"/>
    <w:rsid w:val="00913BD2"/>
    <w:rsid w:val="009253C2"/>
    <w:rsid w:val="00936432"/>
    <w:rsid w:val="00950DB0"/>
    <w:rsid w:val="0096066A"/>
    <w:rsid w:val="00960919"/>
    <w:rsid w:val="00963902"/>
    <w:rsid w:val="00970CC4"/>
    <w:rsid w:val="009736DC"/>
    <w:rsid w:val="00975C55"/>
    <w:rsid w:val="0098286C"/>
    <w:rsid w:val="0098291C"/>
    <w:rsid w:val="00982B46"/>
    <w:rsid w:val="00982C7B"/>
    <w:rsid w:val="00992156"/>
    <w:rsid w:val="00997675"/>
    <w:rsid w:val="009A0DC5"/>
    <w:rsid w:val="009A1C91"/>
    <w:rsid w:val="009A4BA6"/>
    <w:rsid w:val="009D3AF8"/>
    <w:rsid w:val="009D3CF6"/>
    <w:rsid w:val="009D5661"/>
    <w:rsid w:val="009E3AE2"/>
    <w:rsid w:val="009E7F06"/>
    <w:rsid w:val="009F5DF6"/>
    <w:rsid w:val="009F62DD"/>
    <w:rsid w:val="00A01B75"/>
    <w:rsid w:val="00A20B25"/>
    <w:rsid w:val="00A27AD4"/>
    <w:rsid w:val="00A3216B"/>
    <w:rsid w:val="00A36AA4"/>
    <w:rsid w:val="00A5364D"/>
    <w:rsid w:val="00A53779"/>
    <w:rsid w:val="00A6195F"/>
    <w:rsid w:val="00A929E3"/>
    <w:rsid w:val="00A95A1D"/>
    <w:rsid w:val="00A97527"/>
    <w:rsid w:val="00AA6541"/>
    <w:rsid w:val="00AB1B40"/>
    <w:rsid w:val="00AC0B6D"/>
    <w:rsid w:val="00AC11EC"/>
    <w:rsid w:val="00AC501C"/>
    <w:rsid w:val="00AC7129"/>
    <w:rsid w:val="00AD1946"/>
    <w:rsid w:val="00AD2707"/>
    <w:rsid w:val="00AD29D8"/>
    <w:rsid w:val="00AD399F"/>
    <w:rsid w:val="00AE1329"/>
    <w:rsid w:val="00B02C2C"/>
    <w:rsid w:val="00B079E1"/>
    <w:rsid w:val="00B131B0"/>
    <w:rsid w:val="00B132CB"/>
    <w:rsid w:val="00B25D07"/>
    <w:rsid w:val="00B25D60"/>
    <w:rsid w:val="00B35B8F"/>
    <w:rsid w:val="00B4366B"/>
    <w:rsid w:val="00B43BCB"/>
    <w:rsid w:val="00B51E25"/>
    <w:rsid w:val="00B611C8"/>
    <w:rsid w:val="00B62A49"/>
    <w:rsid w:val="00B6550F"/>
    <w:rsid w:val="00B93978"/>
    <w:rsid w:val="00BA2634"/>
    <w:rsid w:val="00BA2739"/>
    <w:rsid w:val="00BB372C"/>
    <w:rsid w:val="00BB4D36"/>
    <w:rsid w:val="00BB78EA"/>
    <w:rsid w:val="00BD40B6"/>
    <w:rsid w:val="00BD6F23"/>
    <w:rsid w:val="00BE7CD9"/>
    <w:rsid w:val="00BF3051"/>
    <w:rsid w:val="00BF3424"/>
    <w:rsid w:val="00BF62D2"/>
    <w:rsid w:val="00C018EA"/>
    <w:rsid w:val="00C03D80"/>
    <w:rsid w:val="00C041DE"/>
    <w:rsid w:val="00C13342"/>
    <w:rsid w:val="00C17220"/>
    <w:rsid w:val="00C2617E"/>
    <w:rsid w:val="00C34133"/>
    <w:rsid w:val="00C350C2"/>
    <w:rsid w:val="00C41B0E"/>
    <w:rsid w:val="00C63A78"/>
    <w:rsid w:val="00C77667"/>
    <w:rsid w:val="00C83C01"/>
    <w:rsid w:val="00CA79B9"/>
    <w:rsid w:val="00CB1902"/>
    <w:rsid w:val="00CB2482"/>
    <w:rsid w:val="00CD0D88"/>
    <w:rsid w:val="00CE3970"/>
    <w:rsid w:val="00D02F09"/>
    <w:rsid w:val="00D13C64"/>
    <w:rsid w:val="00D246D4"/>
    <w:rsid w:val="00D256BA"/>
    <w:rsid w:val="00D45458"/>
    <w:rsid w:val="00D603CE"/>
    <w:rsid w:val="00D670AE"/>
    <w:rsid w:val="00D7337E"/>
    <w:rsid w:val="00D761AC"/>
    <w:rsid w:val="00D77B8C"/>
    <w:rsid w:val="00D82291"/>
    <w:rsid w:val="00D85997"/>
    <w:rsid w:val="00D93BFF"/>
    <w:rsid w:val="00D97FCC"/>
    <w:rsid w:val="00DA672C"/>
    <w:rsid w:val="00DB4FD0"/>
    <w:rsid w:val="00DC76D5"/>
    <w:rsid w:val="00DD1856"/>
    <w:rsid w:val="00DF49B1"/>
    <w:rsid w:val="00E1070F"/>
    <w:rsid w:val="00E12D3C"/>
    <w:rsid w:val="00E17800"/>
    <w:rsid w:val="00E41B85"/>
    <w:rsid w:val="00E44CA6"/>
    <w:rsid w:val="00E45EF5"/>
    <w:rsid w:val="00E52C8B"/>
    <w:rsid w:val="00E6082C"/>
    <w:rsid w:val="00E61C47"/>
    <w:rsid w:val="00E65F28"/>
    <w:rsid w:val="00E82399"/>
    <w:rsid w:val="00E853D1"/>
    <w:rsid w:val="00E92E8A"/>
    <w:rsid w:val="00E94C8E"/>
    <w:rsid w:val="00EA0C9C"/>
    <w:rsid w:val="00EA19D1"/>
    <w:rsid w:val="00EA6E07"/>
    <w:rsid w:val="00EB0100"/>
    <w:rsid w:val="00EB0C56"/>
    <w:rsid w:val="00EB4ABD"/>
    <w:rsid w:val="00EB727D"/>
    <w:rsid w:val="00EC107F"/>
    <w:rsid w:val="00EC2EA4"/>
    <w:rsid w:val="00EC450C"/>
    <w:rsid w:val="00EC4E72"/>
    <w:rsid w:val="00ED6E66"/>
    <w:rsid w:val="00F13FC0"/>
    <w:rsid w:val="00F265DA"/>
    <w:rsid w:val="00F31B68"/>
    <w:rsid w:val="00F3397C"/>
    <w:rsid w:val="00F365A9"/>
    <w:rsid w:val="00F44E7C"/>
    <w:rsid w:val="00F54F33"/>
    <w:rsid w:val="00F61E68"/>
    <w:rsid w:val="00F6412D"/>
    <w:rsid w:val="00F64EC7"/>
    <w:rsid w:val="00F71F7C"/>
    <w:rsid w:val="00F74DE5"/>
    <w:rsid w:val="00F7658E"/>
    <w:rsid w:val="00F770C5"/>
    <w:rsid w:val="00F81245"/>
    <w:rsid w:val="00F822D1"/>
    <w:rsid w:val="00F94838"/>
    <w:rsid w:val="00F951BA"/>
    <w:rsid w:val="00FA435E"/>
    <w:rsid w:val="00FA4C0E"/>
    <w:rsid w:val="00FA5EF1"/>
    <w:rsid w:val="00FB11A3"/>
    <w:rsid w:val="00FB31F9"/>
    <w:rsid w:val="00FB7BF0"/>
    <w:rsid w:val="00FC27EC"/>
    <w:rsid w:val="00FC3DDF"/>
    <w:rsid w:val="00FC67B1"/>
    <w:rsid w:val="00FD0531"/>
    <w:rsid w:val="00FD3F6D"/>
    <w:rsid w:val="00FD52D5"/>
    <w:rsid w:val="00FE3802"/>
    <w:rsid w:val="01D849D8"/>
    <w:rsid w:val="05F30690"/>
    <w:rsid w:val="09A94C59"/>
    <w:rsid w:val="0B645493"/>
    <w:rsid w:val="123856E0"/>
    <w:rsid w:val="149C3CCE"/>
    <w:rsid w:val="1626392C"/>
    <w:rsid w:val="16995AF7"/>
    <w:rsid w:val="193C6F9D"/>
    <w:rsid w:val="1A1B7889"/>
    <w:rsid w:val="1D3B68CB"/>
    <w:rsid w:val="1DB515F7"/>
    <w:rsid w:val="27D11252"/>
    <w:rsid w:val="465F514F"/>
    <w:rsid w:val="4697105D"/>
    <w:rsid w:val="4AD23574"/>
    <w:rsid w:val="4CB21D58"/>
    <w:rsid w:val="4DDD3F19"/>
    <w:rsid w:val="4FE34DE9"/>
    <w:rsid w:val="545F15BA"/>
    <w:rsid w:val="55F54458"/>
    <w:rsid w:val="5E812ADB"/>
    <w:rsid w:val="63F27572"/>
    <w:rsid w:val="65EB0E69"/>
    <w:rsid w:val="68537464"/>
    <w:rsid w:val="6B54369F"/>
    <w:rsid w:val="6CB0080C"/>
    <w:rsid w:val="7053175C"/>
    <w:rsid w:val="72B57F17"/>
    <w:rsid w:val="7B646DB9"/>
    <w:rsid w:val="7EAB3892"/>
    <w:rsid w:val="7F9E186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paragraph" w:styleId="4">
    <w:name w:val="heading 2"/>
    <w:basedOn w:val="1"/>
    <w:next w:val="1"/>
    <w:link w:val="26"/>
    <w:qFormat/>
    <w:uiPriority w:val="0"/>
    <w:pPr>
      <w:keepNext/>
      <w:keepLines/>
      <w:spacing w:line="360" w:lineRule="auto"/>
      <w:jc w:val="center"/>
      <w:outlineLvl w:val="1"/>
    </w:pPr>
    <w:rPr>
      <w:b/>
      <w:bCs/>
      <w:sz w:val="36"/>
      <w:szCs w:val="32"/>
    </w:rPr>
  </w:style>
  <w:style w:type="paragraph" w:styleId="5">
    <w:name w:val="heading 3"/>
    <w:basedOn w:val="1"/>
    <w:next w:val="1"/>
    <w:qFormat/>
    <w:uiPriority w:val="0"/>
    <w:pPr>
      <w:keepNext/>
      <w:keepLines/>
      <w:spacing w:line="360" w:lineRule="auto"/>
      <w:ind w:left="397"/>
      <w:jc w:val="left"/>
      <w:outlineLvl w:val="2"/>
    </w:pPr>
    <w:rPr>
      <w:rFonts w:ascii="宋体" w:hAnsi="宋体"/>
      <w:b/>
      <w:bCs/>
      <w:sz w:val="32"/>
      <w:szCs w:val="32"/>
    </w:rPr>
  </w:style>
  <w:style w:type="paragraph" w:styleId="6">
    <w:name w:val="heading 4"/>
    <w:basedOn w:val="1"/>
    <w:next w:val="1"/>
    <w:qFormat/>
    <w:uiPriority w:val="0"/>
    <w:pPr>
      <w:keepNext/>
      <w:keepLines/>
      <w:spacing w:line="360" w:lineRule="auto"/>
      <w:ind w:left="597" w:hanging="200" w:hangingChars="200"/>
      <w:jc w:val="left"/>
      <w:outlineLvl w:val="3"/>
    </w:pPr>
    <w:rPr>
      <w:rFonts w:ascii="宋体" w:hAnsi="宋体"/>
      <w:b/>
      <w:bCs/>
      <w:sz w:val="28"/>
      <w:szCs w:val="28"/>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7">
    <w:name w:val="Normal Indent"/>
    <w:basedOn w:val="1"/>
    <w:link w:val="35"/>
    <w:qFormat/>
    <w:uiPriority w:val="0"/>
    <w:pPr>
      <w:ind w:firstLine="420"/>
    </w:pPr>
    <w:rPr>
      <w:szCs w:val="20"/>
    </w:rPr>
  </w:style>
  <w:style w:type="paragraph" w:styleId="8">
    <w:name w:val="annotation text"/>
    <w:basedOn w:val="1"/>
    <w:qFormat/>
    <w:uiPriority w:val="0"/>
    <w:pPr>
      <w:jc w:val="left"/>
    </w:pPr>
  </w:style>
  <w:style w:type="paragraph" w:styleId="9">
    <w:name w:val="Body Text"/>
    <w:basedOn w:val="1"/>
    <w:next w:val="1"/>
    <w:qFormat/>
    <w:uiPriority w:val="0"/>
    <w:rPr>
      <w:rFonts w:eastAsia="仿宋_GB2312"/>
      <w:sz w:val="30"/>
    </w:rPr>
  </w:style>
  <w:style w:type="paragraph" w:styleId="10">
    <w:name w:val="Body Text Indent"/>
    <w:basedOn w:val="1"/>
    <w:link w:val="23"/>
    <w:qFormat/>
    <w:uiPriority w:val="0"/>
    <w:pPr>
      <w:tabs>
        <w:tab w:val="left" w:pos="0"/>
        <w:tab w:val="left" w:pos="993"/>
        <w:tab w:val="left" w:pos="1134"/>
      </w:tabs>
      <w:spacing w:line="500" w:lineRule="exact"/>
      <w:ind w:firstLine="567"/>
    </w:pPr>
    <w:rPr>
      <w:rFonts w:ascii="宋体" w:hAnsi="Calibri"/>
      <w:sz w:val="28"/>
      <w:szCs w:val="22"/>
    </w:rPr>
  </w:style>
  <w:style w:type="paragraph" w:styleId="11">
    <w:name w:val="List 2"/>
    <w:basedOn w:val="1"/>
    <w:qFormat/>
    <w:uiPriority w:val="0"/>
    <w:pPr>
      <w:adjustRightInd w:val="0"/>
      <w:ind w:left="100" w:leftChars="200" w:hanging="200" w:hangingChars="200"/>
      <w:jc w:val="left"/>
      <w:textAlignment w:val="baseline"/>
    </w:pPr>
    <w:rPr>
      <w:kern w:val="0"/>
      <w:szCs w:val="20"/>
    </w:rPr>
  </w:style>
  <w:style w:type="paragraph" w:styleId="12">
    <w:name w:val="Plain Text"/>
    <w:basedOn w:val="1"/>
    <w:link w:val="34"/>
    <w:qFormat/>
    <w:uiPriority w:val="0"/>
    <w:pPr>
      <w:pBdr>
        <w:top w:val="none" w:color="FFFFFF" w:sz="0" w:space="31"/>
        <w:left w:val="none" w:color="FFFFFF" w:sz="0" w:space="31"/>
        <w:bottom w:val="none" w:color="FFFFFF" w:sz="0" w:space="31"/>
        <w:right w:val="none" w:color="FFFFFF" w:sz="0" w:space="31"/>
      </w:pBdr>
    </w:pPr>
    <w:rPr>
      <w:rFonts w:ascii="Arial Unicode MS" w:hAnsi="Arial Unicode MS" w:cs="Arial Unicode MS"/>
      <w:color w:val="000000"/>
      <w:szCs w:val="21"/>
      <w:u w:color="000000"/>
    </w:rPr>
  </w:style>
  <w:style w:type="paragraph" w:styleId="13">
    <w:name w:val="Date"/>
    <w:basedOn w:val="1"/>
    <w:next w:val="1"/>
    <w:qFormat/>
    <w:uiPriority w:val="0"/>
    <w:pPr>
      <w:ind w:left="100" w:leftChars="2500"/>
    </w:pPr>
  </w:style>
  <w:style w:type="paragraph" w:styleId="14">
    <w:name w:val="Balloon Text"/>
    <w:basedOn w:val="1"/>
    <w:link w:val="37"/>
    <w:semiHidden/>
    <w:qFormat/>
    <w:uiPriority w:val="99"/>
    <w:rPr>
      <w:sz w:val="18"/>
      <w:szCs w:val="18"/>
    </w:rPr>
  </w:style>
  <w:style w:type="paragraph" w:styleId="15">
    <w:name w:val="footer"/>
    <w:basedOn w:val="1"/>
    <w:link w:val="25"/>
    <w:qFormat/>
    <w:uiPriority w:val="99"/>
    <w:pPr>
      <w:tabs>
        <w:tab w:val="center" w:pos="4153"/>
        <w:tab w:val="right" w:pos="8306"/>
      </w:tabs>
      <w:snapToGrid w:val="0"/>
      <w:jc w:val="left"/>
    </w:pPr>
    <w:rPr>
      <w:sz w:val="18"/>
      <w:szCs w:val="18"/>
    </w:rPr>
  </w:style>
  <w:style w:type="paragraph" w:styleId="16">
    <w:name w:val="header"/>
    <w:basedOn w:val="1"/>
    <w:link w:val="24"/>
    <w:qFormat/>
    <w:uiPriority w:val="99"/>
    <w:pPr>
      <w:pBdr>
        <w:bottom w:val="single" w:color="auto" w:sz="6" w:space="1"/>
      </w:pBdr>
      <w:tabs>
        <w:tab w:val="center" w:pos="4153"/>
        <w:tab w:val="right" w:pos="8306"/>
      </w:tabs>
      <w:snapToGrid w:val="0"/>
      <w:jc w:val="center"/>
    </w:pPr>
    <w:rPr>
      <w:sz w:val="18"/>
      <w:szCs w:val="18"/>
    </w:rPr>
  </w:style>
  <w:style w:type="paragraph" w:styleId="17">
    <w:name w:val="List"/>
    <w:basedOn w:val="1"/>
    <w:qFormat/>
    <w:uiPriority w:val="0"/>
    <w:pPr>
      <w:adjustRightInd w:val="0"/>
      <w:ind w:left="200" w:hanging="200" w:hangingChars="200"/>
      <w:jc w:val="left"/>
      <w:textAlignment w:val="baseline"/>
    </w:pPr>
    <w:rPr>
      <w:kern w:val="0"/>
      <w:szCs w:val="20"/>
    </w:rPr>
  </w:style>
  <w:style w:type="paragraph" w:styleId="18">
    <w:name w:val="Body Text First Indent"/>
    <w:basedOn w:val="9"/>
    <w:next w:val="19"/>
    <w:qFormat/>
    <w:uiPriority w:val="0"/>
    <w:pPr>
      <w:spacing w:before="100" w:beforeLines="0" w:after="100" w:afterLines="0" w:line="360" w:lineRule="atLeast"/>
      <w:ind w:firstLine="425"/>
      <w:textAlignment w:val="baseline"/>
    </w:pPr>
    <w:rPr>
      <w:rFonts w:ascii="Times New Roman" w:hAnsi="Times New Roman" w:eastAsia="宋体" w:cs="Times New Roman"/>
    </w:rPr>
  </w:style>
  <w:style w:type="paragraph" w:styleId="19">
    <w:name w:val="Body Text First Indent 2"/>
    <w:basedOn w:val="10"/>
    <w:next w:val="1"/>
    <w:unhideWhenUsed/>
    <w:qFormat/>
    <w:uiPriority w:val="99"/>
    <w:pPr>
      <w:widowControl w:val="0"/>
      <w:spacing w:before="0" w:beforeLines="0"/>
      <w:jc w:val="left"/>
    </w:pPr>
    <w:rPr>
      <w:rFonts w:eastAsia="宋体"/>
      <w:kern w:val="2"/>
    </w:rPr>
  </w:style>
  <w:style w:type="table" w:styleId="21">
    <w:name w:val="Table Grid"/>
    <w:basedOn w:val="20"/>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3">
    <w:name w:val="正文文本缩进 Char"/>
    <w:link w:val="10"/>
    <w:qFormat/>
    <w:uiPriority w:val="0"/>
    <w:rPr>
      <w:rFonts w:ascii="宋体" w:hAnsi="Calibri"/>
      <w:kern w:val="2"/>
      <w:sz w:val="28"/>
      <w:szCs w:val="22"/>
    </w:rPr>
  </w:style>
  <w:style w:type="character" w:customStyle="1" w:styleId="24">
    <w:name w:val="页眉 Char"/>
    <w:link w:val="16"/>
    <w:qFormat/>
    <w:uiPriority w:val="99"/>
    <w:rPr>
      <w:kern w:val="2"/>
      <w:sz w:val="18"/>
      <w:szCs w:val="18"/>
    </w:rPr>
  </w:style>
  <w:style w:type="character" w:customStyle="1" w:styleId="25">
    <w:name w:val="页脚 Char"/>
    <w:link w:val="15"/>
    <w:qFormat/>
    <w:uiPriority w:val="99"/>
    <w:rPr>
      <w:kern w:val="2"/>
      <w:sz w:val="18"/>
      <w:szCs w:val="18"/>
    </w:rPr>
  </w:style>
  <w:style w:type="character" w:customStyle="1" w:styleId="26">
    <w:name w:val="标题 2 Char"/>
    <w:basedOn w:val="22"/>
    <w:link w:val="4"/>
    <w:qFormat/>
    <w:locked/>
    <w:uiPriority w:val="0"/>
    <w:rPr>
      <w:b/>
      <w:bCs/>
      <w:kern w:val="2"/>
      <w:sz w:val="36"/>
      <w:szCs w:val="32"/>
    </w:rPr>
  </w:style>
  <w:style w:type="paragraph" w:customStyle="1" w:styleId="27">
    <w:name w:val="正文 A"/>
    <w:qFormat/>
    <w:uiPriority w:val="0"/>
    <w:pPr>
      <w:widowControl w:val="0"/>
      <w:pBdr>
        <w:top w:val="none" w:color="FFFFFF" w:sz="0" w:space="31"/>
        <w:left w:val="none" w:color="FFFFFF" w:sz="0" w:space="31"/>
        <w:bottom w:val="none" w:color="FFFFFF" w:sz="0" w:space="31"/>
        <w:right w:val="none" w:color="FFFFFF" w:sz="0" w:space="31"/>
      </w:pBdr>
      <w:jc w:val="both"/>
    </w:pPr>
    <w:rPr>
      <w:rFonts w:ascii="Times New Roman" w:hAnsi="Times New Roman" w:eastAsia="Times New Roman" w:cs="Arial Unicode MS"/>
      <w:color w:val="000000"/>
      <w:kern w:val="2"/>
      <w:sz w:val="21"/>
      <w:szCs w:val="21"/>
      <w:u w:color="000000"/>
      <w:lang w:val="en-US" w:eastAsia="zh-CN" w:bidi="ar-SA"/>
    </w:rPr>
  </w:style>
  <w:style w:type="paragraph" w:customStyle="1" w:styleId="28">
    <w:name w:val="List Paragraph1"/>
    <w:basedOn w:val="1"/>
    <w:qFormat/>
    <w:uiPriority w:val="0"/>
    <w:pPr>
      <w:widowControl/>
      <w:ind w:firstLine="420" w:firstLineChars="200"/>
      <w:jc w:val="left"/>
    </w:pPr>
    <w:rPr>
      <w:rFonts w:ascii="宋体" w:hAnsi="宋体" w:cs="宋体"/>
      <w:kern w:val="0"/>
      <w:sz w:val="24"/>
    </w:rPr>
  </w:style>
  <w:style w:type="paragraph" w:styleId="29">
    <w:name w:val="List Paragraph"/>
    <w:basedOn w:val="1"/>
    <w:qFormat/>
    <w:uiPriority w:val="34"/>
    <w:pPr>
      <w:ind w:firstLine="420" w:firstLineChars="200"/>
    </w:pPr>
    <w:rPr>
      <w:rFonts w:ascii="Calibri" w:hAnsi="Calibri"/>
      <w:szCs w:val="22"/>
    </w:rPr>
  </w:style>
  <w:style w:type="paragraph" w:customStyle="1" w:styleId="30">
    <w:name w:val="Char"/>
    <w:basedOn w:val="1"/>
    <w:qFormat/>
    <w:uiPriority w:val="0"/>
  </w:style>
  <w:style w:type="paragraph" w:customStyle="1" w:styleId="31">
    <w:name w:val="No Spacing1"/>
    <w:qFormat/>
    <w:uiPriority w:val="0"/>
    <w:rPr>
      <w:rFonts w:ascii="Calibri" w:hAnsi="Calibri" w:eastAsia="宋体" w:cs="Times New Roman"/>
      <w:sz w:val="22"/>
      <w:szCs w:val="22"/>
      <w:lang w:val="en-US" w:eastAsia="zh-CN" w:bidi="ar-SA"/>
    </w:rPr>
  </w:style>
  <w:style w:type="paragraph" w:customStyle="1" w:styleId="32">
    <w:name w:val="+正文"/>
    <w:basedOn w:val="1"/>
    <w:qFormat/>
    <w:uiPriority w:val="0"/>
    <w:pPr>
      <w:spacing w:line="360" w:lineRule="auto"/>
      <w:ind w:firstLine="200" w:firstLineChars="200"/>
    </w:pPr>
    <w:rPr>
      <w:sz w:val="24"/>
      <w:szCs w:val="28"/>
    </w:rPr>
  </w:style>
  <w:style w:type="paragraph" w:customStyle="1" w:styleId="33">
    <w:name w:val="第三层标题"/>
    <w:basedOn w:val="1"/>
    <w:qFormat/>
    <w:uiPriority w:val="99"/>
    <w:pPr>
      <w:keepNext/>
      <w:keepLines/>
      <w:spacing w:before="140" w:after="140" w:line="360" w:lineRule="exact"/>
      <w:outlineLvl w:val="1"/>
    </w:pPr>
    <w:rPr>
      <w:rFonts w:ascii="Arial" w:hAnsi="Arial" w:eastAsia="黑体"/>
      <w:bCs/>
      <w:sz w:val="24"/>
    </w:rPr>
  </w:style>
  <w:style w:type="character" w:customStyle="1" w:styleId="34">
    <w:name w:val="纯文本 Char"/>
    <w:link w:val="12"/>
    <w:qFormat/>
    <w:uiPriority w:val="0"/>
    <w:rPr>
      <w:rFonts w:ascii="Arial Unicode MS" w:hAnsi="Arial Unicode MS" w:cs="Arial Unicode MS"/>
      <w:color w:val="000000"/>
      <w:kern w:val="2"/>
      <w:sz w:val="21"/>
      <w:szCs w:val="21"/>
      <w:u w:color="000000"/>
    </w:rPr>
  </w:style>
  <w:style w:type="character" w:customStyle="1" w:styleId="35">
    <w:name w:val="正文缩进 Char"/>
    <w:link w:val="7"/>
    <w:qFormat/>
    <w:uiPriority w:val="0"/>
    <w:rPr>
      <w:kern w:val="2"/>
      <w:sz w:val="21"/>
    </w:rPr>
  </w:style>
  <w:style w:type="paragraph" w:customStyle="1" w:styleId="36">
    <w:name w:val="简单回函地址"/>
    <w:basedOn w:val="1"/>
    <w:qFormat/>
    <w:uiPriority w:val="0"/>
    <w:pPr>
      <w:adjustRightInd w:val="0"/>
      <w:jc w:val="left"/>
      <w:textAlignment w:val="baseline"/>
    </w:pPr>
    <w:rPr>
      <w:kern w:val="0"/>
      <w:szCs w:val="20"/>
    </w:rPr>
  </w:style>
  <w:style w:type="character" w:customStyle="1" w:styleId="37">
    <w:name w:val="批注框文本 Char"/>
    <w:basedOn w:val="22"/>
    <w:link w:val="1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zls</Company>
  <Pages>39</Pages>
  <Words>8734</Words>
  <Characters>8981</Characters>
  <Lines>148</Lines>
  <Paragraphs>41</Paragraphs>
  <TotalTime>5</TotalTime>
  <ScaleCrop>false</ScaleCrop>
  <LinksUpToDate>false</LinksUpToDate>
  <CharactersWithSpaces>9878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2024-10-11T07:15:00Z</dcterms:created>
  <dc:creator>dzs</dc:creator>
  <cp:lastModifiedBy>华卿</cp:lastModifiedBy>
  <cp:lastPrinted>2024-10-14T02:30:00Z</cp:lastPrinted>
  <dcterms:modified xsi:type="dcterms:W3CDTF">2024-11-04T08:41:53Z</dcterms:modified>
  <dc:title>扬州自来水总公司工程材料招标邀请书</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A25D49748CAC42C4990DDEBD600E82D0</vt:lpwstr>
  </property>
  <property fmtid="{D5CDD505-2E9C-101B-9397-08002B2CF9AE}" pid="4" name="commondata">
    <vt:lpwstr>eyJoZGlkIjoiMTdmZjMyMDhiY2RkZTYxNmZmYTdjOWU1MjI2YzIzZTcifQ==</vt:lpwstr>
  </property>
</Properties>
</file>