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keepNext/>
        <w:keepLines/>
        <w:pageBreakBefore w:val="0"/>
        <w:widowControl w:val="0"/>
        <w:numPr>
          <w:ilvl w:val="0"/>
          <w:numId w:val="0"/>
        </w:numPr>
        <w:kinsoku/>
        <w:wordWrap/>
        <w:overflowPunct/>
        <w:topLinePunct w:val="0"/>
        <w:autoSpaceDE/>
        <w:autoSpaceDN/>
        <w:bidi w:val="0"/>
        <w:adjustRightInd/>
        <w:snapToGrid/>
        <w:spacing w:before="0" w:after="0" w:line="360" w:lineRule="auto"/>
        <w:ind w:left="1050" w:leftChars="500" w:right="1050" w:rightChars="500"/>
        <w:jc w:val="center"/>
        <w:textAlignment w:val="auto"/>
        <w:rPr>
          <w:rFonts w:ascii="宋体" w:hAnsi="宋体"/>
          <w:sz w:val="36"/>
          <w:szCs w:val="36"/>
          <w:highlight w:val="none"/>
        </w:rPr>
      </w:pPr>
      <w:bookmarkStart w:id="0" w:name="_Toc1983569"/>
      <w:r>
        <w:rPr>
          <w:rFonts w:hint="eastAsia" w:ascii="宋体" w:hAnsi="宋体" w:cs="宋体"/>
          <w:color w:val="auto"/>
          <w:sz w:val="36"/>
          <w:szCs w:val="36"/>
          <w:highlight w:val="none"/>
          <w:lang w:val="en-US" w:eastAsia="zh-CN"/>
        </w:rPr>
        <w:t>江苏长江水务股份有限公司</w:t>
      </w:r>
      <w:r>
        <w:rPr>
          <w:rFonts w:hint="eastAsia" w:ascii="宋体" w:hAnsi="宋体" w:cs="宋体"/>
          <w:color w:val="auto"/>
          <w:sz w:val="36"/>
          <w:szCs w:val="36"/>
          <w:highlight w:val="none"/>
          <w:lang w:eastAsia="zh-CN"/>
        </w:rPr>
        <w:t>江源</w:t>
      </w:r>
      <w:r>
        <w:rPr>
          <w:rFonts w:hint="eastAsia" w:ascii="宋体" w:hAnsi="宋体" w:cs="宋体"/>
          <w:color w:val="auto"/>
          <w:sz w:val="36"/>
          <w:szCs w:val="36"/>
          <w:highlight w:val="none"/>
          <w:lang w:val="en-US" w:eastAsia="zh-CN"/>
        </w:rPr>
        <w:t>配套</w:t>
      </w:r>
      <w:r>
        <w:rPr>
          <w:rFonts w:hint="eastAsia" w:ascii="宋体" w:hAnsi="宋体" w:cs="宋体"/>
          <w:color w:val="auto"/>
          <w:sz w:val="36"/>
          <w:szCs w:val="36"/>
          <w:highlight w:val="none"/>
          <w:lang w:eastAsia="zh-CN"/>
        </w:rPr>
        <w:t>公司</w:t>
      </w:r>
      <w:r>
        <w:rPr>
          <w:rFonts w:hint="eastAsia" w:ascii="宋体" w:hAnsi="宋体" w:cs="宋体"/>
          <w:color w:val="auto"/>
          <w:sz w:val="36"/>
          <w:szCs w:val="36"/>
          <w:highlight w:val="none"/>
          <w:lang w:val="en-US" w:eastAsia="zh-CN"/>
        </w:rPr>
        <w:t>1000KVA箱式变电站</w:t>
      </w:r>
      <w:r>
        <w:rPr>
          <w:rFonts w:hint="eastAsia" w:ascii="宋体" w:hAnsi="宋体" w:cs="宋体"/>
          <w:color w:val="auto"/>
          <w:sz w:val="36"/>
          <w:szCs w:val="36"/>
          <w:highlight w:val="none"/>
          <w:lang w:eastAsia="zh-CN"/>
        </w:rPr>
        <w:t>采购</w:t>
      </w:r>
      <w:r>
        <w:rPr>
          <w:rFonts w:ascii="宋体" w:hAnsi="宋体"/>
          <w:sz w:val="36"/>
          <w:szCs w:val="36"/>
          <w:highlight w:val="none"/>
        </w:rPr>
        <w:t>招标公告</w:t>
      </w:r>
      <w:bookmarkEnd w:id="0"/>
    </w:p>
    <w:p>
      <w:pPr>
        <w:rPr>
          <w:rFonts w:hint="eastAsia"/>
          <w:highlight w:val="none"/>
        </w:rPr>
      </w:pPr>
    </w:p>
    <w:p>
      <w:pPr>
        <w:autoSpaceDN w:val="0"/>
        <w:spacing w:line="360" w:lineRule="auto"/>
        <w:ind w:firstLine="420" w:firstLineChars="200"/>
        <w:rPr>
          <w:rFonts w:ascii="宋体" w:hAnsi="宋体" w:cs="宋体"/>
          <w:color w:val="000000"/>
          <w:szCs w:val="21"/>
          <w:highlight w:val="none"/>
        </w:rPr>
      </w:pPr>
      <w:r>
        <w:rPr>
          <w:rFonts w:hint="eastAsia" w:ascii="宋体" w:hAnsi="宋体" w:cs="宋体"/>
          <w:color w:val="000000"/>
          <w:szCs w:val="21"/>
          <w:highlight w:val="none"/>
          <w:lang w:eastAsia="zh-CN"/>
        </w:rPr>
        <w:t>江苏长江水务股份有限公司</w:t>
      </w:r>
      <w:r>
        <w:rPr>
          <w:rFonts w:hint="eastAsia" w:ascii="宋体" w:hAnsi="宋体" w:cs="宋体"/>
          <w:color w:val="000000"/>
          <w:szCs w:val="21"/>
          <w:highlight w:val="none"/>
        </w:rPr>
        <w:t>（以下简称“采购人”）</w:t>
      </w:r>
      <w:r>
        <w:rPr>
          <w:rFonts w:hint="eastAsia" w:ascii="宋体" w:hAnsi="宋体" w:cs="宋体"/>
          <w:color w:val="000000"/>
          <w:szCs w:val="21"/>
          <w:highlight w:val="none"/>
          <w:lang w:val="en-US" w:eastAsia="zh-CN"/>
        </w:rPr>
        <w:t>就下属</w:t>
      </w:r>
      <w:r>
        <w:rPr>
          <w:rFonts w:hint="eastAsia" w:ascii="宋体" w:hAnsi="宋体"/>
          <w:szCs w:val="21"/>
          <w:highlight w:val="none"/>
          <w:lang w:val="en-US" w:eastAsia="zh-CN"/>
        </w:rPr>
        <w:t>江源配套公司1000KVA箱式变电站采购</w:t>
      </w:r>
      <w:r>
        <w:rPr>
          <w:rFonts w:hint="eastAsia" w:ascii="宋体" w:hAnsi="宋体" w:cs="宋体"/>
          <w:color w:val="000000"/>
          <w:szCs w:val="21"/>
          <w:highlight w:val="none"/>
          <w:lang w:eastAsia="zh-CN"/>
        </w:rPr>
        <w:t>进行招标，现欢迎符合相关条件的供应商投标</w:t>
      </w:r>
      <w:r>
        <w:rPr>
          <w:rFonts w:hint="eastAsia" w:ascii="宋体" w:hAnsi="宋体" w:cs="宋体"/>
          <w:color w:val="000000"/>
          <w:szCs w:val="21"/>
          <w:highlight w:val="none"/>
        </w:rPr>
        <w:t>。</w:t>
      </w:r>
    </w:p>
    <w:p>
      <w:pPr>
        <w:numPr>
          <w:ilvl w:val="0"/>
          <w:numId w:val="1"/>
        </w:numPr>
        <w:tabs>
          <w:tab w:val="left" w:pos="900"/>
        </w:tabs>
        <w:spacing w:line="360" w:lineRule="auto"/>
        <w:rPr>
          <w:highlight w:val="none"/>
        </w:rPr>
      </w:pPr>
      <w:r>
        <w:rPr>
          <w:rFonts w:hint="eastAsia" w:ascii="宋体" w:hAnsi="宋体" w:cs="宋体"/>
          <w:b/>
          <w:bCs/>
          <w:color w:val="000000"/>
          <w:szCs w:val="21"/>
          <w:highlight w:val="none"/>
        </w:rPr>
        <w:t>项目基本情况</w:t>
      </w:r>
    </w:p>
    <w:p>
      <w:pPr>
        <w:spacing w:line="360" w:lineRule="auto"/>
        <w:ind w:firstLine="404" w:firstLineChars="200"/>
        <w:rPr>
          <w:rFonts w:hint="eastAsia" w:ascii="宋体" w:hAnsi="宋体"/>
          <w:color w:val="auto"/>
          <w:spacing w:val="-4"/>
          <w:szCs w:val="21"/>
          <w:highlight w:val="none"/>
          <w:lang w:eastAsia="zh-CN"/>
        </w:rPr>
      </w:pPr>
      <w:r>
        <w:rPr>
          <w:rFonts w:hint="eastAsia" w:ascii="宋体" w:hAnsi="宋体"/>
          <w:color w:val="auto"/>
          <w:spacing w:val="-4"/>
          <w:szCs w:val="21"/>
          <w:highlight w:val="none"/>
          <w:lang w:val="en-US" w:eastAsia="zh-CN"/>
        </w:rPr>
        <w:t>1、</w:t>
      </w:r>
      <w:r>
        <w:rPr>
          <w:rFonts w:hint="eastAsia" w:ascii="宋体" w:hAnsi="宋体"/>
          <w:color w:val="auto"/>
          <w:spacing w:val="-4"/>
          <w:szCs w:val="21"/>
          <w:highlight w:val="none"/>
        </w:rPr>
        <w:t>项目名称：江苏长江水务股份有限公司</w:t>
      </w:r>
      <w:r>
        <w:rPr>
          <w:rFonts w:hint="eastAsia" w:ascii="宋体" w:hAnsi="宋体"/>
          <w:szCs w:val="21"/>
          <w:highlight w:val="none"/>
          <w:lang w:val="en-US" w:eastAsia="zh-CN"/>
        </w:rPr>
        <w:t>江源配套公司1000KVA箱式变电站采购</w:t>
      </w:r>
      <w:r>
        <w:rPr>
          <w:rFonts w:hint="eastAsia" w:ascii="宋体" w:hAnsi="宋体"/>
          <w:color w:val="auto"/>
          <w:spacing w:val="-4"/>
          <w:szCs w:val="21"/>
          <w:highlight w:val="none"/>
          <w:lang w:val="en-US" w:eastAsia="zh-CN"/>
        </w:rPr>
        <w:t xml:space="preserve"> 。</w:t>
      </w:r>
    </w:p>
    <w:p>
      <w:pPr>
        <w:spacing w:line="360" w:lineRule="auto"/>
        <w:ind w:firstLine="404" w:firstLineChars="200"/>
        <w:rPr>
          <w:rFonts w:hint="default" w:ascii="宋体" w:hAnsi="宋体"/>
          <w:color w:val="auto"/>
          <w:spacing w:val="-4"/>
          <w:szCs w:val="21"/>
          <w:highlight w:val="none"/>
          <w:lang w:val="en-US" w:eastAsia="zh-CN"/>
        </w:rPr>
      </w:pPr>
      <w:r>
        <w:rPr>
          <w:rFonts w:hint="eastAsia" w:ascii="宋体" w:hAnsi="宋体"/>
          <w:color w:val="auto"/>
          <w:spacing w:val="-4"/>
          <w:szCs w:val="21"/>
          <w:highlight w:val="none"/>
          <w:lang w:val="en-US" w:eastAsia="zh-CN"/>
        </w:rPr>
        <w:t>2、招标范围</w:t>
      </w:r>
      <w:r>
        <w:rPr>
          <w:rFonts w:hint="eastAsia" w:ascii="宋体" w:hAnsi="宋体"/>
          <w:color w:val="auto"/>
          <w:spacing w:val="-4"/>
          <w:szCs w:val="21"/>
          <w:highlight w:val="none"/>
        </w:rPr>
        <w:t>：</w:t>
      </w:r>
      <w:r>
        <w:rPr>
          <w:rFonts w:hint="eastAsia" w:ascii="宋体" w:hAnsi="宋体"/>
          <w:szCs w:val="21"/>
          <w:highlight w:val="none"/>
          <w:lang w:val="en-US" w:eastAsia="zh-CN"/>
        </w:rPr>
        <w:t>江源配套公司1000KVA箱式变电站采购、安装及调试相关设备。（含拆除及安装调试）。</w:t>
      </w:r>
    </w:p>
    <w:p>
      <w:pPr>
        <w:spacing w:line="360" w:lineRule="auto"/>
        <w:ind w:firstLine="404" w:firstLineChars="200"/>
        <w:rPr>
          <w:rFonts w:ascii="宋体"/>
          <w:color w:val="auto"/>
          <w:spacing w:val="-4"/>
          <w:szCs w:val="21"/>
          <w:highlight w:val="none"/>
        </w:rPr>
      </w:pPr>
      <w:r>
        <w:rPr>
          <w:rFonts w:hint="eastAsia" w:ascii="宋体" w:hAnsi="宋体"/>
          <w:color w:val="auto"/>
          <w:spacing w:val="-4"/>
          <w:szCs w:val="21"/>
          <w:highlight w:val="none"/>
          <w:lang w:val="en-US" w:eastAsia="zh-CN"/>
        </w:rPr>
        <w:t>3</w:t>
      </w:r>
      <w:r>
        <w:rPr>
          <w:rFonts w:hint="eastAsia" w:ascii="宋体" w:hAnsi="宋体"/>
          <w:color w:val="auto"/>
          <w:spacing w:val="-4"/>
          <w:szCs w:val="21"/>
          <w:highlight w:val="none"/>
        </w:rPr>
        <w:t>、</w:t>
      </w:r>
      <w:r>
        <w:rPr>
          <w:rFonts w:hint="eastAsia" w:ascii="宋体" w:hAnsi="宋体"/>
          <w:color w:val="auto"/>
          <w:spacing w:val="-4"/>
          <w:szCs w:val="21"/>
          <w:highlight w:val="none"/>
          <w:lang w:val="en-US" w:eastAsia="zh-CN"/>
        </w:rPr>
        <w:t>招标控制价：</w:t>
      </w:r>
      <w:r>
        <w:rPr>
          <w:rFonts w:hint="eastAsia" w:ascii="宋体" w:hAnsi="宋体"/>
          <w:color w:val="auto"/>
          <w:spacing w:val="-4"/>
          <w:szCs w:val="21"/>
          <w:highlight w:val="none"/>
        </w:rPr>
        <w:t>本项目设定最高</w:t>
      </w:r>
      <w:r>
        <w:rPr>
          <w:rFonts w:hint="eastAsia" w:ascii="宋体" w:hAnsi="宋体" w:cs="宋体"/>
          <w:color w:val="auto"/>
          <w:highlight w:val="none"/>
        </w:rPr>
        <w:t>限价</w:t>
      </w:r>
      <w:r>
        <w:rPr>
          <w:rFonts w:hint="eastAsia" w:ascii="宋体" w:hAnsi="宋体"/>
          <w:szCs w:val="21"/>
          <w:highlight w:val="none"/>
          <w:u w:val="single"/>
          <w:lang w:val="en-US" w:eastAsia="zh-CN"/>
        </w:rPr>
        <w:t>柒拾万元整</w:t>
      </w:r>
      <w:r>
        <w:rPr>
          <w:rFonts w:hint="eastAsia" w:ascii="宋体" w:hAnsi="宋体"/>
          <w:szCs w:val="21"/>
          <w:highlight w:val="none"/>
          <w:lang w:val="en-US" w:eastAsia="zh-CN"/>
        </w:rPr>
        <w:t>（￥</w:t>
      </w:r>
      <w:r>
        <w:rPr>
          <w:rFonts w:hint="eastAsia" w:ascii="宋体" w:hAnsi="宋体"/>
          <w:szCs w:val="21"/>
          <w:highlight w:val="none"/>
          <w:u w:val="single"/>
          <w:lang w:val="en-US" w:eastAsia="zh-CN"/>
        </w:rPr>
        <w:t>700000元</w:t>
      </w:r>
      <w:r>
        <w:rPr>
          <w:rFonts w:hint="eastAsia" w:ascii="宋体" w:hAnsi="宋体"/>
          <w:szCs w:val="21"/>
          <w:highlight w:val="none"/>
          <w:lang w:val="en-US" w:eastAsia="zh-CN"/>
        </w:rPr>
        <w:t>），</w:t>
      </w:r>
      <w:r>
        <w:rPr>
          <w:rFonts w:hint="eastAsia" w:ascii="宋体" w:hAnsi="宋体"/>
          <w:szCs w:val="21"/>
          <w:highlight w:val="none"/>
          <w:u w:val="single"/>
          <w:lang w:val="en-US" w:eastAsia="zh-CN"/>
        </w:rPr>
        <w:t>包含运保费、拆除费、安装调试费等</w:t>
      </w:r>
      <w:r>
        <w:rPr>
          <w:rFonts w:hint="eastAsia" w:ascii="宋体" w:hAnsi="宋体"/>
          <w:color w:val="auto"/>
          <w:spacing w:val="-4"/>
          <w:szCs w:val="21"/>
          <w:highlight w:val="none"/>
        </w:rPr>
        <w:t>。报价超过最高限价的为无效报价，按照无效响应处理。</w:t>
      </w:r>
    </w:p>
    <w:p>
      <w:pPr>
        <w:spacing w:line="360" w:lineRule="auto"/>
        <w:ind w:firstLine="420" w:firstLineChars="200"/>
        <w:outlineLvl w:val="0"/>
        <w:rPr>
          <w:rFonts w:hint="eastAsia" w:ascii="宋体" w:hAnsi="宋体" w:eastAsia="宋体"/>
          <w:color w:val="auto"/>
          <w:szCs w:val="21"/>
          <w:highlight w:val="none"/>
          <w:lang w:eastAsia="zh-CN"/>
        </w:rPr>
      </w:pPr>
      <w:r>
        <w:rPr>
          <w:rFonts w:hint="eastAsia" w:ascii="宋体" w:hAnsi="宋体" w:eastAsia="宋体"/>
          <w:color w:val="000000"/>
          <w:kern w:val="2"/>
          <w:sz w:val="21"/>
          <w:szCs w:val="21"/>
          <w:highlight w:val="none"/>
          <w:lang w:val="en-US" w:eastAsia="zh-CN"/>
        </w:rPr>
        <w:t>5、</w:t>
      </w:r>
      <w:r>
        <w:rPr>
          <w:rFonts w:hint="eastAsia" w:ascii="宋体" w:hAnsi="宋体"/>
          <w:color w:val="000000"/>
          <w:kern w:val="2"/>
          <w:sz w:val="21"/>
          <w:szCs w:val="21"/>
          <w:highlight w:val="none"/>
          <w:lang w:val="en-US" w:eastAsia="zh-CN"/>
        </w:rPr>
        <w:t>交付时间</w:t>
      </w:r>
      <w:r>
        <w:rPr>
          <w:rFonts w:hint="eastAsia" w:ascii="宋体" w:hAnsi="宋体" w:eastAsia="宋体"/>
          <w:color w:val="000000"/>
          <w:kern w:val="2"/>
          <w:sz w:val="21"/>
          <w:szCs w:val="21"/>
          <w:highlight w:val="none"/>
        </w:rPr>
        <w:t>：</w:t>
      </w:r>
      <w:r>
        <w:rPr>
          <w:rFonts w:hint="eastAsia" w:ascii="宋体" w:hAnsi="宋体"/>
          <w:color w:val="000000"/>
          <w:szCs w:val="21"/>
          <w:highlight w:val="none"/>
          <w:lang w:eastAsia="zh-CN"/>
        </w:rPr>
        <w:t>交</w:t>
      </w:r>
      <w:r>
        <w:rPr>
          <w:rFonts w:hint="eastAsia" w:ascii="宋体" w:hAnsi="宋体"/>
          <w:color w:val="auto"/>
          <w:szCs w:val="21"/>
          <w:highlight w:val="none"/>
          <w:lang w:eastAsia="zh-CN"/>
        </w:rPr>
        <w:t>货期为</w:t>
      </w:r>
      <w:r>
        <w:rPr>
          <w:rFonts w:hint="eastAsia" w:ascii="宋体" w:hAnsi="宋体"/>
          <w:color w:val="000000"/>
          <w:szCs w:val="21"/>
          <w:highlight w:val="none"/>
        </w:rPr>
        <w:t>中标签订合同后的</w:t>
      </w:r>
      <w:r>
        <w:rPr>
          <w:rFonts w:hint="eastAsia" w:ascii="宋体" w:hAnsi="宋体"/>
          <w:color w:val="000000"/>
          <w:szCs w:val="21"/>
          <w:highlight w:val="none"/>
          <w:lang w:val="en-US" w:eastAsia="zh-CN"/>
        </w:rPr>
        <w:t>45</w:t>
      </w:r>
      <w:r>
        <w:rPr>
          <w:rFonts w:hint="eastAsia" w:ascii="宋体" w:hAnsi="宋体"/>
          <w:color w:val="000000"/>
          <w:szCs w:val="21"/>
          <w:highlight w:val="none"/>
        </w:rPr>
        <w:t>天之内</w:t>
      </w:r>
      <w:r>
        <w:rPr>
          <w:rFonts w:hint="eastAsia" w:ascii="宋体" w:hAnsi="宋体"/>
          <w:color w:val="auto"/>
          <w:szCs w:val="21"/>
          <w:highlight w:val="none"/>
          <w:lang w:eastAsia="zh-CN"/>
        </w:rPr>
        <w:t>。</w:t>
      </w:r>
    </w:p>
    <w:p>
      <w:pPr>
        <w:spacing w:line="360" w:lineRule="auto"/>
        <w:ind w:firstLine="420" w:firstLineChars="200"/>
        <w:outlineLvl w:val="0"/>
        <w:rPr>
          <w:rFonts w:hint="eastAsia" w:ascii="宋体" w:hAnsi="宋体" w:eastAsia="宋体"/>
          <w:color w:val="000000"/>
          <w:kern w:val="2"/>
          <w:sz w:val="21"/>
          <w:szCs w:val="21"/>
          <w:highlight w:val="none"/>
        </w:rPr>
      </w:pPr>
      <w:r>
        <w:rPr>
          <w:rFonts w:hint="eastAsia" w:ascii="宋体" w:hAnsi="宋体"/>
          <w:color w:val="auto"/>
          <w:szCs w:val="21"/>
          <w:highlight w:val="none"/>
          <w:lang w:val="en-US" w:eastAsia="zh-CN"/>
        </w:rPr>
        <w:t>6、</w:t>
      </w:r>
      <w:r>
        <w:rPr>
          <w:rFonts w:hint="eastAsia" w:ascii="宋体" w:hAnsi="宋体"/>
          <w:color w:val="000000"/>
          <w:szCs w:val="21"/>
          <w:highlight w:val="none"/>
          <w:lang w:eastAsia="zh-CN"/>
        </w:rPr>
        <w:t>质保期：</w:t>
      </w:r>
      <w:r>
        <w:rPr>
          <w:rFonts w:hint="eastAsia" w:ascii="宋体" w:hAnsi="宋体"/>
          <w:color w:val="000000"/>
          <w:szCs w:val="21"/>
          <w:highlight w:val="none"/>
          <w:lang w:val="en-US" w:eastAsia="zh-CN"/>
        </w:rPr>
        <w:t>18个月</w:t>
      </w:r>
      <w:r>
        <w:rPr>
          <w:rFonts w:hint="eastAsia" w:ascii="宋体" w:hAnsi="宋体" w:eastAsia="宋体"/>
          <w:color w:val="000000"/>
          <w:kern w:val="2"/>
          <w:sz w:val="21"/>
          <w:szCs w:val="21"/>
          <w:highlight w:val="none"/>
        </w:rPr>
        <w:t>。</w:t>
      </w:r>
    </w:p>
    <w:p>
      <w:pPr>
        <w:spacing w:line="360" w:lineRule="auto"/>
        <w:ind w:firstLine="420" w:firstLineChars="200"/>
        <w:outlineLvl w:val="0"/>
        <w:rPr>
          <w:rFonts w:hint="eastAsia" w:eastAsia="宋体"/>
          <w:highlight w:val="none"/>
          <w:lang w:eastAsia="zh-CN"/>
        </w:rPr>
      </w:pPr>
      <w:r>
        <w:rPr>
          <w:rFonts w:hint="eastAsia" w:ascii="宋体" w:hAnsi="宋体"/>
          <w:color w:val="000000"/>
          <w:kern w:val="2"/>
          <w:sz w:val="21"/>
          <w:szCs w:val="21"/>
          <w:highlight w:val="none"/>
          <w:lang w:val="en-US" w:eastAsia="zh-CN"/>
        </w:rPr>
        <w:t>7</w:t>
      </w:r>
      <w:r>
        <w:rPr>
          <w:rFonts w:hint="eastAsia" w:ascii="宋体" w:hAnsi="宋体" w:eastAsia="宋体"/>
          <w:color w:val="000000"/>
          <w:kern w:val="2"/>
          <w:sz w:val="21"/>
          <w:szCs w:val="21"/>
          <w:highlight w:val="none"/>
          <w:lang w:val="en-US" w:eastAsia="zh-CN"/>
        </w:rPr>
        <w:t>、</w:t>
      </w:r>
      <w:r>
        <w:rPr>
          <w:rFonts w:hint="eastAsia" w:ascii="宋体" w:hAnsi="宋体"/>
          <w:color w:val="000000"/>
          <w:kern w:val="2"/>
          <w:sz w:val="21"/>
          <w:szCs w:val="21"/>
          <w:highlight w:val="none"/>
          <w:lang w:val="en-US" w:eastAsia="zh-CN"/>
        </w:rPr>
        <w:t>交付</w:t>
      </w:r>
      <w:r>
        <w:rPr>
          <w:rFonts w:hint="eastAsia" w:ascii="宋体" w:hAnsi="宋体" w:eastAsia="宋体"/>
          <w:color w:val="000000"/>
          <w:kern w:val="2"/>
          <w:sz w:val="21"/>
          <w:szCs w:val="21"/>
          <w:highlight w:val="none"/>
        </w:rPr>
        <w:t>地点：江苏省扬州市指定送货点</w:t>
      </w:r>
      <w:r>
        <w:rPr>
          <w:rFonts w:hint="eastAsia" w:ascii="宋体" w:hAnsi="宋体"/>
          <w:color w:val="000000"/>
          <w:kern w:val="2"/>
          <w:sz w:val="21"/>
          <w:szCs w:val="21"/>
          <w:highlight w:val="none"/>
          <w:lang w:eastAsia="zh-CN"/>
        </w:rPr>
        <w:t>。</w:t>
      </w:r>
    </w:p>
    <w:p>
      <w:pPr>
        <w:tabs>
          <w:tab w:val="left" w:pos="900"/>
        </w:tabs>
        <w:spacing w:line="360" w:lineRule="auto"/>
        <w:rPr>
          <w:rFonts w:hint="default" w:ascii="宋体" w:hAnsi="宋体" w:eastAsia="宋体" w:cs="宋体"/>
          <w:b/>
          <w:bCs/>
          <w:color w:val="000000"/>
          <w:szCs w:val="21"/>
          <w:highlight w:val="none"/>
          <w:lang w:val="en-US" w:eastAsia="zh-CN"/>
        </w:rPr>
      </w:pPr>
      <w:r>
        <w:rPr>
          <w:rFonts w:hint="eastAsia" w:ascii="宋体" w:hAnsi="宋体" w:cs="宋体"/>
          <w:b/>
          <w:bCs/>
          <w:color w:val="000000"/>
          <w:szCs w:val="21"/>
          <w:highlight w:val="none"/>
        </w:rPr>
        <w:t>二、</w:t>
      </w:r>
      <w:r>
        <w:rPr>
          <w:rFonts w:hint="eastAsia" w:ascii="宋体" w:hAnsi="宋体" w:cs="宋体"/>
          <w:b/>
          <w:bCs/>
          <w:color w:val="000000"/>
          <w:szCs w:val="21"/>
          <w:highlight w:val="none"/>
          <w:lang w:val="en-US" w:eastAsia="zh-CN"/>
        </w:rPr>
        <w:t>投标人须知</w:t>
      </w:r>
    </w:p>
    <w:p>
      <w:pPr>
        <w:spacing w:line="360" w:lineRule="auto"/>
        <w:ind w:firstLine="525" w:firstLineChars="250"/>
        <w:rPr>
          <w:rFonts w:hint="eastAsia" w:ascii="宋体" w:hAnsi="宋体"/>
          <w:szCs w:val="21"/>
          <w:highlight w:val="none"/>
        </w:rPr>
      </w:pPr>
      <w:r>
        <w:rPr>
          <w:rFonts w:hint="eastAsia" w:ascii="宋体" w:hAnsi="宋体"/>
          <w:szCs w:val="21"/>
          <w:highlight w:val="none"/>
          <w:lang w:val="en-US" w:eastAsia="zh-CN"/>
        </w:rPr>
        <w:t>1、</w:t>
      </w:r>
      <w:r>
        <w:rPr>
          <w:rFonts w:hint="eastAsia" w:ascii="宋体" w:hAnsi="宋体"/>
          <w:szCs w:val="21"/>
          <w:highlight w:val="none"/>
        </w:rPr>
        <w:t>投标人必须是中华人民共和国境内注册的企业法人，应遵守中国有关的法律、法规，严格执行国家标准。</w:t>
      </w:r>
    </w:p>
    <w:p>
      <w:pPr>
        <w:spacing w:line="360" w:lineRule="auto"/>
        <w:ind w:firstLine="525" w:firstLineChars="250"/>
        <w:rPr>
          <w:rFonts w:hint="eastAsia" w:ascii="宋体" w:hAnsi="宋体"/>
          <w:szCs w:val="21"/>
          <w:highlight w:val="none"/>
        </w:rPr>
      </w:pPr>
      <w:r>
        <w:rPr>
          <w:rFonts w:hint="eastAsia" w:ascii="宋体" w:hAnsi="宋体"/>
          <w:szCs w:val="21"/>
          <w:highlight w:val="none"/>
          <w:lang w:val="en-US" w:eastAsia="zh-CN"/>
        </w:rPr>
        <w:t>2、</w:t>
      </w:r>
      <w:r>
        <w:rPr>
          <w:rFonts w:hint="eastAsia" w:ascii="宋体" w:hAnsi="宋体"/>
          <w:szCs w:val="21"/>
          <w:highlight w:val="none"/>
        </w:rPr>
        <w:t>若投标人为代理商，必须拥有产品销售授权；代理人须具有针对本次投标的投标人法人授权委托书原件。</w:t>
      </w:r>
    </w:p>
    <w:p>
      <w:pPr>
        <w:spacing w:line="360" w:lineRule="auto"/>
        <w:ind w:firstLine="525" w:firstLineChars="250"/>
        <w:rPr>
          <w:rFonts w:hint="eastAsia" w:ascii="宋体" w:hAnsi="宋体"/>
          <w:szCs w:val="21"/>
          <w:highlight w:val="none"/>
          <w:lang w:val="en-US" w:eastAsia="zh-CN"/>
        </w:rPr>
      </w:pPr>
      <w:r>
        <w:rPr>
          <w:rFonts w:hint="eastAsia" w:ascii="宋体" w:hAnsi="宋体"/>
          <w:szCs w:val="21"/>
          <w:highlight w:val="none"/>
          <w:lang w:val="en-US" w:eastAsia="zh-CN"/>
        </w:rPr>
        <w:t>3、投标人应具备电力工程施工总承包或输变电工程专业承包叁级及以上资质，且同时具有国家能源局及电监会颁发的承装电力设施许可证五级及以上和承试电力设施许可证五级及以上资质；并取得安全生产许可证。</w:t>
      </w:r>
    </w:p>
    <w:p>
      <w:pPr>
        <w:keepNext w:val="0"/>
        <w:keepLines w:val="0"/>
        <w:pageBreakBefore w:val="0"/>
        <w:widowControl w:val="0"/>
        <w:kinsoku/>
        <w:wordWrap/>
        <w:overflowPunct/>
        <w:topLinePunct w:val="0"/>
        <w:autoSpaceDE w:val="0"/>
        <w:autoSpaceDN w:val="0"/>
        <w:bidi w:val="0"/>
        <w:adjustRightInd w:val="0"/>
        <w:snapToGrid w:val="0"/>
        <w:spacing w:line="360" w:lineRule="auto"/>
        <w:ind w:firstLine="561"/>
        <w:textAlignment w:val="auto"/>
        <w:rPr>
          <w:rFonts w:hint="eastAsia" w:ascii="宋体" w:hAnsi="宋体"/>
          <w:color w:val="000000"/>
          <w:szCs w:val="21"/>
          <w:highlight w:val="none"/>
        </w:rPr>
      </w:pPr>
      <w:r>
        <w:rPr>
          <w:rFonts w:hint="eastAsia" w:ascii="宋体" w:hAnsi="宋体"/>
          <w:color w:val="000000"/>
          <w:szCs w:val="21"/>
          <w:highlight w:val="none"/>
          <w:lang w:val="en-US" w:eastAsia="zh-CN"/>
        </w:rPr>
        <w:t>4、</w:t>
      </w:r>
      <w:r>
        <w:rPr>
          <w:rFonts w:hint="eastAsia" w:ascii="宋体" w:hAnsi="宋体"/>
          <w:color w:val="000000"/>
          <w:szCs w:val="21"/>
          <w:highlight w:val="none"/>
        </w:rPr>
        <w:t>投标文件正本</w:t>
      </w:r>
      <w:r>
        <w:rPr>
          <w:rFonts w:hint="eastAsia" w:ascii="宋体" w:hAnsi="宋体"/>
          <w:color w:val="000000"/>
          <w:szCs w:val="21"/>
          <w:highlight w:val="none"/>
          <w:lang w:val="en-US" w:eastAsia="zh-CN"/>
        </w:rPr>
        <w:t>一份</w:t>
      </w:r>
      <w:r>
        <w:rPr>
          <w:rFonts w:hint="eastAsia" w:ascii="宋体" w:hAnsi="宋体"/>
          <w:color w:val="000000"/>
          <w:szCs w:val="21"/>
          <w:highlight w:val="none"/>
        </w:rPr>
        <w:t>、副本</w:t>
      </w:r>
      <w:r>
        <w:rPr>
          <w:rFonts w:hint="eastAsia" w:ascii="宋体" w:hAnsi="宋体"/>
          <w:color w:val="000000"/>
          <w:szCs w:val="21"/>
          <w:highlight w:val="none"/>
          <w:lang w:val="en-US" w:eastAsia="zh-CN"/>
        </w:rPr>
        <w:t>四</w:t>
      </w:r>
      <w:r>
        <w:rPr>
          <w:rFonts w:hint="eastAsia" w:ascii="宋体" w:hAnsi="宋体"/>
          <w:color w:val="000000"/>
          <w:szCs w:val="21"/>
          <w:highlight w:val="none"/>
        </w:rPr>
        <w:t>份，正本必须用不能擦去的墨水书写或打印，副本可以复印。正本、副本都应装订成册，并在封面上正确标明“正本”、“副本”字样，正、副本不一致时，以正本为准。</w:t>
      </w:r>
    </w:p>
    <w:p>
      <w:pPr>
        <w:snapToGrid w:val="0"/>
        <w:spacing w:line="360" w:lineRule="auto"/>
        <w:ind w:firstLine="0" w:firstLineChars="0"/>
        <w:outlineLvl w:val="1"/>
        <w:rPr>
          <w:rFonts w:hint="eastAsia" w:ascii="宋体" w:hAnsi="宋体" w:cs="宋体"/>
          <w:b/>
          <w:bCs/>
          <w:kern w:val="0"/>
          <w:szCs w:val="21"/>
          <w:highlight w:val="none"/>
        </w:rPr>
      </w:pPr>
      <w:r>
        <w:rPr>
          <w:rFonts w:hint="eastAsia" w:ascii="宋体" w:hAnsi="宋体" w:cs="宋体"/>
          <w:b/>
          <w:bCs/>
          <w:kern w:val="0"/>
          <w:szCs w:val="21"/>
          <w:highlight w:val="none"/>
          <w:lang w:val="en-US" w:eastAsia="zh-CN"/>
        </w:rPr>
        <w:t>三</w:t>
      </w:r>
      <w:r>
        <w:rPr>
          <w:rFonts w:hint="eastAsia" w:ascii="宋体" w:hAnsi="宋体" w:cs="宋体"/>
          <w:b/>
          <w:bCs/>
          <w:kern w:val="0"/>
          <w:szCs w:val="21"/>
          <w:highlight w:val="none"/>
        </w:rPr>
        <w:t>、招标文件</w:t>
      </w:r>
      <w:r>
        <w:rPr>
          <w:rFonts w:hint="eastAsia" w:ascii="宋体" w:hAnsi="宋体" w:cs="宋体"/>
          <w:b/>
          <w:bCs/>
          <w:kern w:val="0"/>
          <w:szCs w:val="21"/>
          <w:highlight w:val="none"/>
          <w:lang w:val="en-US" w:eastAsia="zh-CN"/>
        </w:rPr>
        <w:t>发布</w:t>
      </w:r>
      <w:r>
        <w:rPr>
          <w:rFonts w:hint="eastAsia" w:ascii="宋体" w:hAnsi="宋体" w:cs="宋体"/>
          <w:b/>
          <w:bCs/>
          <w:kern w:val="0"/>
          <w:szCs w:val="21"/>
          <w:highlight w:val="none"/>
        </w:rPr>
        <w:t>信息</w:t>
      </w:r>
    </w:p>
    <w:p>
      <w:pPr>
        <w:spacing w:line="440" w:lineRule="exact"/>
        <w:ind w:firstLine="525" w:firstLineChars="250"/>
        <w:rPr>
          <w:rFonts w:hint="default" w:ascii="宋体" w:hAnsi="宋体" w:eastAsia="宋体"/>
          <w:color w:val="000000"/>
          <w:szCs w:val="21"/>
          <w:highlight w:val="none"/>
          <w:lang w:val="en-US" w:eastAsia="zh-CN"/>
        </w:rPr>
      </w:pPr>
      <w:r>
        <w:rPr>
          <w:rFonts w:hint="eastAsia" w:ascii="宋体" w:hAnsi="宋体"/>
          <w:color w:val="000000"/>
          <w:szCs w:val="21"/>
          <w:highlight w:val="none"/>
          <w:lang w:val="en-US" w:eastAsia="zh-CN"/>
        </w:rPr>
        <w:t>发布时间：</w:t>
      </w:r>
      <w:r>
        <w:rPr>
          <w:rFonts w:hint="eastAsia" w:ascii="宋体" w:hAnsi="宋体" w:cs="宋体"/>
          <w:color w:val="auto"/>
          <w:szCs w:val="21"/>
          <w:highlight w:val="none"/>
          <w:u w:val="none"/>
          <w:lang w:eastAsia="zh-CN"/>
        </w:rPr>
        <w:t>2021年</w:t>
      </w:r>
      <w:r>
        <w:rPr>
          <w:rFonts w:hint="eastAsia" w:ascii="宋体" w:hAnsi="宋体" w:cs="宋体"/>
          <w:color w:val="auto"/>
          <w:szCs w:val="21"/>
          <w:highlight w:val="none"/>
          <w:u w:val="none"/>
          <w:lang w:val="en-US" w:eastAsia="zh-CN"/>
        </w:rPr>
        <w:t>11</w:t>
      </w:r>
      <w:r>
        <w:rPr>
          <w:rFonts w:hint="eastAsia" w:ascii="宋体" w:hAnsi="宋体" w:cs="宋体"/>
          <w:color w:val="auto"/>
          <w:szCs w:val="21"/>
          <w:highlight w:val="none"/>
          <w:u w:val="none"/>
          <w:lang w:eastAsia="zh-CN"/>
        </w:rPr>
        <w:t>月</w:t>
      </w:r>
      <w:r>
        <w:rPr>
          <w:rFonts w:hint="eastAsia" w:ascii="宋体" w:hAnsi="宋体" w:cs="宋体"/>
          <w:color w:val="auto"/>
          <w:szCs w:val="21"/>
          <w:highlight w:val="none"/>
          <w:u w:val="none"/>
          <w:lang w:val="en-US" w:eastAsia="zh-CN"/>
        </w:rPr>
        <w:t>24</w:t>
      </w:r>
      <w:r>
        <w:rPr>
          <w:rFonts w:hint="eastAsia" w:ascii="宋体" w:hAnsi="宋体" w:cs="宋体"/>
          <w:color w:val="auto"/>
          <w:szCs w:val="21"/>
          <w:highlight w:val="none"/>
          <w:u w:val="none"/>
          <w:lang w:eastAsia="zh-CN"/>
        </w:rPr>
        <w:t>日</w:t>
      </w:r>
      <w:r>
        <w:rPr>
          <w:rFonts w:hint="eastAsia" w:ascii="宋体" w:hAnsi="宋体" w:cs="宋体"/>
          <w:color w:val="auto"/>
          <w:szCs w:val="21"/>
          <w:highlight w:val="none"/>
          <w:u w:val="none"/>
        </w:rPr>
        <w:t>至 2021年</w:t>
      </w:r>
      <w:r>
        <w:rPr>
          <w:rFonts w:hint="eastAsia" w:ascii="宋体" w:hAnsi="宋体" w:cs="宋体"/>
          <w:color w:val="auto"/>
          <w:szCs w:val="21"/>
          <w:highlight w:val="none"/>
          <w:u w:val="none"/>
          <w:lang w:val="en-US" w:eastAsia="zh-CN"/>
        </w:rPr>
        <w:t>12月1日</w:t>
      </w:r>
    </w:p>
    <w:p>
      <w:pPr>
        <w:pStyle w:val="15"/>
        <w:rPr>
          <w:rFonts w:hint="eastAsia"/>
          <w:sz w:val="21"/>
          <w:szCs w:val="21"/>
          <w:highlight w:val="none"/>
        </w:rPr>
      </w:pPr>
      <w:r>
        <w:rPr>
          <w:rFonts w:hint="eastAsia" w:ascii="宋体" w:hAnsi="宋体"/>
          <w:color w:val="000000"/>
          <w:sz w:val="21"/>
          <w:szCs w:val="21"/>
          <w:highlight w:val="none"/>
          <w:lang w:val="en-US" w:eastAsia="zh-CN"/>
        </w:rPr>
        <w:t>本</w:t>
      </w:r>
      <w:r>
        <w:rPr>
          <w:rFonts w:hint="eastAsia" w:ascii="宋体" w:hAnsi="宋体"/>
          <w:color w:val="000000"/>
          <w:sz w:val="21"/>
          <w:szCs w:val="21"/>
          <w:highlight w:val="none"/>
        </w:rPr>
        <w:t>招标公告在</w:t>
      </w:r>
      <w:r>
        <w:rPr>
          <w:rFonts w:hint="eastAsia" w:ascii="宋体" w:hAnsi="宋体" w:eastAsia="宋体" w:cs="宋体"/>
          <w:color w:val="auto"/>
          <w:sz w:val="21"/>
          <w:szCs w:val="21"/>
          <w:highlight w:val="none"/>
          <w:lang w:val="zh-CN" w:eastAsia="zh-CN" w:bidi="ar-SA"/>
        </w:rPr>
        <w:t>扬州市城建国有资产控股（集团）有限责任公司</w:t>
      </w:r>
      <w:r>
        <w:rPr>
          <w:rFonts w:hint="eastAsia" w:cs="宋体"/>
          <w:color w:val="auto"/>
          <w:sz w:val="21"/>
          <w:szCs w:val="21"/>
          <w:highlight w:val="none"/>
          <w:lang w:val="zh-CN" w:eastAsia="zh-CN" w:bidi="ar-SA"/>
        </w:rPr>
        <w:t>、</w:t>
      </w:r>
      <w:r>
        <w:rPr>
          <w:rFonts w:hint="eastAsia" w:cs="宋体"/>
          <w:color w:val="auto"/>
          <w:sz w:val="21"/>
          <w:szCs w:val="21"/>
          <w:highlight w:val="none"/>
          <w:lang w:val="en-US" w:eastAsia="zh-CN" w:bidi="ar-SA"/>
        </w:rPr>
        <w:t>江苏长江水务股份有限公司</w:t>
      </w:r>
      <w:r>
        <w:rPr>
          <w:rFonts w:hint="eastAsia" w:ascii="宋体" w:hAnsi="宋体" w:eastAsia="宋体" w:cs="宋体"/>
          <w:color w:val="auto"/>
          <w:sz w:val="21"/>
          <w:szCs w:val="21"/>
          <w:highlight w:val="none"/>
          <w:lang w:val="zh-CN" w:eastAsia="zh-CN" w:bidi="ar-SA"/>
        </w:rPr>
        <w:t>网站</w:t>
      </w:r>
      <w:r>
        <w:rPr>
          <w:rFonts w:hint="eastAsia" w:ascii="宋体" w:hAnsi="宋体"/>
          <w:color w:val="auto"/>
          <w:sz w:val="21"/>
          <w:szCs w:val="21"/>
          <w:highlight w:val="none"/>
        </w:rPr>
        <w:t>网站发布之日起</w:t>
      </w:r>
      <w:r>
        <w:rPr>
          <w:rFonts w:ascii="宋体" w:hAnsi="宋体"/>
          <w:color w:val="auto"/>
          <w:sz w:val="21"/>
          <w:szCs w:val="21"/>
          <w:highlight w:val="none"/>
        </w:rPr>
        <w:t xml:space="preserve"> 5</w:t>
      </w:r>
      <w:r>
        <w:rPr>
          <w:rFonts w:hint="eastAsia" w:ascii="宋体" w:hAnsi="宋体"/>
          <w:color w:val="auto"/>
          <w:sz w:val="21"/>
          <w:szCs w:val="21"/>
          <w:highlight w:val="none"/>
        </w:rPr>
        <w:t>个工作日。有关本次招标的事项若存在变动或修改，敬请及时关注</w:t>
      </w:r>
      <w:r>
        <w:rPr>
          <w:rFonts w:hint="eastAsia" w:ascii="宋体" w:hAnsi="宋体" w:eastAsia="宋体" w:cs="宋体"/>
          <w:color w:val="auto"/>
          <w:sz w:val="21"/>
          <w:szCs w:val="21"/>
          <w:highlight w:val="none"/>
          <w:lang w:val="zh-CN" w:eastAsia="zh-CN" w:bidi="ar-SA"/>
        </w:rPr>
        <w:t>扬州市城建国有资产控股（集团）有限责任公司</w:t>
      </w:r>
      <w:r>
        <w:rPr>
          <w:rFonts w:hint="eastAsia" w:cs="宋体"/>
          <w:color w:val="auto"/>
          <w:sz w:val="21"/>
          <w:szCs w:val="21"/>
          <w:highlight w:val="none"/>
          <w:lang w:val="zh-CN" w:eastAsia="zh-CN" w:bidi="ar-SA"/>
        </w:rPr>
        <w:t>、</w:t>
      </w:r>
      <w:r>
        <w:rPr>
          <w:rFonts w:hint="eastAsia" w:cs="宋体"/>
          <w:color w:val="auto"/>
          <w:sz w:val="21"/>
          <w:szCs w:val="21"/>
          <w:highlight w:val="none"/>
          <w:lang w:val="en-US" w:eastAsia="zh-CN" w:bidi="ar-SA"/>
        </w:rPr>
        <w:t>江苏长江水务股份有限公司</w:t>
      </w:r>
      <w:r>
        <w:rPr>
          <w:rFonts w:hint="eastAsia" w:ascii="宋体" w:hAnsi="宋体" w:eastAsia="宋体" w:cs="宋体"/>
          <w:color w:val="auto"/>
          <w:sz w:val="21"/>
          <w:szCs w:val="21"/>
          <w:highlight w:val="none"/>
          <w:lang w:val="zh-CN" w:eastAsia="zh-CN" w:bidi="ar-SA"/>
        </w:rPr>
        <w:t>网站</w:t>
      </w:r>
      <w:r>
        <w:rPr>
          <w:rFonts w:hint="eastAsia" w:ascii="宋体" w:hAnsi="宋体"/>
          <w:color w:val="auto"/>
          <w:sz w:val="21"/>
          <w:szCs w:val="21"/>
          <w:highlight w:val="none"/>
        </w:rPr>
        <w:t>发布的信息或更正公告</w:t>
      </w:r>
      <w:r>
        <w:rPr>
          <w:rFonts w:hint="eastAsia" w:ascii="宋体" w:hAnsi="宋体"/>
          <w:color w:val="000000"/>
          <w:sz w:val="21"/>
          <w:szCs w:val="21"/>
          <w:highlight w:val="none"/>
        </w:rPr>
        <w:t>。</w:t>
      </w:r>
    </w:p>
    <w:p>
      <w:pPr>
        <w:snapToGrid w:val="0"/>
        <w:spacing w:line="360" w:lineRule="auto"/>
        <w:ind w:firstLine="0" w:firstLineChars="0"/>
        <w:outlineLvl w:val="1"/>
        <w:rPr>
          <w:rFonts w:hint="default" w:ascii="宋体" w:hAnsi="宋体" w:eastAsia="宋体" w:cs="宋体"/>
          <w:b/>
          <w:bCs/>
          <w:kern w:val="0"/>
          <w:szCs w:val="21"/>
          <w:highlight w:val="none"/>
          <w:lang w:val="en-US" w:eastAsia="zh-CN"/>
        </w:rPr>
      </w:pPr>
      <w:bookmarkStart w:id="1" w:name="_Toc26269"/>
      <w:bookmarkStart w:id="2" w:name="_Toc12170"/>
      <w:r>
        <w:rPr>
          <w:rFonts w:hint="eastAsia" w:ascii="宋体" w:hAnsi="宋体" w:cs="宋体"/>
          <w:b/>
          <w:bCs/>
          <w:kern w:val="0"/>
          <w:szCs w:val="21"/>
          <w:highlight w:val="none"/>
          <w:lang w:val="en-US" w:eastAsia="zh-CN"/>
        </w:rPr>
        <w:t>四</w:t>
      </w:r>
      <w:r>
        <w:rPr>
          <w:rFonts w:hint="eastAsia" w:ascii="宋体" w:hAnsi="宋体" w:cs="宋体"/>
          <w:b/>
          <w:bCs/>
          <w:kern w:val="0"/>
          <w:szCs w:val="21"/>
          <w:highlight w:val="none"/>
        </w:rPr>
        <w:t>、投标</w:t>
      </w:r>
      <w:bookmarkEnd w:id="1"/>
      <w:bookmarkEnd w:id="2"/>
      <w:r>
        <w:rPr>
          <w:rFonts w:hint="eastAsia" w:ascii="宋体" w:hAnsi="宋体" w:cs="宋体"/>
          <w:b/>
          <w:bCs/>
          <w:kern w:val="0"/>
          <w:szCs w:val="21"/>
          <w:highlight w:val="none"/>
          <w:lang w:val="en-US" w:eastAsia="zh-CN"/>
        </w:rPr>
        <w:t>截止时间</w:t>
      </w:r>
    </w:p>
    <w:p>
      <w:pPr>
        <w:snapToGrid w:val="0"/>
        <w:spacing w:line="360" w:lineRule="auto"/>
        <w:ind w:firstLine="420" w:firstLineChars="200"/>
        <w:rPr>
          <w:rFonts w:hint="eastAsia" w:ascii="宋体" w:hAnsi="宋体" w:eastAsia="宋体" w:cs="Times New Roman"/>
          <w:color w:val="000000"/>
          <w:kern w:val="2"/>
          <w:sz w:val="21"/>
          <w:szCs w:val="21"/>
          <w:highlight w:val="none"/>
          <w:lang w:val="en-US" w:eastAsia="zh-CN" w:bidi="ar-SA"/>
        </w:rPr>
      </w:pPr>
      <w:r>
        <w:rPr>
          <w:rFonts w:hint="eastAsia" w:ascii="宋体" w:hAnsi="宋体" w:eastAsia="宋体" w:cs="Times New Roman"/>
          <w:color w:val="000000"/>
          <w:kern w:val="2"/>
          <w:sz w:val="21"/>
          <w:szCs w:val="21"/>
          <w:highlight w:val="none"/>
          <w:lang w:val="en-US" w:eastAsia="zh-CN" w:bidi="ar-SA"/>
        </w:rPr>
        <w:t>递交截止时间：2021年</w:t>
      </w:r>
      <w:r>
        <w:rPr>
          <w:rFonts w:hint="eastAsia" w:ascii="宋体" w:hAnsi="宋体" w:cs="Times New Roman"/>
          <w:color w:val="000000"/>
          <w:kern w:val="2"/>
          <w:sz w:val="21"/>
          <w:szCs w:val="21"/>
          <w:highlight w:val="none"/>
          <w:lang w:val="en-US" w:eastAsia="zh-CN" w:bidi="ar-SA"/>
        </w:rPr>
        <w:t>12</w:t>
      </w:r>
      <w:r>
        <w:rPr>
          <w:rFonts w:hint="eastAsia" w:ascii="宋体" w:hAnsi="宋体" w:eastAsia="宋体" w:cs="Times New Roman"/>
          <w:color w:val="000000"/>
          <w:kern w:val="2"/>
          <w:sz w:val="21"/>
          <w:szCs w:val="21"/>
          <w:highlight w:val="none"/>
          <w:lang w:val="en-US" w:eastAsia="zh-CN" w:bidi="ar-SA"/>
        </w:rPr>
        <w:t>月</w:t>
      </w:r>
      <w:r>
        <w:rPr>
          <w:rFonts w:hint="eastAsia" w:ascii="宋体" w:hAnsi="宋体" w:cs="Times New Roman"/>
          <w:color w:val="000000"/>
          <w:kern w:val="2"/>
          <w:sz w:val="21"/>
          <w:szCs w:val="21"/>
          <w:highlight w:val="none"/>
          <w:lang w:val="en-US" w:eastAsia="zh-CN" w:bidi="ar-SA"/>
        </w:rPr>
        <w:t>1</w:t>
      </w:r>
      <w:r>
        <w:rPr>
          <w:rFonts w:hint="eastAsia" w:ascii="宋体" w:hAnsi="宋体" w:eastAsia="宋体" w:cs="Times New Roman"/>
          <w:color w:val="000000"/>
          <w:kern w:val="2"/>
          <w:sz w:val="21"/>
          <w:szCs w:val="21"/>
          <w:highlight w:val="none"/>
          <w:lang w:val="en-US" w:eastAsia="zh-CN" w:bidi="ar-SA"/>
        </w:rPr>
        <w:t>日</w:t>
      </w:r>
      <w:r>
        <w:rPr>
          <w:rFonts w:hint="eastAsia" w:ascii="宋体" w:hAnsi="宋体" w:cs="Times New Roman"/>
          <w:color w:val="000000"/>
          <w:kern w:val="2"/>
          <w:sz w:val="21"/>
          <w:szCs w:val="21"/>
          <w:highlight w:val="none"/>
          <w:lang w:val="en-US" w:eastAsia="zh-CN" w:bidi="ar-SA"/>
        </w:rPr>
        <w:t>上午</w:t>
      </w:r>
      <w:r>
        <w:rPr>
          <w:rFonts w:hint="eastAsia" w:ascii="宋体" w:hAnsi="宋体" w:eastAsia="宋体" w:cs="Times New Roman"/>
          <w:color w:val="000000"/>
          <w:kern w:val="2"/>
          <w:sz w:val="21"/>
          <w:szCs w:val="21"/>
          <w:highlight w:val="none"/>
          <w:lang w:val="en-US" w:eastAsia="zh-CN" w:bidi="ar-SA"/>
        </w:rPr>
        <w:t>9：00</w:t>
      </w:r>
    </w:p>
    <w:p>
      <w:pPr>
        <w:snapToGrid w:val="0"/>
        <w:spacing w:line="360" w:lineRule="auto"/>
        <w:ind w:firstLine="420" w:firstLineChars="200"/>
        <w:rPr>
          <w:rFonts w:hint="default" w:ascii="宋体" w:hAnsi="宋体" w:cs="宋体"/>
          <w:kern w:val="0"/>
          <w:szCs w:val="21"/>
          <w:highlight w:val="none"/>
          <w:lang w:val="en-US"/>
        </w:rPr>
      </w:pPr>
      <w:r>
        <w:rPr>
          <w:rFonts w:hint="eastAsia" w:ascii="宋体" w:hAnsi="宋体" w:eastAsia="宋体" w:cs="Times New Roman"/>
          <w:color w:val="000000"/>
          <w:kern w:val="2"/>
          <w:sz w:val="21"/>
          <w:szCs w:val="21"/>
          <w:highlight w:val="none"/>
          <w:lang w:val="en-US" w:eastAsia="zh-CN" w:bidi="ar-SA"/>
        </w:rPr>
        <w:t>递交方式：</w:t>
      </w:r>
      <w:r>
        <w:rPr>
          <w:rFonts w:hint="eastAsia" w:ascii="宋体" w:hAnsi="宋体"/>
          <w:color w:val="000000"/>
          <w:szCs w:val="21"/>
          <w:highlight w:val="none"/>
          <w:lang w:eastAsia="zh-CN"/>
        </w:rPr>
        <w:t>江苏长江水务股份有限公司</w:t>
      </w:r>
      <w:r>
        <w:rPr>
          <w:rFonts w:hint="eastAsia" w:ascii="宋体" w:hAnsi="宋体"/>
          <w:color w:val="000000"/>
          <w:szCs w:val="21"/>
          <w:highlight w:val="none"/>
          <w:lang w:val="en-US" w:eastAsia="zh-CN"/>
        </w:rPr>
        <w:t>物资供应处</w:t>
      </w:r>
    </w:p>
    <w:p>
      <w:pPr>
        <w:snapToGrid w:val="0"/>
        <w:spacing w:line="360" w:lineRule="auto"/>
        <w:ind w:firstLine="0" w:firstLineChars="0"/>
        <w:outlineLvl w:val="1"/>
        <w:rPr>
          <w:rFonts w:hint="eastAsia" w:ascii="宋体" w:hAnsi="宋体" w:cs="宋体"/>
          <w:b/>
          <w:bCs/>
          <w:kern w:val="0"/>
          <w:szCs w:val="21"/>
          <w:highlight w:val="none"/>
        </w:rPr>
      </w:pPr>
      <w:bookmarkStart w:id="3" w:name="_Toc2832"/>
      <w:bookmarkStart w:id="4" w:name="_Toc31495"/>
      <w:bookmarkStart w:id="5" w:name="_Toc4268"/>
      <w:bookmarkStart w:id="6" w:name="_Toc24520"/>
      <w:bookmarkStart w:id="7" w:name="_Toc24988"/>
      <w:bookmarkStart w:id="8" w:name="_Toc10779"/>
      <w:bookmarkStart w:id="9" w:name="_Toc7673"/>
      <w:r>
        <w:rPr>
          <w:rFonts w:hint="eastAsia" w:ascii="宋体" w:hAnsi="宋体" w:cs="宋体"/>
          <w:b/>
          <w:bCs/>
          <w:kern w:val="0"/>
          <w:szCs w:val="21"/>
          <w:highlight w:val="none"/>
          <w:lang w:val="en-US" w:eastAsia="zh-CN"/>
        </w:rPr>
        <w:t>五</w:t>
      </w:r>
      <w:r>
        <w:rPr>
          <w:rFonts w:hint="eastAsia" w:ascii="宋体" w:hAnsi="宋体" w:cs="宋体"/>
          <w:b/>
          <w:bCs/>
          <w:kern w:val="0"/>
          <w:szCs w:val="21"/>
          <w:highlight w:val="none"/>
        </w:rPr>
        <w:t>、开标时间及地点</w:t>
      </w:r>
      <w:bookmarkEnd w:id="3"/>
      <w:bookmarkEnd w:id="4"/>
      <w:bookmarkEnd w:id="5"/>
      <w:bookmarkEnd w:id="6"/>
      <w:bookmarkEnd w:id="7"/>
      <w:bookmarkEnd w:id="8"/>
      <w:bookmarkEnd w:id="9"/>
    </w:p>
    <w:p>
      <w:pPr>
        <w:snapToGrid w:val="0"/>
        <w:spacing w:line="360" w:lineRule="auto"/>
        <w:ind w:firstLine="420" w:firstLineChars="200"/>
        <w:rPr>
          <w:rFonts w:hint="eastAsia" w:ascii="宋体" w:hAnsi="宋体" w:eastAsia="宋体" w:cs="Times New Roman"/>
          <w:color w:val="000000"/>
          <w:kern w:val="2"/>
          <w:sz w:val="21"/>
          <w:szCs w:val="21"/>
          <w:highlight w:val="none"/>
          <w:lang w:val="en-US" w:eastAsia="zh-CN" w:bidi="ar-SA"/>
        </w:rPr>
      </w:pPr>
      <w:r>
        <w:rPr>
          <w:rFonts w:hint="eastAsia" w:ascii="宋体" w:hAnsi="宋体" w:eastAsia="宋体" w:cs="Times New Roman"/>
          <w:color w:val="000000"/>
          <w:kern w:val="2"/>
          <w:sz w:val="21"/>
          <w:szCs w:val="21"/>
          <w:highlight w:val="none"/>
          <w:lang w:val="en-US" w:eastAsia="zh-CN" w:bidi="ar-SA"/>
        </w:rPr>
        <w:t>开标时间：2021年</w:t>
      </w:r>
      <w:r>
        <w:rPr>
          <w:rFonts w:hint="eastAsia" w:ascii="宋体" w:hAnsi="宋体" w:cs="Times New Roman"/>
          <w:color w:val="000000"/>
          <w:kern w:val="2"/>
          <w:sz w:val="21"/>
          <w:szCs w:val="21"/>
          <w:highlight w:val="none"/>
          <w:lang w:val="en-US" w:eastAsia="zh-CN" w:bidi="ar-SA"/>
        </w:rPr>
        <w:t>12</w:t>
      </w:r>
      <w:r>
        <w:rPr>
          <w:rFonts w:hint="eastAsia" w:ascii="宋体" w:hAnsi="宋体" w:eastAsia="宋体" w:cs="Times New Roman"/>
          <w:color w:val="000000"/>
          <w:kern w:val="2"/>
          <w:sz w:val="21"/>
          <w:szCs w:val="21"/>
          <w:highlight w:val="none"/>
          <w:lang w:val="en-US" w:eastAsia="zh-CN" w:bidi="ar-SA"/>
        </w:rPr>
        <w:t>月</w:t>
      </w:r>
      <w:r>
        <w:rPr>
          <w:rFonts w:hint="eastAsia" w:ascii="宋体" w:hAnsi="宋体" w:cs="Times New Roman"/>
          <w:color w:val="000000"/>
          <w:kern w:val="2"/>
          <w:sz w:val="21"/>
          <w:szCs w:val="21"/>
          <w:highlight w:val="none"/>
          <w:lang w:val="en-US" w:eastAsia="zh-CN" w:bidi="ar-SA"/>
        </w:rPr>
        <w:t>1</w:t>
      </w:r>
      <w:bookmarkStart w:id="18" w:name="_GoBack"/>
      <w:bookmarkEnd w:id="18"/>
      <w:r>
        <w:rPr>
          <w:rFonts w:hint="eastAsia" w:ascii="宋体" w:hAnsi="宋体" w:eastAsia="宋体" w:cs="Times New Roman"/>
          <w:color w:val="000000"/>
          <w:kern w:val="2"/>
          <w:sz w:val="21"/>
          <w:szCs w:val="21"/>
          <w:highlight w:val="none"/>
          <w:lang w:val="en-US" w:eastAsia="zh-CN" w:bidi="ar-SA"/>
        </w:rPr>
        <w:t>日</w:t>
      </w:r>
      <w:r>
        <w:rPr>
          <w:rFonts w:hint="eastAsia" w:ascii="宋体" w:hAnsi="宋体" w:cs="Times New Roman"/>
          <w:color w:val="000000"/>
          <w:kern w:val="2"/>
          <w:sz w:val="21"/>
          <w:szCs w:val="21"/>
          <w:highlight w:val="none"/>
          <w:lang w:val="en-US" w:eastAsia="zh-CN" w:bidi="ar-SA"/>
        </w:rPr>
        <w:t>上午</w:t>
      </w:r>
      <w:r>
        <w:rPr>
          <w:rFonts w:hint="eastAsia" w:ascii="宋体" w:hAnsi="宋体" w:eastAsia="宋体" w:cs="Times New Roman"/>
          <w:color w:val="000000"/>
          <w:kern w:val="2"/>
          <w:sz w:val="21"/>
          <w:szCs w:val="21"/>
          <w:highlight w:val="none"/>
          <w:lang w:val="en-US" w:eastAsia="zh-CN" w:bidi="ar-SA"/>
        </w:rPr>
        <w:t>9：</w:t>
      </w:r>
      <w:r>
        <w:rPr>
          <w:rFonts w:hint="eastAsia" w:ascii="宋体" w:hAnsi="宋体" w:cs="Times New Roman"/>
          <w:color w:val="000000"/>
          <w:kern w:val="2"/>
          <w:sz w:val="21"/>
          <w:szCs w:val="21"/>
          <w:highlight w:val="none"/>
          <w:lang w:val="en-US" w:eastAsia="zh-CN" w:bidi="ar-SA"/>
        </w:rPr>
        <w:t>3</w:t>
      </w:r>
      <w:r>
        <w:rPr>
          <w:rFonts w:hint="eastAsia" w:ascii="宋体" w:hAnsi="宋体" w:eastAsia="宋体" w:cs="Times New Roman"/>
          <w:color w:val="000000"/>
          <w:kern w:val="2"/>
          <w:sz w:val="21"/>
          <w:szCs w:val="21"/>
          <w:highlight w:val="none"/>
          <w:lang w:val="en-US" w:eastAsia="zh-CN" w:bidi="ar-SA"/>
        </w:rPr>
        <w:t>0</w:t>
      </w:r>
    </w:p>
    <w:p>
      <w:pPr>
        <w:snapToGrid w:val="0"/>
        <w:spacing w:line="360" w:lineRule="auto"/>
        <w:ind w:firstLine="420" w:firstLineChars="200"/>
        <w:rPr>
          <w:rFonts w:hint="default" w:ascii="宋体" w:hAnsi="宋体" w:eastAsia="宋体" w:cs="Times New Roman"/>
          <w:color w:val="000000"/>
          <w:kern w:val="2"/>
          <w:sz w:val="21"/>
          <w:szCs w:val="21"/>
          <w:highlight w:val="none"/>
          <w:lang w:val="en-US" w:eastAsia="zh-CN" w:bidi="ar-SA"/>
        </w:rPr>
      </w:pPr>
      <w:r>
        <w:rPr>
          <w:rFonts w:hint="eastAsia" w:ascii="宋体" w:hAnsi="宋体" w:eastAsia="宋体" w:cs="Times New Roman"/>
          <w:color w:val="000000"/>
          <w:kern w:val="2"/>
          <w:sz w:val="21"/>
          <w:szCs w:val="21"/>
          <w:highlight w:val="none"/>
          <w:lang w:val="en-US" w:eastAsia="zh-CN" w:bidi="ar-SA"/>
        </w:rPr>
        <w:t>开标地点：</w:t>
      </w:r>
      <w:r>
        <w:rPr>
          <w:rFonts w:hint="eastAsia" w:ascii="宋体" w:hAnsi="宋体"/>
          <w:color w:val="000000"/>
          <w:szCs w:val="21"/>
          <w:highlight w:val="none"/>
          <w:lang w:eastAsia="zh-CN"/>
        </w:rPr>
        <w:t>江苏长江水务股份有限公司</w:t>
      </w:r>
      <w:r>
        <w:rPr>
          <w:rFonts w:hint="eastAsia" w:ascii="宋体" w:hAnsi="宋体"/>
          <w:color w:val="000000"/>
          <w:szCs w:val="21"/>
          <w:highlight w:val="none"/>
          <w:lang w:val="en-US" w:eastAsia="zh-CN"/>
        </w:rPr>
        <w:t>物资供应处</w:t>
      </w:r>
    </w:p>
    <w:p>
      <w:pPr>
        <w:pStyle w:val="6"/>
        <w:spacing w:before="0" w:after="0" w:line="360" w:lineRule="auto"/>
        <w:rPr>
          <w:rFonts w:ascii="宋体" w:hAnsi="宋体" w:cs="宋体"/>
          <w:color w:val="000000"/>
          <w:sz w:val="21"/>
          <w:szCs w:val="21"/>
          <w:highlight w:val="none"/>
        </w:rPr>
      </w:pPr>
      <w:bookmarkStart w:id="10" w:name="_Toc35393636"/>
      <w:bookmarkStart w:id="11" w:name="_Toc28359095"/>
      <w:bookmarkStart w:id="12" w:name="_Toc35393805"/>
      <w:bookmarkStart w:id="13" w:name="_Toc28359018"/>
      <w:r>
        <w:rPr>
          <w:rFonts w:hint="eastAsia" w:ascii="宋体" w:hAnsi="宋体" w:cs="宋体"/>
          <w:color w:val="000000"/>
          <w:sz w:val="21"/>
          <w:szCs w:val="21"/>
          <w:highlight w:val="none"/>
          <w:lang w:val="en-US" w:eastAsia="zh-CN"/>
        </w:rPr>
        <w:t>六</w:t>
      </w:r>
      <w:r>
        <w:rPr>
          <w:rFonts w:hint="eastAsia" w:ascii="宋体" w:hAnsi="宋体" w:cs="宋体"/>
          <w:color w:val="000000"/>
          <w:sz w:val="21"/>
          <w:szCs w:val="21"/>
          <w:highlight w:val="none"/>
        </w:rPr>
        <w:t>、联系</w:t>
      </w:r>
      <w:r>
        <w:rPr>
          <w:rFonts w:hint="eastAsia" w:ascii="宋体" w:hAnsi="宋体" w:cs="宋体"/>
          <w:color w:val="000000"/>
          <w:sz w:val="21"/>
          <w:szCs w:val="21"/>
          <w:highlight w:val="none"/>
          <w:lang w:val="en-US" w:eastAsia="zh-CN"/>
        </w:rPr>
        <w:t>方式</w:t>
      </w:r>
      <w:bookmarkEnd w:id="10"/>
      <w:bookmarkEnd w:id="11"/>
      <w:bookmarkEnd w:id="12"/>
      <w:bookmarkEnd w:id="13"/>
    </w:p>
    <w:p>
      <w:pPr>
        <w:spacing w:line="440" w:lineRule="exact"/>
        <w:ind w:firstLine="420" w:firstLineChars="200"/>
        <w:rPr>
          <w:rFonts w:hint="eastAsia" w:ascii="宋体" w:hAnsi="宋体"/>
          <w:color w:val="000000"/>
          <w:szCs w:val="21"/>
          <w:highlight w:val="none"/>
          <w:lang w:eastAsia="zh-CN"/>
        </w:rPr>
      </w:pPr>
      <w:r>
        <w:rPr>
          <w:rFonts w:hint="eastAsia" w:ascii="宋体" w:hAnsi="宋体"/>
          <w:color w:val="000000"/>
          <w:szCs w:val="21"/>
          <w:highlight w:val="none"/>
          <w:lang w:val="en-US" w:eastAsia="zh-CN"/>
        </w:rPr>
        <w:t>招标人</w:t>
      </w:r>
      <w:r>
        <w:rPr>
          <w:rFonts w:hint="eastAsia" w:ascii="宋体" w:hAnsi="宋体"/>
          <w:color w:val="000000"/>
          <w:szCs w:val="21"/>
          <w:highlight w:val="none"/>
        </w:rPr>
        <w:t>：</w:t>
      </w:r>
      <w:r>
        <w:rPr>
          <w:rFonts w:hint="eastAsia" w:ascii="宋体" w:hAnsi="宋体"/>
          <w:color w:val="000000"/>
          <w:szCs w:val="21"/>
          <w:highlight w:val="none"/>
          <w:lang w:eastAsia="zh-CN"/>
        </w:rPr>
        <w:t>江苏长江水务股份有限公司</w:t>
      </w:r>
    </w:p>
    <w:p>
      <w:pPr>
        <w:spacing w:line="440" w:lineRule="exact"/>
        <w:ind w:firstLine="420" w:firstLineChars="200"/>
        <w:rPr>
          <w:rFonts w:hint="eastAsia" w:ascii="宋体" w:hAnsi="宋体"/>
          <w:color w:val="000000"/>
          <w:szCs w:val="21"/>
          <w:highlight w:val="none"/>
        </w:rPr>
      </w:pPr>
      <w:bookmarkStart w:id="14" w:name="_Toc35393638"/>
      <w:bookmarkStart w:id="15" w:name="_Toc28359020"/>
      <w:bookmarkStart w:id="16" w:name="_Toc35393807"/>
      <w:bookmarkStart w:id="17" w:name="_Toc28359097"/>
      <w:r>
        <w:rPr>
          <w:rFonts w:hint="eastAsia" w:ascii="宋体" w:hAnsi="宋体"/>
          <w:color w:val="000000"/>
          <w:szCs w:val="21"/>
          <w:highlight w:val="none"/>
        </w:rPr>
        <w:t>地址：扬州文汇东路249号</w:t>
      </w:r>
    </w:p>
    <w:p>
      <w:pPr>
        <w:spacing w:line="440" w:lineRule="exact"/>
        <w:ind w:firstLine="420" w:firstLineChars="200"/>
        <w:rPr>
          <w:color w:val="000000"/>
          <w:highlight w:val="none"/>
        </w:rPr>
      </w:pPr>
      <w:r>
        <w:rPr>
          <w:rFonts w:hint="eastAsia" w:ascii="宋体" w:hAnsi="宋体" w:cs="宋体"/>
          <w:color w:val="000000"/>
          <w:szCs w:val="21"/>
          <w:highlight w:val="none"/>
        </w:rPr>
        <w:t>电      话：</w:t>
      </w:r>
      <w:r>
        <w:rPr>
          <w:rFonts w:hint="eastAsia" w:ascii="宋体" w:hAnsi="宋体"/>
          <w:szCs w:val="21"/>
          <w:highlight w:val="none"/>
        </w:rPr>
        <w:t>0514</w:t>
      </w:r>
      <w:r>
        <w:rPr>
          <w:rFonts w:hint="eastAsia" w:ascii="宋体" w:hAnsi="宋体"/>
          <w:szCs w:val="21"/>
          <w:highlight w:val="none"/>
          <w:lang w:val="en-US" w:eastAsia="zh-CN"/>
        </w:rPr>
        <w:t>-82980069</w:t>
      </w:r>
    </w:p>
    <w:p>
      <w:pPr>
        <w:pStyle w:val="9"/>
        <w:spacing w:line="440" w:lineRule="exact"/>
        <w:ind w:firstLine="420" w:firstLineChars="200"/>
        <w:rPr>
          <w:rFonts w:hint="eastAsia" w:hAnsi="宋体" w:cs="宋体"/>
          <w:color w:val="000000"/>
          <w:sz w:val="21"/>
          <w:highlight w:val="none"/>
        </w:rPr>
      </w:pPr>
      <w:r>
        <w:rPr>
          <w:rFonts w:hint="eastAsia" w:hAnsi="宋体" w:cs="宋体"/>
          <w:color w:val="000000"/>
          <w:sz w:val="21"/>
          <w:highlight w:val="none"/>
        </w:rPr>
        <w:t>项目联系人：</w:t>
      </w:r>
      <w:bookmarkEnd w:id="14"/>
      <w:bookmarkEnd w:id="15"/>
      <w:bookmarkEnd w:id="16"/>
      <w:bookmarkEnd w:id="17"/>
      <w:r>
        <w:rPr>
          <w:rFonts w:hint="eastAsia" w:ascii="宋体" w:hAnsi="宋体"/>
          <w:szCs w:val="21"/>
          <w:highlight w:val="none"/>
          <w:lang w:val="en-US" w:eastAsia="zh-CN"/>
        </w:rPr>
        <w:t>王海涛</w:t>
      </w:r>
    </w:p>
    <w:p>
      <w:pPr>
        <w:pStyle w:val="9"/>
        <w:spacing w:line="440" w:lineRule="exact"/>
        <w:ind w:firstLine="420" w:firstLineChars="200"/>
        <w:rPr>
          <w:rFonts w:hint="eastAsia" w:hAnsi="宋体" w:cs="宋体"/>
          <w:color w:val="000000"/>
          <w:sz w:val="21"/>
          <w:highlight w:val="none"/>
        </w:rPr>
      </w:pPr>
    </w:p>
    <w:p>
      <w:pPr>
        <w:pStyle w:val="9"/>
        <w:spacing w:line="440" w:lineRule="exact"/>
        <w:ind w:firstLine="420" w:firstLineChars="200"/>
        <w:rPr>
          <w:rFonts w:hint="eastAsia" w:hAnsi="宋体" w:cs="宋体"/>
          <w:color w:val="000000"/>
          <w:sz w:val="21"/>
          <w:highlight w:val="none"/>
        </w:rPr>
      </w:pPr>
    </w:p>
    <w:p>
      <w:pPr>
        <w:spacing w:line="360" w:lineRule="auto"/>
        <w:jc w:val="right"/>
        <w:rPr>
          <w:rFonts w:ascii="宋体" w:hAnsi="宋体"/>
          <w:color w:val="000000"/>
          <w:szCs w:val="21"/>
          <w:highlight w:val="none"/>
        </w:rPr>
      </w:pPr>
      <w:r>
        <w:rPr>
          <w:rFonts w:hint="eastAsia" w:ascii="宋体" w:hAnsi="宋体"/>
          <w:color w:val="000000"/>
          <w:szCs w:val="21"/>
          <w:highlight w:val="none"/>
        </w:rPr>
        <w:t>江苏</w:t>
      </w:r>
      <w:r>
        <w:rPr>
          <w:rFonts w:hint="eastAsia" w:ascii="宋体" w:hAnsi="宋体"/>
          <w:color w:val="000000"/>
          <w:szCs w:val="21"/>
          <w:highlight w:val="none"/>
          <w:lang w:val="en-US" w:eastAsia="zh-CN"/>
        </w:rPr>
        <w:t>长江水务股份</w:t>
      </w:r>
      <w:r>
        <w:rPr>
          <w:rFonts w:hint="eastAsia" w:ascii="宋体" w:hAnsi="宋体"/>
          <w:color w:val="000000"/>
          <w:szCs w:val="21"/>
          <w:highlight w:val="none"/>
        </w:rPr>
        <w:t>有限公司</w:t>
      </w:r>
    </w:p>
    <w:p>
      <w:pPr>
        <w:spacing w:line="360" w:lineRule="auto"/>
        <w:jc w:val="right"/>
        <w:rPr>
          <w:highlight w:val="none"/>
        </w:rPr>
      </w:pPr>
      <w:r>
        <w:rPr>
          <w:rFonts w:hint="eastAsia" w:ascii="宋体" w:hAnsi="宋体"/>
          <w:color w:val="000000"/>
          <w:szCs w:val="21"/>
          <w:highlight w:val="none"/>
          <w:lang w:eastAsia="zh-CN"/>
        </w:rPr>
        <w:t>2021年</w:t>
      </w:r>
      <w:r>
        <w:rPr>
          <w:rFonts w:hint="eastAsia" w:ascii="宋体" w:hAnsi="宋体"/>
          <w:color w:val="000000"/>
          <w:szCs w:val="21"/>
          <w:highlight w:val="none"/>
          <w:lang w:val="en-US" w:eastAsia="zh-CN"/>
        </w:rPr>
        <w:t>11</w:t>
      </w:r>
      <w:r>
        <w:rPr>
          <w:rFonts w:hint="eastAsia" w:ascii="宋体" w:hAnsi="宋体"/>
          <w:color w:val="000000"/>
          <w:szCs w:val="21"/>
          <w:highlight w:val="none"/>
          <w:lang w:eastAsia="zh-CN"/>
        </w:rPr>
        <w:t>月</w:t>
      </w:r>
      <w:r>
        <w:rPr>
          <w:rFonts w:hint="eastAsia" w:ascii="宋体" w:hAnsi="宋体"/>
          <w:color w:val="000000"/>
          <w:szCs w:val="21"/>
          <w:highlight w:val="none"/>
          <w:lang w:val="en-US" w:eastAsia="zh-CN"/>
        </w:rPr>
        <w:t>24</w:t>
      </w:r>
      <w:r>
        <w:rPr>
          <w:rFonts w:hint="eastAsia" w:ascii="宋体" w:hAnsi="宋体"/>
          <w:color w:val="000000"/>
          <w:szCs w:val="21"/>
          <w:highlight w:val="none"/>
          <w:lang w:eastAsia="zh-CN"/>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Myriad-Roman">
    <w:altName w:val="宋体"/>
    <w:panose1 w:val="00000000000000000000"/>
    <w:charset w:val="86"/>
    <w:family w:val="auto"/>
    <w:pitch w:val="default"/>
    <w:sig w:usb0="00000000" w:usb1="00000000" w:usb2="0000001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3BA29E4"/>
    <w:multiLevelType w:val="singleLevel"/>
    <w:tmpl w:val="23BA29E4"/>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6D0351"/>
    <w:rsid w:val="00742A89"/>
    <w:rsid w:val="00C72DBB"/>
    <w:rsid w:val="00CC2C52"/>
    <w:rsid w:val="030F42DA"/>
    <w:rsid w:val="03440D5B"/>
    <w:rsid w:val="03870314"/>
    <w:rsid w:val="04CE04E8"/>
    <w:rsid w:val="04ED1434"/>
    <w:rsid w:val="05445A69"/>
    <w:rsid w:val="05EE492D"/>
    <w:rsid w:val="06355F40"/>
    <w:rsid w:val="06777C77"/>
    <w:rsid w:val="06A9194E"/>
    <w:rsid w:val="070063A1"/>
    <w:rsid w:val="074B13E5"/>
    <w:rsid w:val="07885C8E"/>
    <w:rsid w:val="08186EFF"/>
    <w:rsid w:val="091A640F"/>
    <w:rsid w:val="094D1E53"/>
    <w:rsid w:val="0ABB71BB"/>
    <w:rsid w:val="0ADF3032"/>
    <w:rsid w:val="0B324E0B"/>
    <w:rsid w:val="0B357333"/>
    <w:rsid w:val="0B391A6C"/>
    <w:rsid w:val="0BB3182E"/>
    <w:rsid w:val="0C676161"/>
    <w:rsid w:val="0C9B1EDF"/>
    <w:rsid w:val="0CC2416B"/>
    <w:rsid w:val="0D3E281C"/>
    <w:rsid w:val="0DEE5CA2"/>
    <w:rsid w:val="0DF40531"/>
    <w:rsid w:val="0E700F7D"/>
    <w:rsid w:val="0F09466C"/>
    <w:rsid w:val="0F5359B9"/>
    <w:rsid w:val="0FC644D3"/>
    <w:rsid w:val="109E6443"/>
    <w:rsid w:val="10A1053B"/>
    <w:rsid w:val="10C56A45"/>
    <w:rsid w:val="111A342C"/>
    <w:rsid w:val="11207D0E"/>
    <w:rsid w:val="119859C7"/>
    <w:rsid w:val="11A85834"/>
    <w:rsid w:val="12213EE8"/>
    <w:rsid w:val="12C20E0B"/>
    <w:rsid w:val="12DB7D35"/>
    <w:rsid w:val="130B7FB6"/>
    <w:rsid w:val="137D2B88"/>
    <w:rsid w:val="154C6CC8"/>
    <w:rsid w:val="15873855"/>
    <w:rsid w:val="161517B0"/>
    <w:rsid w:val="16684108"/>
    <w:rsid w:val="170662DD"/>
    <w:rsid w:val="17430D6E"/>
    <w:rsid w:val="17FB341D"/>
    <w:rsid w:val="191F488E"/>
    <w:rsid w:val="19524852"/>
    <w:rsid w:val="19E14E8C"/>
    <w:rsid w:val="1A634A73"/>
    <w:rsid w:val="1A907657"/>
    <w:rsid w:val="1B6437A9"/>
    <w:rsid w:val="1B9F41C4"/>
    <w:rsid w:val="1C873118"/>
    <w:rsid w:val="1CB734D0"/>
    <w:rsid w:val="1CD30217"/>
    <w:rsid w:val="1D811564"/>
    <w:rsid w:val="1D823BA9"/>
    <w:rsid w:val="1DC05C25"/>
    <w:rsid w:val="1DDE7951"/>
    <w:rsid w:val="1EB17D38"/>
    <w:rsid w:val="1F0879A6"/>
    <w:rsid w:val="1F3B38F1"/>
    <w:rsid w:val="1FA71164"/>
    <w:rsid w:val="209D3BC6"/>
    <w:rsid w:val="20A056C7"/>
    <w:rsid w:val="21DE2C6B"/>
    <w:rsid w:val="224F429B"/>
    <w:rsid w:val="22620D43"/>
    <w:rsid w:val="228A2169"/>
    <w:rsid w:val="2293002E"/>
    <w:rsid w:val="22D929B7"/>
    <w:rsid w:val="235A540F"/>
    <w:rsid w:val="24365402"/>
    <w:rsid w:val="24BA3E5D"/>
    <w:rsid w:val="25253091"/>
    <w:rsid w:val="264A4902"/>
    <w:rsid w:val="26793EB6"/>
    <w:rsid w:val="26CD1C32"/>
    <w:rsid w:val="274C000E"/>
    <w:rsid w:val="282C5DED"/>
    <w:rsid w:val="285D374D"/>
    <w:rsid w:val="29295B78"/>
    <w:rsid w:val="29462764"/>
    <w:rsid w:val="298B2D5D"/>
    <w:rsid w:val="2B12518D"/>
    <w:rsid w:val="2BF07530"/>
    <w:rsid w:val="2BF56FBC"/>
    <w:rsid w:val="2C0A3DCA"/>
    <w:rsid w:val="2C175B50"/>
    <w:rsid w:val="2C2B53FC"/>
    <w:rsid w:val="2C372893"/>
    <w:rsid w:val="2CB617A5"/>
    <w:rsid w:val="2CC716FC"/>
    <w:rsid w:val="2D0068BE"/>
    <w:rsid w:val="2D3F1263"/>
    <w:rsid w:val="2DFA4D20"/>
    <w:rsid w:val="2E105D16"/>
    <w:rsid w:val="2EBA5A23"/>
    <w:rsid w:val="2F4470EF"/>
    <w:rsid w:val="2FE644BF"/>
    <w:rsid w:val="2FEC1320"/>
    <w:rsid w:val="307E33CE"/>
    <w:rsid w:val="308B0B94"/>
    <w:rsid w:val="30F47616"/>
    <w:rsid w:val="31086A72"/>
    <w:rsid w:val="318A419F"/>
    <w:rsid w:val="31BE5F23"/>
    <w:rsid w:val="32284863"/>
    <w:rsid w:val="340906A9"/>
    <w:rsid w:val="343D2C4F"/>
    <w:rsid w:val="346743FC"/>
    <w:rsid w:val="34F34E33"/>
    <w:rsid w:val="354D5159"/>
    <w:rsid w:val="36166028"/>
    <w:rsid w:val="37191869"/>
    <w:rsid w:val="374E62EB"/>
    <w:rsid w:val="37686921"/>
    <w:rsid w:val="37E55986"/>
    <w:rsid w:val="383A1854"/>
    <w:rsid w:val="38F96F8D"/>
    <w:rsid w:val="39673821"/>
    <w:rsid w:val="3AA2245B"/>
    <w:rsid w:val="3B9F696A"/>
    <w:rsid w:val="3BA94920"/>
    <w:rsid w:val="3BBB4E0C"/>
    <w:rsid w:val="3BD277AB"/>
    <w:rsid w:val="3BF20BFC"/>
    <w:rsid w:val="3C273597"/>
    <w:rsid w:val="3D0378F0"/>
    <w:rsid w:val="3D4F56D5"/>
    <w:rsid w:val="3D657423"/>
    <w:rsid w:val="3D8358D1"/>
    <w:rsid w:val="3D8E662C"/>
    <w:rsid w:val="3F4815CF"/>
    <w:rsid w:val="3F4E1CF5"/>
    <w:rsid w:val="3FB3662D"/>
    <w:rsid w:val="40394E4B"/>
    <w:rsid w:val="407B728B"/>
    <w:rsid w:val="41200A09"/>
    <w:rsid w:val="41377A71"/>
    <w:rsid w:val="413B7557"/>
    <w:rsid w:val="414E3045"/>
    <w:rsid w:val="41E32D97"/>
    <w:rsid w:val="41F23CEF"/>
    <w:rsid w:val="42665219"/>
    <w:rsid w:val="42666D0D"/>
    <w:rsid w:val="42750B19"/>
    <w:rsid w:val="42A05059"/>
    <w:rsid w:val="42BA68C5"/>
    <w:rsid w:val="42F128A7"/>
    <w:rsid w:val="4318329C"/>
    <w:rsid w:val="439F7064"/>
    <w:rsid w:val="44AF170F"/>
    <w:rsid w:val="44C61CE5"/>
    <w:rsid w:val="44D510D9"/>
    <w:rsid w:val="44FD6622"/>
    <w:rsid w:val="451116DF"/>
    <w:rsid w:val="46B83315"/>
    <w:rsid w:val="46BF1DE2"/>
    <w:rsid w:val="470417C8"/>
    <w:rsid w:val="48767692"/>
    <w:rsid w:val="49A80C09"/>
    <w:rsid w:val="4A3132A3"/>
    <w:rsid w:val="4A842484"/>
    <w:rsid w:val="4B162915"/>
    <w:rsid w:val="4D7F6F8A"/>
    <w:rsid w:val="4DCA4D9C"/>
    <w:rsid w:val="4DCF3570"/>
    <w:rsid w:val="4EC22FFD"/>
    <w:rsid w:val="4EE834CE"/>
    <w:rsid w:val="4EEA0DC1"/>
    <w:rsid w:val="4F34243A"/>
    <w:rsid w:val="4F67488A"/>
    <w:rsid w:val="502E0DF1"/>
    <w:rsid w:val="50300DA6"/>
    <w:rsid w:val="5098697C"/>
    <w:rsid w:val="50A93630"/>
    <w:rsid w:val="515152ED"/>
    <w:rsid w:val="51751E32"/>
    <w:rsid w:val="52B0523E"/>
    <w:rsid w:val="52C543C9"/>
    <w:rsid w:val="534A7FE3"/>
    <w:rsid w:val="540848D1"/>
    <w:rsid w:val="540D00A0"/>
    <w:rsid w:val="55402A6E"/>
    <w:rsid w:val="554051FA"/>
    <w:rsid w:val="556E10AD"/>
    <w:rsid w:val="557F3DD6"/>
    <w:rsid w:val="55871E67"/>
    <w:rsid w:val="55A45258"/>
    <w:rsid w:val="563C3DA0"/>
    <w:rsid w:val="56713818"/>
    <w:rsid w:val="56B54A5F"/>
    <w:rsid w:val="57A401FF"/>
    <w:rsid w:val="57DC2A49"/>
    <w:rsid w:val="58161A60"/>
    <w:rsid w:val="589E12CA"/>
    <w:rsid w:val="58BF178A"/>
    <w:rsid w:val="58D80C26"/>
    <w:rsid w:val="594E2DC4"/>
    <w:rsid w:val="59B747BB"/>
    <w:rsid w:val="5A855AD8"/>
    <w:rsid w:val="5AF844EE"/>
    <w:rsid w:val="5B3749D5"/>
    <w:rsid w:val="5BD0511B"/>
    <w:rsid w:val="5C612BC6"/>
    <w:rsid w:val="5CAE76A3"/>
    <w:rsid w:val="5CEB4ECB"/>
    <w:rsid w:val="5DF445A6"/>
    <w:rsid w:val="5EF56873"/>
    <w:rsid w:val="5F9A40A8"/>
    <w:rsid w:val="60190074"/>
    <w:rsid w:val="60A955F2"/>
    <w:rsid w:val="60A96263"/>
    <w:rsid w:val="60DF6CE6"/>
    <w:rsid w:val="60F43B41"/>
    <w:rsid w:val="615825A2"/>
    <w:rsid w:val="61850081"/>
    <w:rsid w:val="61B90A95"/>
    <w:rsid w:val="625C7FF8"/>
    <w:rsid w:val="6277368F"/>
    <w:rsid w:val="628A340F"/>
    <w:rsid w:val="62BB064A"/>
    <w:rsid w:val="62BC231A"/>
    <w:rsid w:val="63007AAD"/>
    <w:rsid w:val="637E20C5"/>
    <w:rsid w:val="63C960B7"/>
    <w:rsid w:val="64C54B9A"/>
    <w:rsid w:val="651C1913"/>
    <w:rsid w:val="65222B6E"/>
    <w:rsid w:val="65EC1011"/>
    <w:rsid w:val="66A01E1D"/>
    <w:rsid w:val="6860587A"/>
    <w:rsid w:val="686837F7"/>
    <w:rsid w:val="688C2959"/>
    <w:rsid w:val="68CE5B4C"/>
    <w:rsid w:val="691B38DB"/>
    <w:rsid w:val="69252C2D"/>
    <w:rsid w:val="69493038"/>
    <w:rsid w:val="69E612CA"/>
    <w:rsid w:val="6AF02664"/>
    <w:rsid w:val="6B4D4B8A"/>
    <w:rsid w:val="6C2D30B0"/>
    <w:rsid w:val="6D05714A"/>
    <w:rsid w:val="6D3F674D"/>
    <w:rsid w:val="6DD322C4"/>
    <w:rsid w:val="6E603872"/>
    <w:rsid w:val="6EA06371"/>
    <w:rsid w:val="6EDC2089"/>
    <w:rsid w:val="6EEA77C3"/>
    <w:rsid w:val="6F566A95"/>
    <w:rsid w:val="6F647083"/>
    <w:rsid w:val="6F7F33E3"/>
    <w:rsid w:val="6FBA16A7"/>
    <w:rsid w:val="70140741"/>
    <w:rsid w:val="7040204D"/>
    <w:rsid w:val="70EB4CCC"/>
    <w:rsid w:val="71A8129E"/>
    <w:rsid w:val="71AC145E"/>
    <w:rsid w:val="72EE408F"/>
    <w:rsid w:val="7330670E"/>
    <w:rsid w:val="73802A9E"/>
    <w:rsid w:val="73A761AE"/>
    <w:rsid w:val="74F33BDF"/>
    <w:rsid w:val="75E94920"/>
    <w:rsid w:val="760C5FE4"/>
    <w:rsid w:val="762229CE"/>
    <w:rsid w:val="76421938"/>
    <w:rsid w:val="76B73776"/>
    <w:rsid w:val="76BF7BA8"/>
    <w:rsid w:val="77083C07"/>
    <w:rsid w:val="77376912"/>
    <w:rsid w:val="7777495C"/>
    <w:rsid w:val="77DE3C49"/>
    <w:rsid w:val="783F3394"/>
    <w:rsid w:val="786F59C5"/>
    <w:rsid w:val="78897961"/>
    <w:rsid w:val="78B90FA1"/>
    <w:rsid w:val="793D543D"/>
    <w:rsid w:val="79540A2D"/>
    <w:rsid w:val="79806350"/>
    <w:rsid w:val="7A710973"/>
    <w:rsid w:val="7A876D55"/>
    <w:rsid w:val="7AB1122A"/>
    <w:rsid w:val="7AE21B96"/>
    <w:rsid w:val="7C420626"/>
    <w:rsid w:val="7C7221B7"/>
    <w:rsid w:val="7CA90DC2"/>
    <w:rsid w:val="7CB2612E"/>
    <w:rsid w:val="7CFE5817"/>
    <w:rsid w:val="7D466FD6"/>
    <w:rsid w:val="7D742DD1"/>
    <w:rsid w:val="7D757B08"/>
    <w:rsid w:val="7D817307"/>
    <w:rsid w:val="7DFF0DCA"/>
    <w:rsid w:val="7E1D29DA"/>
    <w:rsid w:val="7E454909"/>
    <w:rsid w:val="7E567E21"/>
    <w:rsid w:val="7E641FC1"/>
    <w:rsid w:val="7E714E5F"/>
    <w:rsid w:val="7ED63DC2"/>
    <w:rsid w:val="7F3F1341"/>
    <w:rsid w:val="7F5310AA"/>
    <w:rsid w:val="7FBA338B"/>
    <w:rsid w:val="7FFB7F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qFormat="1"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5">
    <w:name w:val="heading 1"/>
    <w:basedOn w:val="1"/>
    <w:next w:val="1"/>
    <w:qFormat/>
    <w:uiPriority w:val="9"/>
    <w:pPr>
      <w:keepNext/>
      <w:keepLines/>
      <w:spacing w:before="340" w:after="330" w:line="578" w:lineRule="auto"/>
      <w:outlineLvl w:val="0"/>
    </w:pPr>
    <w:rPr>
      <w:b/>
      <w:bCs/>
      <w:kern w:val="44"/>
      <w:sz w:val="44"/>
      <w:szCs w:val="44"/>
    </w:rPr>
  </w:style>
  <w:style w:type="paragraph" w:styleId="6">
    <w:name w:val="heading 2"/>
    <w:basedOn w:val="1"/>
    <w:next w:val="1"/>
    <w:qFormat/>
    <w:uiPriority w:val="0"/>
    <w:pPr>
      <w:keepNext/>
      <w:keepLines/>
      <w:spacing w:before="260" w:after="260" w:line="416" w:lineRule="auto"/>
      <w:outlineLvl w:val="1"/>
    </w:pPr>
    <w:rPr>
      <w:rFonts w:ascii="Cambria" w:hAnsi="Cambria"/>
      <w:b/>
      <w:bCs/>
      <w:sz w:val="32"/>
      <w:szCs w:val="32"/>
    </w:rPr>
  </w:style>
  <w:style w:type="character" w:default="1" w:styleId="14">
    <w:name w:val="Default Paragraph Font"/>
    <w:semiHidden/>
    <w:qFormat/>
    <w:uiPriority w:val="0"/>
  </w:style>
  <w:style w:type="table" w:default="1" w:styleId="13">
    <w:name w:val="Normal Table"/>
    <w:semiHidden/>
    <w:qFormat/>
    <w:uiPriority w:val="0"/>
    <w:tblPr>
      <w:tblCellMar>
        <w:top w:w="0" w:type="dxa"/>
        <w:left w:w="108" w:type="dxa"/>
        <w:bottom w:w="0" w:type="dxa"/>
        <w:right w:w="108" w:type="dxa"/>
      </w:tblCellMar>
    </w:tblPr>
  </w:style>
  <w:style w:type="paragraph" w:styleId="2">
    <w:name w:val="Body Text First Indent 2"/>
    <w:basedOn w:val="3"/>
    <w:next w:val="1"/>
    <w:qFormat/>
    <w:uiPriority w:val="0"/>
    <w:pPr>
      <w:spacing w:before="156" w:beforeLines="50" w:after="156" w:afterLines="50" w:line="360" w:lineRule="auto"/>
      <w:ind w:firstLine="420" w:firstLineChars="200"/>
    </w:pPr>
    <w:rPr>
      <w:sz w:val="24"/>
      <w:szCs w:val="24"/>
    </w:rPr>
  </w:style>
  <w:style w:type="paragraph" w:styleId="3">
    <w:name w:val="Body Text Indent"/>
    <w:basedOn w:val="1"/>
    <w:next w:val="1"/>
    <w:unhideWhenUsed/>
    <w:qFormat/>
    <w:uiPriority w:val="99"/>
    <w:pPr>
      <w:spacing w:after="120"/>
      <w:ind w:left="420" w:leftChars="200"/>
    </w:pPr>
  </w:style>
  <w:style w:type="paragraph" w:styleId="4">
    <w:name w:val="macro"/>
    <w:link w:val="16"/>
    <w:qFormat/>
    <w:uiPriority w:val="0"/>
    <w:pPr>
      <w:widowControl w:val="0"/>
      <w:tabs>
        <w:tab w:val="left" w:pos="480"/>
        <w:tab w:val="left" w:pos="960"/>
        <w:tab w:val="left" w:pos="1440"/>
        <w:tab w:val="left" w:pos="1920"/>
        <w:tab w:val="left" w:pos="2400"/>
        <w:tab w:val="left" w:pos="2880"/>
        <w:tab w:val="left" w:pos="3360"/>
        <w:tab w:val="left" w:pos="3840"/>
        <w:tab w:val="left" w:pos="4320"/>
      </w:tabs>
      <w:kinsoku w:val="0"/>
      <w:overflowPunct w:val="0"/>
      <w:autoSpaceDE w:val="0"/>
      <w:autoSpaceDN w:val="0"/>
      <w:snapToGrid w:val="0"/>
      <w:spacing w:before="156" w:beforeLines="50" w:after="156" w:afterLines="50"/>
    </w:pPr>
    <w:rPr>
      <w:rFonts w:ascii="Courier New" w:hAnsi="Courier New" w:eastAsia="宋体" w:cs="Courier New"/>
      <w:kern w:val="2"/>
      <w:sz w:val="24"/>
      <w:szCs w:val="24"/>
      <w:lang w:val="en-US" w:eastAsia="zh-CN" w:bidi="ar-SA"/>
    </w:rPr>
  </w:style>
  <w:style w:type="paragraph" w:styleId="7">
    <w:name w:val="Body Text"/>
    <w:basedOn w:val="1"/>
    <w:next w:val="1"/>
    <w:qFormat/>
    <w:uiPriority w:val="0"/>
    <w:rPr>
      <w:rFonts w:ascii="楷体_GB2312" w:hAnsi="Arial" w:eastAsia="楷体_GB2312"/>
      <w:kern w:val="0"/>
      <w:sz w:val="28"/>
      <w:szCs w:val="28"/>
    </w:rPr>
  </w:style>
  <w:style w:type="paragraph" w:styleId="8">
    <w:name w:val="Block Text"/>
    <w:basedOn w:val="1"/>
    <w:next w:val="7"/>
    <w:qFormat/>
    <w:uiPriority w:val="0"/>
    <w:pPr>
      <w:spacing w:line="360" w:lineRule="auto"/>
      <w:ind w:left="1440" w:leftChars="700" w:right="1440" w:rightChars="700" w:firstLine="200" w:firstLineChars="200"/>
    </w:pPr>
    <w:rPr>
      <w:rFonts w:ascii="Times New Roman" w:hAnsi="Times New Roman"/>
      <w:sz w:val="24"/>
      <w:szCs w:val="24"/>
    </w:rPr>
  </w:style>
  <w:style w:type="paragraph" w:styleId="9">
    <w:name w:val="Plain Text"/>
    <w:basedOn w:val="1"/>
    <w:qFormat/>
    <w:uiPriority w:val="0"/>
    <w:rPr>
      <w:rFonts w:ascii="宋体" w:hAnsi="Courier New"/>
      <w:kern w:val="0"/>
      <w:sz w:val="20"/>
      <w:szCs w:val="21"/>
    </w:rPr>
  </w:style>
  <w:style w:type="paragraph" w:styleId="10">
    <w:name w:val="footer"/>
    <w:basedOn w:val="1"/>
    <w:unhideWhenUsed/>
    <w:qFormat/>
    <w:uiPriority w:val="99"/>
    <w:pPr>
      <w:tabs>
        <w:tab w:val="center" w:pos="4153"/>
        <w:tab w:val="right" w:pos="8306"/>
      </w:tabs>
      <w:snapToGrid w:val="0"/>
      <w:jc w:val="left"/>
    </w:pPr>
    <w:rPr>
      <w:kern w:val="0"/>
      <w:sz w:val="18"/>
      <w:szCs w:val="18"/>
    </w:rPr>
  </w:style>
  <w:style w:type="paragraph" w:styleId="11">
    <w:name w:val="header"/>
    <w:basedOn w:val="1"/>
    <w:unhideWhenUsed/>
    <w:qFormat/>
    <w:uiPriority w:val="0"/>
    <w:pPr>
      <w:pBdr>
        <w:bottom w:val="single" w:color="auto" w:sz="6" w:space="1"/>
      </w:pBdr>
      <w:tabs>
        <w:tab w:val="center" w:pos="4153"/>
        <w:tab w:val="right" w:pos="8306"/>
      </w:tabs>
      <w:snapToGrid w:val="0"/>
      <w:jc w:val="center"/>
    </w:pPr>
    <w:rPr>
      <w:kern w:val="0"/>
      <w:sz w:val="18"/>
      <w:szCs w:val="18"/>
    </w:rPr>
  </w:style>
  <w:style w:type="paragraph" w:styleId="12">
    <w:name w:val="Title"/>
    <w:basedOn w:val="1"/>
    <w:next w:val="1"/>
    <w:qFormat/>
    <w:uiPriority w:val="0"/>
    <w:pPr>
      <w:spacing w:before="240" w:after="60"/>
      <w:jc w:val="center"/>
      <w:outlineLvl w:val="0"/>
    </w:pPr>
    <w:rPr>
      <w:rFonts w:ascii="Cambria" w:hAnsi="Cambria"/>
      <w:b/>
      <w:bCs/>
      <w:sz w:val="32"/>
      <w:szCs w:val="32"/>
    </w:rPr>
  </w:style>
  <w:style w:type="paragraph" w:customStyle="1" w:styleId="15">
    <w:name w:val="首行缩进"/>
    <w:basedOn w:val="1"/>
    <w:qFormat/>
    <w:uiPriority w:val="99"/>
    <w:pPr>
      <w:spacing w:line="360" w:lineRule="auto"/>
      <w:ind w:firstLine="480"/>
      <w:jc w:val="left"/>
    </w:pPr>
    <w:rPr>
      <w:rFonts w:ascii="宋体" w:hAnsi="宋体"/>
      <w:sz w:val="24"/>
    </w:rPr>
  </w:style>
  <w:style w:type="character" w:customStyle="1" w:styleId="16">
    <w:name w:val="宏文本 Char"/>
    <w:link w:val="4"/>
    <w:qFormat/>
    <w:uiPriority w:val="0"/>
    <w:rPr>
      <w:rFonts w:ascii="Courier New" w:hAnsi="Courier New" w:cs="Courier New"/>
      <w:kern w:val="2"/>
      <w:sz w:val="24"/>
      <w:szCs w:val="24"/>
      <w:lang w:val="en-US" w:eastAsia="zh-CN" w:bidi="ar-SA"/>
    </w:rPr>
  </w:style>
  <w:style w:type="paragraph" w:customStyle="1" w:styleId="17">
    <w:name w:val="Default"/>
    <w:next w:val="18"/>
    <w:qFormat/>
    <w:uiPriority w:val="0"/>
    <w:pPr>
      <w:widowControl w:val="0"/>
      <w:autoSpaceDE w:val="0"/>
      <w:autoSpaceDN w:val="0"/>
      <w:adjustRightInd w:val="0"/>
    </w:pPr>
    <w:rPr>
      <w:rFonts w:ascii="Myriad-Roman" w:hAnsi="Times New Roman" w:eastAsia="Myriad-Roman" w:cs="Times New Roman"/>
      <w:lang w:val="en-US" w:eastAsia="zh-CN" w:bidi="ar-SA"/>
    </w:rPr>
  </w:style>
  <w:style w:type="paragraph" w:customStyle="1" w:styleId="18">
    <w:name w:val="大标题"/>
    <w:basedOn w:val="12"/>
    <w:next w:val="2"/>
    <w:qFormat/>
    <w:uiPriority w:val="0"/>
    <w:pPr>
      <w:adjustRightInd w:val="0"/>
      <w:spacing w:line="360" w:lineRule="auto"/>
      <w:ind w:firstLine="200" w:firstLineChars="200"/>
    </w:pPr>
    <w:rPr>
      <w:rFonts w:ascii="宋体" w:hAnsi="宋体"/>
      <w:bCs w:val="0"/>
      <w:kern w:val="0"/>
      <w:szCs w:val="20"/>
      <w:lang w:val="en-US" w:eastAsia="zh-CN"/>
    </w:rPr>
  </w:style>
  <w:style w:type="paragraph" w:customStyle="1" w:styleId="19">
    <w:name w:val="普通(网站)_0"/>
    <w:basedOn w:val="20"/>
    <w:qFormat/>
    <w:uiPriority w:val="99"/>
    <w:pPr>
      <w:spacing w:before="100" w:beforeAutospacing="1" w:after="100" w:afterAutospacing="1"/>
      <w:jc w:val="left"/>
    </w:pPr>
  </w:style>
  <w:style w:type="paragraph" w:customStyle="1" w:styleId="20">
    <w:name w:val="正文_1"/>
    <w:qFormat/>
    <w:uiPriority w:val="99"/>
    <w:pPr>
      <w:widowControl w:val="0"/>
      <w:jc w:val="both"/>
    </w:pPr>
    <w:rPr>
      <w:rFonts w:ascii="Times New Roman" w:hAnsi="Times New Roman" w:eastAsia="宋体" w:cs="Times New Roman"/>
      <w:sz w:val="24"/>
      <w:lang w:val="en-US" w:eastAsia="zh-CN" w:bidi="ar-SA"/>
    </w:rPr>
  </w:style>
  <w:style w:type="paragraph" w:styleId="21">
    <w:name w:val="List Paragraph"/>
    <w:basedOn w:val="1"/>
    <w:qFormat/>
    <w:uiPriority w:val="99"/>
    <w:pPr>
      <w:ind w:firstLine="0" w:firstLineChars="0"/>
      <w:jc w:val="left"/>
    </w:pPr>
    <w:rPr>
      <w:kern w:val="0"/>
      <w:sz w:val="22"/>
      <w:lang w:eastAsia="en-U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6</TotalTime>
  <ScaleCrop>false</ScaleCrop>
  <LinksUpToDate>false</LinksUpToDate>
  <CharactersWithSpaces>0</CharactersWithSpaces>
  <Application>WPS Office_11.1.0.11045_F1E327BC-269C-435d-A152-05C5408002CA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2021-05-20T08:28:00Z</dcterms:created>
  <dc:creator>Lenovo</dc:creator>
  <cp:lastModifiedBy>Lenovo</cp:lastModifiedBy>
  <cp:lastPrinted>2021-11-10T02:10:00Z</cp:lastPrinted>
  <dcterms:modified xsi:type="dcterms:W3CDTF">2021-11-24T02:17:55Z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2052-11.1.0.11045</vt:lpwstr>
  </property>
  <property fmtid="{D5CDD505-2E9C-101B-9397-08002B2CF9AE}" pid="3" name="ICV">
    <vt:lpwstr>7BD97AA1166641BA8D85577C90C64507</vt:lpwstr>
  </property>
</Properties>
</file>