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color w:val="auto"/>
          <w:spacing w:val="28"/>
          <w:sz w:val="52"/>
          <w:szCs w:val="48"/>
        </w:rPr>
      </w:pPr>
    </w:p>
    <w:p>
      <w:pPr>
        <w:pStyle w:val="2"/>
        <w:rPr>
          <w:rFonts w:hint="eastAsia" w:ascii="仿宋_GB2312" w:hAnsi="宋体" w:eastAsia="仿宋_GB2312"/>
          <w:b/>
          <w:color w:val="auto"/>
          <w:spacing w:val="28"/>
          <w:sz w:val="52"/>
          <w:szCs w:val="48"/>
        </w:rPr>
      </w:pPr>
    </w:p>
    <w:p>
      <w:pPr>
        <w:pStyle w:val="2"/>
        <w:rPr>
          <w:rFonts w:hint="eastAsia" w:ascii="仿宋_GB2312" w:hAnsi="宋体" w:eastAsia="仿宋_GB2312"/>
          <w:b/>
          <w:color w:val="auto"/>
          <w:spacing w:val="28"/>
          <w:sz w:val="52"/>
          <w:szCs w:val="48"/>
        </w:rPr>
      </w:pPr>
    </w:p>
    <w:p>
      <w:pPr>
        <w:adjustRightInd w:val="0"/>
        <w:snapToGrid w:val="0"/>
        <w:spacing w:line="360" w:lineRule="auto"/>
        <w:jc w:val="center"/>
        <w:rPr>
          <w:rFonts w:hint="eastAsia" w:ascii="仿宋_GB2312" w:hAnsi="宋体" w:eastAsia="仿宋_GB2312"/>
          <w:b/>
          <w:color w:val="auto"/>
          <w:spacing w:val="28"/>
          <w:sz w:val="52"/>
          <w:szCs w:val="48"/>
          <w:lang w:val="en-US" w:eastAsia="zh-CN"/>
        </w:rPr>
      </w:pPr>
      <w:r>
        <w:rPr>
          <w:rFonts w:hint="eastAsia" w:ascii="仿宋_GB2312" w:hAnsi="宋体" w:eastAsia="仿宋_GB2312"/>
          <w:b/>
          <w:color w:val="auto"/>
          <w:spacing w:val="28"/>
          <w:sz w:val="52"/>
          <w:szCs w:val="48"/>
        </w:rPr>
        <w:t>一水厂“智慧安防”升级改造</w:t>
      </w:r>
      <w:r>
        <w:rPr>
          <w:rFonts w:hint="eastAsia" w:ascii="仿宋_GB2312" w:hAnsi="宋体" w:eastAsia="仿宋_GB2312"/>
          <w:b/>
          <w:color w:val="auto"/>
          <w:spacing w:val="28"/>
          <w:sz w:val="52"/>
          <w:szCs w:val="48"/>
          <w:lang w:val="en-US" w:eastAsia="zh-CN"/>
        </w:rPr>
        <w:t>项目</w:t>
      </w:r>
    </w:p>
    <w:p>
      <w:pPr>
        <w:adjustRightInd w:val="0"/>
        <w:snapToGrid w:val="0"/>
        <w:spacing w:line="360" w:lineRule="auto"/>
        <w:jc w:val="center"/>
        <w:rPr>
          <w:rFonts w:ascii="仿宋_GB2312" w:hAnsi="宋体" w:eastAsia="仿宋_GB2312"/>
          <w:b/>
          <w:snapToGrid w:val="0"/>
          <w:color w:val="auto"/>
          <w:sz w:val="52"/>
          <w:szCs w:val="52"/>
        </w:rPr>
      </w:pPr>
      <w:r>
        <w:rPr>
          <w:rFonts w:hint="eastAsia" w:ascii="仿宋_GB2312" w:hAnsi="宋体" w:eastAsia="仿宋_GB2312"/>
          <w:b/>
          <w:color w:val="auto"/>
          <w:spacing w:val="28"/>
          <w:sz w:val="52"/>
          <w:szCs w:val="48"/>
        </w:rPr>
        <w:t>招标文件</w:t>
      </w:r>
    </w:p>
    <w:p>
      <w:pPr>
        <w:adjustRightInd w:val="0"/>
        <w:snapToGrid w:val="0"/>
        <w:spacing w:line="360" w:lineRule="auto"/>
        <w:ind w:firstLine="3384" w:firstLineChars="1204"/>
        <w:rPr>
          <w:rFonts w:ascii="黑体" w:hAnsi="宋体" w:eastAsia="黑体"/>
          <w:b/>
          <w:bCs/>
          <w:snapToGrid w:val="0"/>
          <w:color w:val="auto"/>
          <w:sz w:val="28"/>
          <w:szCs w:val="28"/>
        </w:rPr>
      </w:pPr>
    </w:p>
    <w:p>
      <w:pPr>
        <w:adjustRightInd w:val="0"/>
        <w:snapToGrid w:val="0"/>
        <w:spacing w:line="360" w:lineRule="auto"/>
        <w:ind w:firstLine="602" w:firstLineChars="200"/>
        <w:jc w:val="center"/>
        <w:rPr>
          <w:rFonts w:ascii="仿宋_GB2312" w:hAnsi="宋体" w:eastAsia="仿宋_GB2312"/>
          <w:b/>
          <w:bCs/>
          <w:snapToGrid w:val="0"/>
          <w:color w:val="auto"/>
          <w:sz w:val="30"/>
        </w:rPr>
      </w:pPr>
    </w:p>
    <w:p>
      <w:pPr>
        <w:adjustRightInd w:val="0"/>
        <w:snapToGrid w:val="0"/>
        <w:spacing w:line="360" w:lineRule="auto"/>
        <w:ind w:firstLine="1446" w:firstLineChars="200"/>
        <w:jc w:val="center"/>
        <w:rPr>
          <w:rFonts w:ascii="仿宋_GB2312" w:hAnsi="宋体" w:eastAsia="仿宋_GB2312"/>
          <w:b/>
          <w:snapToGrid w:val="0"/>
          <w:color w:val="auto"/>
          <w:sz w:val="72"/>
        </w:rPr>
      </w:pPr>
    </w:p>
    <w:p>
      <w:pPr>
        <w:adjustRightInd w:val="0"/>
        <w:snapToGrid w:val="0"/>
        <w:spacing w:line="360" w:lineRule="auto"/>
        <w:ind w:firstLine="1446" w:firstLineChars="200"/>
        <w:jc w:val="center"/>
        <w:rPr>
          <w:rFonts w:ascii="仿宋_GB2312" w:hAnsi="宋体" w:eastAsia="仿宋_GB2312"/>
          <w:b/>
          <w:snapToGrid w:val="0"/>
          <w:color w:val="auto"/>
          <w:sz w:val="72"/>
        </w:rPr>
      </w:pPr>
    </w:p>
    <w:p>
      <w:pPr>
        <w:adjustRightInd w:val="0"/>
        <w:snapToGrid w:val="0"/>
        <w:spacing w:line="360" w:lineRule="auto"/>
        <w:ind w:firstLine="1446" w:firstLineChars="200"/>
        <w:jc w:val="center"/>
        <w:rPr>
          <w:rFonts w:ascii="仿宋_GB2312" w:hAnsi="宋体" w:eastAsia="仿宋_GB2312"/>
          <w:b/>
          <w:snapToGrid w:val="0"/>
          <w:color w:val="auto"/>
          <w:sz w:val="72"/>
        </w:rPr>
      </w:pPr>
    </w:p>
    <w:p>
      <w:pPr>
        <w:adjustRightInd w:val="0"/>
        <w:snapToGrid w:val="0"/>
        <w:spacing w:line="480" w:lineRule="auto"/>
        <w:ind w:firstLine="1494" w:firstLineChars="496"/>
        <w:rPr>
          <w:rFonts w:ascii="仿宋_GB2312" w:hAnsi="宋体" w:eastAsia="仿宋_GB2312"/>
          <w:b/>
          <w:bCs/>
          <w:snapToGrid w:val="0"/>
          <w:color w:val="auto"/>
          <w:sz w:val="28"/>
        </w:rPr>
      </w:pPr>
      <w:r>
        <w:rPr>
          <w:rFonts w:hint="eastAsia" w:ascii="仿宋_GB2312" w:hAnsi="宋体" w:eastAsia="仿宋_GB2312"/>
          <w:b/>
          <w:bCs/>
          <w:snapToGrid w:val="0"/>
          <w:color w:val="auto"/>
          <w:sz w:val="30"/>
        </w:rPr>
        <w:t>招       标      人：江苏长江水务股份有限公司</w:t>
      </w:r>
    </w:p>
    <w:p>
      <w:pPr>
        <w:spacing w:line="460" w:lineRule="exact"/>
        <w:ind w:firstLine="1494" w:firstLineChars="496"/>
        <w:rPr>
          <w:rFonts w:eastAsia="黑体"/>
          <w:color w:val="auto"/>
          <w:sz w:val="36"/>
        </w:rPr>
      </w:pPr>
      <w:r>
        <w:rPr>
          <w:rFonts w:hint="eastAsia" w:ascii="仿宋_GB2312" w:hAnsi="宋体" w:eastAsia="仿宋_GB2312"/>
          <w:b/>
          <w:bCs/>
          <w:snapToGrid w:val="0"/>
          <w:color w:val="auto"/>
          <w:sz w:val="30"/>
        </w:rPr>
        <w:t xml:space="preserve">发    放    日   期：  </w:t>
      </w:r>
      <w:r>
        <w:rPr>
          <w:rFonts w:hint="eastAsia" w:ascii="仿宋_GB2312" w:hAnsi="宋体" w:eastAsia="仿宋_GB2312"/>
          <w:b/>
          <w:bCs/>
          <w:snapToGrid w:val="0"/>
          <w:color w:val="auto"/>
          <w:sz w:val="30"/>
          <w:u w:val="single"/>
        </w:rPr>
        <w:t xml:space="preserve"> 2021</w:t>
      </w:r>
      <w:r>
        <w:rPr>
          <w:rFonts w:hint="eastAsia" w:ascii="仿宋_GB2312" w:hAnsi="宋体" w:eastAsia="仿宋_GB2312"/>
          <w:b/>
          <w:bCs/>
          <w:snapToGrid w:val="0"/>
          <w:color w:val="auto"/>
          <w:sz w:val="30"/>
        </w:rPr>
        <w:t>年</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7</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rPr>
        <w:t>月</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14</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rPr>
        <w:t>日</w:t>
      </w:r>
    </w:p>
    <w:p>
      <w:pPr>
        <w:spacing w:line="460" w:lineRule="exact"/>
        <w:rPr>
          <w:rFonts w:eastAsia="仿宋_GB2312"/>
          <w:color w:val="auto"/>
          <w:sz w:val="30"/>
          <w:u w:val="single"/>
        </w:rPr>
      </w:pPr>
    </w:p>
    <w:p>
      <w:pPr>
        <w:spacing w:line="460" w:lineRule="exact"/>
        <w:rPr>
          <w:rFonts w:eastAsia="仿宋_GB2312"/>
          <w:color w:val="auto"/>
          <w:sz w:val="30"/>
          <w:u w:val="single"/>
        </w:rPr>
      </w:pPr>
    </w:p>
    <w:p>
      <w:pPr>
        <w:spacing w:line="360" w:lineRule="auto"/>
        <w:outlineLvl w:val="0"/>
        <w:rPr>
          <w:rFonts w:ascii="宋体" w:hAnsi="宋体"/>
          <w:b/>
          <w:color w:val="auto"/>
          <w:sz w:val="36"/>
          <w:szCs w:val="36"/>
        </w:rPr>
      </w:pPr>
    </w:p>
    <w:p>
      <w:pPr>
        <w:pStyle w:val="5"/>
        <w:numPr>
          <w:ilvl w:val="0"/>
          <w:numId w:val="0"/>
        </w:numPr>
        <w:ind w:left="780" w:hanging="360"/>
        <w:rPr>
          <w:color w:val="auto"/>
        </w:rPr>
      </w:pPr>
    </w:p>
    <w:p>
      <w:pPr>
        <w:pStyle w:val="5"/>
        <w:numPr>
          <w:ilvl w:val="0"/>
          <w:numId w:val="0"/>
        </w:numPr>
        <w:ind w:left="780" w:hanging="360"/>
        <w:rPr>
          <w:color w:val="auto"/>
        </w:rPr>
      </w:pPr>
    </w:p>
    <w:p>
      <w:pPr>
        <w:pStyle w:val="5"/>
        <w:numPr>
          <w:ilvl w:val="0"/>
          <w:numId w:val="0"/>
        </w:numPr>
        <w:ind w:left="780" w:hanging="360"/>
        <w:rPr>
          <w:color w:val="auto"/>
        </w:rPr>
      </w:pPr>
    </w:p>
    <w:p>
      <w:pPr>
        <w:pStyle w:val="5"/>
        <w:numPr>
          <w:ilvl w:val="0"/>
          <w:numId w:val="0"/>
        </w:numPr>
        <w:ind w:left="780" w:hanging="360"/>
        <w:rPr>
          <w:color w:val="auto"/>
        </w:rPr>
      </w:pPr>
    </w:p>
    <w:p>
      <w:pPr>
        <w:pStyle w:val="5"/>
        <w:numPr>
          <w:ilvl w:val="0"/>
          <w:numId w:val="0"/>
        </w:numPr>
        <w:ind w:left="780" w:hanging="360"/>
        <w:rPr>
          <w:color w:val="auto"/>
        </w:rPr>
      </w:pPr>
    </w:p>
    <w:p>
      <w:pPr>
        <w:spacing w:line="360" w:lineRule="auto"/>
        <w:jc w:val="center"/>
        <w:outlineLvl w:val="0"/>
        <w:rPr>
          <w:rFonts w:ascii="宋体" w:hAnsi="宋体"/>
          <w:b/>
          <w:color w:val="auto"/>
          <w:sz w:val="36"/>
          <w:szCs w:val="36"/>
        </w:rPr>
      </w:pPr>
      <w:r>
        <w:rPr>
          <w:rFonts w:hint="eastAsia" w:ascii="宋体" w:hAnsi="宋体"/>
          <w:b/>
          <w:color w:val="auto"/>
          <w:sz w:val="36"/>
          <w:szCs w:val="36"/>
        </w:rPr>
        <w:t>前  附  表</w:t>
      </w:r>
    </w:p>
    <w:tbl>
      <w:tblPr>
        <w:tblStyle w:val="10"/>
        <w:tblW w:w="9853" w:type="dxa"/>
        <w:tblInd w:w="-2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4"/>
        <w:gridCol w:w="2106"/>
        <w:gridCol w:w="4556"/>
        <w:gridCol w:w="646"/>
        <w:gridCol w:w="10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序号</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项    目</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ind w:firstLine="2415" w:firstLineChars="1150"/>
              <w:rPr>
                <w:rFonts w:ascii="宋体" w:hAnsi="宋体"/>
                <w:color w:val="auto"/>
                <w:szCs w:val="21"/>
              </w:rPr>
            </w:pPr>
            <w:r>
              <w:rPr>
                <w:rFonts w:hint="eastAsia" w:ascii="宋体" w:hAnsi="宋体"/>
                <w:color w:val="auto"/>
                <w:szCs w:val="21"/>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1</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项目名称</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szCs w:val="21"/>
              </w:rPr>
            </w:pPr>
            <w:r>
              <w:rPr>
                <w:rFonts w:hint="eastAsia" w:ascii="宋体" w:hAnsi="宋体"/>
                <w:color w:val="auto"/>
                <w:szCs w:val="21"/>
              </w:rPr>
              <w:t>一水厂“智慧安防”升级改造项目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2</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招标方式</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szCs w:val="21"/>
              </w:rPr>
            </w:pPr>
            <w:r>
              <w:rPr>
                <w:rFonts w:hint="eastAsia" w:ascii="宋体" w:hAnsi="宋体"/>
                <w:color w:val="auto"/>
                <w:szCs w:val="21"/>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3</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招标内容</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szCs w:val="21"/>
              </w:rPr>
            </w:pPr>
            <w:r>
              <w:rPr>
                <w:rFonts w:hint="eastAsia" w:ascii="宋体" w:hAnsi="宋体"/>
                <w:color w:val="auto"/>
                <w:szCs w:val="21"/>
              </w:rPr>
              <w:t>见附表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4</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olor w:val="auto"/>
                <w:szCs w:val="21"/>
                <w:lang w:val="en-US" w:eastAsia="zh-CN"/>
              </w:rPr>
            </w:pPr>
            <w:r>
              <w:rPr>
                <w:rFonts w:hint="eastAsia" w:ascii="宋体" w:hAnsi="宋体"/>
                <w:color w:val="auto"/>
                <w:szCs w:val="21"/>
                <w:lang w:val="en-US" w:eastAsia="zh-CN"/>
              </w:rPr>
              <w:t>项目峻工期限</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hint="default" w:ascii="宋体" w:hAnsi="宋体" w:eastAsia="宋体"/>
                <w:color w:val="auto"/>
                <w:szCs w:val="21"/>
                <w:lang w:val="en-US" w:eastAsia="zh-CN"/>
              </w:rPr>
            </w:pPr>
            <w:r>
              <w:rPr>
                <w:rFonts w:hint="eastAsia" w:ascii="宋体" w:hAnsi="宋体"/>
                <w:color w:val="auto"/>
                <w:szCs w:val="21"/>
                <w:lang w:val="en-US" w:eastAsia="zh-CN"/>
              </w:rPr>
              <w:t>40个工作日内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5</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工程开始期</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szCs w:val="21"/>
              </w:rPr>
            </w:pPr>
            <w:r>
              <w:rPr>
                <w:rFonts w:hint="eastAsia" w:ascii="宋体" w:hAnsi="宋体"/>
                <w:color w:val="auto"/>
                <w:szCs w:val="21"/>
              </w:rPr>
              <w:t>中标签订合同后的10天之内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olor w:val="auto"/>
                <w:szCs w:val="21"/>
                <w:lang w:val="en-US" w:eastAsia="zh-CN"/>
              </w:rPr>
            </w:pPr>
            <w:r>
              <w:rPr>
                <w:rFonts w:hint="eastAsia" w:ascii="宋体" w:hAnsi="宋体"/>
                <w:color w:val="auto"/>
                <w:szCs w:val="21"/>
                <w:lang w:val="en-US" w:eastAsia="zh-CN"/>
              </w:rPr>
              <w:t>6</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olor w:val="auto"/>
                <w:szCs w:val="21"/>
                <w:lang w:val="en-US" w:eastAsia="zh-CN"/>
              </w:rPr>
            </w:pPr>
            <w:r>
              <w:rPr>
                <w:rFonts w:hint="eastAsia" w:ascii="宋体" w:hAnsi="宋体"/>
                <w:color w:val="auto"/>
                <w:szCs w:val="21"/>
                <w:lang w:val="en-US" w:eastAsia="zh-CN"/>
              </w:rPr>
              <w:t>最高限价</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hint="default" w:ascii="宋体" w:hAnsi="宋体" w:eastAsia="宋体"/>
                <w:color w:val="auto"/>
                <w:szCs w:val="21"/>
                <w:lang w:val="en-US" w:eastAsia="zh-CN"/>
              </w:rPr>
            </w:pPr>
            <w:r>
              <w:rPr>
                <w:rFonts w:hint="eastAsia" w:ascii="宋体" w:hAnsi="宋体"/>
                <w:color w:val="auto"/>
                <w:szCs w:val="21"/>
                <w:lang w:val="en-US" w:eastAsia="zh-CN"/>
              </w:rPr>
              <w:t>70万元人民币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cs="Times New Roman"/>
                <w:color w:val="auto"/>
                <w:kern w:val="2"/>
                <w:sz w:val="21"/>
                <w:szCs w:val="21"/>
                <w:lang w:val="en-US" w:eastAsia="zh-CN" w:bidi="ar-SA"/>
              </w:rPr>
            </w:pPr>
            <w:r>
              <w:rPr>
                <w:rFonts w:hint="eastAsia" w:ascii="宋体" w:hAnsi="宋体"/>
                <w:color w:val="auto"/>
                <w:szCs w:val="21"/>
              </w:rPr>
              <w:t>7</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服务内容/服务承诺</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b/>
                <w:color w:val="auto"/>
                <w:szCs w:val="21"/>
              </w:rPr>
            </w:pPr>
            <w:r>
              <w:rPr>
                <w:rFonts w:hint="eastAsia" w:ascii="Arial" w:hAnsi="宋体"/>
                <w:bCs/>
                <w:iCs/>
                <w:color w:val="auto"/>
                <w:szCs w:val="28"/>
              </w:rPr>
              <w:t>在投标文件中注明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cs="Times New Roman"/>
                <w:color w:val="auto"/>
                <w:kern w:val="2"/>
                <w:sz w:val="21"/>
                <w:szCs w:val="21"/>
                <w:lang w:val="en-US" w:eastAsia="zh-CN" w:bidi="ar-SA"/>
              </w:rPr>
            </w:pPr>
            <w:r>
              <w:rPr>
                <w:rFonts w:hint="eastAsia" w:ascii="宋体" w:hAnsi="宋体"/>
                <w:color w:val="auto"/>
                <w:szCs w:val="21"/>
              </w:rPr>
              <w:t>8</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服务地点</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olor w:val="auto"/>
                <w:szCs w:val="21"/>
                <w:lang w:eastAsia="zh-CN"/>
              </w:rPr>
            </w:pPr>
            <w:r>
              <w:rPr>
                <w:rFonts w:hint="eastAsia" w:ascii="宋体" w:hAnsi="宋体"/>
                <w:color w:val="auto"/>
                <w:szCs w:val="21"/>
              </w:rPr>
              <w:t>江苏长江水务股份有限公司</w:t>
            </w:r>
            <w:r>
              <w:rPr>
                <w:rFonts w:hint="eastAsia" w:ascii="宋体" w:hAnsi="宋体"/>
                <w:color w:val="auto"/>
                <w:szCs w:val="21"/>
                <w:lang w:eastAsia="zh-CN"/>
              </w:rPr>
              <w:t>一水厂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cs="Times New Roman"/>
                <w:color w:val="auto"/>
                <w:kern w:val="2"/>
                <w:sz w:val="21"/>
                <w:szCs w:val="21"/>
                <w:lang w:val="en-US" w:eastAsia="zh-CN" w:bidi="ar-SA"/>
              </w:rPr>
            </w:pPr>
            <w:r>
              <w:rPr>
                <w:rFonts w:hint="eastAsia" w:ascii="宋体" w:hAnsi="宋体"/>
                <w:color w:val="auto"/>
                <w:szCs w:val="21"/>
              </w:rPr>
              <w:t>9</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招标单位</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szCs w:val="21"/>
              </w:rPr>
            </w:pPr>
            <w:r>
              <w:rPr>
                <w:rFonts w:hint="eastAsia" w:ascii="宋体" w:hAnsi="宋体"/>
                <w:color w:val="auto"/>
                <w:szCs w:val="21"/>
              </w:rPr>
              <w:t>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cs="Times New Roman"/>
                <w:color w:val="auto"/>
                <w:kern w:val="2"/>
                <w:sz w:val="21"/>
                <w:szCs w:val="21"/>
                <w:lang w:val="en-US" w:eastAsia="zh-CN" w:bidi="ar-SA"/>
              </w:rPr>
            </w:pPr>
            <w:r>
              <w:rPr>
                <w:rFonts w:hint="eastAsia" w:ascii="宋体" w:hAnsi="宋体"/>
                <w:color w:val="auto"/>
                <w:szCs w:val="21"/>
              </w:rPr>
              <w:t>10</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投标文件份数</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szCs w:val="21"/>
              </w:rPr>
            </w:pPr>
            <w:r>
              <w:rPr>
                <w:rFonts w:hint="eastAsia" w:ascii="宋体" w:hAnsi="宋体"/>
                <w:color w:val="auto"/>
                <w:szCs w:val="21"/>
              </w:rPr>
              <w:t>正本一份，副本</w:t>
            </w:r>
            <w:r>
              <w:rPr>
                <w:rFonts w:hint="eastAsia" w:ascii="宋体" w:hAnsi="宋体"/>
                <w:color w:val="auto"/>
                <w:szCs w:val="21"/>
                <w:lang w:val="en-US" w:eastAsia="zh-CN"/>
              </w:rPr>
              <w:t>四</w:t>
            </w:r>
            <w:r>
              <w:rPr>
                <w:rFonts w:hint="eastAsia" w:ascii="宋体" w:hAnsi="宋体"/>
                <w:color w:val="auto"/>
                <w:szCs w:val="21"/>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cs="Times New Roman"/>
                <w:color w:val="auto"/>
                <w:kern w:val="2"/>
                <w:sz w:val="21"/>
                <w:szCs w:val="21"/>
                <w:lang w:val="en-US" w:eastAsia="zh-CN" w:bidi="ar-SA"/>
              </w:rPr>
            </w:pPr>
            <w:r>
              <w:rPr>
                <w:rFonts w:hint="eastAsia" w:ascii="宋体" w:hAnsi="宋体"/>
                <w:color w:val="auto"/>
                <w:szCs w:val="21"/>
              </w:rPr>
              <w:t>11</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投标有效期</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olor w:val="auto"/>
                <w:szCs w:val="21"/>
              </w:rPr>
            </w:pPr>
            <w:r>
              <w:rPr>
                <w:rFonts w:hint="eastAsia" w:ascii="宋体" w:hAnsi="宋体"/>
                <w:color w:val="auto"/>
                <w:szCs w:val="21"/>
              </w:rPr>
              <w:t>从投标截止日起90天内有效，如中标，有效期将延至合同终止日。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cs="Times New Roman"/>
                <w:color w:val="auto"/>
                <w:kern w:val="2"/>
                <w:sz w:val="21"/>
                <w:szCs w:val="21"/>
                <w:lang w:val="en-US" w:eastAsia="zh-CN" w:bidi="ar-SA"/>
              </w:rPr>
            </w:pPr>
            <w:r>
              <w:rPr>
                <w:rFonts w:hint="eastAsia" w:ascii="宋体" w:hAnsi="宋体"/>
                <w:color w:val="auto"/>
                <w:szCs w:val="21"/>
              </w:rPr>
              <w:t>12</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投标截止时间</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szCs w:val="21"/>
              </w:rPr>
            </w:pPr>
            <w:r>
              <w:rPr>
                <w:rFonts w:hint="eastAsia" w:ascii="宋体" w:hAnsi="宋体"/>
                <w:color w:val="auto"/>
                <w:szCs w:val="21"/>
              </w:rPr>
              <w:t>2021年</w:t>
            </w:r>
            <w:r>
              <w:rPr>
                <w:rFonts w:hint="eastAsia" w:ascii="宋体" w:hAnsi="宋体"/>
                <w:color w:val="auto"/>
                <w:szCs w:val="21"/>
                <w:lang w:val="en-US" w:eastAsia="zh-CN"/>
              </w:rPr>
              <w:t>7</w:t>
            </w:r>
            <w:r>
              <w:rPr>
                <w:rFonts w:hint="eastAsia" w:ascii="宋体" w:hAnsi="宋体"/>
                <w:color w:val="auto"/>
                <w:szCs w:val="21"/>
              </w:rPr>
              <w:t xml:space="preserve">月 </w:t>
            </w:r>
            <w:r>
              <w:rPr>
                <w:rFonts w:hint="eastAsia" w:ascii="宋体" w:hAnsi="宋体"/>
                <w:color w:val="auto"/>
                <w:szCs w:val="21"/>
                <w:lang w:val="en-US" w:eastAsia="zh-CN"/>
              </w:rPr>
              <w:t>21</w:t>
            </w:r>
            <w:r>
              <w:rPr>
                <w:rFonts w:hint="eastAsia" w:ascii="宋体" w:hAnsi="宋体"/>
                <w:color w:val="auto"/>
                <w:szCs w:val="21"/>
              </w:rPr>
              <w:t>日</w:t>
            </w:r>
            <w:r>
              <w:rPr>
                <w:rFonts w:hint="eastAsia" w:ascii="宋体" w:hAnsi="宋体"/>
                <w:color w:val="auto"/>
                <w:szCs w:val="21"/>
                <w:lang w:eastAsia="zh-CN"/>
              </w:rPr>
              <w:t>上</w:t>
            </w:r>
            <w:r>
              <w:rPr>
                <w:rFonts w:hint="eastAsia" w:ascii="宋体" w:hAnsi="宋体"/>
                <w:color w:val="auto"/>
                <w:szCs w:val="21"/>
              </w:rPr>
              <w:t>午</w:t>
            </w:r>
            <w:r>
              <w:rPr>
                <w:rFonts w:hint="eastAsia" w:ascii="宋体" w:hAnsi="宋体"/>
                <w:color w:val="auto"/>
                <w:szCs w:val="21"/>
                <w:lang w:val="en-US" w:eastAsia="zh-CN"/>
              </w:rPr>
              <w:t>9</w:t>
            </w:r>
            <w:r>
              <w:rPr>
                <w:rFonts w:hint="eastAsia" w:ascii="宋体" w:hAnsi="宋体"/>
                <w:color w:val="auto"/>
                <w:szCs w:val="21"/>
              </w:rPr>
              <w:t xml:space="preserve">:00  </w:t>
            </w:r>
            <w:r>
              <w:rPr>
                <w:rFonts w:hint="eastAsia" w:ascii="宋体" w:hAnsi="宋体" w:cs="宋体"/>
                <w:color w:val="auto"/>
                <w:kern w:val="0"/>
                <w:szCs w:val="21"/>
              </w:rPr>
              <w:t>（北京时间）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1524" w:type="dxa"/>
            <w:tcBorders>
              <w:top w:val="single" w:color="auto" w:sz="4" w:space="0"/>
              <w:left w:val="single" w:color="auto" w:sz="4" w:space="0"/>
              <w:bottom w:val="nil"/>
              <w:right w:val="single" w:color="auto" w:sz="4" w:space="0"/>
            </w:tcBorders>
            <w:vAlign w:val="center"/>
          </w:tcPr>
          <w:p>
            <w:pPr>
              <w:spacing w:line="360" w:lineRule="auto"/>
              <w:jc w:val="center"/>
              <w:rPr>
                <w:rFonts w:ascii="宋体" w:hAnsi="宋体" w:eastAsia="宋体" w:cs="Times New Roman"/>
                <w:color w:val="auto"/>
                <w:kern w:val="2"/>
                <w:sz w:val="21"/>
                <w:szCs w:val="21"/>
                <w:lang w:val="en-US" w:eastAsia="zh-CN" w:bidi="ar-SA"/>
              </w:rPr>
            </w:pPr>
            <w:r>
              <w:rPr>
                <w:rFonts w:hint="eastAsia" w:ascii="宋体" w:hAnsi="宋体"/>
                <w:color w:val="auto"/>
                <w:szCs w:val="21"/>
              </w:rPr>
              <w:t>13</w:t>
            </w:r>
          </w:p>
        </w:tc>
        <w:tc>
          <w:tcPr>
            <w:tcW w:w="2106" w:type="dxa"/>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投标文件递交</w:t>
            </w:r>
          </w:p>
          <w:p>
            <w:pPr>
              <w:spacing w:line="360" w:lineRule="auto"/>
              <w:jc w:val="center"/>
              <w:rPr>
                <w:rFonts w:ascii="宋体" w:hAnsi="宋体"/>
                <w:color w:val="auto"/>
                <w:szCs w:val="21"/>
              </w:rPr>
            </w:pPr>
            <w:r>
              <w:rPr>
                <w:rFonts w:hint="eastAsia" w:ascii="宋体" w:hAnsi="宋体"/>
                <w:color w:val="auto"/>
                <w:szCs w:val="21"/>
              </w:rPr>
              <w:t>地址</w:t>
            </w:r>
          </w:p>
        </w:tc>
        <w:tc>
          <w:tcPr>
            <w:tcW w:w="6223" w:type="dxa"/>
            <w:gridSpan w:val="3"/>
            <w:tcBorders>
              <w:top w:val="single" w:color="auto" w:sz="4" w:space="0"/>
              <w:left w:val="single" w:color="auto" w:sz="4" w:space="0"/>
              <w:bottom w:val="single" w:color="auto" w:sz="4" w:space="0"/>
              <w:right w:val="single" w:color="auto" w:sz="8" w:space="0"/>
            </w:tcBorders>
            <w:vAlign w:val="center"/>
          </w:tcPr>
          <w:p>
            <w:pPr>
              <w:spacing w:line="360" w:lineRule="auto"/>
              <w:rPr>
                <w:rFonts w:hint="default" w:ascii="宋体" w:hAnsi="宋体" w:eastAsia="宋体"/>
                <w:color w:val="auto"/>
                <w:szCs w:val="21"/>
                <w:lang w:val="en-US" w:eastAsia="zh-CN"/>
              </w:rPr>
            </w:pPr>
            <w:r>
              <w:rPr>
                <w:rFonts w:hint="eastAsia" w:ascii="宋体" w:hAnsi="宋体"/>
                <w:color w:val="auto"/>
                <w:szCs w:val="21"/>
              </w:rPr>
              <w:t>扬州市文汇东路249号江苏长江水务股份有限公司</w:t>
            </w:r>
            <w:r>
              <w:rPr>
                <w:rFonts w:hint="eastAsia" w:ascii="宋体" w:hAnsi="宋体"/>
                <w:color w:val="auto"/>
                <w:szCs w:val="21"/>
                <w:lang w:val="en-US" w:eastAsia="zh-CN"/>
              </w:rPr>
              <w:t>物资供应处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cs="Times New Roman"/>
                <w:color w:val="auto"/>
                <w:kern w:val="2"/>
                <w:sz w:val="21"/>
                <w:szCs w:val="21"/>
                <w:lang w:val="en-US" w:eastAsia="zh-CN" w:bidi="ar-SA"/>
              </w:rPr>
            </w:pPr>
            <w:r>
              <w:rPr>
                <w:rFonts w:hint="eastAsia" w:ascii="宋体" w:hAnsi="宋体"/>
                <w:color w:val="auto"/>
                <w:szCs w:val="21"/>
              </w:rPr>
              <w:t>14</w:t>
            </w:r>
          </w:p>
        </w:tc>
        <w:tc>
          <w:tcPr>
            <w:tcW w:w="2106" w:type="dxa"/>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开标会时间</w:t>
            </w:r>
          </w:p>
        </w:tc>
        <w:tc>
          <w:tcPr>
            <w:tcW w:w="4556"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szCs w:val="21"/>
              </w:rPr>
            </w:pPr>
            <w:r>
              <w:rPr>
                <w:rFonts w:hint="eastAsia" w:ascii="宋体" w:hAnsi="宋体"/>
                <w:color w:val="auto"/>
                <w:szCs w:val="21"/>
              </w:rPr>
              <w:t>2021年</w:t>
            </w:r>
            <w:r>
              <w:rPr>
                <w:rFonts w:hint="eastAsia" w:ascii="宋体" w:hAnsi="宋体"/>
                <w:color w:val="auto"/>
                <w:szCs w:val="21"/>
                <w:lang w:val="en-US" w:eastAsia="zh-CN"/>
              </w:rPr>
              <w:t>7</w:t>
            </w:r>
            <w:r>
              <w:rPr>
                <w:rFonts w:hint="eastAsia" w:ascii="宋体" w:hAnsi="宋体"/>
                <w:color w:val="auto"/>
                <w:szCs w:val="21"/>
              </w:rPr>
              <w:t>月</w:t>
            </w:r>
            <w:r>
              <w:rPr>
                <w:rFonts w:hint="eastAsia" w:ascii="宋体" w:hAnsi="宋体"/>
                <w:color w:val="auto"/>
                <w:szCs w:val="21"/>
                <w:lang w:val="en-US" w:eastAsia="zh-CN"/>
              </w:rPr>
              <w:t>21</w:t>
            </w:r>
            <w:r>
              <w:rPr>
                <w:rFonts w:hint="eastAsia" w:ascii="宋体" w:hAnsi="宋体"/>
                <w:color w:val="auto"/>
                <w:szCs w:val="21"/>
              </w:rPr>
              <w:t>日</w:t>
            </w:r>
            <w:r>
              <w:rPr>
                <w:rFonts w:hint="eastAsia" w:ascii="宋体" w:hAnsi="宋体"/>
                <w:color w:val="auto"/>
                <w:szCs w:val="21"/>
                <w:lang w:eastAsia="zh-CN"/>
              </w:rPr>
              <w:t>上</w:t>
            </w:r>
            <w:r>
              <w:rPr>
                <w:rFonts w:hint="eastAsia" w:ascii="宋体" w:hAnsi="宋体"/>
                <w:color w:val="auto"/>
                <w:szCs w:val="21"/>
              </w:rPr>
              <w:t>午</w:t>
            </w:r>
            <w:r>
              <w:rPr>
                <w:rFonts w:hint="eastAsia" w:ascii="宋体" w:hAnsi="宋体"/>
                <w:color w:val="auto"/>
                <w:szCs w:val="21"/>
                <w:lang w:val="en-US" w:eastAsia="zh-CN"/>
              </w:rPr>
              <w:t>9</w:t>
            </w:r>
            <w:r>
              <w:rPr>
                <w:rFonts w:hint="eastAsia" w:ascii="宋体" w:hAnsi="宋体"/>
                <w:color w:val="auto"/>
                <w:szCs w:val="21"/>
              </w:rPr>
              <w:t>:</w:t>
            </w:r>
            <w:r>
              <w:rPr>
                <w:rFonts w:hint="eastAsia" w:ascii="宋体" w:hAnsi="宋体"/>
                <w:color w:val="auto"/>
                <w:szCs w:val="21"/>
                <w:lang w:val="en-US" w:eastAsia="zh-CN"/>
              </w:rPr>
              <w:t>3</w:t>
            </w:r>
            <w:r>
              <w:rPr>
                <w:rFonts w:hint="eastAsia" w:ascii="宋体" w:hAnsi="宋体"/>
                <w:color w:val="auto"/>
                <w:szCs w:val="21"/>
              </w:rPr>
              <w:t xml:space="preserve">0  </w:t>
            </w:r>
            <w:r>
              <w:rPr>
                <w:rFonts w:hint="eastAsia" w:ascii="宋体" w:hAnsi="宋体" w:cs="宋体"/>
                <w:color w:val="auto"/>
                <w:kern w:val="0"/>
                <w:szCs w:val="21"/>
              </w:rPr>
              <w:t>（北京时间）</w:t>
            </w:r>
          </w:p>
        </w:tc>
        <w:tc>
          <w:tcPr>
            <w:tcW w:w="64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地址</w:t>
            </w:r>
          </w:p>
        </w:tc>
        <w:tc>
          <w:tcPr>
            <w:tcW w:w="1021" w:type="dxa"/>
            <w:tcBorders>
              <w:top w:val="single" w:color="auto" w:sz="4" w:space="0"/>
              <w:left w:val="single" w:color="auto" w:sz="4" w:space="0"/>
              <w:bottom w:val="single" w:color="auto" w:sz="4" w:space="0"/>
              <w:right w:val="single" w:color="auto" w:sz="8" w:space="0"/>
            </w:tcBorders>
            <w:vAlign w:val="center"/>
          </w:tcPr>
          <w:p>
            <w:pPr>
              <w:spacing w:line="360" w:lineRule="auto"/>
              <w:rPr>
                <w:rFonts w:hint="default" w:ascii="宋体" w:hAnsi="宋体" w:eastAsia="宋体"/>
                <w:color w:val="auto"/>
                <w:szCs w:val="21"/>
                <w:lang w:val="en-US" w:eastAsia="zh-CN"/>
              </w:rPr>
            </w:pPr>
            <w:r>
              <w:rPr>
                <w:rFonts w:hint="eastAsia" w:ascii="宋体" w:hAnsi="宋体"/>
                <w:color w:val="auto"/>
                <w:szCs w:val="21"/>
              </w:rPr>
              <w:t>另 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cs="Times New Roman"/>
                <w:color w:val="auto"/>
                <w:kern w:val="2"/>
                <w:sz w:val="21"/>
                <w:szCs w:val="21"/>
                <w:lang w:val="en-US" w:eastAsia="zh-CN" w:bidi="ar-SA"/>
              </w:rPr>
            </w:pPr>
            <w:r>
              <w:rPr>
                <w:rFonts w:hint="eastAsia" w:ascii="宋体" w:hAnsi="宋体"/>
                <w:color w:val="auto"/>
                <w:szCs w:val="21"/>
              </w:rPr>
              <w:t>15</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标书装订</w:t>
            </w:r>
          </w:p>
          <w:p>
            <w:pPr>
              <w:spacing w:line="360" w:lineRule="auto"/>
              <w:jc w:val="center"/>
              <w:rPr>
                <w:rFonts w:ascii="宋体" w:hAnsi="宋体"/>
                <w:color w:val="auto"/>
                <w:szCs w:val="21"/>
              </w:rPr>
            </w:pPr>
            <w:r>
              <w:rPr>
                <w:rFonts w:hint="eastAsia" w:ascii="宋体" w:hAnsi="宋体"/>
                <w:color w:val="auto"/>
                <w:szCs w:val="21"/>
              </w:rPr>
              <w:t>及密封要求</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szCs w:val="21"/>
              </w:rPr>
            </w:pPr>
            <w:r>
              <w:rPr>
                <w:rFonts w:hint="eastAsia" w:ascii="宋体" w:hAnsi="宋体"/>
                <w:color w:val="auto"/>
                <w:szCs w:val="21"/>
              </w:rPr>
              <w:t>所有封袋上应写明招标人名称、投标项目名称及投标人的名称。</w:t>
            </w:r>
          </w:p>
          <w:p>
            <w:pPr>
              <w:spacing w:line="360" w:lineRule="auto"/>
              <w:rPr>
                <w:rFonts w:ascii="宋体" w:hAnsi="宋体"/>
                <w:color w:val="auto"/>
                <w:szCs w:val="21"/>
              </w:rPr>
            </w:pPr>
            <w:r>
              <w:rPr>
                <w:rFonts w:hint="eastAsia" w:ascii="宋体" w:hAnsi="宋体"/>
                <w:color w:val="auto"/>
                <w:szCs w:val="21"/>
              </w:rPr>
              <w:t>所有投标文件都必须在封袋加盖投标单位公章及其法定代表人或授权委托人印鉴。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cs="Times New Roman"/>
                <w:color w:val="auto"/>
                <w:kern w:val="2"/>
                <w:sz w:val="21"/>
                <w:szCs w:val="21"/>
                <w:lang w:val="en-US" w:eastAsia="zh-CN" w:bidi="ar-SA"/>
              </w:rPr>
            </w:pPr>
            <w:r>
              <w:rPr>
                <w:rFonts w:hint="eastAsia" w:ascii="宋体" w:hAnsi="宋体"/>
                <w:color w:val="auto"/>
                <w:szCs w:val="21"/>
              </w:rPr>
              <w:t>16</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其他</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numPr>
                <w:ilvl w:val="0"/>
                <w:numId w:val="2"/>
              </w:numPr>
              <w:spacing w:line="360" w:lineRule="auto"/>
              <w:rPr>
                <w:rFonts w:ascii="宋体" w:hAnsi="宋体"/>
                <w:color w:val="auto"/>
                <w:szCs w:val="21"/>
              </w:rPr>
            </w:pPr>
            <w:r>
              <w:rPr>
                <w:rFonts w:hint="eastAsia" w:ascii="宋体" w:hAnsi="宋体"/>
                <w:color w:val="auto"/>
                <w:szCs w:val="21"/>
              </w:rPr>
              <w:t>下文中与“前附表”内容不一致的，以“前附表”为准；</w:t>
            </w:r>
          </w:p>
          <w:p>
            <w:pPr>
              <w:numPr>
                <w:ilvl w:val="0"/>
                <w:numId w:val="2"/>
              </w:numPr>
              <w:spacing w:line="360" w:lineRule="auto"/>
              <w:rPr>
                <w:rFonts w:ascii="宋体" w:hAnsi="宋体"/>
                <w:color w:val="auto"/>
                <w:szCs w:val="21"/>
              </w:rPr>
            </w:pPr>
            <w:r>
              <w:rPr>
                <w:rFonts w:hint="eastAsia" w:ascii="宋体" w:hAnsi="宋体"/>
                <w:color w:val="auto"/>
                <w:szCs w:val="21"/>
              </w:rPr>
              <w:t>本招标文件的解释权属于江苏长江水务股份有限公司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ascii="宋体" w:hAnsi="宋体" w:eastAsia="宋体"/>
                <w:color w:val="auto"/>
                <w:szCs w:val="21"/>
                <w:lang w:val="en-US" w:eastAsia="zh-CN"/>
              </w:rPr>
            </w:pPr>
            <w:r>
              <w:rPr>
                <w:rFonts w:hint="eastAsia" w:ascii="宋体" w:hAnsi="宋体"/>
                <w:color w:val="auto"/>
                <w:szCs w:val="21"/>
                <w:lang w:val="en-US" w:eastAsia="zh-CN"/>
              </w:rPr>
              <w:t>17</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联系方式</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adjustRightInd w:val="0"/>
              <w:spacing w:line="360" w:lineRule="auto"/>
              <w:rPr>
                <w:rFonts w:ascii="宋体" w:hAnsi="宋体"/>
                <w:color w:val="auto"/>
                <w:szCs w:val="21"/>
              </w:rPr>
            </w:pPr>
            <w:r>
              <w:rPr>
                <w:rFonts w:hint="eastAsia" w:ascii="宋体" w:hAnsi="宋体"/>
                <w:color w:val="auto"/>
                <w:szCs w:val="21"/>
              </w:rPr>
              <w:t>招标人：江苏长江水务股份有限公司</w:t>
            </w:r>
          </w:p>
          <w:p>
            <w:pPr>
              <w:adjustRightInd w:val="0"/>
              <w:spacing w:line="360" w:lineRule="auto"/>
              <w:rPr>
                <w:rFonts w:ascii="宋体" w:hAnsi="宋体"/>
                <w:color w:val="auto"/>
                <w:szCs w:val="21"/>
              </w:rPr>
            </w:pPr>
            <w:r>
              <w:rPr>
                <w:rFonts w:hint="eastAsia" w:ascii="宋体" w:hAnsi="宋体"/>
                <w:color w:val="auto"/>
                <w:szCs w:val="21"/>
              </w:rPr>
              <w:t>地  址：扬州文汇东路249号</w:t>
            </w:r>
          </w:p>
          <w:p>
            <w:pPr>
              <w:adjustRightInd w:val="0"/>
              <w:spacing w:line="360" w:lineRule="auto"/>
              <w:rPr>
                <w:rFonts w:hint="default" w:ascii="宋体" w:hAnsi="宋体" w:eastAsia="宋体"/>
                <w:color w:val="auto"/>
                <w:szCs w:val="21"/>
                <w:lang w:val="en-US" w:eastAsia="zh-CN"/>
              </w:rPr>
            </w:pPr>
            <w:r>
              <w:rPr>
                <w:rFonts w:hint="eastAsia" w:ascii="宋体" w:hAnsi="宋体"/>
                <w:color w:val="auto"/>
                <w:szCs w:val="21"/>
              </w:rPr>
              <w:t>电  话：0514-829800</w:t>
            </w:r>
            <w:r>
              <w:rPr>
                <w:rFonts w:hint="eastAsia" w:ascii="宋体" w:hAnsi="宋体"/>
                <w:color w:val="auto"/>
                <w:szCs w:val="21"/>
                <w:lang w:val="en-US" w:eastAsia="zh-CN"/>
              </w:rPr>
              <w:t>68</w:t>
            </w:r>
          </w:p>
          <w:p>
            <w:pPr>
              <w:adjustRightInd w:val="0"/>
              <w:spacing w:line="360" w:lineRule="auto"/>
              <w:rPr>
                <w:rFonts w:hint="default" w:ascii="宋体" w:hAnsi="宋体" w:eastAsia="宋体"/>
                <w:color w:val="auto"/>
                <w:szCs w:val="21"/>
                <w:lang w:val="en-US" w:eastAsia="zh-CN"/>
              </w:rPr>
            </w:pPr>
            <w:r>
              <w:rPr>
                <w:rFonts w:hint="eastAsia" w:ascii="宋体" w:hAnsi="宋体"/>
                <w:color w:val="auto"/>
                <w:szCs w:val="21"/>
              </w:rPr>
              <w:t xml:space="preserve">联系人： </w:t>
            </w:r>
            <w:r>
              <w:rPr>
                <w:rFonts w:hint="eastAsia" w:ascii="宋体" w:hAnsi="宋体"/>
                <w:color w:val="auto"/>
                <w:szCs w:val="21"/>
                <w:lang w:val="en-US" w:eastAsia="zh-CN"/>
              </w:rPr>
              <w:t>王海涛</w:t>
            </w:r>
          </w:p>
        </w:tc>
      </w:tr>
    </w:tbl>
    <w:p>
      <w:pPr>
        <w:autoSpaceDE w:val="0"/>
        <w:autoSpaceDN w:val="0"/>
        <w:adjustRightInd w:val="0"/>
        <w:snapToGrid w:val="0"/>
        <w:spacing w:line="480" w:lineRule="exact"/>
        <w:ind w:firstLine="561"/>
        <w:rPr>
          <w:rFonts w:ascii="宋体" w:hAnsi="宋体"/>
          <w:color w:val="auto"/>
          <w:szCs w:val="21"/>
        </w:rPr>
      </w:pPr>
    </w:p>
    <w:p>
      <w:pPr>
        <w:autoSpaceDE w:val="0"/>
        <w:autoSpaceDN w:val="0"/>
        <w:adjustRightInd w:val="0"/>
        <w:snapToGrid w:val="0"/>
        <w:spacing w:line="480" w:lineRule="exact"/>
        <w:ind w:firstLine="561"/>
        <w:rPr>
          <w:rFonts w:ascii="宋体" w:hAnsi="宋体"/>
          <w:color w:val="auto"/>
          <w:szCs w:val="21"/>
        </w:rPr>
      </w:pPr>
    </w:p>
    <w:p>
      <w:pPr>
        <w:autoSpaceDE w:val="0"/>
        <w:autoSpaceDN w:val="0"/>
        <w:adjustRightInd w:val="0"/>
        <w:snapToGrid w:val="0"/>
        <w:spacing w:line="480" w:lineRule="exact"/>
        <w:ind w:firstLine="561"/>
        <w:rPr>
          <w:rFonts w:ascii="宋体" w:hAnsi="宋体"/>
          <w:b/>
          <w:color w:val="auto"/>
          <w:szCs w:val="21"/>
        </w:rPr>
      </w:pPr>
      <w:r>
        <w:rPr>
          <w:rFonts w:hint="eastAsia" w:ascii="宋体" w:hAnsi="宋体"/>
          <w:b/>
          <w:color w:val="auto"/>
          <w:szCs w:val="21"/>
        </w:rPr>
        <w:t>一、总    则</w:t>
      </w:r>
    </w:p>
    <w:p>
      <w:pPr>
        <w:autoSpaceDE w:val="0"/>
        <w:autoSpaceDN w:val="0"/>
        <w:adjustRightInd w:val="0"/>
        <w:snapToGrid w:val="0"/>
        <w:spacing w:line="480" w:lineRule="exact"/>
        <w:ind w:firstLine="561"/>
        <w:rPr>
          <w:rFonts w:ascii="宋体" w:hAnsi="宋体"/>
          <w:b/>
          <w:color w:val="auto"/>
          <w:szCs w:val="21"/>
        </w:rPr>
      </w:pPr>
      <w:r>
        <w:rPr>
          <w:rFonts w:hint="eastAsia" w:ascii="宋体" w:hAnsi="宋体"/>
          <w:b/>
          <w:color w:val="auto"/>
          <w:szCs w:val="21"/>
        </w:rPr>
        <w:t>1、招标项目概况</w:t>
      </w:r>
    </w:p>
    <w:p>
      <w:pPr>
        <w:spacing w:line="500" w:lineRule="exact"/>
        <w:ind w:firstLine="525" w:firstLineChars="250"/>
        <w:rPr>
          <w:rFonts w:ascii="宋体" w:hAnsi="宋体"/>
          <w:color w:val="auto"/>
          <w:szCs w:val="21"/>
        </w:rPr>
      </w:pPr>
      <w:r>
        <w:rPr>
          <w:rFonts w:hint="eastAsia" w:ascii="宋体" w:hAnsi="宋体"/>
          <w:color w:val="auto"/>
          <w:szCs w:val="21"/>
        </w:rPr>
        <w:t>1.1 我公司江苏长江水务股份有限公司一水厂原模拟监控系统更新为网络高清视频监控系统整体改造。本招标项目已具备招标条件，现对本项目进行招标。</w:t>
      </w:r>
    </w:p>
    <w:p>
      <w:pPr>
        <w:spacing w:line="500" w:lineRule="exact"/>
        <w:ind w:firstLine="420" w:firstLineChars="200"/>
        <w:rPr>
          <w:color w:val="auto"/>
          <w:szCs w:val="21"/>
        </w:rPr>
      </w:pPr>
      <w:r>
        <w:rPr>
          <w:rFonts w:hint="eastAsia" w:ascii="宋体" w:hAnsi="宋体"/>
          <w:color w:val="auto"/>
          <w:szCs w:val="21"/>
        </w:rPr>
        <w:t>1.2 本工程招标控制价为人民币：</w:t>
      </w:r>
      <w:r>
        <w:rPr>
          <w:rFonts w:hint="eastAsia" w:ascii="宋体" w:hAnsi="宋体"/>
          <w:color w:val="auto"/>
          <w:szCs w:val="21"/>
          <w:u w:val="single"/>
          <w:lang w:val="en-US" w:eastAsia="zh-CN"/>
        </w:rPr>
        <w:t>柒拾万</w:t>
      </w:r>
      <w:r>
        <w:rPr>
          <w:rFonts w:hint="eastAsia" w:ascii="宋体" w:hAnsi="宋体"/>
          <w:color w:val="auto"/>
          <w:szCs w:val="21"/>
          <w:u w:val="single"/>
        </w:rPr>
        <w:t>元整</w:t>
      </w:r>
      <w:r>
        <w:rPr>
          <w:rFonts w:hint="eastAsia" w:ascii="宋体" w:hAnsi="宋体"/>
          <w:color w:val="auto"/>
          <w:szCs w:val="21"/>
        </w:rPr>
        <w:t>（￥：</w:t>
      </w:r>
      <w:r>
        <w:rPr>
          <w:rFonts w:hint="eastAsia" w:ascii="宋体" w:hAnsi="宋体"/>
          <w:color w:val="auto"/>
          <w:szCs w:val="21"/>
          <w:lang w:val="en-US" w:eastAsia="zh-CN"/>
        </w:rPr>
        <w:t>700000</w:t>
      </w:r>
      <w:r>
        <w:rPr>
          <w:rFonts w:hint="eastAsia" w:ascii="宋体" w:hAnsi="宋体"/>
          <w:color w:val="auto"/>
          <w:szCs w:val="21"/>
        </w:rPr>
        <w:t>元）。</w:t>
      </w:r>
      <w:r>
        <w:rPr>
          <w:rFonts w:hint="eastAsia"/>
          <w:color w:val="auto"/>
          <w:szCs w:val="21"/>
        </w:rPr>
        <w:t>最后报价超过</w:t>
      </w:r>
      <w:r>
        <w:rPr>
          <w:rFonts w:hint="eastAsia"/>
          <w:color w:val="auto"/>
          <w:szCs w:val="21"/>
          <w:lang w:val="en-US" w:eastAsia="zh-CN"/>
        </w:rPr>
        <w:t>+</w:t>
      </w:r>
      <w:bookmarkStart w:id="2" w:name="_GoBack"/>
      <w:bookmarkEnd w:id="2"/>
      <w:r>
        <w:rPr>
          <w:rFonts w:hint="eastAsia"/>
          <w:color w:val="auto"/>
          <w:szCs w:val="21"/>
        </w:rPr>
        <w:t>招标控制价的为无效报价，按照无效响应处理。</w:t>
      </w:r>
    </w:p>
    <w:p>
      <w:pPr>
        <w:autoSpaceDE w:val="0"/>
        <w:autoSpaceDN w:val="0"/>
        <w:adjustRightInd w:val="0"/>
        <w:snapToGrid w:val="0"/>
        <w:spacing w:line="480" w:lineRule="exact"/>
        <w:ind w:firstLine="561"/>
        <w:rPr>
          <w:rFonts w:ascii="宋体" w:hAnsi="宋体"/>
          <w:b/>
          <w:color w:val="auto"/>
          <w:szCs w:val="21"/>
        </w:rPr>
      </w:pPr>
      <w:r>
        <w:rPr>
          <w:rFonts w:hint="eastAsia" w:ascii="宋体" w:hAnsi="宋体"/>
          <w:b/>
          <w:color w:val="auto"/>
          <w:szCs w:val="21"/>
        </w:rPr>
        <w:t>2、投标费用</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2.1投标人应承担其编制投标文件与递交投标文件所涉及的一切费用。不管投标结果如何，招标人对上述费用不负任何责任。</w:t>
      </w:r>
    </w:p>
    <w:p>
      <w:pPr>
        <w:autoSpaceDE w:val="0"/>
        <w:autoSpaceDN w:val="0"/>
        <w:adjustRightInd w:val="0"/>
        <w:snapToGrid w:val="0"/>
        <w:spacing w:line="480" w:lineRule="exact"/>
        <w:ind w:firstLine="561"/>
        <w:rPr>
          <w:rFonts w:ascii="宋体" w:hAnsi="宋体"/>
          <w:b/>
          <w:color w:val="auto"/>
          <w:szCs w:val="21"/>
        </w:rPr>
      </w:pPr>
      <w:r>
        <w:rPr>
          <w:rFonts w:hint="eastAsia" w:ascii="宋体" w:hAnsi="宋体"/>
          <w:b/>
          <w:color w:val="auto"/>
          <w:szCs w:val="21"/>
        </w:rPr>
        <w:t>3、保密</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参与招标投标活动的各方应对招标文件和投标文件中的商业和技术等秘密保密，违者应对由此造成的后果承担法律责任。</w:t>
      </w:r>
    </w:p>
    <w:p>
      <w:pPr>
        <w:autoSpaceDE w:val="0"/>
        <w:autoSpaceDN w:val="0"/>
        <w:adjustRightInd w:val="0"/>
        <w:snapToGrid w:val="0"/>
        <w:spacing w:line="480" w:lineRule="exact"/>
        <w:ind w:firstLine="561"/>
        <w:rPr>
          <w:rFonts w:ascii="宋体" w:hAnsi="宋体"/>
          <w:b/>
          <w:color w:val="auto"/>
          <w:szCs w:val="21"/>
        </w:rPr>
      </w:pPr>
      <w:r>
        <w:rPr>
          <w:rFonts w:hint="eastAsia" w:ascii="宋体" w:hAnsi="宋体"/>
          <w:b/>
          <w:color w:val="auto"/>
          <w:szCs w:val="21"/>
        </w:rPr>
        <w:t>4、合格的投标人</w:t>
      </w:r>
    </w:p>
    <w:p>
      <w:pPr>
        <w:widowControl/>
        <w:shd w:val="clear" w:color="auto" w:fill="FFFFFF"/>
        <w:spacing w:line="360" w:lineRule="auto"/>
        <w:ind w:right="312" w:firstLine="525" w:firstLineChars="250"/>
        <w:rPr>
          <w:rFonts w:ascii="宋体" w:hAnsi="宋体"/>
          <w:color w:val="auto"/>
          <w:szCs w:val="21"/>
        </w:rPr>
      </w:pPr>
      <w:r>
        <w:rPr>
          <w:rFonts w:hint="eastAsia" w:ascii="宋体" w:hAnsi="宋体"/>
          <w:color w:val="auto"/>
          <w:szCs w:val="21"/>
        </w:rPr>
        <w:t>4.1 ★被授权人参加投标的须提供法定代表人授权委托书</w:t>
      </w:r>
      <w:r>
        <w:rPr>
          <w:rFonts w:hint="eastAsia" w:ascii="宋体" w:hAnsi="宋体"/>
          <w:b w:val="0"/>
          <w:bCs w:val="0"/>
          <w:color w:val="auto"/>
          <w:szCs w:val="21"/>
        </w:rPr>
        <w:t>原件</w:t>
      </w:r>
      <w:r>
        <w:rPr>
          <w:rFonts w:hint="eastAsia" w:ascii="宋体" w:hAnsi="宋体"/>
          <w:color w:val="auto"/>
          <w:szCs w:val="21"/>
        </w:rPr>
        <w:t>和被授权人身份证复印件；若法定代表人参加投标的只</w:t>
      </w:r>
      <w:r>
        <w:rPr>
          <w:rFonts w:hint="eastAsia" w:ascii="宋体" w:hAnsi="宋体"/>
          <w:color w:val="auto"/>
          <w:szCs w:val="21"/>
          <w:lang w:eastAsia="zh-CN"/>
        </w:rPr>
        <w:t>需</w:t>
      </w:r>
      <w:r>
        <w:rPr>
          <w:rFonts w:hint="eastAsia" w:ascii="宋体" w:hAnsi="宋体"/>
          <w:color w:val="auto"/>
          <w:szCs w:val="21"/>
        </w:rPr>
        <w:t>提供本人身份证复印件</w:t>
      </w:r>
    </w:p>
    <w:p>
      <w:pPr>
        <w:widowControl/>
        <w:shd w:val="clear" w:color="auto" w:fill="FFFFFF"/>
        <w:spacing w:line="360" w:lineRule="auto"/>
        <w:ind w:right="312" w:firstLine="525" w:firstLineChars="250"/>
        <w:rPr>
          <w:rFonts w:ascii="宋体" w:hAnsi="宋体"/>
          <w:b/>
          <w:bCs/>
          <w:color w:val="auto"/>
          <w:szCs w:val="21"/>
        </w:rPr>
      </w:pPr>
      <w:r>
        <w:rPr>
          <w:rFonts w:hint="eastAsia" w:ascii="宋体" w:hAnsi="宋体"/>
          <w:color w:val="auto"/>
          <w:szCs w:val="21"/>
        </w:rPr>
        <w:t>4.2 ★营业执照副本</w:t>
      </w:r>
      <w:r>
        <w:rPr>
          <w:rFonts w:hint="eastAsia" w:ascii="宋体" w:hAnsi="宋体"/>
          <w:b/>
          <w:bCs/>
          <w:color w:val="auto"/>
          <w:szCs w:val="21"/>
        </w:rPr>
        <w:t>(复印件加盖投标人公章)</w:t>
      </w:r>
    </w:p>
    <w:p>
      <w:pPr>
        <w:widowControl/>
        <w:shd w:val="clear" w:color="auto" w:fill="FFFFFF"/>
        <w:spacing w:line="360" w:lineRule="auto"/>
        <w:ind w:right="312" w:firstLine="525" w:firstLineChars="250"/>
        <w:rPr>
          <w:rFonts w:ascii="宋体" w:hAnsi="宋体"/>
          <w:color w:val="auto"/>
          <w:szCs w:val="21"/>
        </w:rPr>
      </w:pPr>
      <w:r>
        <w:rPr>
          <w:rFonts w:hint="eastAsia" w:ascii="宋体" w:hAnsi="宋体"/>
          <w:color w:val="auto"/>
          <w:szCs w:val="21"/>
        </w:rPr>
        <w:t>4.3 ★投标人具备</w:t>
      </w:r>
      <w:r>
        <w:rPr>
          <w:rFonts w:hint="eastAsia"/>
          <w:color w:val="auto"/>
        </w:rPr>
        <w:t>电子与智能化工程专业承包二级及以上资质</w:t>
      </w:r>
      <w:r>
        <w:rPr>
          <w:rFonts w:hint="eastAsia" w:ascii="宋体" w:hAnsi="宋体"/>
          <w:b/>
          <w:bCs/>
          <w:color w:val="auto"/>
          <w:szCs w:val="21"/>
        </w:rPr>
        <w:t>(复印件加盖投标人公章)</w:t>
      </w:r>
    </w:p>
    <w:p>
      <w:pPr>
        <w:widowControl/>
        <w:shd w:val="clear" w:color="auto" w:fill="FFFFFF"/>
        <w:spacing w:line="360" w:lineRule="auto"/>
        <w:ind w:right="312" w:firstLine="525" w:firstLineChars="250"/>
        <w:rPr>
          <w:rFonts w:ascii="宋体" w:hAnsi="宋体"/>
          <w:b/>
          <w:bCs/>
          <w:color w:val="auto"/>
          <w:szCs w:val="21"/>
        </w:rPr>
      </w:pPr>
      <w:r>
        <w:rPr>
          <w:rFonts w:hint="eastAsia" w:ascii="宋体" w:hAnsi="宋体"/>
          <w:color w:val="auto"/>
          <w:szCs w:val="21"/>
        </w:rPr>
        <w:t>4.4 ★拟派项目经理应具备相应资格证书，项目经理应持有安全生产考核合格证（B类）</w:t>
      </w:r>
      <w:r>
        <w:rPr>
          <w:rFonts w:hint="eastAsia" w:ascii="宋体" w:hAnsi="宋体"/>
          <w:b/>
          <w:bCs/>
          <w:color w:val="auto"/>
          <w:szCs w:val="21"/>
        </w:rPr>
        <w:t>(复印件加盖投标人公章)</w:t>
      </w:r>
    </w:p>
    <w:p>
      <w:pPr>
        <w:widowControl/>
        <w:shd w:val="clear" w:color="auto" w:fill="FFFFFF"/>
        <w:spacing w:line="360" w:lineRule="auto"/>
        <w:ind w:right="312" w:firstLine="525" w:firstLineChars="250"/>
        <w:rPr>
          <w:rFonts w:ascii="宋体" w:hAnsi="宋体"/>
          <w:b/>
          <w:bCs/>
          <w:color w:val="auto"/>
          <w:szCs w:val="21"/>
        </w:rPr>
      </w:pPr>
      <w:r>
        <w:rPr>
          <w:rFonts w:hint="eastAsia" w:ascii="宋体" w:hAnsi="宋体"/>
          <w:color w:val="auto"/>
          <w:szCs w:val="21"/>
        </w:rPr>
        <w:t>4.5 ★投标人2020-2021年近六个月内任意一份依法纳税的缴款凭证</w:t>
      </w:r>
      <w:r>
        <w:rPr>
          <w:rFonts w:hint="eastAsia" w:ascii="宋体" w:hAnsi="宋体"/>
          <w:b/>
          <w:bCs/>
          <w:color w:val="auto"/>
          <w:szCs w:val="21"/>
        </w:rPr>
        <w:t>(复印件加盖投标人公章)</w:t>
      </w:r>
    </w:p>
    <w:p>
      <w:pPr>
        <w:widowControl/>
        <w:shd w:val="clear" w:color="auto" w:fill="FFFFFF"/>
        <w:spacing w:line="360" w:lineRule="auto"/>
        <w:ind w:right="312" w:firstLine="525" w:firstLineChars="250"/>
        <w:rPr>
          <w:rFonts w:ascii="宋体" w:hAnsi="宋体"/>
          <w:color w:val="auto"/>
          <w:szCs w:val="21"/>
        </w:rPr>
      </w:pPr>
      <w:r>
        <w:rPr>
          <w:rFonts w:hint="eastAsia" w:ascii="宋体" w:hAnsi="宋体"/>
          <w:color w:val="auto"/>
          <w:szCs w:val="21"/>
        </w:rPr>
        <w:t>4.6  投标人认为需要提供的其他商务资料</w:t>
      </w:r>
      <w:r>
        <w:rPr>
          <w:rFonts w:hint="eastAsia"/>
          <w:color w:val="auto"/>
          <w:szCs w:val="21"/>
        </w:rPr>
        <w:t xml:space="preserve">                       </w:t>
      </w:r>
    </w:p>
    <w:p>
      <w:pPr>
        <w:autoSpaceDE w:val="0"/>
        <w:autoSpaceDN w:val="0"/>
        <w:adjustRightInd w:val="0"/>
        <w:snapToGrid w:val="0"/>
        <w:spacing w:line="480" w:lineRule="exact"/>
        <w:ind w:left="561"/>
        <w:rPr>
          <w:rFonts w:ascii="宋体" w:hAnsi="宋体"/>
          <w:b/>
          <w:bCs/>
          <w:color w:val="auto"/>
          <w:szCs w:val="21"/>
        </w:rPr>
      </w:pPr>
      <w:r>
        <w:rPr>
          <w:rFonts w:hint="eastAsia" w:ascii="宋体" w:hAnsi="宋体"/>
          <w:b/>
          <w:bCs/>
          <w:color w:val="auto"/>
          <w:szCs w:val="21"/>
        </w:rPr>
        <w:t>二、投标须知：</w:t>
      </w:r>
    </w:p>
    <w:p>
      <w:pPr>
        <w:widowControl/>
        <w:shd w:val="clear" w:color="auto" w:fill="FFFFFF"/>
        <w:spacing w:line="360" w:lineRule="auto"/>
        <w:ind w:firstLine="420"/>
        <w:rPr>
          <w:bCs/>
          <w:color w:val="auto"/>
          <w:szCs w:val="21"/>
        </w:rPr>
      </w:pPr>
      <w:r>
        <w:rPr>
          <w:rFonts w:hint="eastAsia" w:ascii="宋体" w:hAnsi="宋体"/>
          <w:bCs/>
          <w:color w:val="auto"/>
          <w:szCs w:val="21"/>
        </w:rPr>
        <w:t>1、</w:t>
      </w:r>
      <w:r>
        <w:rPr>
          <w:rFonts w:hint="eastAsia"/>
          <w:bCs/>
          <w:color w:val="auto"/>
          <w:szCs w:val="21"/>
        </w:rPr>
        <w:t>投标单位应根据附件格式分项单位报价。</w:t>
      </w:r>
    </w:p>
    <w:p>
      <w:pPr>
        <w:widowControl/>
        <w:shd w:val="clear" w:color="auto" w:fill="FFFFFF"/>
        <w:spacing w:line="360" w:lineRule="auto"/>
        <w:ind w:firstLine="420"/>
        <w:rPr>
          <w:rFonts w:ascii="宋体" w:hAnsi="宋体" w:cs="宋体"/>
          <w:color w:val="auto"/>
          <w:szCs w:val="21"/>
        </w:rPr>
      </w:pPr>
      <w:r>
        <w:rPr>
          <w:rFonts w:hint="eastAsia"/>
          <w:bCs/>
          <w:color w:val="auto"/>
          <w:szCs w:val="21"/>
        </w:rPr>
        <w:t>1.1投标方将自行现场查勘，发标方将予以配合，</w:t>
      </w:r>
      <w:r>
        <w:rPr>
          <w:rFonts w:hint="eastAsia" w:ascii="宋体" w:hAnsi="宋体" w:cs="宋体"/>
          <w:color w:val="auto"/>
          <w:szCs w:val="21"/>
        </w:rPr>
        <w:t>各投标单位</w:t>
      </w:r>
      <w:r>
        <w:rPr>
          <w:rFonts w:hint="eastAsia" w:ascii="宋体" w:hAnsi="宋体" w:cs="宋体"/>
          <w:color w:val="auto"/>
          <w:szCs w:val="21"/>
          <w:lang w:eastAsia="zh-CN"/>
        </w:rPr>
        <w:t>须</w:t>
      </w:r>
      <w:r>
        <w:rPr>
          <w:rFonts w:hint="eastAsia" w:ascii="宋体" w:hAnsi="宋体" w:cs="宋体"/>
          <w:color w:val="auto"/>
          <w:szCs w:val="21"/>
        </w:rPr>
        <w:t>对项目现场和周围环境进行仔细认真查勘，充分了解本项目具体工作内容，否则自行承担因了解不充分而影响报价准确性的风险。</w:t>
      </w:r>
    </w:p>
    <w:p>
      <w:pPr>
        <w:widowControl/>
        <w:shd w:val="clear" w:color="auto" w:fill="FFFFFF"/>
        <w:spacing w:line="360" w:lineRule="auto"/>
        <w:ind w:firstLine="420"/>
        <w:rPr>
          <w:rFonts w:hint="default" w:ascii="宋体" w:hAnsi="宋体" w:eastAsia="宋体" w:cs="宋体"/>
          <w:color w:val="auto"/>
          <w:szCs w:val="21"/>
          <w:lang w:val="en-US" w:eastAsia="zh-CN"/>
        </w:rPr>
      </w:pPr>
      <w:r>
        <w:rPr>
          <w:rFonts w:hint="eastAsia" w:ascii="宋体" w:hAnsi="宋体" w:cs="宋体"/>
          <w:color w:val="auto"/>
          <w:szCs w:val="21"/>
        </w:rPr>
        <w:t xml:space="preserve">现场勘察联系人：高俊      联系号码： </w:t>
      </w:r>
      <w:r>
        <w:rPr>
          <w:rFonts w:hint="eastAsia" w:ascii="宋体" w:hAnsi="宋体" w:cs="宋体"/>
          <w:color w:val="auto"/>
          <w:szCs w:val="21"/>
          <w:lang w:val="en-US" w:eastAsia="zh-CN"/>
        </w:rPr>
        <w:t>18952758850</w:t>
      </w:r>
    </w:p>
    <w:p>
      <w:pPr>
        <w:widowControl/>
        <w:shd w:val="clear" w:color="auto" w:fill="FFFFFF"/>
        <w:spacing w:line="360" w:lineRule="auto"/>
        <w:rPr>
          <w:rFonts w:ascii="宋体" w:hAnsi="宋体" w:cs="宋体"/>
          <w:color w:val="auto"/>
          <w:szCs w:val="21"/>
        </w:rPr>
      </w:pPr>
      <w:r>
        <w:rPr>
          <w:rFonts w:hint="eastAsia" w:ascii="宋体" w:hAnsi="宋体" w:cs="宋体"/>
          <w:color w:val="auto"/>
          <w:szCs w:val="21"/>
        </w:rPr>
        <w:t>1.2 其中主要视频设备须采用</w:t>
      </w:r>
      <w:r>
        <w:rPr>
          <w:rFonts w:hint="eastAsia" w:ascii="宋体" w:hAnsi="宋体" w:cs="宋体"/>
          <w:color w:val="auto"/>
          <w:szCs w:val="21"/>
          <w:lang w:eastAsia="zh-CN"/>
        </w:rPr>
        <w:t>优质</w:t>
      </w:r>
      <w:r>
        <w:rPr>
          <w:rFonts w:hint="eastAsia" w:ascii="宋体" w:hAnsi="宋体" w:cs="宋体"/>
          <w:color w:val="auto"/>
          <w:szCs w:val="21"/>
        </w:rPr>
        <w:t>品牌设备，投标文件中须</w:t>
      </w:r>
      <w:r>
        <w:rPr>
          <w:rFonts w:hint="eastAsia" w:ascii="宋体" w:hAnsi="宋体" w:cs="宋体"/>
          <w:b w:val="0"/>
          <w:bCs w:val="0"/>
          <w:color w:val="auto"/>
          <w:szCs w:val="21"/>
        </w:rPr>
        <w:t>提供</w:t>
      </w:r>
      <w:r>
        <w:rPr>
          <w:rFonts w:hint="eastAsia" w:ascii="宋体" w:hAnsi="宋体" w:cs="宋体"/>
          <w:b w:val="0"/>
          <w:bCs w:val="0"/>
          <w:color w:val="auto"/>
          <w:szCs w:val="21"/>
          <w:lang w:eastAsia="zh-CN"/>
        </w:rPr>
        <w:t>所投标产品的</w:t>
      </w:r>
      <w:r>
        <w:rPr>
          <w:rFonts w:hint="eastAsia" w:ascii="宋体" w:hAnsi="宋体" w:cs="宋体"/>
          <w:b w:val="0"/>
          <w:bCs w:val="0"/>
          <w:color w:val="auto"/>
          <w:szCs w:val="21"/>
        </w:rPr>
        <w:t>厂家授权使用原件（盖厂家红章）。</w:t>
      </w:r>
      <w:r>
        <w:rPr>
          <w:rFonts w:hint="eastAsia" w:ascii="宋体" w:hAnsi="宋体" w:cs="宋体"/>
          <w:b/>
          <w:bCs/>
          <w:color w:val="auto"/>
          <w:szCs w:val="21"/>
        </w:rPr>
        <w:t xml:space="preserve"> </w:t>
      </w:r>
    </w:p>
    <w:p>
      <w:pPr>
        <w:widowControl/>
        <w:shd w:val="clear" w:color="auto" w:fill="FFFFFF"/>
        <w:spacing w:line="360" w:lineRule="auto"/>
        <w:ind w:firstLine="420"/>
        <w:rPr>
          <w:rFonts w:asciiTheme="minorEastAsia" w:hAnsiTheme="minorEastAsia" w:eastAsiaTheme="minorEastAsia"/>
          <w:bCs/>
          <w:color w:val="auto"/>
          <w:szCs w:val="21"/>
        </w:rPr>
      </w:pPr>
      <w:r>
        <w:rPr>
          <w:rFonts w:hint="eastAsia" w:asciiTheme="minorEastAsia" w:hAnsiTheme="minorEastAsia" w:eastAsiaTheme="minorEastAsia"/>
          <w:color w:val="auto"/>
          <w:szCs w:val="21"/>
        </w:rPr>
        <w:t>1.</w:t>
      </w:r>
      <w:r>
        <w:rPr>
          <w:rFonts w:hint="eastAsia" w:asciiTheme="minorEastAsia" w:hAnsiTheme="minorEastAsia" w:eastAsiaTheme="minorEastAsia"/>
          <w:bCs/>
          <w:color w:val="auto"/>
          <w:szCs w:val="21"/>
        </w:rPr>
        <w:t>3网络摄像机的技术要求</w:t>
      </w:r>
    </w:p>
    <w:p>
      <w:pPr>
        <w:widowControl/>
        <w:shd w:val="clear" w:color="auto" w:fill="FFFFFF"/>
        <w:ind w:firstLine="420"/>
        <w:rPr>
          <w:rFonts w:asciiTheme="minorEastAsia" w:hAnsiTheme="minorEastAsia" w:eastAsiaTheme="minorEastAsia"/>
          <w:b/>
          <w:color w:val="auto"/>
          <w:szCs w:val="21"/>
        </w:rPr>
      </w:pPr>
      <w:r>
        <w:rPr>
          <w:rFonts w:hint="eastAsia" w:asciiTheme="minorEastAsia" w:hAnsiTheme="minorEastAsia" w:eastAsiaTheme="minorEastAsia"/>
          <w:b/>
          <w:color w:val="auto"/>
          <w:szCs w:val="21"/>
        </w:rPr>
        <w:t>1）、400万像素</w:t>
      </w:r>
      <w:r>
        <w:rPr>
          <w:rFonts w:asciiTheme="minorEastAsia" w:hAnsiTheme="minorEastAsia" w:eastAsiaTheme="minorEastAsia"/>
          <w:b/>
          <w:color w:val="auto"/>
          <w:szCs w:val="21"/>
        </w:rPr>
        <w:t>日夜型</w:t>
      </w:r>
      <w:r>
        <w:rPr>
          <w:rFonts w:hint="eastAsia" w:asciiTheme="minorEastAsia" w:hAnsiTheme="minorEastAsia" w:eastAsiaTheme="minorEastAsia"/>
          <w:b/>
          <w:color w:val="auto"/>
          <w:szCs w:val="21"/>
        </w:rPr>
        <w:t>筒型网络高清摄像机（枪机）</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最低照度: 彩色：0.005 Lux @（F1.2，AGC ON），0 Lux with IR</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宽动态: 120 dB</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 xml:space="preserve">焦距&amp;视场角: </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2.8 mm，水平视场角：98.2°，垂直视场角：54.6°，对角线视场角：115.2°</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 xml:space="preserve">4 mm，水平视场角：79°，垂直视场角：42.4°，对角线视场角：93.3° </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 xml:space="preserve">6 mm，水平视场角：49.1°，垂直视场角：26.3°，对角线视场角：57.2° </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 xml:space="preserve">8 mm，水平视场角：37.5°，垂直视场角：20.7°，对角线视场角：43.3° </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12 mm，水平视场角：23.4°，垂直视场角：12.3°，对角线视场角：26.8°</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红外距离: 最远可达30 m</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最大图像尺寸: 2560 × 1440</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视频压缩标准: 主码流：H.265/H.264</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网络存储: 支持NAS（NFS，SMB/CIFS均支持）</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网络: 1个RJ45 10M / 100M 自适应以太网口</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音频: 1个内置麦克风</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产品尺寸: 186.6 × 93.5 × 92.9 mm</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包装尺寸: 235 × 120 × 125 mm</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设备重量: 660 g</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带包装重量: 880 g</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启动和工作温湿度: -30 ℃~60 ℃，湿度小于95%（无凝结）</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电流及功耗: DC：12 V，0.33 A，最大功耗：4.0 W; PoE：802.3af，36 V~57 V，0.18 A~0.11 A，最大功耗：6.5 W</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供电方式: DC：12 V ± 25%; PoE：802.3af</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电源接口类型: Ø5.5 mm圆口</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防护: IP66</w:t>
      </w:r>
    </w:p>
    <w:p>
      <w:pPr>
        <w:widowControl/>
        <w:shd w:val="clear" w:color="auto" w:fill="FFFFFF"/>
        <w:spacing w:line="360" w:lineRule="auto"/>
        <w:ind w:firstLine="420"/>
        <w:rPr>
          <w:rFonts w:asciiTheme="minorEastAsia" w:hAnsiTheme="minorEastAsia" w:eastAsiaTheme="minorEastAsia"/>
          <w:b/>
          <w:color w:val="auto"/>
          <w:szCs w:val="21"/>
        </w:rPr>
      </w:pPr>
    </w:p>
    <w:p>
      <w:pPr>
        <w:widowControl/>
        <w:shd w:val="clear" w:color="auto" w:fill="FFFFFF"/>
        <w:spacing w:line="360" w:lineRule="auto"/>
        <w:ind w:firstLine="420"/>
        <w:rPr>
          <w:rFonts w:asciiTheme="minorEastAsia" w:hAnsiTheme="minorEastAsia" w:eastAsiaTheme="minorEastAsia"/>
          <w:b/>
          <w:color w:val="auto"/>
          <w:szCs w:val="21"/>
        </w:rPr>
      </w:pPr>
      <w:r>
        <w:rPr>
          <w:rFonts w:hint="eastAsia" w:asciiTheme="minorEastAsia" w:hAnsiTheme="minorEastAsia" w:eastAsiaTheme="minorEastAsia"/>
          <w:b/>
          <w:color w:val="auto"/>
          <w:szCs w:val="21"/>
        </w:rPr>
        <w:t>2）、400万像素网络红外球型摄像机</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★视频输出支持2560×1440@25fps，分辨力不小于1400TVL，红外距离可达300米（以公安部检验报告为准）</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支持23倍光学变焦</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★支持最低照度可达彩色0.0002Lux，黑白0.0001Lux（以公安部检验报告为准）</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★支持水平手控速度不小于550°/S，垂直速度不小于120°/S，云台定位精度为±0.1°（以公安部检验报告为准）</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水平旋转范围为360°连续旋转，垂直旋转范围为-20°~90°</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支持300个预置位，可按照所设置的预置位完成不小于8条巡航路径，支持不小于4条模式路径设置，支持预置位视频冻结功能；可实现RS485接口优先或RJ45网络接口优先控制功能</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样机可对设定区域内的运动目标在设定时间内持续跟踪，使该目标处于主视频图像中，样机可自动调节变倍，可对该目标抓拍图片并可手动切换跟踪目标</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★信噪比≥63dB，网络延时不大于100ms（以公安部检验报告为准）</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★动态范围不小于106dB，照度适应范围不小于138dB，宽动态能力综合得分不小于135（以公安部检验报告为准）</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★样机与客户端之间用300m五类非屏蔽网线直接连接，网络传输能力满足发送1500个数据包，重复测试3次，每次丢包数不大于1个（以公安部检验报告为准）</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★具备较强的网络自适应能力，在丢包率为20%的网络环境下，仍可正常显示监视画面。（以公安部检验报告为准）</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支持智能红外、透雾、强光抑制、电子防抖、数字降噪、防红外过曝功能</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支持区域遮盖功能，支持设置不少于24个不规则四边形区域，可设置不同颜色；支持3D定位、断电记忆功能；支持IP地址访问控制功能，支持定时抓图或报警联动抓图上传ftp功能</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★球机应具备本机存储功能，支持SD卡热插拔，最大支持512GB（以公安部检验报告为准）</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支持采用H.265、H.264视频编码标准，H.264编码支持Baseline/Main/High Profile，音频编码支持G.711ulaw/G.711alaw/G.726/G.722.1</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支持三码流同时输出，主码流、第三码流同时支持2560×1440@30fps，2048×1536@30fps</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支持GB28181协议，支持标准Onvif协议</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支持区域入侵、越界入侵、徘徊、物品移除、物品遗留、人员聚集、停车，并联动报警</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具备较好的防护性能环境适应性，支持IP67，8kV防浪涌，工作温度范围可达-45℃-70℃</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★具备较好的电源适应性，电压在AC24V±30%或DC24V±30%范围内变化时，设备可正常工作（以公安部检验报告为准）</w:t>
      </w:r>
    </w:p>
    <w:p>
      <w:pPr>
        <w:widowControl/>
        <w:shd w:val="clear" w:color="auto" w:fill="FFFFFF"/>
        <w:ind w:firstLine="420"/>
        <w:rPr>
          <w:rFonts w:asciiTheme="minorEastAsia" w:hAnsiTheme="minorEastAsia" w:eastAsiaTheme="minorEastAsia"/>
          <w:bCs/>
          <w:color w:val="auto"/>
          <w:szCs w:val="21"/>
        </w:rPr>
      </w:pPr>
      <w:r>
        <w:rPr>
          <w:rFonts w:asciiTheme="minorEastAsia" w:hAnsiTheme="minorEastAsia" w:eastAsiaTheme="minorEastAsia"/>
          <w:bCs/>
          <w:color w:val="auto"/>
          <w:szCs w:val="21"/>
        </w:rPr>
        <w:t>支持区域入侵侦测，越界侦测，进入区域侦测和离开区域侦等智能侦测并联动跟踪</w:t>
      </w:r>
    </w:p>
    <w:p>
      <w:pPr>
        <w:widowControl/>
        <w:shd w:val="clear" w:color="auto" w:fill="FFFFFF"/>
        <w:spacing w:line="360" w:lineRule="auto"/>
        <w:ind w:firstLine="420"/>
        <w:rPr>
          <w:rFonts w:asciiTheme="minorEastAsia" w:hAnsiTheme="minorEastAsia" w:eastAsiaTheme="minorEastAsia"/>
          <w:bCs/>
          <w:color w:val="auto"/>
          <w:szCs w:val="21"/>
        </w:rPr>
      </w:pPr>
    </w:p>
    <w:p>
      <w:pPr>
        <w:widowControl/>
        <w:shd w:val="clear" w:color="auto" w:fill="FFFFFF"/>
        <w:spacing w:line="360" w:lineRule="auto"/>
        <w:ind w:firstLine="420"/>
        <w:rPr>
          <w:rFonts w:asciiTheme="minorEastAsia" w:hAnsiTheme="minorEastAsia" w:eastAsiaTheme="minorEastAsia"/>
          <w:b/>
          <w:color w:val="auto"/>
          <w:szCs w:val="21"/>
        </w:rPr>
      </w:pPr>
      <w:r>
        <w:rPr>
          <w:rFonts w:hint="eastAsia" w:asciiTheme="minorEastAsia" w:hAnsiTheme="minorEastAsia" w:eastAsiaTheme="minorEastAsia"/>
          <w:b/>
          <w:color w:val="auto"/>
          <w:szCs w:val="21"/>
        </w:rPr>
        <w:t>3）、400万像素防爆筒型网络高清摄像机</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具有400万像素CMOS传感器。</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具有不小于1/3"靶面尺寸。（公安部型式检验报告证明）</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需具有最高2560x1440@25fps编码能力。（公安部型式检验报告证明）</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红外距离不小于50米</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水平分辨力不小于1000TVL。（（公安部型式检验报告证明）</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图像几何位置失真需≤5%。（公安部型式检验报告证明）</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图像延时需不大于242ms。（ （公安部型式检验报告证明）</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最低照度彩色：0.008lx，黑白:0.0002lx，亮度等级不小于11级。（公安部型式检验报告证明）</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需具有数字降噪、移动侦测、背光补偿、区域遮盖、感兴趣区域、图片叠加、数字水印、走廊模式、故障报警等功能。（公安部型式检验报告证明）</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需具有1个以太网接口。（公安部型式检验报告证明）</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需支持AV220V与POE供电，且能在AC110V~AC240V范围内变化时可以正常工作。（公安部型式检验报告证明）</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摄像机能够在-30~60摄氏度环境下稳定工作。（公安部型式检验报告证明）</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需支持智能红外功能，红外灯开启时，可根据被摄物的距离自动调节红外光功率密度。（公安部型式检验报告证明）</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具有抗丢包（10%）处理能力。（公安部型式检验报告证明）</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当使用一个账户登录，密码输入错误达到5次时，该账户会被锁定一段时间。（公安部型式检验报告证明）</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设置密码时，需可以自动提示密码复杂度为高、中、低。（公安部型式检验报告证明）</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★防爆标志：ExdⅡCT6Gb/ExtDA21IP68T80℃（以防爆合格证为准）</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★产品需同时提供防爆合格证、公安部型式检验报告、ATEX，IECEx</w:t>
      </w:r>
    </w:p>
    <w:p>
      <w:pPr>
        <w:widowControl/>
        <w:shd w:val="clear" w:color="auto" w:fill="FFFFFF"/>
        <w:spacing w:line="360" w:lineRule="auto"/>
        <w:rPr>
          <w:rFonts w:asciiTheme="minorEastAsia" w:hAnsiTheme="minorEastAsia" w:eastAsiaTheme="minorEastAsia"/>
          <w:bCs/>
          <w:color w:val="auto"/>
          <w:szCs w:val="21"/>
        </w:rPr>
      </w:pPr>
    </w:p>
    <w:p>
      <w:pPr>
        <w:pStyle w:val="5"/>
        <w:numPr>
          <w:ilvl w:val="0"/>
          <w:numId w:val="0"/>
        </w:numPr>
        <w:rPr>
          <w:rFonts w:asciiTheme="minorEastAsia" w:hAnsiTheme="minorEastAsia" w:eastAsiaTheme="minorEastAsia"/>
          <w:b/>
          <w:bCs/>
          <w:color w:val="auto"/>
          <w:szCs w:val="21"/>
        </w:rPr>
      </w:pPr>
      <w:r>
        <w:rPr>
          <w:rFonts w:hint="eastAsia" w:asciiTheme="minorEastAsia" w:hAnsiTheme="minorEastAsia" w:eastAsiaTheme="minorEastAsia"/>
          <w:b/>
          <w:bCs/>
          <w:color w:val="auto"/>
          <w:szCs w:val="21"/>
        </w:rPr>
        <w:t>4）、智能警戒网络摄像机（星光级）：</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具有400万像素 CMOS传感器。</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★内置GPU芯片。（公安部检验报告证明）</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★内置麦克风和喇叭。（公安部检验报告证明）</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★内置红外与白光补光灯。（公安部检验报告证明）</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★支持白光报警功能，当报警产生时，可触发联动声音警报和白光闪烁。（公安部检验报告证明）</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最低照度彩色：0.001 lx，黑白:0.0001 lx，最大亮度鉴别等级（灰度等级）不小于11级。（公安部检验报告证明）</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红外补光距离不小于100米。（公安部检验报告证明）</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需支持双码流技术，主码流最高2560x1440@25fps，子码流640x480@25fps。（公安部检验报告证明）</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在2560x1440 @ 25fps下，清晰度不小于1400TVL。（公安部检验报告证明）</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支持H.264、H.265、MJPEG视频编码格式，其中H.264支持Baseline/Main/High Profile。（公安部检验报告证明）</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信噪比不小于62dB。（公安部检验报告证明）</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★支持声音报警功能，报警声音类型不小于10种，报警声级及报警次数可设置。（公安部检验报告证明）</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★需具备智能分析抗干扰功能，当篮球、小狗、树叶等非人或车辆目标经过检测区域时，不会触发报警。（公安部检验报告证明）</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不低于IP67防尘防水等级。（公安部检验报告证明）</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需支持DC12V供电，且在不小于DC12V±30%范围内变化时可以正常工作。（公安部检验报告证明）</w:t>
      </w:r>
    </w:p>
    <w:p>
      <w:pPr>
        <w:pStyle w:val="5"/>
        <w:numPr>
          <w:ilvl w:val="0"/>
          <w:numId w:val="0"/>
        </w:numPr>
        <w:rPr>
          <w:rFonts w:asciiTheme="minorEastAsia" w:hAnsiTheme="minorEastAsia" w:eastAsiaTheme="minorEastAsia"/>
          <w:b/>
          <w:bCs/>
          <w:color w:val="auto"/>
          <w:szCs w:val="21"/>
        </w:rPr>
      </w:pPr>
    </w:p>
    <w:p>
      <w:pPr>
        <w:pStyle w:val="5"/>
        <w:numPr>
          <w:ilvl w:val="0"/>
          <w:numId w:val="0"/>
        </w:numPr>
        <w:rPr>
          <w:rFonts w:asciiTheme="minorEastAsia" w:hAnsiTheme="minorEastAsia" w:eastAsiaTheme="minorEastAsia"/>
          <w:b/>
          <w:bCs/>
          <w:color w:val="auto"/>
          <w:szCs w:val="21"/>
        </w:rPr>
      </w:pPr>
      <w:r>
        <w:rPr>
          <w:rFonts w:hint="eastAsia" w:asciiTheme="minorEastAsia" w:hAnsiTheme="minorEastAsia" w:eastAsiaTheme="minorEastAsia"/>
          <w:b/>
          <w:bCs/>
          <w:color w:val="auto"/>
          <w:szCs w:val="21"/>
        </w:rPr>
        <w:t>5）、全彩全景枪球智能一体机：</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★内置2个镜头，可以输出两路视频图像，1路全景视频图像、1路细节视频图像（以公安部检验报告为准）</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★内置2颗GPU芯片（以公安部检验报告为准）</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视频输出支持2560×1440@25fps，分辨力不小于1400TVL，红外距离可达300米（以公安部检验报告为准）</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★对人或车辆进入警戒区域后，设备可发出白光警示、声音警示，并启动智能跟踪功能（以公安部检验报告为准）</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支持最低照度可达彩色0.0002Lux，黑白0.0001Lux（以公安部检验报告为准）</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支持水平手控速度不小于550°/S，垂直速度不小于120°/S，云台定位精度为±0.1°（以公安部检验报告为准）</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水平旋转范围为360°连续旋转，垂直旋转范围为-20°~90°</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★支持对镜头前盖玻璃加热，去除玻璃上的冰状和水状附着物。</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★需具备智能分析抗干扰功能，当篮球、小狗、树叶等非人或车辆目标经过检测区域时，不会触发报警。（公安部检验报告证明）</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★支持快捷配置功能，可在预览画面开启/关闭“快捷配置”页面，对曝光参数、OSD、智能资源分配模式等参数进行配置，并可一键恢复为默认设置。（公安部检验报告证明）</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★支持循环跟踪功能，当全景视频图像中有多个目标触发报警事件后，细节视频图像可联动对多个目标循环跟踪。（公安部检验报告证明）</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支持300个预置位，可按照所设置的预置位完成不小于8条巡航路径，支持不小于4条模式路径设置，支持预置位视频冻结功能；可实现RS485接口优先或RJ45网络接口优先控制功能（以公安部检验报告为准）</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支持智能红外、透雾、强光抑制、电子防抖、数字降噪、防红外过曝功能</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支持区域遮盖功能，支持设置不少于24个不规则四边形区域，可设置不同颜色</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★支持定位联动功能，在全景视频图像中点击或者框选任意区域后，细节视频图像可将该区域处于视频图像中央</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球机应具备本机存储功能，支持SD卡热插拔，最大支持256GB（以公安部检验报告为准）</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支持采用H.265、H.264视频编码标准，H.264编码支持Baseline/Main/High Profile，音频编码支持G.711ulaw/G.711alaw/G.726/G.722.1</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支持GB28181协议</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支持区域入侵、越界入侵、徘徊、物品移除、物品遗留、人员聚集、停车、快速移动，并联动报警</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具备较好的防护性能环境适应性，支持IP67，6kV防浪涌，工作温度范围可达-40℃-70℃</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具备较好的电源适应性，电压在DC36V±30%范围内变化时，设备可正常工作（以公安部检验报告为准）</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【支持声光警戒功能，全景4Mp红外4mm;细节4Mp红外23倍】</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支持深度学习算法，提供精准的人车分类侦测、报警、联动跟踪</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支持声光警戒：报警联动白光闪烁报警和声音报警，声音内容可选。</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支持同时检测5张人脸，支持对运动人脸进行检测、跟踪、抓拍、评分、筛选，输出最优的人脸抓图</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支持双路区域入侵侦测、越界侦测、进入区域侦测和离开区域侦测等智能侦测并联动跟踪</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内置加热玻璃，有效除雾</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传感器类型: 【全景】1/2.8" Progressive Scan CMOS,【细节】1/2.8＂ progressive scan CMOS</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 xml:space="preserve">最低照度: </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【细节】彩色：0.005 Lux @（F1.6，AGC ON）；黑白：0.00 1Lux @（F1.6，AGC ON），0 Lux with IR</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【全景】0.005 Lux @（F1.6，AGC ON），0 Lux with IR</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宽动态: 120dB超宽动态</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 xml:space="preserve">焦距: 【全景】4 mm；【细节】4.8 mm~110 mm，23倍光学变倍 </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 xml:space="preserve">视场角: 【全景】水平视场角：79°，垂直视场角：42.4°，【细节】水平视场角：55°~2.7°（广角~望远） </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水平范围: 360°</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垂直范围:</w:t>
      </w:r>
      <w:r>
        <w:rPr>
          <w:rFonts w:hint="eastAsia" w:asciiTheme="minorEastAsia" w:hAnsiTheme="minorEastAsia" w:eastAsiaTheme="minorEastAsia"/>
          <w:color w:val="auto"/>
          <w:szCs w:val="21"/>
        </w:rPr>
        <w:tab/>
      </w:r>
      <w:r>
        <w:rPr>
          <w:rFonts w:hint="eastAsia" w:asciiTheme="minorEastAsia" w:hAnsiTheme="minorEastAsia" w:eastAsiaTheme="minorEastAsia"/>
          <w:color w:val="auto"/>
          <w:szCs w:val="21"/>
        </w:rPr>
        <w:t>-15°-90°(自动翻转)</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水平速度:</w:t>
      </w:r>
      <w:r>
        <w:rPr>
          <w:rFonts w:hint="eastAsia" w:asciiTheme="minorEastAsia" w:hAnsiTheme="minorEastAsia" w:eastAsiaTheme="minorEastAsia"/>
          <w:color w:val="auto"/>
          <w:szCs w:val="21"/>
        </w:rPr>
        <w:tab/>
      </w:r>
      <w:r>
        <w:rPr>
          <w:rFonts w:hint="eastAsia" w:asciiTheme="minorEastAsia" w:hAnsiTheme="minorEastAsia" w:eastAsiaTheme="minorEastAsia"/>
          <w:color w:val="auto"/>
          <w:szCs w:val="21"/>
        </w:rPr>
        <w:t>水平键控速度：0.1°~160°/s，速度可设；水平预置点速度：240°/s</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垂直速度:</w:t>
      </w:r>
      <w:r>
        <w:rPr>
          <w:rFonts w:hint="eastAsia" w:asciiTheme="minorEastAsia" w:hAnsiTheme="minorEastAsia" w:eastAsiaTheme="minorEastAsia"/>
          <w:color w:val="auto"/>
          <w:szCs w:val="21"/>
        </w:rPr>
        <w:tab/>
      </w:r>
      <w:r>
        <w:rPr>
          <w:rFonts w:hint="eastAsia" w:asciiTheme="minorEastAsia" w:hAnsiTheme="minorEastAsia" w:eastAsiaTheme="minorEastAsia"/>
          <w:color w:val="auto"/>
          <w:szCs w:val="21"/>
        </w:rPr>
        <w:t>垂直键控速度：0.1°~120°/s，速度可设；垂直预置点速度：200°/s</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 xml:space="preserve">主码流帧率分辨率: </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【全景】50 Hz: 25 fps (2560 × 1440); 60 Hz: 30 fps (2560 × 1440)</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【细节】50 Hz: 25 fps (2560 × 1440); 60 Hz: 30 fps (2560 × 1440)</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视频压缩标准: H.265,H.264,MJPEG</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网络存储: NAS (NFS，SMB/ CIFS), ANR</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支持萤石接入</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网络接口: RJ45网口,自适应10M/100M网络数据</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SD卡扩展: 内置Micro SD卡插槽,支持Micro SD(即TF卡)/Micro SDHC/Micro SDXC卡,最大支持256G</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报警输入: 2路报警输入</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报警输出:</w:t>
      </w:r>
      <w:r>
        <w:rPr>
          <w:rFonts w:hint="eastAsia" w:asciiTheme="minorEastAsia" w:hAnsiTheme="minorEastAsia" w:eastAsiaTheme="minorEastAsia"/>
          <w:color w:val="auto"/>
          <w:szCs w:val="21"/>
        </w:rPr>
        <w:tab/>
      </w:r>
      <w:r>
        <w:rPr>
          <w:rFonts w:hint="eastAsia" w:asciiTheme="minorEastAsia" w:hAnsiTheme="minorEastAsia" w:eastAsiaTheme="minorEastAsia"/>
          <w:color w:val="auto"/>
          <w:szCs w:val="21"/>
        </w:rPr>
        <w:t>1路报警输出</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音频输入:</w:t>
      </w:r>
      <w:r>
        <w:rPr>
          <w:rFonts w:hint="eastAsia" w:asciiTheme="minorEastAsia" w:hAnsiTheme="minorEastAsia" w:eastAsiaTheme="minorEastAsia"/>
          <w:color w:val="auto"/>
          <w:szCs w:val="21"/>
        </w:rPr>
        <w:tab/>
      </w:r>
      <w:r>
        <w:rPr>
          <w:rFonts w:hint="eastAsia" w:asciiTheme="minorEastAsia" w:hAnsiTheme="minorEastAsia" w:eastAsiaTheme="minorEastAsia"/>
          <w:color w:val="auto"/>
          <w:szCs w:val="21"/>
        </w:rPr>
        <w:t>1路音频输入</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音频输出:</w:t>
      </w:r>
      <w:r>
        <w:rPr>
          <w:rFonts w:hint="eastAsia" w:asciiTheme="minorEastAsia" w:hAnsiTheme="minorEastAsia" w:eastAsiaTheme="minorEastAsia"/>
          <w:color w:val="auto"/>
          <w:szCs w:val="21"/>
        </w:rPr>
        <w:tab/>
      </w:r>
      <w:r>
        <w:rPr>
          <w:rFonts w:hint="eastAsia" w:asciiTheme="minorEastAsia" w:hAnsiTheme="minorEastAsia" w:eastAsiaTheme="minorEastAsia"/>
          <w:color w:val="auto"/>
          <w:szCs w:val="21"/>
        </w:rPr>
        <w:t>1路音频输出</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红外照射距离:</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【全景】30 m，</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【细节】150 m</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报警灯: 30 m</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供电方式: DC36V±25%</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设备功耗: 最大功耗：60 W</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工作温湿度: -30℃-65℃；湿度小于90%</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除雾: 加热玻璃除雾</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 xml:space="preserve">尺寸: Ø220 × 382.1 mm </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重量: 6Kg</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防护: IP66</w:t>
      </w:r>
    </w:p>
    <w:p>
      <w:pPr>
        <w:pStyle w:val="5"/>
        <w:numPr>
          <w:ilvl w:val="0"/>
          <w:numId w:val="0"/>
        </w:numPr>
        <w:rPr>
          <w:rFonts w:asciiTheme="minorEastAsia" w:hAnsiTheme="minorEastAsia" w:eastAsiaTheme="minorEastAsia"/>
          <w:b/>
          <w:bCs/>
          <w:color w:val="auto"/>
          <w:szCs w:val="21"/>
        </w:rPr>
      </w:pPr>
    </w:p>
    <w:p>
      <w:pPr>
        <w:numPr>
          <w:ilvl w:val="0"/>
          <w:numId w:val="3"/>
        </w:numPr>
        <w:rPr>
          <w:rFonts w:asciiTheme="minorEastAsia" w:hAnsiTheme="minorEastAsia" w:eastAsiaTheme="minorEastAsia"/>
          <w:b/>
          <w:bCs/>
          <w:color w:val="auto"/>
          <w:szCs w:val="21"/>
        </w:rPr>
      </w:pPr>
      <w:r>
        <w:rPr>
          <w:rFonts w:hint="eastAsia" w:asciiTheme="minorEastAsia" w:hAnsiTheme="minorEastAsia" w:eastAsiaTheme="minorEastAsia"/>
          <w:b/>
          <w:bCs/>
          <w:color w:val="auto"/>
          <w:szCs w:val="21"/>
        </w:rPr>
        <w:t>、热成像筒型摄像机</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支持1路音频输入，1路音频输出</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支持2路报警输入，2路报警输出</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支持1路音频输入，1路音频输出</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★外壳防护等级：IP67</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★电源电压在DC12V±20%范围内变化时，能正常工作</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★支持SD卡热拔插，最大支持512GBSD卡</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具有双向语音对讲和单向语音广播功能</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最低可用照度，0.01lx（彩色）；0.001lx（黑白）</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热成像图像尺寸（1920×1080、1280×720、704×576、640×512、384×288、352×288、320×240、256×192、160×120、120×90）</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主码流及子码流帧率：支持50帧/秒</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在IE浏览器下，可通过单IP同时浏览可见光和热成像视频</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★在35%的网络丢包环境中,可正常显示监视画面</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能进行黑白名单设置控制访问的IP地址和MAC地址</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★CPU、GPU占用超过预设值或内存可用容量低于预设值时,可通过客户端软件或IE浏览器给出报警信息</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在IE浏览器下，具有数字降噪设置</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具有支持图像细节增强功能、强光抑制</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★热成像视频图像支持白热、黑热、融合1、彩虹、融合2、铁红1、铁红2、深褐色、色彩1、色彩2、冰火、雨、红热、绿热、深蓝、聚变、琥珀、春夏秋冬18种模式</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在IE浏览器下，具有SVC设置选项</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点测温、线测温、区域测温中存在高于或者低于报警或预报警温度时，可在客户端显示不同的报警颜色进行报警提示，联动报警输出并发送邮件，联动录像及联动抓拍</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可对热成像视频图像监视画面上最高探测温度和最低探测温度的目标进行跟踪和标注</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可将热成像视频图像和可见光视频图像进行融合预览，并在可见光视频图像上相同比例位置处叠加热成像测温信息</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可通过IE浏览器设置温度信息的字体大小、及点、线、区域的颜色</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★噪声等效温差(NETD)在10mk及以下</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★最小可分辨温差≤200mk</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★具备热成像监控设备系统软件自主知识产权，提供软件著作权证书</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支持测温屏蔽区域设置功能，对设置的区域不进行测温</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★支持同时检测最多20张人脸并同步测温，框出人脸叠加实时人体测温数据</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★测温35℃的目标，在画面的中心及4个角落区域的测温一致性不超过±0.1℃</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★测温28.0℃～42.0℃的目标时，不搭配黑体使用误差不大于±0.5℃，搭配黑体使用时测温误差不大于±0.3℃</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设备支持高温报警功能，当监控画面中目标温度超过设定阈值时，人脸框及温度示数呈现红色、并给出语音提示，可设置报警白光闪烁，报警温度阈值可设置</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★设备的测温响应时间不大于120ms</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当监控场景中有目标触发高温报警时，可联动抓图并上传至客户端软件，抓拍图片应包括可见光图片和热成像图片，并叠加人脸框及对应数据信息</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专业型智能人体测温双光筒机</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热成像：分辨率160 × 120；</w:t>
      </w:r>
      <w:r>
        <w:rPr>
          <w:rFonts w:hint="eastAsia" w:asciiTheme="minorEastAsia" w:hAnsiTheme="minorEastAsia" w:eastAsiaTheme="minorEastAsia"/>
          <w:color w:val="auto"/>
          <w:szCs w:val="21"/>
        </w:rPr>
        <w:cr/>
      </w:r>
      <w:r>
        <w:rPr>
          <w:rFonts w:asciiTheme="minorEastAsia" w:hAnsiTheme="minorEastAsia" w:eastAsiaTheme="minorEastAsia"/>
          <w:color w:val="auto"/>
          <w:szCs w:val="21"/>
        </w:rPr>
        <w:t>焦距6mm；</w:t>
      </w:r>
    </w:p>
    <w:p>
      <w:pPr>
        <w:rPr>
          <w:rFonts w:asciiTheme="minorEastAsia" w:hAnsiTheme="minorEastAsia" w:eastAsiaTheme="minorEastAsia"/>
          <w:color w:val="auto"/>
          <w:szCs w:val="21"/>
        </w:rPr>
      </w:pPr>
      <w:r>
        <w:rPr>
          <w:rFonts w:asciiTheme="minorEastAsia" w:hAnsiTheme="minorEastAsia" w:eastAsiaTheme="minorEastAsia"/>
          <w:color w:val="auto"/>
          <w:szCs w:val="21"/>
        </w:rPr>
        <w:t>视场角：25°×18.7°;</w:t>
      </w:r>
    </w:p>
    <w:p>
      <w:pPr>
        <w:rPr>
          <w:rFonts w:asciiTheme="minorEastAsia" w:hAnsiTheme="minorEastAsia" w:eastAsiaTheme="minorEastAsia"/>
          <w:color w:val="auto"/>
          <w:szCs w:val="21"/>
        </w:rPr>
      </w:pPr>
      <w:r>
        <w:rPr>
          <w:rFonts w:asciiTheme="minorEastAsia" w:hAnsiTheme="minorEastAsia" w:eastAsiaTheme="minorEastAsia"/>
          <w:color w:val="auto"/>
          <w:szCs w:val="21"/>
        </w:rPr>
        <w:t>可见光：分辨率2688*1520；</w:t>
      </w:r>
    </w:p>
    <w:p>
      <w:pPr>
        <w:rPr>
          <w:rFonts w:asciiTheme="minorEastAsia" w:hAnsiTheme="minorEastAsia" w:eastAsiaTheme="minorEastAsia"/>
          <w:color w:val="auto"/>
          <w:szCs w:val="21"/>
        </w:rPr>
      </w:pPr>
      <w:r>
        <w:rPr>
          <w:rFonts w:asciiTheme="minorEastAsia" w:hAnsiTheme="minorEastAsia" w:eastAsiaTheme="minorEastAsia"/>
          <w:color w:val="auto"/>
          <w:szCs w:val="21"/>
        </w:rPr>
        <w:t>焦距8mm；</w:t>
      </w:r>
    </w:p>
    <w:p>
      <w:pPr>
        <w:rPr>
          <w:rFonts w:asciiTheme="minorEastAsia" w:hAnsiTheme="minorEastAsia" w:eastAsiaTheme="minorEastAsia"/>
          <w:color w:val="auto"/>
          <w:szCs w:val="21"/>
        </w:rPr>
      </w:pPr>
      <w:r>
        <w:rPr>
          <w:rFonts w:asciiTheme="minorEastAsia" w:hAnsiTheme="minorEastAsia" w:eastAsiaTheme="minorEastAsia"/>
          <w:color w:val="auto"/>
          <w:szCs w:val="21"/>
        </w:rPr>
        <w:t>视频模式：双光融合</w:t>
      </w:r>
    </w:p>
    <w:p>
      <w:pPr>
        <w:rPr>
          <w:rFonts w:asciiTheme="minorEastAsia" w:hAnsiTheme="minorEastAsia" w:eastAsiaTheme="minorEastAsia"/>
          <w:color w:val="auto"/>
          <w:szCs w:val="21"/>
        </w:rPr>
      </w:pPr>
      <w:r>
        <w:rPr>
          <w:rFonts w:asciiTheme="minorEastAsia" w:hAnsiTheme="minorEastAsia" w:eastAsiaTheme="minorEastAsia"/>
          <w:color w:val="auto"/>
          <w:szCs w:val="21"/>
        </w:rPr>
        <w:t>联动报警：支持联动白光报警、支持联动声音报警</w:t>
      </w:r>
    </w:p>
    <w:p>
      <w:pPr>
        <w:rPr>
          <w:rFonts w:asciiTheme="minorEastAsia" w:hAnsiTheme="minorEastAsia" w:eastAsiaTheme="minorEastAsia"/>
          <w:color w:val="auto"/>
          <w:szCs w:val="21"/>
        </w:rPr>
      </w:pPr>
      <w:r>
        <w:rPr>
          <w:rFonts w:asciiTheme="minorEastAsia" w:hAnsiTheme="minorEastAsia" w:eastAsiaTheme="minorEastAsia"/>
          <w:color w:val="auto"/>
          <w:szCs w:val="21"/>
        </w:rPr>
        <w:t>最佳人体测温距离：2米；宽度：0.89米</w:t>
      </w:r>
    </w:p>
    <w:p>
      <w:pPr>
        <w:rPr>
          <w:rFonts w:asciiTheme="minorEastAsia" w:hAnsiTheme="minorEastAsia" w:eastAsiaTheme="minorEastAsia"/>
          <w:color w:val="auto"/>
          <w:szCs w:val="21"/>
        </w:rPr>
      </w:pPr>
      <w:r>
        <w:rPr>
          <w:rFonts w:asciiTheme="minorEastAsia" w:hAnsiTheme="minorEastAsia" w:eastAsiaTheme="minorEastAsia"/>
          <w:color w:val="auto"/>
          <w:szCs w:val="21"/>
        </w:rPr>
        <w:t>保证测温精度人体测温有效距离范围：1.5米-3.0米</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 xml:space="preserve">支持人脸抓拍，支持最多20人同时检测体温 </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设备支持口罩识别</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测温精度:（方案可选）：无黑体方案精度±0.5℃；加黑体方案精度±0.3℃</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测温范围：30-45℃</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平台接入：萤石云（2.0 向下兼容）、4200客户端和ehome（5.0 向下兼容）平台均支持预览、报警上传、回放；</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iSC（预览、报警、回放）</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工作温度：15℃-35℃，＜95% RH</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 xml:space="preserve">防护等级：IP67 </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推荐安装高度：1.7米</w:t>
      </w:r>
      <w:r>
        <w:rPr>
          <w:rFonts w:hint="eastAsia" w:asciiTheme="minorEastAsia" w:hAnsiTheme="minorEastAsia" w:eastAsiaTheme="minorEastAsia"/>
          <w:color w:val="auto"/>
          <w:szCs w:val="21"/>
        </w:rPr>
        <w:cr/>
      </w:r>
      <w:r>
        <w:rPr>
          <w:rFonts w:hint="eastAsia" w:asciiTheme="minorEastAsia" w:hAnsiTheme="minorEastAsia" w:eastAsiaTheme="minorEastAsia"/>
          <w:color w:val="auto"/>
          <w:szCs w:val="21"/>
        </w:rPr>
        <w:t>电源输入（出厂自带）：DC 12 V（±20%）或PoE (802.3af, class 3)（标配DC 12V电源适配器）</w:t>
      </w:r>
    </w:p>
    <w:p>
      <w:pPr>
        <w:rPr>
          <w:rFonts w:asciiTheme="minorEastAsia" w:hAnsiTheme="minorEastAsia" w:eastAsiaTheme="minorEastAsia"/>
          <w:color w:val="auto"/>
          <w:szCs w:val="21"/>
        </w:rPr>
      </w:pPr>
    </w:p>
    <w:p>
      <w:pPr>
        <w:pStyle w:val="5"/>
        <w:numPr>
          <w:ilvl w:val="0"/>
          <w:numId w:val="3"/>
        </w:numPr>
        <w:ind w:left="0" w:firstLine="0"/>
        <w:rPr>
          <w:rFonts w:asciiTheme="minorEastAsia" w:hAnsiTheme="minorEastAsia" w:eastAsiaTheme="minorEastAsia"/>
          <w:b/>
          <w:bCs/>
          <w:color w:val="auto"/>
          <w:szCs w:val="21"/>
        </w:rPr>
      </w:pPr>
      <w:r>
        <w:rPr>
          <w:rFonts w:hint="eastAsia" w:asciiTheme="minorEastAsia" w:hAnsiTheme="minorEastAsia" w:eastAsiaTheme="minorEastAsia"/>
          <w:b/>
          <w:bCs/>
          <w:color w:val="auto"/>
          <w:szCs w:val="21"/>
        </w:rPr>
        <w:t>、人证核验终端设备</w:t>
      </w:r>
    </w:p>
    <w:p>
      <w:pPr>
        <w:rPr>
          <w:rFonts w:asciiTheme="minorEastAsia" w:hAnsiTheme="minorEastAsia" w:eastAsiaTheme="minorEastAsia"/>
          <w:color w:val="auto"/>
          <w:szCs w:val="21"/>
        </w:rPr>
      </w:pPr>
      <w:r>
        <w:rPr>
          <w:rFonts w:asciiTheme="minorEastAsia" w:hAnsiTheme="minorEastAsia" w:eastAsiaTheme="minorEastAsia"/>
          <w:color w:val="auto"/>
          <w:szCs w:val="21"/>
        </w:rPr>
        <w:t>1、设备外观：采用10.1英寸触摸屏（单屏），200万像素双目摄像头，面部识别距离0.5m-1.5m，人证比对时间≤1s/人；</w:t>
      </w:r>
    </w:p>
    <w:p>
      <w:pPr>
        <w:rPr>
          <w:rFonts w:asciiTheme="minorEastAsia" w:hAnsiTheme="minorEastAsia" w:eastAsiaTheme="minorEastAsia"/>
          <w:color w:val="auto"/>
          <w:szCs w:val="21"/>
        </w:rPr>
      </w:pPr>
      <w:r>
        <w:rPr>
          <w:rFonts w:asciiTheme="minorEastAsia" w:hAnsiTheme="minorEastAsia" w:eastAsiaTheme="minorEastAsia"/>
          <w:color w:val="auto"/>
          <w:szCs w:val="21"/>
        </w:rPr>
        <w:t>2、操作系统：设备采用Android7.1.2操作系统；</w:t>
      </w:r>
    </w:p>
    <w:p>
      <w:pPr>
        <w:rPr>
          <w:rFonts w:asciiTheme="minorEastAsia" w:hAnsiTheme="minorEastAsia" w:eastAsiaTheme="minorEastAsia"/>
          <w:color w:val="auto"/>
          <w:szCs w:val="21"/>
        </w:rPr>
      </w:pPr>
      <w:r>
        <w:rPr>
          <w:rFonts w:asciiTheme="minorEastAsia" w:hAnsiTheme="minorEastAsia" w:eastAsiaTheme="minorEastAsia"/>
          <w:color w:val="auto"/>
          <w:szCs w:val="21"/>
        </w:rPr>
        <w:t>3、设备容量：内存2G,存储16G；</w:t>
      </w:r>
    </w:p>
    <w:p>
      <w:pPr>
        <w:rPr>
          <w:rFonts w:asciiTheme="minorEastAsia" w:hAnsiTheme="minorEastAsia" w:eastAsiaTheme="minorEastAsia"/>
          <w:color w:val="auto"/>
          <w:szCs w:val="21"/>
        </w:rPr>
      </w:pPr>
      <w:r>
        <w:rPr>
          <w:rFonts w:asciiTheme="minorEastAsia" w:hAnsiTheme="minorEastAsia" w:eastAsiaTheme="minorEastAsia"/>
          <w:color w:val="auto"/>
          <w:szCs w:val="21"/>
        </w:rPr>
        <w:t>4、访客登记：</w:t>
      </w:r>
    </w:p>
    <w:p>
      <w:pPr>
        <w:rPr>
          <w:rFonts w:asciiTheme="minorEastAsia" w:hAnsiTheme="minorEastAsia" w:eastAsiaTheme="minorEastAsia"/>
          <w:color w:val="auto"/>
          <w:szCs w:val="21"/>
        </w:rPr>
      </w:pPr>
      <w:r>
        <w:rPr>
          <w:rFonts w:asciiTheme="minorEastAsia" w:hAnsiTheme="minorEastAsia" w:eastAsiaTheme="minorEastAsia"/>
          <w:color w:val="auto"/>
          <w:szCs w:val="21"/>
        </w:rPr>
        <w:t xml:space="preserve">     1）搭配ISC V1.5平台访客模块使用；</w:t>
      </w:r>
    </w:p>
    <w:p>
      <w:pPr>
        <w:rPr>
          <w:rFonts w:asciiTheme="minorEastAsia" w:hAnsiTheme="minorEastAsia" w:eastAsiaTheme="minorEastAsia"/>
          <w:color w:val="auto"/>
          <w:szCs w:val="21"/>
        </w:rPr>
      </w:pPr>
      <w:r>
        <w:rPr>
          <w:rFonts w:asciiTheme="minorEastAsia" w:hAnsiTheme="minorEastAsia" w:eastAsiaTheme="minorEastAsia"/>
          <w:color w:val="auto"/>
          <w:szCs w:val="21"/>
        </w:rPr>
        <w:t xml:space="preserve">     2）人证比对登记（人证比对通过后完成身份信息填充登记）；</w:t>
      </w:r>
    </w:p>
    <w:p>
      <w:pPr>
        <w:rPr>
          <w:rFonts w:asciiTheme="minorEastAsia" w:hAnsiTheme="minorEastAsia" w:eastAsiaTheme="minorEastAsia"/>
          <w:color w:val="auto"/>
          <w:szCs w:val="21"/>
        </w:rPr>
      </w:pPr>
      <w:r>
        <w:rPr>
          <w:rFonts w:asciiTheme="minorEastAsia" w:hAnsiTheme="minorEastAsia" w:eastAsiaTheme="minorEastAsia"/>
          <w:color w:val="auto"/>
          <w:szCs w:val="21"/>
        </w:rPr>
        <w:t xml:space="preserve">     3）移动端H5访客二维码登记（通过底部摄像头扫描ISC访客移动端H5页面访客预约二维码后完成访客信息手动登记）；</w:t>
      </w:r>
    </w:p>
    <w:p>
      <w:pPr>
        <w:rPr>
          <w:rFonts w:asciiTheme="minorEastAsia" w:hAnsiTheme="minorEastAsia" w:eastAsiaTheme="minorEastAsia"/>
          <w:color w:val="auto"/>
          <w:szCs w:val="21"/>
        </w:rPr>
      </w:pPr>
      <w:r>
        <w:rPr>
          <w:rFonts w:asciiTheme="minorEastAsia" w:hAnsiTheme="minorEastAsia" w:eastAsiaTheme="minorEastAsia"/>
          <w:color w:val="auto"/>
          <w:szCs w:val="21"/>
        </w:rPr>
        <w:t>5、通讯方式：有线网络、WiFi；</w:t>
      </w:r>
    </w:p>
    <w:p>
      <w:pPr>
        <w:rPr>
          <w:rFonts w:asciiTheme="minorEastAsia" w:hAnsiTheme="minorEastAsia" w:eastAsiaTheme="minorEastAsia"/>
          <w:color w:val="auto"/>
          <w:szCs w:val="21"/>
        </w:rPr>
      </w:pPr>
      <w:r>
        <w:rPr>
          <w:rFonts w:asciiTheme="minorEastAsia" w:hAnsiTheme="minorEastAsia" w:eastAsiaTheme="minorEastAsia"/>
          <w:color w:val="auto"/>
          <w:szCs w:val="21"/>
        </w:rPr>
        <w:t>6、设备接口：LAN*1、RS485*1、RS232*1、USB*2、I/O*2（预留）；</w:t>
      </w:r>
    </w:p>
    <w:p>
      <w:pPr>
        <w:rPr>
          <w:rFonts w:asciiTheme="minorEastAsia" w:hAnsiTheme="minorEastAsia" w:eastAsiaTheme="minorEastAsia"/>
          <w:color w:val="auto"/>
          <w:szCs w:val="21"/>
        </w:rPr>
      </w:pPr>
      <w:r>
        <w:rPr>
          <w:rFonts w:asciiTheme="minorEastAsia" w:hAnsiTheme="minorEastAsia" w:eastAsiaTheme="minorEastAsia"/>
          <w:color w:val="auto"/>
          <w:szCs w:val="21"/>
        </w:rPr>
        <w:t>7、工作电压：DC12V/3A (标配电源适配器）；</w:t>
      </w:r>
    </w:p>
    <w:p>
      <w:pPr>
        <w:rPr>
          <w:rFonts w:asciiTheme="minorEastAsia" w:hAnsiTheme="minorEastAsia" w:eastAsiaTheme="minorEastAsia"/>
          <w:color w:val="auto"/>
          <w:szCs w:val="21"/>
        </w:rPr>
      </w:pPr>
      <w:r>
        <w:rPr>
          <w:rFonts w:asciiTheme="minorEastAsia" w:hAnsiTheme="minorEastAsia" w:eastAsiaTheme="minorEastAsia"/>
          <w:color w:val="auto"/>
          <w:szCs w:val="21"/>
        </w:rPr>
        <w:t>8、使用环境：室内；</w:t>
      </w:r>
    </w:p>
    <w:p>
      <w:pPr>
        <w:rPr>
          <w:rFonts w:asciiTheme="minorEastAsia" w:hAnsiTheme="minorEastAsia" w:eastAsiaTheme="minorEastAsia"/>
          <w:color w:val="auto"/>
          <w:szCs w:val="21"/>
        </w:rPr>
      </w:pPr>
      <w:r>
        <w:rPr>
          <w:rFonts w:asciiTheme="minorEastAsia" w:hAnsiTheme="minorEastAsia" w:eastAsiaTheme="minorEastAsia"/>
          <w:color w:val="auto"/>
          <w:szCs w:val="21"/>
        </w:rPr>
        <w:t>9、安装方式：桌面安装；</w:t>
      </w:r>
    </w:p>
    <w:p>
      <w:pPr>
        <w:rPr>
          <w:rFonts w:asciiTheme="minorEastAsia" w:hAnsiTheme="minorEastAsia" w:eastAsiaTheme="minorEastAsia"/>
          <w:color w:val="auto"/>
          <w:szCs w:val="21"/>
        </w:rPr>
      </w:pPr>
      <w:r>
        <w:rPr>
          <w:rFonts w:asciiTheme="minorEastAsia" w:hAnsiTheme="minorEastAsia" w:eastAsiaTheme="minorEastAsia"/>
          <w:color w:val="auto"/>
          <w:szCs w:val="21"/>
        </w:rPr>
        <w:t>10、产品尺寸：270mm*185mm*291mm；</w:t>
      </w:r>
    </w:p>
    <w:p>
      <w:pPr>
        <w:rPr>
          <w:rFonts w:asciiTheme="minorEastAsia" w:hAnsiTheme="minorEastAsia" w:eastAsiaTheme="minorEastAsia"/>
          <w:color w:val="auto"/>
          <w:szCs w:val="21"/>
        </w:rPr>
      </w:pPr>
      <w:r>
        <w:rPr>
          <w:rFonts w:asciiTheme="minorEastAsia" w:hAnsiTheme="minorEastAsia" w:eastAsiaTheme="minorEastAsia"/>
          <w:color w:val="auto"/>
          <w:szCs w:val="21"/>
        </w:rPr>
        <w:t>11、工作温度：-10~50℃。</w:t>
      </w:r>
    </w:p>
    <w:p>
      <w:pPr>
        <w:pStyle w:val="5"/>
        <w:numPr>
          <w:ilvl w:val="0"/>
          <w:numId w:val="0"/>
        </w:numPr>
        <w:rPr>
          <w:rFonts w:asciiTheme="minorEastAsia" w:hAnsiTheme="minorEastAsia" w:eastAsiaTheme="minorEastAsia"/>
          <w:b/>
          <w:bCs/>
          <w:color w:val="auto"/>
          <w:szCs w:val="21"/>
        </w:rPr>
      </w:pPr>
    </w:p>
    <w:p>
      <w:pPr>
        <w:pStyle w:val="5"/>
        <w:numPr>
          <w:ilvl w:val="0"/>
          <w:numId w:val="3"/>
        </w:numPr>
        <w:ind w:left="0" w:firstLine="0"/>
        <w:rPr>
          <w:rFonts w:asciiTheme="minorEastAsia" w:hAnsiTheme="minorEastAsia" w:eastAsiaTheme="minorEastAsia"/>
          <w:b/>
          <w:bCs/>
          <w:color w:val="auto"/>
          <w:szCs w:val="21"/>
        </w:rPr>
      </w:pPr>
      <w:r>
        <w:rPr>
          <w:rFonts w:hint="eastAsia" w:asciiTheme="minorEastAsia" w:hAnsiTheme="minorEastAsia" w:eastAsiaTheme="minorEastAsia"/>
          <w:b/>
          <w:bCs/>
          <w:color w:val="auto"/>
          <w:szCs w:val="21"/>
        </w:rPr>
        <w:t>、</w:t>
      </w:r>
      <w:r>
        <w:rPr>
          <w:rFonts w:asciiTheme="minorEastAsia" w:hAnsiTheme="minorEastAsia" w:eastAsiaTheme="minorEastAsia"/>
          <w:b/>
          <w:bCs/>
          <w:color w:val="auto"/>
          <w:szCs w:val="21"/>
        </w:rPr>
        <w:t>网络存储设备</w:t>
      </w:r>
      <w:r>
        <w:rPr>
          <w:rFonts w:hint="eastAsia" w:asciiTheme="minorEastAsia" w:hAnsiTheme="minorEastAsia" w:eastAsiaTheme="minorEastAsia"/>
          <w:b/>
          <w:bCs/>
          <w:color w:val="auto"/>
          <w:szCs w:val="21"/>
        </w:rPr>
        <w:t>：</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★服务器配置：≥1颗64位多核处理器，≥4GB内存，内存支持扩展到≥256GB，内置128GSSD固态硬盘（可以扩展到2个SSD作为缓存盘），支持热插拔冗余温控调速风扇。</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★支持热插拔2+1AC220V 或 2+1 直流冗余金牌电源供电（照片证明）</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★可接入2T/3T/4T/6T/8T/10T/12T/14T/16T/18T/20T SATA/SAS硬盘；★支持NL-SAS 硬盘、SSD硬盘、氦气硬盘、空气硬盘；★支持硬盘交错/分时启动，节省功耗。（以公安部检测报告为准）</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★标配≥2个千兆网口，可增扩≥6个千兆网口，或可增扩≥4个万兆网口或≥6个HDMI接口或≥4个SAS3.0接口（以公安部检测报告为准）</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★可接入硬盘≥48块，支持SATA和SAS混插，支持不同品牌（希捷、西数、东芝、海康威视）的硬盘混插；并支持≥12级扩展柜级联扩展；可支持12GBSAS扩展口</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配备独立元数据系统、支持元数据系统组成RAID和网络RAID（N+M配置，且M≥8）</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支持流媒体协议直存储机制；应能对视音频、图片及智能行为分析录像和文件的混合直存，节省存储服务器和图片服务器；★支持文件存储采用非NAS方式，上传到样机中的文件进行存储，通用的NAS协议将无法访问。★支持本地文件存储，本地文件可上传和下载；</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网络中断后重新恢复，可续存断网期间存储在前端设备中的录像文件，并可通过IE浏览器设置自动回传和手动回传；支持256路4Mbps的录像回传。</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★单台存储设备组建网络RAID,允许每组RAID中任意10个磁盘发生故障，数据不丢失，存储服务不中断。支持块级重构，全盘参与重构速度不小于4TB/10min。（以公安部检测报告为准）</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应能接入并存储2048Mbps视频图像，同时转发2048Mbps的视频图像，同时下载2048Mbps的视频图像；同时回放600Mbps的视频图像；在转发模式下，可进行4096路2Mbps视频码流转发；在总带宽不变的情况下，接入、转发、回放间的性能值可自由调整。（以公安部检测报告为准）</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可在视频画面上绘制区域或界线，检索指定范围内的报警录像；可输入车牌号码可查证出相关图片和视频；可按照报警事件进行检索；持浓缩播放，有报警事件的可按正常倍速播放，无报警事件的录像可快速播放；支持视频摘要回放。</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支持对同一前端不同时刻，以及不同前端同一时刻，或者不同前端不同时刻的多段录像合并下载。</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支持不低于700Mbps图片并发输入，同时不低于700Mbps图片并发输出（以公安部检测报告为准）</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★支持磁盘冷启动，设备可自动判断磁盘异常，可通过磁盘冷启动进行恢复操作，业务不中断；</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★单设备支持虚拟化成5台具有同等软件能力的设备；（以公安部检测报告为准）</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支持图形用户界面（GUI/Web）、串口、U盘、光盘、网络等多种升级方式（以公安部检测报告为准）</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★对2台样机配置Active- Active模式后，2台样机可同时工作，1台样机发生故障时，不影响数据的读写。（以公安部检测报告为准）</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★录像报表生成功能检验，可生成EXCEL录像报表文件，文件信息包括录像读/写状态，起始、结束时间。（以公安部检测报告为准）</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★当开启智能录像时，样机可根据前端接入路数、存储周期、码率等参数，自动选择N+M冗余级别较高的数据保护方式。（以公安部检测报告为准）</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★可将损坏RAID按照RAID损坏等级进行重构。（以公安部检测报告为准）</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★支持大于4个容器，可在不同容器里存放不同业务模块，业务可做到故障隔离，一个业务模块故障时，不影响其它业务模块。系统可自动重启业务模块并恢复原有业务。（以公安部检测报告为准）</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★可在操作界面查看数据重构状态，样机的磁盘或节点离线并重新插回后，可在界面显示离线磁盘或节点的数据重构过程，离线前数据不丢失（以公安部检测报告为准）</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★支持HLS协议，客户端可以进行全帧索引回放，并支持客户端下载视频文件。（以公安部检测报告为准）</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★最大可支持1024路抓拍机。支持对抓拍机进行添加、修改、删除、 布防、撤防，支持对抓拍机实时预览。</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★支持人脸、人体和车辆识别算法的融合应用，并能够以手动方式进行切换</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支持对黄色、白色、黑色、棕色等不同人种的人脸图片进行上传</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支持检出面部过曝、面部欠曝、阴阳脸、逆光等不同光照条件下人脸</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支持对图片中的行人是/否为少数民族进行识别</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可支持对一张图片中的多个目标（行人或车辆）进行检测识别</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当侦测到人脸时，可进行人脸大图、小图抓拍、视频录像，并触发报警联动录像、抓拍图片、弹出报警画面、发送语音提示、上传中心、蜂鸣报警以及日志</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当侦测到人体时，可进行人体抠图和人脸抓拍图，并触发报警联动录像、抓拍图片、弹出报警画面、发送语音提示、上传中心、蜂鸣报警以及日志</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支持车牌类型识别与无车牌车识别。支持包括92式民用车、警用、上下军用、左右军车、武警、黄色尾牌、新军军车、使馆车、一行结构的新式警车、两行行结构的新式警车、黄色农用车、绿色农用车、黄色1325结构农用车、摩托车的车牌号码识别。</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★支持对视频中的车辆、行人及非机动车进行分析，生成机动车、行人及二轮车、三轮车图片；</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★支持将视频分析生成的机动车、行人图片与抓拍库中的图片进行相似度比对，可将相似的图片进行排序。</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可扩展支持将前端一路视频流同时存入两台存储；支持双机间编码器和录像同步，故障时可进行互相接管</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要求提供5个（含）以上2PB（2000TB）容量或50台以上网络存储设备案例合同复印件；提供单项目20PB以上存储容量案例合同复印件的可加分；提供５个（含）以上用户使用反馈证明文件复印件。</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★提供3C、公安部检验报告、公安部GB/T28181检测报告、GB 35114-2017 公共安全视频监控联网信息安全技术要求检查报告；</w:t>
      </w:r>
    </w:p>
    <w:p>
      <w:pPr>
        <w:pStyle w:val="5"/>
        <w:numPr>
          <w:ilvl w:val="0"/>
          <w:numId w:val="0"/>
        </w:numPr>
        <w:rPr>
          <w:rFonts w:asciiTheme="minorEastAsia" w:hAnsiTheme="minorEastAsia" w:eastAsiaTheme="minorEastAsia"/>
          <w:b/>
          <w:bCs/>
          <w:color w:val="auto"/>
          <w:szCs w:val="21"/>
        </w:rPr>
      </w:pPr>
    </w:p>
    <w:p>
      <w:pPr>
        <w:pStyle w:val="5"/>
        <w:numPr>
          <w:ilvl w:val="0"/>
          <w:numId w:val="3"/>
        </w:numPr>
        <w:ind w:left="0" w:firstLine="0"/>
        <w:rPr>
          <w:rFonts w:asciiTheme="minorEastAsia" w:hAnsiTheme="minorEastAsia" w:eastAsiaTheme="minorEastAsia"/>
          <w:b/>
          <w:bCs/>
          <w:color w:val="auto"/>
          <w:szCs w:val="21"/>
        </w:rPr>
      </w:pPr>
      <w:r>
        <w:rPr>
          <w:rFonts w:hint="eastAsia" w:asciiTheme="minorEastAsia" w:hAnsiTheme="minorEastAsia" w:eastAsiaTheme="minorEastAsia"/>
          <w:b/>
          <w:bCs/>
          <w:color w:val="auto"/>
          <w:szCs w:val="21"/>
        </w:rPr>
        <w:t>、intel双路通用服务器：</w:t>
      </w:r>
    </w:p>
    <w:p>
      <w:pPr>
        <w:rPr>
          <w:rFonts w:asciiTheme="minorEastAsia" w:hAnsiTheme="minorEastAsia" w:eastAsiaTheme="minorEastAsia"/>
          <w:color w:val="auto"/>
          <w:szCs w:val="21"/>
        </w:rPr>
      </w:pPr>
      <w:r>
        <w:rPr>
          <w:rFonts w:asciiTheme="minorEastAsia" w:hAnsiTheme="minorEastAsia" w:eastAsiaTheme="minorEastAsia"/>
          <w:color w:val="auto"/>
          <w:szCs w:val="21"/>
        </w:rPr>
        <w:t>4210×2/64G DR4/600G 10K  SAS×4(RAID_1)/SAS_HBA/1GbE×2+10GbE×2/550W(1+1)/2U/16DIMM</w:t>
      </w:r>
    </w:p>
    <w:p>
      <w:pPr>
        <w:rPr>
          <w:rFonts w:asciiTheme="minorEastAsia" w:hAnsiTheme="minorEastAsia" w:eastAsiaTheme="minorEastAsia"/>
          <w:color w:val="auto"/>
          <w:szCs w:val="21"/>
        </w:rPr>
      </w:pPr>
      <w:r>
        <w:rPr>
          <w:rFonts w:asciiTheme="minorEastAsia" w:hAnsiTheme="minorEastAsia" w:eastAsiaTheme="minorEastAsia"/>
          <w:color w:val="auto"/>
          <w:szCs w:val="21"/>
        </w:rPr>
        <w:t>2U双路标准机架式服务器</w:t>
      </w:r>
    </w:p>
    <w:p>
      <w:pPr>
        <w:rPr>
          <w:rFonts w:asciiTheme="minorEastAsia" w:hAnsiTheme="minorEastAsia" w:eastAsiaTheme="minorEastAsia"/>
          <w:color w:val="auto"/>
          <w:szCs w:val="21"/>
        </w:rPr>
      </w:pPr>
      <w:r>
        <w:rPr>
          <w:rFonts w:asciiTheme="minorEastAsia" w:hAnsiTheme="minorEastAsia" w:eastAsiaTheme="minorEastAsia"/>
          <w:color w:val="auto"/>
          <w:szCs w:val="21"/>
        </w:rPr>
        <w:t>CPU：2颗intel至强系列处理器，核数≥10核，主频≥2.2GHz</w:t>
      </w:r>
    </w:p>
    <w:p>
      <w:pPr>
        <w:rPr>
          <w:rFonts w:asciiTheme="minorEastAsia" w:hAnsiTheme="minorEastAsia" w:eastAsiaTheme="minorEastAsia"/>
          <w:color w:val="auto"/>
          <w:szCs w:val="21"/>
        </w:rPr>
      </w:pPr>
      <w:r>
        <w:rPr>
          <w:rFonts w:asciiTheme="minorEastAsia" w:hAnsiTheme="minorEastAsia" w:eastAsiaTheme="minorEastAsia"/>
          <w:color w:val="auto"/>
          <w:szCs w:val="21"/>
        </w:rPr>
        <w:t>内存：16G*4 DDR4，16根内存插槽，最大支持扩展至2TB内存</w:t>
      </w:r>
    </w:p>
    <w:p>
      <w:pPr>
        <w:rPr>
          <w:rFonts w:asciiTheme="minorEastAsia" w:hAnsiTheme="minorEastAsia" w:eastAsiaTheme="minorEastAsia"/>
          <w:color w:val="auto"/>
          <w:szCs w:val="21"/>
        </w:rPr>
      </w:pPr>
      <w:r>
        <w:rPr>
          <w:rFonts w:asciiTheme="minorEastAsia" w:hAnsiTheme="minorEastAsia" w:eastAsiaTheme="minorEastAsia"/>
          <w:color w:val="auto"/>
          <w:szCs w:val="21"/>
        </w:rPr>
        <w:t>硬盘：4块600G 10K 2.5寸 SAS硬盘</w:t>
      </w:r>
    </w:p>
    <w:p>
      <w:pPr>
        <w:rPr>
          <w:rFonts w:asciiTheme="minorEastAsia" w:hAnsiTheme="minorEastAsia" w:eastAsiaTheme="minorEastAsia"/>
          <w:color w:val="auto"/>
          <w:szCs w:val="21"/>
        </w:rPr>
      </w:pPr>
      <w:r>
        <w:rPr>
          <w:rFonts w:asciiTheme="minorEastAsia" w:hAnsiTheme="minorEastAsia" w:eastAsiaTheme="minorEastAsia"/>
          <w:color w:val="auto"/>
          <w:szCs w:val="21"/>
        </w:rPr>
        <w:t>阵列卡：SAS_HBA卡, 支持RAID 0/1/10</w:t>
      </w:r>
    </w:p>
    <w:p>
      <w:pPr>
        <w:rPr>
          <w:rFonts w:asciiTheme="minorEastAsia" w:hAnsiTheme="minorEastAsia" w:eastAsiaTheme="minorEastAsia"/>
          <w:color w:val="auto"/>
          <w:szCs w:val="21"/>
        </w:rPr>
      </w:pPr>
      <w:r>
        <w:rPr>
          <w:rFonts w:asciiTheme="minorEastAsia" w:hAnsiTheme="minorEastAsia" w:eastAsiaTheme="minorEastAsia"/>
          <w:color w:val="auto"/>
          <w:szCs w:val="21"/>
        </w:rPr>
        <w:t>PCIE扩展：最大可支持6个PCIE扩展插槽</w:t>
      </w:r>
    </w:p>
    <w:p>
      <w:pPr>
        <w:rPr>
          <w:rFonts w:asciiTheme="minorEastAsia" w:hAnsiTheme="minorEastAsia" w:eastAsiaTheme="minorEastAsia"/>
          <w:color w:val="auto"/>
          <w:szCs w:val="21"/>
        </w:rPr>
      </w:pPr>
      <w:r>
        <w:rPr>
          <w:rFonts w:asciiTheme="minorEastAsia" w:hAnsiTheme="minorEastAsia" w:eastAsiaTheme="minorEastAsia"/>
          <w:color w:val="auto"/>
          <w:szCs w:val="21"/>
        </w:rPr>
        <w:t>网口：2个千兆电口，2个万兆光口</w:t>
      </w:r>
    </w:p>
    <w:p>
      <w:pPr>
        <w:rPr>
          <w:rFonts w:asciiTheme="minorEastAsia" w:hAnsiTheme="minorEastAsia" w:eastAsiaTheme="minorEastAsia"/>
          <w:color w:val="auto"/>
          <w:szCs w:val="21"/>
        </w:rPr>
      </w:pPr>
      <w:r>
        <w:rPr>
          <w:rFonts w:asciiTheme="minorEastAsia" w:hAnsiTheme="minorEastAsia" w:eastAsiaTheme="minorEastAsia"/>
          <w:color w:val="auto"/>
          <w:szCs w:val="21"/>
        </w:rPr>
        <w:t>其他接口：1个RJ45管理接口，后置2个USB 3.0接口，前置2个USB2.0接口，1个VGA接口</w:t>
      </w:r>
    </w:p>
    <w:p>
      <w:pPr>
        <w:rPr>
          <w:rFonts w:asciiTheme="minorEastAsia" w:hAnsiTheme="minorEastAsia" w:eastAsiaTheme="minorEastAsia"/>
          <w:color w:val="auto"/>
          <w:szCs w:val="21"/>
        </w:rPr>
      </w:pPr>
      <w:r>
        <w:rPr>
          <w:rFonts w:asciiTheme="minorEastAsia" w:hAnsiTheme="minorEastAsia" w:eastAsiaTheme="minorEastAsia"/>
          <w:color w:val="auto"/>
          <w:szCs w:val="21"/>
        </w:rPr>
        <w:t xml:space="preserve">电源：标配550W（1+1）高效铂金CRPS冗余电源 </w:t>
      </w:r>
    </w:p>
    <w:p>
      <w:pPr>
        <w:rPr>
          <w:rFonts w:asciiTheme="minorEastAsia" w:hAnsiTheme="minorEastAsia" w:eastAsiaTheme="minorEastAsia"/>
          <w:color w:val="auto"/>
          <w:szCs w:val="21"/>
        </w:rPr>
      </w:pPr>
      <w:r>
        <w:rPr>
          <w:rFonts w:asciiTheme="minorEastAsia" w:hAnsiTheme="minorEastAsia" w:eastAsiaTheme="minorEastAsia"/>
          <w:color w:val="auto"/>
          <w:szCs w:val="21"/>
        </w:rPr>
        <w:t>机箱规格：87.8mm(高)x 448mm(宽)x729.8mm(深)</w:t>
      </w:r>
    </w:p>
    <w:p>
      <w:pPr>
        <w:rPr>
          <w:rFonts w:asciiTheme="minorEastAsia" w:hAnsiTheme="minorEastAsia" w:eastAsiaTheme="minorEastAsia"/>
          <w:color w:val="auto"/>
          <w:szCs w:val="21"/>
        </w:rPr>
      </w:pPr>
      <w:r>
        <w:rPr>
          <w:rFonts w:asciiTheme="minorEastAsia" w:hAnsiTheme="minorEastAsia" w:eastAsiaTheme="minorEastAsia"/>
          <w:color w:val="auto"/>
          <w:szCs w:val="21"/>
        </w:rPr>
        <w:t>设备重量：约26KG（含导轨）</w:t>
      </w:r>
    </w:p>
    <w:p>
      <w:pPr>
        <w:rPr>
          <w:rFonts w:asciiTheme="minorEastAsia" w:hAnsiTheme="minorEastAsia" w:eastAsiaTheme="minorEastAsia"/>
          <w:color w:val="auto"/>
          <w:szCs w:val="21"/>
        </w:rPr>
      </w:pPr>
      <w:r>
        <w:rPr>
          <w:rFonts w:asciiTheme="minorEastAsia" w:hAnsiTheme="minorEastAsia" w:eastAsiaTheme="minorEastAsia"/>
          <w:color w:val="auto"/>
          <w:szCs w:val="21"/>
        </w:rPr>
        <w:t>操作系统：HIK OS</w:t>
      </w:r>
    </w:p>
    <w:p>
      <w:pPr>
        <w:pStyle w:val="5"/>
        <w:numPr>
          <w:ilvl w:val="0"/>
          <w:numId w:val="0"/>
        </w:numPr>
        <w:rPr>
          <w:b/>
          <w:bCs/>
          <w:color w:val="auto"/>
          <w:sz w:val="18"/>
          <w:szCs w:val="18"/>
        </w:rPr>
      </w:pPr>
    </w:p>
    <w:p>
      <w:pPr>
        <w:widowControl/>
        <w:shd w:val="clear" w:color="auto" w:fill="FFFFFF"/>
        <w:spacing w:line="360" w:lineRule="auto"/>
        <w:rPr>
          <w:rFonts w:hint="eastAsia" w:eastAsia="宋体"/>
          <w:bCs/>
          <w:color w:val="auto"/>
          <w:szCs w:val="21"/>
          <w:lang w:eastAsia="zh-CN"/>
        </w:rPr>
      </w:pPr>
      <w:r>
        <w:rPr>
          <w:rFonts w:hint="eastAsia"/>
          <w:bCs/>
          <w:color w:val="auto"/>
          <w:szCs w:val="21"/>
        </w:rPr>
        <w:t>2、投标单位应对设备材料表各单项分别报价并结合税金（</w:t>
      </w:r>
      <w:r>
        <w:rPr>
          <w:rFonts w:hint="eastAsia"/>
          <w:bCs/>
          <w:color w:val="auto"/>
          <w:szCs w:val="21"/>
          <w:lang w:val="en-US" w:eastAsia="zh-CN"/>
        </w:rPr>
        <w:t>开具13</w:t>
      </w:r>
      <w:r>
        <w:rPr>
          <w:rFonts w:hint="eastAsia"/>
          <w:bCs/>
          <w:color w:val="auto"/>
          <w:szCs w:val="21"/>
        </w:rPr>
        <w:t>%增值税专票）报投标总价</w:t>
      </w:r>
      <w:r>
        <w:rPr>
          <w:rFonts w:hint="eastAsia"/>
          <w:bCs/>
          <w:color w:val="auto"/>
          <w:szCs w:val="21"/>
          <w:lang w:eastAsia="zh-CN"/>
        </w:rPr>
        <w:t>。</w:t>
      </w:r>
    </w:p>
    <w:p>
      <w:pPr>
        <w:autoSpaceDE w:val="0"/>
        <w:autoSpaceDN w:val="0"/>
        <w:adjustRightInd w:val="0"/>
        <w:snapToGrid w:val="0"/>
        <w:spacing w:line="480" w:lineRule="exact"/>
        <w:rPr>
          <w:color w:val="auto"/>
          <w:szCs w:val="21"/>
        </w:rPr>
      </w:pPr>
      <w:r>
        <w:rPr>
          <w:rFonts w:hint="eastAsia"/>
          <w:color w:val="auto"/>
          <w:szCs w:val="21"/>
        </w:rPr>
        <w:t>3、本次招标的合格投标人应同时满足下列资格要求：</w:t>
      </w:r>
    </w:p>
    <w:p>
      <w:pPr>
        <w:autoSpaceDE w:val="0"/>
        <w:autoSpaceDN w:val="0"/>
        <w:adjustRightInd w:val="0"/>
        <w:snapToGrid w:val="0"/>
        <w:spacing w:line="480" w:lineRule="exact"/>
        <w:ind w:firstLine="561"/>
        <w:rPr>
          <w:color w:val="auto"/>
          <w:szCs w:val="21"/>
        </w:rPr>
      </w:pPr>
      <w:r>
        <w:rPr>
          <w:rFonts w:hint="eastAsia"/>
          <w:color w:val="auto"/>
          <w:szCs w:val="21"/>
        </w:rPr>
        <w:t>（1）投标人必须具备独立法人资格 （ 提供企业营业执照、税务登记证、组织机构代码证，如营业执照、组织机构代码证税务登记证，三证合一，则只提供营业执照；提供复印件加盖公章）。</w:t>
      </w:r>
    </w:p>
    <w:p>
      <w:pPr>
        <w:spacing w:line="480" w:lineRule="exact"/>
        <w:ind w:firstLine="514" w:firstLineChars="245"/>
        <w:rPr>
          <w:rFonts w:ascii="宋体" w:hAnsi="宋体"/>
          <w:color w:val="auto"/>
          <w:szCs w:val="21"/>
        </w:rPr>
      </w:pPr>
      <w:r>
        <w:rPr>
          <w:rFonts w:hint="eastAsia" w:ascii="宋体" w:hAnsi="宋体"/>
          <w:color w:val="auto"/>
          <w:szCs w:val="21"/>
        </w:rPr>
        <w:t xml:space="preserve">（2）所投标设备需符合行业标准及执行标准。 </w:t>
      </w:r>
    </w:p>
    <w:p>
      <w:pPr>
        <w:autoSpaceDE w:val="0"/>
        <w:autoSpaceDN w:val="0"/>
        <w:adjustRightInd w:val="0"/>
        <w:snapToGrid w:val="0"/>
        <w:spacing w:line="480" w:lineRule="exact"/>
        <w:ind w:firstLine="561"/>
        <w:rPr>
          <w:color w:val="auto"/>
          <w:szCs w:val="21"/>
        </w:rPr>
      </w:pPr>
      <w:r>
        <w:rPr>
          <w:rFonts w:hint="eastAsia"/>
          <w:color w:val="auto"/>
          <w:szCs w:val="21"/>
        </w:rPr>
        <w:t>（3）本项目不接受联合体投标。</w:t>
      </w:r>
    </w:p>
    <w:p>
      <w:pPr>
        <w:autoSpaceDE w:val="0"/>
        <w:autoSpaceDN w:val="0"/>
        <w:adjustRightInd w:val="0"/>
        <w:snapToGrid w:val="0"/>
        <w:spacing w:line="480" w:lineRule="exact"/>
        <w:ind w:firstLine="561"/>
        <w:rPr>
          <w:rFonts w:ascii="宋体" w:hAnsi="宋体"/>
          <w:color w:val="auto"/>
          <w:szCs w:val="21"/>
        </w:rPr>
      </w:pPr>
      <w:r>
        <w:rPr>
          <w:rFonts w:hint="eastAsia"/>
          <w:color w:val="auto"/>
          <w:szCs w:val="21"/>
        </w:rPr>
        <w:t>（4）</w:t>
      </w:r>
      <w:r>
        <w:rPr>
          <w:rFonts w:hint="eastAsia" w:ascii="宋体" w:hAnsi="宋体"/>
          <w:color w:val="auto"/>
          <w:szCs w:val="21"/>
        </w:rPr>
        <w:t>所投标报价均包含税务局规定税率的增值税专用发票。</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（5）所有提供设备均需为原厂正品，且为市场通用或主流产品。</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3、投标文件正本</w:t>
      </w:r>
      <w:r>
        <w:rPr>
          <w:rFonts w:hint="eastAsia" w:ascii="宋体" w:hAnsi="宋体"/>
          <w:color w:val="auto"/>
          <w:szCs w:val="21"/>
          <w:lang w:val="en-US" w:eastAsia="zh-CN"/>
        </w:rPr>
        <w:t>一份</w:t>
      </w:r>
      <w:r>
        <w:rPr>
          <w:rFonts w:hint="eastAsia" w:ascii="宋体" w:hAnsi="宋体"/>
          <w:color w:val="auto"/>
          <w:szCs w:val="21"/>
        </w:rPr>
        <w:t>、副本</w:t>
      </w:r>
      <w:r>
        <w:rPr>
          <w:rFonts w:hint="eastAsia" w:ascii="宋体" w:hAnsi="宋体"/>
          <w:color w:val="auto"/>
          <w:szCs w:val="21"/>
          <w:lang w:val="en-US" w:eastAsia="zh-CN"/>
        </w:rPr>
        <w:t>四</w:t>
      </w:r>
      <w:r>
        <w:rPr>
          <w:rFonts w:hint="eastAsia" w:ascii="宋体" w:hAnsi="宋体"/>
          <w:color w:val="auto"/>
          <w:szCs w:val="21"/>
        </w:rPr>
        <w:t>份，正本必须用不能擦去的墨水书写或打印，副本可以复印。正本、副本都应装订成册，并在封面上正确标明“正本”、“副本”字样，正、副本不一致时，以正本为准。</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4、具有独立法人资格的生产企业或代理商，此报价为材料送达招标方指定地点（安装调试好）的价格。</w:t>
      </w:r>
    </w:p>
    <w:p>
      <w:pPr>
        <w:autoSpaceDE w:val="0"/>
        <w:autoSpaceDN w:val="0"/>
        <w:adjustRightInd w:val="0"/>
        <w:snapToGrid w:val="0"/>
        <w:spacing w:line="480" w:lineRule="exact"/>
        <w:ind w:firstLine="561"/>
        <w:rPr>
          <w:rFonts w:hint="eastAsia" w:ascii="宋体" w:hAnsi="宋体" w:eastAsia="宋体"/>
          <w:color w:val="auto"/>
          <w:szCs w:val="21"/>
          <w:lang w:eastAsia="zh-CN"/>
        </w:rPr>
      </w:pPr>
      <w:r>
        <w:rPr>
          <w:rFonts w:hint="eastAsia"/>
          <w:color w:val="auto"/>
        </w:rPr>
        <w:t>5、本</w:t>
      </w:r>
      <w:r>
        <w:rPr>
          <w:rFonts w:hint="eastAsia" w:ascii="宋体" w:hAnsi="宋体"/>
          <w:color w:val="auto"/>
          <w:szCs w:val="21"/>
        </w:rPr>
        <w:t>次招标工作内容</w:t>
      </w:r>
      <w:r>
        <w:rPr>
          <w:rFonts w:hint="eastAsia" w:ascii="宋体" w:hAnsi="宋体"/>
          <w:color w:val="auto"/>
          <w:szCs w:val="21"/>
          <w:lang w:eastAsia="zh-CN"/>
        </w:rPr>
        <w:t>及要求：</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5.1对原旧的设备系统的拆除。</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5.2新系统的设备供货、安装、调试。</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5.3线缆的敷设、接线</w:t>
      </w:r>
      <w:r>
        <w:rPr>
          <w:rFonts w:hint="eastAsia" w:ascii="宋体" w:hAnsi="宋体"/>
          <w:color w:val="auto"/>
          <w:szCs w:val="21"/>
          <w:lang w:eastAsia="zh-CN"/>
        </w:rPr>
        <w:t>、</w:t>
      </w:r>
      <w:r>
        <w:rPr>
          <w:rFonts w:hint="eastAsia" w:ascii="宋体" w:hAnsi="宋体"/>
          <w:color w:val="auto"/>
          <w:szCs w:val="21"/>
        </w:rPr>
        <w:t>穿管、预埋</w:t>
      </w:r>
      <w:r>
        <w:rPr>
          <w:rFonts w:hint="eastAsia" w:ascii="宋体" w:hAnsi="宋体"/>
          <w:color w:val="auto"/>
          <w:szCs w:val="21"/>
          <w:lang w:eastAsia="zh-CN"/>
        </w:rPr>
        <w:t>等</w:t>
      </w:r>
      <w:r>
        <w:rPr>
          <w:rFonts w:hint="eastAsia" w:ascii="宋体" w:hAnsi="宋体"/>
          <w:color w:val="auto"/>
          <w:szCs w:val="21"/>
        </w:rPr>
        <w:t>。</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5.4整个系统的技术培训。</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5.5整个系统应符合公安部门的技术要求。</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5.6原室外立杆、线缆等如能</w:t>
      </w:r>
      <w:r>
        <w:rPr>
          <w:rFonts w:hint="eastAsia" w:ascii="宋体" w:hAnsi="宋体"/>
          <w:color w:val="auto"/>
          <w:szCs w:val="21"/>
          <w:lang w:eastAsia="zh-CN"/>
        </w:rPr>
        <w:t>继续</w:t>
      </w:r>
      <w:r>
        <w:rPr>
          <w:rFonts w:hint="eastAsia" w:ascii="宋体" w:hAnsi="宋体"/>
          <w:color w:val="auto"/>
          <w:szCs w:val="21"/>
        </w:rPr>
        <w:t>使用</w:t>
      </w:r>
      <w:r>
        <w:rPr>
          <w:rFonts w:hint="eastAsia" w:ascii="宋体" w:hAnsi="宋体"/>
          <w:color w:val="auto"/>
          <w:szCs w:val="21"/>
          <w:lang w:eastAsia="zh-CN"/>
        </w:rPr>
        <w:t>则</w:t>
      </w:r>
      <w:r>
        <w:rPr>
          <w:rFonts w:hint="eastAsia" w:ascii="宋体" w:hAnsi="宋体"/>
          <w:color w:val="auto"/>
          <w:szCs w:val="21"/>
        </w:rPr>
        <w:t>应</w:t>
      </w:r>
      <w:r>
        <w:rPr>
          <w:rFonts w:hint="eastAsia" w:ascii="宋体" w:hAnsi="宋体"/>
          <w:color w:val="auto"/>
          <w:szCs w:val="21"/>
          <w:lang w:eastAsia="zh-CN"/>
        </w:rPr>
        <w:t>予以留</w:t>
      </w:r>
      <w:r>
        <w:rPr>
          <w:rFonts w:hint="eastAsia" w:ascii="宋体" w:hAnsi="宋体"/>
          <w:color w:val="auto"/>
          <w:szCs w:val="21"/>
        </w:rPr>
        <w:t>用以降低工程造价，在设备清单上需注明，所有旧的材料和设备的使用必须得到招标方的认可。</w:t>
      </w:r>
    </w:p>
    <w:p>
      <w:pPr>
        <w:autoSpaceDE w:val="0"/>
        <w:autoSpaceDN w:val="0"/>
        <w:adjustRightInd w:val="0"/>
        <w:snapToGrid w:val="0"/>
        <w:spacing w:line="480" w:lineRule="exact"/>
        <w:ind w:firstLine="561"/>
        <w:rPr>
          <w:rFonts w:ascii="宋体" w:hAnsi="宋体"/>
          <w:b/>
          <w:bCs/>
          <w:color w:val="auto"/>
          <w:szCs w:val="21"/>
        </w:rPr>
      </w:pPr>
      <w:r>
        <w:rPr>
          <w:rFonts w:hint="eastAsia" w:ascii="宋体" w:hAnsi="宋体"/>
          <w:b/>
          <w:bCs/>
          <w:color w:val="auto"/>
          <w:szCs w:val="21"/>
        </w:rPr>
        <w:t>三、投标文件的密封与递交</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1、投标文件的份数和签署</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投标文件应使用不能擦去的墨水书写或打印，由投标人加盖法人公章和法定代表人或法定代表人委托的代理人印鉴或签字。</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2、投标文件的密封与标志</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所有封袋上都应写明招标人名称、项目名称、投标人名称、卷别；</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所有投标文件都必须在封袋上加盖投标单位法人公章及其法定代表人或授权委托人的印鉴。</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3、投标截止期</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3.1投标人应在投标须知中规定的时间之前将投标文件递交到招标文件前附表指定地点。</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3.2招标人可以按本文件规定以修改通知的方式，延长递交投标文件的截止日期。在上述情况下，招标人与投标人以前的在投标截止期方面的全部权力、责任和义务，将适用于延长后新的投标截止期。</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4、投标文件的修改与撤回</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4.1投标人可以在递交投标文件以后，在规定的投标截止期之前，以书面形式向招标人递交修改或撤回其投标文件的通知。在投标截止期以后，不得更改、撤回投标文件。</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4.2投标文件的修改应按本文件相关条款规定的要求编制、密封、标志和递交（密封袋上应标明“修改”字样）。</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4.3投标截止以后,在投标有效期内，未确定中标人前，投标人不得撤回投标文件。</w:t>
      </w:r>
      <w:bookmarkStart w:id="0" w:name="EB66450c37613b4d8bb5d2ef34d49a190f"/>
      <w:r>
        <w:rPr>
          <w:rFonts w:ascii="宋体" w:hAnsi="宋体"/>
          <w:color w:val="auto"/>
          <w:szCs w:val="21"/>
        </w:rPr>
        <w:t xml:space="preserve"> </w:t>
      </w:r>
      <w:bookmarkEnd w:id="0"/>
      <w:bookmarkStart w:id="1" w:name="EB0f01764a82a04f44abcb858eaf46c6a5"/>
      <w:r>
        <w:rPr>
          <w:rFonts w:ascii="宋体" w:hAnsi="宋体"/>
          <w:color w:val="auto"/>
          <w:szCs w:val="21"/>
        </w:rPr>
        <w:t xml:space="preserve"> </w:t>
      </w:r>
      <w:bookmarkEnd w:id="1"/>
    </w:p>
    <w:p>
      <w:pPr>
        <w:pStyle w:val="2"/>
        <w:rPr>
          <w:color w:val="auto"/>
        </w:rPr>
      </w:pPr>
    </w:p>
    <w:p>
      <w:pPr>
        <w:autoSpaceDE w:val="0"/>
        <w:autoSpaceDN w:val="0"/>
        <w:adjustRightInd w:val="0"/>
        <w:snapToGrid w:val="0"/>
        <w:spacing w:line="480" w:lineRule="exact"/>
        <w:ind w:firstLine="561"/>
        <w:rPr>
          <w:rFonts w:ascii="宋体" w:hAnsi="宋体"/>
          <w:b/>
          <w:bCs/>
          <w:color w:val="auto"/>
          <w:szCs w:val="21"/>
        </w:rPr>
      </w:pPr>
      <w:r>
        <w:rPr>
          <w:rFonts w:hint="eastAsia" w:ascii="宋体" w:hAnsi="宋体"/>
          <w:b/>
          <w:bCs/>
          <w:color w:val="auto"/>
          <w:szCs w:val="21"/>
        </w:rPr>
        <w:t>四、评标</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1.1评标委员会</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评标由招标人依法组建的评标委员会负责。评标委员会由有关技术、经济等方面的专家组成。</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1.2评审程序</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评标按照下列程序进行：1）评标准备；2）初步评审；3）详细评审；4）推荐中标候选人，撰写评标报告。</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1.3评标准备</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1.3.1评标委员会成员签到</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评标委员会成员到达评标现场时应在签到表上签到以证明出席。</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1.3.2 评标委员会的分工</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评标委员会首先推选一名评标委员会负责人。评标委员会负责人负责评标活动的组织领导工作。评标委员会负责人在与其他评标委员会成员商议的基础上可以将评标委员会划分为技术组和商务组。</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1.3.3 熟悉文件资料</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1.4初步评审</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1.4.1响应性评审</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1.4.2算术错误修正</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1.4.3澄清、说明或补正</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在初步评审过程中，评标委员会应当就投标文件中不明确的内容要求投标人进行澄清．</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1.5投标过程中出现下列情况之一的将作为无效投标处理：</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1、投标书未加盖单位法人章，无法定代表人或其授权委托人的签字；</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2、投标文件载明的货物包装方式、检验标准和方法等不符合招标文件的要求；</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3、投标文件提出了不能满足招标文件要求或招标人不能接受的工程验收、计量、价款结算支付办法；</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4、经评标委员会认定投标人的投标报价低于成本价的；</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5、投标人未按照招标文件的要求提供必须提交的相关资料的；</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6、投标文件附有招标人不能接受的条件；</w:t>
      </w:r>
    </w:p>
    <w:p>
      <w:pPr>
        <w:autoSpaceDE w:val="0"/>
        <w:autoSpaceDN w:val="0"/>
        <w:adjustRightInd w:val="0"/>
        <w:snapToGrid w:val="0"/>
        <w:spacing w:line="480" w:lineRule="exact"/>
        <w:ind w:firstLine="561"/>
        <w:rPr>
          <w:rFonts w:ascii="宋体" w:hAnsi="宋体"/>
          <w:b/>
          <w:color w:val="auto"/>
          <w:szCs w:val="21"/>
        </w:rPr>
      </w:pPr>
      <w:r>
        <w:rPr>
          <w:rFonts w:hint="eastAsia" w:ascii="宋体" w:hAnsi="宋体"/>
          <w:b/>
          <w:color w:val="auto"/>
          <w:szCs w:val="21"/>
        </w:rPr>
        <w:t>五、评标细则（满分100分）</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本次评标按百分制评分，其中商务评审为</w:t>
      </w:r>
      <w:r>
        <w:rPr>
          <w:rFonts w:ascii="宋体" w:hAnsi="宋体"/>
          <w:color w:val="auto"/>
          <w:szCs w:val="21"/>
        </w:rPr>
        <w:t>74</w:t>
      </w:r>
      <w:r>
        <w:rPr>
          <w:rFonts w:hint="eastAsia" w:ascii="宋体" w:hAnsi="宋体"/>
          <w:color w:val="auto"/>
          <w:szCs w:val="21"/>
        </w:rPr>
        <w:t>分，技术评审为</w:t>
      </w:r>
      <w:r>
        <w:rPr>
          <w:rFonts w:ascii="宋体" w:hAnsi="宋体"/>
          <w:color w:val="auto"/>
          <w:szCs w:val="21"/>
        </w:rPr>
        <w:t>26</w:t>
      </w:r>
      <w:r>
        <w:rPr>
          <w:rFonts w:hint="eastAsia" w:ascii="宋体" w:hAnsi="宋体"/>
          <w:color w:val="auto"/>
          <w:szCs w:val="21"/>
        </w:rPr>
        <w:t>分。具体评分细则如下：</w:t>
      </w:r>
    </w:p>
    <w:p>
      <w:pPr>
        <w:autoSpaceDE w:val="0"/>
        <w:autoSpaceDN w:val="0"/>
        <w:adjustRightInd w:val="0"/>
        <w:snapToGrid w:val="0"/>
        <w:spacing w:line="480" w:lineRule="exact"/>
        <w:ind w:firstLine="561"/>
        <w:rPr>
          <w:rFonts w:ascii="宋体" w:hAnsi="宋体"/>
          <w:color w:val="auto"/>
          <w:szCs w:val="21"/>
        </w:rPr>
      </w:pPr>
    </w:p>
    <w:p>
      <w:pPr>
        <w:autoSpaceDE w:val="0"/>
        <w:autoSpaceDN w:val="0"/>
        <w:adjustRightInd w:val="0"/>
        <w:snapToGrid w:val="0"/>
        <w:spacing w:line="480" w:lineRule="exact"/>
        <w:rPr>
          <w:rFonts w:ascii="宋体" w:hAnsi="宋体"/>
          <w:b/>
          <w:color w:val="auto"/>
          <w:szCs w:val="21"/>
        </w:rPr>
      </w:pPr>
      <w:r>
        <w:rPr>
          <w:rFonts w:hint="eastAsia" w:ascii="宋体" w:hAnsi="宋体"/>
          <w:b/>
          <w:color w:val="auto"/>
          <w:szCs w:val="21"/>
        </w:rPr>
        <w:t>总则</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评委会成员应严格按下列具体评审内容及相应分值客观、公正地进行评分。计算每个投标人的得分时，对所有评委的评分计算算术平均值作为该投标人的最终得分。</w:t>
      </w:r>
    </w:p>
    <w:p>
      <w:pPr>
        <w:autoSpaceDE w:val="0"/>
        <w:autoSpaceDN w:val="0"/>
        <w:adjustRightInd w:val="0"/>
        <w:snapToGrid w:val="0"/>
        <w:spacing w:line="480" w:lineRule="exact"/>
        <w:rPr>
          <w:rFonts w:ascii="宋体" w:hAnsi="宋体"/>
          <w:b/>
          <w:color w:val="auto"/>
          <w:szCs w:val="21"/>
        </w:rPr>
      </w:pPr>
      <w:r>
        <w:rPr>
          <w:rFonts w:hint="eastAsia" w:ascii="宋体" w:hAnsi="宋体"/>
          <w:b/>
          <w:color w:val="auto"/>
          <w:szCs w:val="21"/>
        </w:rPr>
        <w:t>&lt;一&gt;、商务评审得分（满分74分）</w:t>
      </w:r>
    </w:p>
    <w:p>
      <w:pPr>
        <w:autoSpaceDE w:val="0"/>
        <w:autoSpaceDN w:val="0"/>
        <w:adjustRightInd w:val="0"/>
        <w:snapToGrid w:val="0"/>
        <w:spacing w:line="480" w:lineRule="exact"/>
        <w:rPr>
          <w:rFonts w:ascii="宋体" w:hAnsi="宋体"/>
          <w:b/>
          <w:bCs/>
          <w:color w:val="auto"/>
          <w:szCs w:val="21"/>
        </w:rPr>
      </w:pPr>
      <w:r>
        <w:rPr>
          <w:rFonts w:hint="eastAsia" w:ascii="宋体" w:hAnsi="宋体"/>
          <w:b/>
          <w:bCs/>
          <w:color w:val="auto"/>
          <w:szCs w:val="21"/>
        </w:rPr>
        <w:t>1、报价评审得分（满分50分）</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报价得分（满分50分）：以所有有效投标人评标价的算术平均值（如投标人超过5家（含5家），则去掉一个最高价和一个最低价后计算算术平均值）下浮2%作为基准价得满分50分，其余投标人的评标价与基准价相比，投标人评标价每高基准价1%扣</w:t>
      </w:r>
      <w:r>
        <w:rPr>
          <w:rFonts w:hint="eastAsia" w:ascii="宋体" w:hAnsi="宋体"/>
          <w:color w:val="auto"/>
          <w:szCs w:val="21"/>
          <w:lang w:val="en-US" w:eastAsia="zh-CN"/>
        </w:rPr>
        <w:t>1</w:t>
      </w:r>
      <w:r>
        <w:rPr>
          <w:rFonts w:hint="eastAsia" w:ascii="宋体" w:hAnsi="宋体"/>
          <w:color w:val="auto"/>
          <w:szCs w:val="21"/>
        </w:rPr>
        <w:t>分，每低基准价1%的扣</w:t>
      </w:r>
      <w:r>
        <w:rPr>
          <w:rFonts w:hint="eastAsia" w:ascii="宋体" w:hAnsi="宋体"/>
          <w:color w:val="auto"/>
          <w:szCs w:val="21"/>
          <w:lang w:val="en-US" w:eastAsia="zh-CN"/>
        </w:rPr>
        <w:t>0.5</w:t>
      </w:r>
      <w:r>
        <w:rPr>
          <w:rFonts w:hint="eastAsia" w:ascii="宋体" w:hAnsi="宋体"/>
          <w:color w:val="auto"/>
          <w:szCs w:val="21"/>
        </w:rPr>
        <w:t>分，不足1%的，按</w:t>
      </w:r>
      <w:r>
        <w:rPr>
          <w:rFonts w:hint="eastAsia" w:ascii="宋体" w:hAnsi="宋体"/>
          <w:color w:val="auto"/>
          <w:szCs w:val="21"/>
          <w:lang w:val="en-US" w:eastAsia="zh-CN"/>
        </w:rPr>
        <w:t>插入法计</w:t>
      </w:r>
      <w:r>
        <w:rPr>
          <w:rFonts w:hint="eastAsia" w:ascii="宋体" w:hAnsi="宋体"/>
          <w:color w:val="auto"/>
          <w:szCs w:val="21"/>
        </w:rPr>
        <w:t xml:space="preserve">算。（保留两位小数）。                                    </w:t>
      </w:r>
    </w:p>
    <w:p>
      <w:pPr>
        <w:keepNext w:val="0"/>
        <w:keepLines w:val="0"/>
        <w:pageBreakBefore w:val="0"/>
        <w:kinsoku/>
        <w:wordWrap/>
        <w:overflowPunct/>
        <w:topLinePunct w:val="0"/>
        <w:autoSpaceDE w:val="0"/>
        <w:autoSpaceDN w:val="0"/>
        <w:bidi w:val="0"/>
        <w:adjustRightInd w:val="0"/>
        <w:snapToGrid w:val="0"/>
        <w:spacing w:line="480" w:lineRule="exact"/>
        <w:textAlignment w:val="auto"/>
        <w:rPr>
          <w:rFonts w:ascii="宋体" w:hAnsi="宋体"/>
          <w:b/>
          <w:color w:val="auto"/>
          <w:szCs w:val="21"/>
        </w:rPr>
      </w:pPr>
      <w:r>
        <w:rPr>
          <w:rFonts w:hint="eastAsia" w:ascii="宋体" w:hAnsi="宋体"/>
          <w:b/>
          <w:color w:val="auto"/>
          <w:szCs w:val="21"/>
        </w:rPr>
        <w:t>2、综合实力评审得分（满分1</w:t>
      </w:r>
      <w:r>
        <w:rPr>
          <w:rFonts w:hint="eastAsia" w:ascii="宋体" w:hAnsi="宋体"/>
          <w:b/>
          <w:color w:val="auto"/>
          <w:szCs w:val="21"/>
          <w:lang w:val="en-US" w:eastAsia="zh-CN"/>
        </w:rPr>
        <w:t>0</w:t>
      </w:r>
      <w:r>
        <w:rPr>
          <w:rFonts w:hint="eastAsia" w:ascii="宋体" w:hAnsi="宋体"/>
          <w:b/>
          <w:color w:val="auto"/>
          <w:szCs w:val="21"/>
        </w:rPr>
        <w:t>分）</w:t>
      </w:r>
    </w:p>
    <w:p>
      <w:pPr>
        <w:keepNext w:val="0"/>
        <w:keepLines w:val="0"/>
        <w:pageBreakBefore w:val="0"/>
        <w:widowControl/>
        <w:kinsoku/>
        <w:wordWrap/>
        <w:overflowPunct/>
        <w:topLinePunct w:val="0"/>
        <w:bidi w:val="0"/>
        <w:spacing w:line="480" w:lineRule="exact"/>
        <w:textAlignment w:val="auto"/>
        <w:rPr>
          <w:rFonts w:ascii="宋体" w:hAnsi="宋体" w:cs="宋体"/>
          <w:color w:val="auto"/>
          <w:kern w:val="0"/>
          <w:szCs w:val="21"/>
        </w:rPr>
      </w:pPr>
      <w:r>
        <w:rPr>
          <w:rFonts w:hint="eastAsia" w:ascii="宋体" w:hAnsi="宋体" w:cs="宋体"/>
          <w:color w:val="auto"/>
          <w:kern w:val="0"/>
          <w:szCs w:val="21"/>
        </w:rPr>
        <w:t>1、投标人具有资信评估机构认证的企业信用等级AAA证书的得</w:t>
      </w:r>
      <w:r>
        <w:rPr>
          <w:rFonts w:hint="eastAsia" w:ascii="宋体" w:hAnsi="宋体" w:cs="宋体"/>
          <w:color w:val="auto"/>
          <w:kern w:val="0"/>
          <w:szCs w:val="21"/>
          <w:lang w:val="en-US" w:eastAsia="zh-CN"/>
        </w:rPr>
        <w:t>1</w:t>
      </w:r>
      <w:r>
        <w:rPr>
          <w:rFonts w:hint="eastAsia" w:ascii="宋体" w:hAnsi="宋体" w:cs="宋体"/>
          <w:color w:val="auto"/>
          <w:kern w:val="0"/>
          <w:szCs w:val="21"/>
        </w:rPr>
        <w:t>分。（提供复印件加盖公章，原件或公证件备查）；</w:t>
      </w:r>
    </w:p>
    <w:p>
      <w:pPr>
        <w:keepNext w:val="0"/>
        <w:keepLines w:val="0"/>
        <w:pageBreakBefore w:val="0"/>
        <w:widowControl/>
        <w:kinsoku/>
        <w:wordWrap/>
        <w:overflowPunct/>
        <w:topLinePunct w:val="0"/>
        <w:bidi w:val="0"/>
        <w:spacing w:line="480" w:lineRule="exact"/>
        <w:textAlignment w:val="auto"/>
        <w:rPr>
          <w:rFonts w:ascii="宋体" w:hAnsi="宋体" w:cs="宋体"/>
          <w:color w:val="auto"/>
          <w:kern w:val="0"/>
          <w:szCs w:val="21"/>
        </w:rPr>
      </w:pPr>
      <w:r>
        <w:rPr>
          <w:rFonts w:ascii="宋体" w:hAnsi="宋体" w:cs="宋体"/>
          <w:color w:val="auto"/>
          <w:kern w:val="0"/>
          <w:szCs w:val="21"/>
        </w:rPr>
        <w:t>2</w:t>
      </w:r>
      <w:r>
        <w:rPr>
          <w:rFonts w:hint="eastAsia" w:ascii="宋体" w:hAnsi="宋体" w:cs="宋体"/>
          <w:color w:val="auto"/>
          <w:kern w:val="0"/>
          <w:szCs w:val="21"/>
        </w:rPr>
        <w:t>、投标人具有资信评估机构认证的重合同守信用企业等级AAA证书的得</w:t>
      </w:r>
      <w:r>
        <w:rPr>
          <w:rFonts w:hint="eastAsia" w:ascii="宋体" w:hAnsi="宋体" w:cs="宋体"/>
          <w:color w:val="auto"/>
          <w:kern w:val="0"/>
          <w:szCs w:val="21"/>
          <w:lang w:val="en-US" w:eastAsia="zh-CN"/>
        </w:rPr>
        <w:t>1</w:t>
      </w:r>
      <w:r>
        <w:rPr>
          <w:rFonts w:hint="eastAsia" w:ascii="宋体" w:hAnsi="宋体" w:cs="宋体"/>
          <w:color w:val="auto"/>
          <w:kern w:val="0"/>
          <w:szCs w:val="21"/>
        </w:rPr>
        <w:t>分。（提供复印件加盖公章，原件或公证件备查）；</w:t>
      </w:r>
    </w:p>
    <w:p>
      <w:pPr>
        <w:keepNext w:val="0"/>
        <w:keepLines w:val="0"/>
        <w:pageBreakBefore w:val="0"/>
        <w:widowControl/>
        <w:kinsoku/>
        <w:wordWrap/>
        <w:overflowPunct/>
        <w:topLinePunct w:val="0"/>
        <w:bidi w:val="0"/>
        <w:spacing w:line="480" w:lineRule="exact"/>
        <w:textAlignment w:val="auto"/>
        <w:rPr>
          <w:rFonts w:ascii="宋体" w:hAnsi="宋体" w:cs="宋体"/>
          <w:color w:val="auto"/>
          <w:kern w:val="0"/>
          <w:szCs w:val="21"/>
        </w:rPr>
      </w:pPr>
      <w:r>
        <w:rPr>
          <w:rFonts w:ascii="宋体" w:hAnsi="宋体" w:cs="宋体"/>
          <w:color w:val="auto"/>
          <w:kern w:val="0"/>
          <w:szCs w:val="21"/>
        </w:rPr>
        <w:t>3</w:t>
      </w:r>
      <w:r>
        <w:rPr>
          <w:rFonts w:hint="eastAsia" w:ascii="宋体" w:hAnsi="宋体" w:cs="宋体"/>
          <w:color w:val="auto"/>
          <w:kern w:val="0"/>
          <w:szCs w:val="21"/>
        </w:rPr>
        <w:t>、投标人具有质量管理体系（ISO9001）认证证书、环境管理体系（ISO14001）认证证书、职业健康安全管理体系（ISO45001）认证证书，每提供一项得</w:t>
      </w:r>
      <w:r>
        <w:rPr>
          <w:rFonts w:hint="eastAsia" w:ascii="宋体" w:hAnsi="宋体" w:cs="宋体"/>
          <w:color w:val="auto"/>
          <w:kern w:val="0"/>
          <w:szCs w:val="21"/>
          <w:lang w:val="en-US" w:eastAsia="zh-CN"/>
        </w:rPr>
        <w:t>1</w:t>
      </w:r>
      <w:r>
        <w:rPr>
          <w:rFonts w:hint="eastAsia" w:ascii="宋体" w:hAnsi="宋体" w:cs="宋体"/>
          <w:color w:val="auto"/>
          <w:kern w:val="0"/>
          <w:szCs w:val="21"/>
        </w:rPr>
        <w:t>分，最多得</w:t>
      </w:r>
      <w:r>
        <w:rPr>
          <w:rFonts w:hint="eastAsia" w:ascii="宋体" w:hAnsi="宋体" w:cs="宋体"/>
          <w:color w:val="auto"/>
          <w:kern w:val="0"/>
          <w:szCs w:val="21"/>
          <w:lang w:val="en-US" w:eastAsia="zh-CN"/>
        </w:rPr>
        <w:t>4</w:t>
      </w:r>
      <w:r>
        <w:rPr>
          <w:rFonts w:hint="eastAsia" w:ascii="宋体" w:hAnsi="宋体" w:cs="宋体"/>
          <w:color w:val="auto"/>
          <w:kern w:val="0"/>
          <w:szCs w:val="21"/>
        </w:rPr>
        <w:t xml:space="preserve">分。（提供复印件加盖公章，原件或公证件备查）； </w:t>
      </w:r>
    </w:p>
    <w:p>
      <w:pPr>
        <w:keepNext w:val="0"/>
        <w:keepLines w:val="0"/>
        <w:pageBreakBefore w:val="0"/>
        <w:widowControl/>
        <w:kinsoku/>
        <w:wordWrap/>
        <w:overflowPunct/>
        <w:topLinePunct w:val="0"/>
        <w:bidi w:val="0"/>
        <w:spacing w:line="480" w:lineRule="exact"/>
        <w:textAlignment w:val="auto"/>
        <w:rPr>
          <w:rFonts w:ascii="宋体" w:hAnsi="宋体" w:cs="宋体"/>
          <w:color w:val="auto"/>
          <w:kern w:val="0"/>
          <w:szCs w:val="21"/>
        </w:rPr>
      </w:pPr>
      <w:r>
        <w:rPr>
          <w:rFonts w:ascii="宋体" w:hAnsi="宋体" w:cs="宋体"/>
          <w:color w:val="auto"/>
          <w:kern w:val="0"/>
          <w:szCs w:val="21"/>
        </w:rPr>
        <w:t>4</w:t>
      </w:r>
      <w:r>
        <w:rPr>
          <w:rFonts w:hint="eastAsia" w:ascii="宋体" w:hAnsi="宋体" w:cs="宋体"/>
          <w:color w:val="auto"/>
          <w:kern w:val="0"/>
          <w:szCs w:val="21"/>
        </w:rPr>
        <w:t>、投标人具有“电子与智能化工程专业承包二级”及</w:t>
      </w:r>
      <w:r>
        <w:rPr>
          <w:rFonts w:ascii="宋体" w:hAnsi="宋体" w:cs="宋体"/>
          <w:color w:val="auto"/>
          <w:kern w:val="0"/>
          <w:szCs w:val="21"/>
        </w:rPr>
        <w:t>以上</w:t>
      </w:r>
      <w:r>
        <w:rPr>
          <w:rFonts w:hint="eastAsia" w:ascii="宋体" w:hAnsi="宋体" w:cs="宋体"/>
          <w:color w:val="auto"/>
          <w:kern w:val="0"/>
          <w:szCs w:val="21"/>
        </w:rPr>
        <w:t>资质得2分，没有则不得分。（提供复印件加盖公司公章，原件备查）</w:t>
      </w:r>
    </w:p>
    <w:p>
      <w:pPr>
        <w:keepNext w:val="0"/>
        <w:keepLines w:val="0"/>
        <w:pageBreakBefore w:val="0"/>
        <w:widowControl/>
        <w:kinsoku/>
        <w:wordWrap/>
        <w:overflowPunct/>
        <w:topLinePunct w:val="0"/>
        <w:bidi w:val="0"/>
        <w:spacing w:line="480" w:lineRule="exact"/>
        <w:textAlignment w:val="auto"/>
        <w:rPr>
          <w:rFonts w:ascii="宋体" w:hAnsi="宋体" w:cs="宋体"/>
          <w:color w:val="auto"/>
          <w:kern w:val="0"/>
          <w:szCs w:val="21"/>
        </w:rPr>
      </w:pPr>
      <w:r>
        <w:rPr>
          <w:rFonts w:ascii="宋体" w:hAnsi="宋体" w:cs="宋体"/>
          <w:color w:val="auto"/>
          <w:kern w:val="0"/>
          <w:szCs w:val="21"/>
        </w:rPr>
        <w:t>5</w:t>
      </w:r>
      <w:r>
        <w:rPr>
          <w:rFonts w:hint="eastAsia" w:ascii="宋体" w:hAnsi="宋体" w:cs="宋体"/>
          <w:color w:val="auto"/>
          <w:kern w:val="0"/>
          <w:szCs w:val="21"/>
        </w:rPr>
        <w:t>、投标人具有“安全生产许可证”得2分，没有则不得分。（提供复印件加盖公司公章，原件备查）</w:t>
      </w:r>
    </w:p>
    <w:p>
      <w:pPr>
        <w:keepNext w:val="0"/>
        <w:keepLines w:val="0"/>
        <w:pageBreakBefore w:val="0"/>
        <w:kinsoku/>
        <w:wordWrap/>
        <w:overflowPunct/>
        <w:topLinePunct w:val="0"/>
        <w:autoSpaceDE w:val="0"/>
        <w:autoSpaceDN w:val="0"/>
        <w:bidi w:val="0"/>
        <w:adjustRightInd w:val="0"/>
        <w:snapToGrid w:val="0"/>
        <w:spacing w:line="480" w:lineRule="exact"/>
        <w:textAlignment w:val="auto"/>
        <w:rPr>
          <w:rFonts w:ascii="宋体" w:hAnsi="宋体"/>
          <w:b/>
          <w:bCs/>
          <w:color w:val="auto"/>
          <w:szCs w:val="21"/>
        </w:rPr>
      </w:pPr>
      <w:r>
        <w:rPr>
          <w:rFonts w:hint="eastAsia" w:ascii="宋体" w:hAnsi="宋体"/>
          <w:b/>
          <w:bCs/>
          <w:color w:val="auto"/>
          <w:szCs w:val="21"/>
        </w:rPr>
        <w:t>3、售后服务得分（满分</w:t>
      </w:r>
      <w:r>
        <w:rPr>
          <w:rFonts w:hint="eastAsia" w:ascii="宋体" w:hAnsi="宋体"/>
          <w:b/>
          <w:bCs/>
          <w:color w:val="auto"/>
          <w:szCs w:val="21"/>
          <w:lang w:val="en-US" w:eastAsia="zh-CN"/>
        </w:rPr>
        <w:t>10</w:t>
      </w:r>
      <w:r>
        <w:rPr>
          <w:rFonts w:hint="eastAsia" w:ascii="宋体" w:hAnsi="宋体"/>
          <w:b/>
          <w:bCs/>
          <w:color w:val="auto"/>
          <w:szCs w:val="21"/>
        </w:rPr>
        <w:t>分）</w:t>
      </w:r>
    </w:p>
    <w:p>
      <w:pPr>
        <w:keepNext w:val="0"/>
        <w:keepLines w:val="0"/>
        <w:pageBreakBefore w:val="0"/>
        <w:widowControl/>
        <w:kinsoku/>
        <w:wordWrap/>
        <w:overflowPunct/>
        <w:topLinePunct w:val="0"/>
        <w:bidi w:val="0"/>
        <w:spacing w:line="480" w:lineRule="exact"/>
        <w:ind w:firstLine="420" w:firstLineChars="200"/>
        <w:jc w:val="left"/>
        <w:textAlignment w:val="auto"/>
        <w:rPr>
          <w:rFonts w:ascii="宋体" w:hAnsi="宋体" w:cs="宋体"/>
          <w:color w:val="auto"/>
          <w:kern w:val="0"/>
          <w:szCs w:val="21"/>
        </w:rPr>
      </w:pPr>
      <w:r>
        <w:rPr>
          <w:rFonts w:hint="eastAsia" w:ascii="宋体" w:hAnsi="宋体" w:cs="宋体"/>
          <w:color w:val="auto"/>
          <w:kern w:val="0"/>
          <w:szCs w:val="21"/>
        </w:rPr>
        <w:t>1、投标人在扬州设有分公司、分支机构、办事处，或授权售后服务单位的得</w:t>
      </w:r>
      <w:r>
        <w:rPr>
          <w:rFonts w:hint="eastAsia" w:ascii="宋体" w:hAnsi="宋体" w:cs="宋体"/>
          <w:color w:val="auto"/>
          <w:kern w:val="0"/>
          <w:szCs w:val="21"/>
          <w:lang w:val="en-US" w:eastAsia="zh-CN"/>
        </w:rPr>
        <w:t>3</w:t>
      </w:r>
      <w:r>
        <w:rPr>
          <w:rFonts w:hint="eastAsia" w:ascii="宋体" w:hAnsi="宋体" w:cs="宋体"/>
          <w:color w:val="auto"/>
          <w:kern w:val="0"/>
          <w:szCs w:val="21"/>
        </w:rPr>
        <w:t>分，其他不得分（提供营业执照或其他证明材料复印件加盖投标人公章）；</w:t>
      </w:r>
    </w:p>
    <w:p>
      <w:pPr>
        <w:keepNext w:val="0"/>
        <w:keepLines w:val="0"/>
        <w:pageBreakBefore w:val="0"/>
        <w:widowControl w:val="0"/>
        <w:kinsoku/>
        <w:wordWrap/>
        <w:overflowPunct/>
        <w:topLinePunct w:val="0"/>
        <w:autoSpaceDE w:val="0"/>
        <w:autoSpaceDN w:val="0"/>
        <w:bidi w:val="0"/>
        <w:adjustRightInd w:val="0"/>
        <w:snapToGrid w:val="0"/>
        <w:spacing w:line="480" w:lineRule="exact"/>
        <w:ind w:firstLine="420" w:firstLineChars="200"/>
        <w:textAlignment w:val="auto"/>
        <w:rPr>
          <w:rFonts w:hint="eastAsia" w:ascii="宋体" w:hAnsi="宋体"/>
          <w:color w:val="auto"/>
          <w:szCs w:val="21"/>
          <w:lang w:val="zh-CN"/>
        </w:rPr>
      </w:pPr>
      <w:r>
        <w:rPr>
          <w:rFonts w:hint="eastAsia" w:ascii="宋体" w:hAnsi="宋体" w:cs="宋体"/>
          <w:color w:val="auto"/>
          <w:kern w:val="0"/>
          <w:szCs w:val="21"/>
        </w:rPr>
        <w:t>2、投标人提供</w:t>
      </w:r>
      <w:r>
        <w:rPr>
          <w:rFonts w:hint="eastAsia" w:ascii="宋体" w:hAnsi="宋体"/>
          <w:color w:val="auto"/>
          <w:szCs w:val="21"/>
          <w:lang w:val="zh-CN"/>
        </w:rPr>
        <w:t>服务响应承诺：</w:t>
      </w:r>
      <w:r>
        <w:rPr>
          <w:rFonts w:hint="eastAsia" w:ascii="宋体" w:hAnsi="宋体" w:cs="宋体"/>
          <w:color w:val="auto"/>
          <w:sz w:val="21"/>
          <w:szCs w:val="21"/>
        </w:rPr>
        <w:t>出现故障承诺在半小时内响应，2小时内现场处理，</w:t>
      </w:r>
      <w:r>
        <w:rPr>
          <w:rFonts w:hint="eastAsia" w:ascii="宋体" w:hAnsi="宋体" w:cs="宋体"/>
          <w:color w:val="auto"/>
          <w:sz w:val="21"/>
          <w:szCs w:val="21"/>
          <w:lang w:val="en-US" w:eastAsia="zh-CN"/>
        </w:rPr>
        <w:t>12</w:t>
      </w:r>
      <w:r>
        <w:rPr>
          <w:rFonts w:hint="eastAsia" w:ascii="宋体" w:hAnsi="宋体" w:cs="宋体"/>
          <w:color w:val="auto"/>
          <w:sz w:val="21"/>
          <w:szCs w:val="21"/>
        </w:rPr>
        <w:t>小时内故障处理完毕的得</w:t>
      </w:r>
      <w:r>
        <w:rPr>
          <w:rFonts w:hint="eastAsia" w:ascii="宋体" w:hAnsi="宋体" w:cs="宋体"/>
          <w:color w:val="auto"/>
          <w:sz w:val="21"/>
          <w:szCs w:val="21"/>
          <w:lang w:val="en-US" w:eastAsia="zh-CN"/>
        </w:rPr>
        <w:t>3</w:t>
      </w:r>
      <w:r>
        <w:rPr>
          <w:rFonts w:hint="eastAsia" w:ascii="宋体" w:hAnsi="宋体" w:cs="宋体"/>
          <w:color w:val="auto"/>
          <w:sz w:val="21"/>
          <w:szCs w:val="21"/>
        </w:rPr>
        <w:t>分；4小时内现场处理，</w:t>
      </w:r>
      <w:r>
        <w:rPr>
          <w:rFonts w:hint="eastAsia" w:ascii="宋体" w:hAnsi="宋体" w:cs="宋体"/>
          <w:color w:val="auto"/>
          <w:sz w:val="21"/>
          <w:szCs w:val="21"/>
          <w:lang w:val="en-US" w:eastAsia="zh-CN"/>
        </w:rPr>
        <w:t>24</w:t>
      </w:r>
      <w:r>
        <w:rPr>
          <w:rFonts w:hint="eastAsia" w:ascii="宋体" w:hAnsi="宋体" w:cs="宋体"/>
          <w:color w:val="auto"/>
          <w:sz w:val="21"/>
          <w:szCs w:val="21"/>
        </w:rPr>
        <w:t>小时内故障处理完毕的得</w:t>
      </w:r>
      <w:r>
        <w:rPr>
          <w:rFonts w:hint="eastAsia" w:ascii="宋体" w:hAnsi="宋体" w:cs="宋体"/>
          <w:color w:val="auto"/>
          <w:sz w:val="21"/>
          <w:szCs w:val="21"/>
          <w:lang w:val="en-US" w:eastAsia="zh-CN"/>
        </w:rPr>
        <w:t>2</w:t>
      </w:r>
      <w:r>
        <w:rPr>
          <w:rFonts w:hint="eastAsia" w:ascii="宋体" w:hAnsi="宋体" w:cs="宋体"/>
          <w:color w:val="auto"/>
          <w:sz w:val="21"/>
          <w:szCs w:val="21"/>
        </w:rPr>
        <w:t>分，其他不得分。</w:t>
      </w:r>
      <w:r>
        <w:rPr>
          <w:rFonts w:hint="eastAsia" w:ascii="宋体" w:hAnsi="宋体"/>
          <w:color w:val="auto"/>
          <w:szCs w:val="21"/>
          <w:lang w:val="zh-CN"/>
        </w:rPr>
        <w:t>（提供售后服务承诺书加盖投标人公章）。</w:t>
      </w:r>
    </w:p>
    <w:p>
      <w:pPr>
        <w:pStyle w:val="5"/>
        <w:keepNext w:val="0"/>
        <w:keepLines w:val="0"/>
        <w:pageBreakBefore w:val="0"/>
        <w:widowControl w:val="0"/>
        <w:numPr>
          <w:ilvl w:val="0"/>
          <w:numId w:val="0"/>
        </w:numPr>
        <w:kinsoku/>
        <w:wordWrap/>
        <w:overflowPunct/>
        <w:topLinePunct w:val="0"/>
        <w:bidi w:val="0"/>
        <w:spacing w:line="480" w:lineRule="exact"/>
        <w:ind w:firstLine="420" w:firstLineChars="200"/>
        <w:textAlignment w:val="auto"/>
        <w:rPr>
          <w:rFonts w:hint="default" w:ascii="宋体" w:hAnsi="宋体" w:eastAsia="宋体"/>
          <w:color w:val="auto"/>
          <w:szCs w:val="21"/>
          <w:lang w:val="en-US" w:eastAsia="zh-CN"/>
        </w:rPr>
      </w:pPr>
      <w:r>
        <w:rPr>
          <w:rFonts w:hint="eastAsia" w:ascii="宋体" w:hAnsi="宋体"/>
          <w:color w:val="auto"/>
          <w:szCs w:val="21"/>
          <w:lang w:val="en-US" w:eastAsia="zh-CN"/>
        </w:rPr>
        <w:t>3、根据投标人提供的技术培训方案酌情打分，基本分1分，最多得4分，没有不得分。</w:t>
      </w:r>
    </w:p>
    <w:p>
      <w:pPr>
        <w:autoSpaceDE w:val="0"/>
        <w:autoSpaceDN w:val="0"/>
        <w:adjustRightInd w:val="0"/>
        <w:snapToGrid w:val="0"/>
        <w:spacing w:line="480" w:lineRule="exact"/>
        <w:rPr>
          <w:rFonts w:ascii="宋体" w:hAnsi="宋体"/>
          <w:b/>
          <w:bCs/>
          <w:color w:val="auto"/>
          <w:szCs w:val="21"/>
        </w:rPr>
      </w:pPr>
      <w:r>
        <w:rPr>
          <w:rFonts w:hint="eastAsia" w:ascii="宋体" w:hAnsi="宋体"/>
          <w:b/>
          <w:bCs/>
          <w:color w:val="auto"/>
          <w:szCs w:val="21"/>
        </w:rPr>
        <w:t xml:space="preserve">4、业绩得分  （满分 </w:t>
      </w:r>
      <w:r>
        <w:rPr>
          <w:rFonts w:ascii="宋体" w:hAnsi="宋体"/>
          <w:b/>
          <w:bCs/>
          <w:color w:val="auto"/>
          <w:szCs w:val="21"/>
        </w:rPr>
        <w:t>4</w:t>
      </w:r>
      <w:r>
        <w:rPr>
          <w:rFonts w:hint="eastAsia" w:ascii="宋体" w:hAnsi="宋体"/>
          <w:b/>
          <w:bCs/>
          <w:color w:val="auto"/>
          <w:szCs w:val="21"/>
        </w:rPr>
        <w:t>分）</w:t>
      </w:r>
    </w:p>
    <w:p>
      <w:pPr>
        <w:keepNext w:val="0"/>
        <w:keepLines w:val="0"/>
        <w:pageBreakBefore w:val="0"/>
        <w:widowControl w:val="0"/>
        <w:kinsoku/>
        <w:wordWrap/>
        <w:overflowPunct/>
        <w:topLinePunct w:val="0"/>
        <w:autoSpaceDE w:val="0"/>
        <w:autoSpaceDN w:val="0"/>
        <w:bidi w:val="0"/>
        <w:adjustRightInd w:val="0"/>
        <w:snapToGrid w:val="0"/>
        <w:spacing w:line="480" w:lineRule="exact"/>
        <w:ind w:firstLine="561"/>
        <w:textAlignment w:val="auto"/>
        <w:rPr>
          <w:rFonts w:hint="eastAsia" w:ascii="宋体" w:hAnsi="宋体" w:cs="宋体"/>
          <w:color w:val="auto"/>
          <w:kern w:val="0"/>
          <w:szCs w:val="21"/>
        </w:rPr>
      </w:pPr>
      <w:r>
        <w:rPr>
          <w:rFonts w:hint="eastAsia" w:ascii="宋体" w:hAnsi="宋体" w:cs="宋体"/>
          <w:color w:val="auto"/>
          <w:kern w:val="0"/>
          <w:szCs w:val="21"/>
        </w:rPr>
        <w:t>1、投标人提供自2018年1月1日（以合同书签订时间为准）至今已完工的30万以上类似项目案例，案例有1个得2分，满分4分。</w:t>
      </w:r>
    </w:p>
    <w:p>
      <w:pPr>
        <w:keepNext w:val="0"/>
        <w:keepLines w:val="0"/>
        <w:pageBreakBefore w:val="0"/>
        <w:kinsoku/>
        <w:wordWrap/>
        <w:overflowPunct/>
        <w:topLinePunct w:val="0"/>
        <w:autoSpaceDE w:val="0"/>
        <w:autoSpaceDN w:val="0"/>
        <w:bidi w:val="0"/>
        <w:adjustRightInd w:val="0"/>
        <w:snapToGrid w:val="0"/>
        <w:spacing w:line="480" w:lineRule="exact"/>
        <w:textAlignment w:val="auto"/>
        <w:rPr>
          <w:rFonts w:ascii="宋体" w:hAnsi="宋体"/>
          <w:b/>
          <w:color w:val="auto"/>
          <w:szCs w:val="21"/>
        </w:rPr>
      </w:pPr>
      <w:r>
        <w:rPr>
          <w:rFonts w:hint="eastAsia" w:ascii="宋体" w:hAnsi="宋体"/>
          <w:b/>
          <w:color w:val="auto"/>
          <w:szCs w:val="21"/>
        </w:rPr>
        <w:t>&lt;二&gt;、技术评审得分（满分26分）</w:t>
      </w:r>
    </w:p>
    <w:p>
      <w:pPr>
        <w:pStyle w:val="5"/>
        <w:keepNext w:val="0"/>
        <w:keepLines w:val="0"/>
        <w:pageBreakBefore w:val="0"/>
        <w:numPr>
          <w:ilvl w:val="0"/>
          <w:numId w:val="0"/>
        </w:numPr>
        <w:kinsoku/>
        <w:wordWrap/>
        <w:overflowPunct/>
        <w:topLinePunct w:val="0"/>
        <w:bidi w:val="0"/>
        <w:spacing w:line="480" w:lineRule="exact"/>
        <w:ind w:left="780" w:hanging="360"/>
        <w:textAlignment w:val="auto"/>
        <w:rPr>
          <w:rFonts w:ascii="宋体" w:hAnsi="宋体" w:cs="宋体"/>
          <w:color w:val="auto"/>
          <w:kern w:val="0"/>
          <w:szCs w:val="21"/>
        </w:rPr>
      </w:pPr>
      <w:r>
        <w:rPr>
          <w:rFonts w:hint="eastAsia" w:ascii="宋体" w:hAnsi="宋体" w:cs="宋体"/>
          <w:color w:val="auto"/>
          <w:kern w:val="0"/>
          <w:szCs w:val="21"/>
        </w:rPr>
        <w:t>1、技术性能（满分10分）</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480" w:lineRule="exact"/>
        <w:ind w:left="0" w:firstLine="420"/>
        <w:textAlignment w:val="auto"/>
        <w:rPr>
          <w:color w:val="auto"/>
        </w:rPr>
      </w:pPr>
      <w:r>
        <w:rPr>
          <w:rFonts w:hint="eastAsia" w:ascii="宋体" w:hAnsi="宋体" w:cs="宋体"/>
          <w:color w:val="auto"/>
          <w:kern w:val="0"/>
          <w:szCs w:val="21"/>
        </w:rPr>
        <w:t>根据投标人所投主产品技术参数与招标文件要求比较，技术参数标★参数，以提供权威检测机构出具的检测报告 (提供检验报告复印件加盖厂家公章或投标专用章) 或厂家盖章证明材料为准。系统和设备标★参数低于招标文件要求的或无权威机构检测报告或厂家盖章证明材料，每一项扣1分，非打“★”参数低于招标文件要求的，每一项扣0.5分，扣完为止（满分10分）。</w:t>
      </w:r>
    </w:p>
    <w:p>
      <w:pPr>
        <w:pStyle w:val="18"/>
        <w:keepNext w:val="0"/>
        <w:keepLines w:val="0"/>
        <w:pageBreakBefore w:val="0"/>
        <w:numPr>
          <w:ilvl w:val="0"/>
          <w:numId w:val="4"/>
        </w:numPr>
        <w:kinsoku/>
        <w:wordWrap/>
        <w:overflowPunct/>
        <w:topLinePunct w:val="0"/>
        <w:autoSpaceDE w:val="0"/>
        <w:autoSpaceDN w:val="0"/>
        <w:bidi w:val="0"/>
        <w:adjustRightInd w:val="0"/>
        <w:snapToGrid w:val="0"/>
        <w:spacing w:line="480" w:lineRule="exact"/>
        <w:ind w:firstLineChars="0"/>
        <w:textAlignment w:val="auto"/>
        <w:rPr>
          <w:rFonts w:ascii="宋体" w:hAnsi="宋体" w:cs="宋体"/>
          <w:color w:val="auto"/>
          <w:kern w:val="0"/>
          <w:szCs w:val="21"/>
        </w:rPr>
      </w:pPr>
      <w:r>
        <w:rPr>
          <w:rFonts w:hint="eastAsia" w:ascii="宋体" w:hAnsi="宋体" w:cs="宋体"/>
          <w:color w:val="auto"/>
          <w:kern w:val="0"/>
          <w:szCs w:val="21"/>
        </w:rPr>
        <w:t>技术和实施方案（</w:t>
      </w:r>
      <w:r>
        <w:rPr>
          <w:rFonts w:ascii="宋体" w:hAnsi="宋体" w:cs="宋体"/>
          <w:color w:val="auto"/>
          <w:kern w:val="0"/>
          <w:szCs w:val="21"/>
        </w:rPr>
        <w:t>6</w:t>
      </w:r>
      <w:r>
        <w:rPr>
          <w:rFonts w:hint="eastAsia" w:ascii="宋体" w:hAnsi="宋体" w:cs="宋体"/>
          <w:color w:val="auto"/>
          <w:kern w:val="0"/>
          <w:szCs w:val="21"/>
        </w:rPr>
        <w:t>分）</w:t>
      </w:r>
    </w:p>
    <w:p>
      <w:pPr>
        <w:pStyle w:val="18"/>
        <w:keepNext w:val="0"/>
        <w:keepLines w:val="0"/>
        <w:pageBreakBefore w:val="0"/>
        <w:kinsoku/>
        <w:wordWrap/>
        <w:overflowPunct/>
        <w:topLinePunct w:val="0"/>
        <w:bidi w:val="0"/>
        <w:spacing w:line="480" w:lineRule="exact"/>
        <w:ind w:left="360" w:firstLine="0" w:firstLineChars="0"/>
        <w:textAlignment w:val="auto"/>
        <w:rPr>
          <w:rFonts w:ascii="宋体" w:hAnsi="宋体"/>
          <w:color w:val="auto"/>
          <w:szCs w:val="21"/>
        </w:rPr>
      </w:pPr>
      <w:r>
        <w:rPr>
          <w:rFonts w:hint="eastAsia" w:ascii="宋体" w:hAnsi="宋体"/>
          <w:color w:val="auto"/>
          <w:szCs w:val="21"/>
        </w:rPr>
        <w:t>1）、投标人提供结构清晰、规范全面的技术方案，深入理解建设目标，明确建设内容等。</w:t>
      </w:r>
    </w:p>
    <w:p>
      <w:pPr>
        <w:pStyle w:val="18"/>
        <w:keepNext w:val="0"/>
        <w:keepLines w:val="0"/>
        <w:pageBreakBefore w:val="0"/>
        <w:kinsoku/>
        <w:wordWrap/>
        <w:overflowPunct/>
        <w:topLinePunct w:val="0"/>
        <w:bidi w:val="0"/>
        <w:spacing w:line="480" w:lineRule="exact"/>
        <w:ind w:left="720" w:firstLine="0" w:firstLineChars="0"/>
        <w:textAlignment w:val="auto"/>
        <w:rPr>
          <w:rFonts w:ascii="宋体" w:hAnsi="宋体"/>
          <w:color w:val="auto"/>
          <w:szCs w:val="21"/>
        </w:rPr>
      </w:pPr>
      <w:r>
        <w:rPr>
          <w:rFonts w:hint="eastAsia" w:ascii="宋体" w:hAnsi="宋体"/>
          <w:color w:val="auto"/>
          <w:szCs w:val="21"/>
        </w:rPr>
        <w:t>方案结构清晰，规范全面，提供资料完整，得</w:t>
      </w:r>
      <w:r>
        <w:rPr>
          <w:rFonts w:ascii="宋体" w:hAnsi="宋体"/>
          <w:color w:val="auto"/>
          <w:szCs w:val="21"/>
        </w:rPr>
        <w:t>3</w:t>
      </w:r>
      <w:r>
        <w:rPr>
          <w:rFonts w:hint="eastAsia" w:ascii="宋体" w:hAnsi="宋体"/>
          <w:color w:val="auto"/>
          <w:szCs w:val="21"/>
        </w:rPr>
        <w:t>分</w:t>
      </w:r>
    </w:p>
    <w:p>
      <w:pPr>
        <w:pStyle w:val="18"/>
        <w:keepNext w:val="0"/>
        <w:keepLines w:val="0"/>
        <w:pageBreakBefore w:val="0"/>
        <w:kinsoku/>
        <w:wordWrap/>
        <w:overflowPunct/>
        <w:topLinePunct w:val="0"/>
        <w:bidi w:val="0"/>
        <w:spacing w:line="480" w:lineRule="exact"/>
        <w:ind w:left="720" w:firstLine="0" w:firstLineChars="0"/>
        <w:textAlignment w:val="auto"/>
        <w:rPr>
          <w:rFonts w:ascii="宋体" w:hAnsi="宋体"/>
          <w:color w:val="auto"/>
          <w:szCs w:val="21"/>
        </w:rPr>
      </w:pPr>
      <w:r>
        <w:rPr>
          <w:rFonts w:hint="eastAsia" w:ascii="宋体" w:hAnsi="宋体"/>
          <w:color w:val="auto"/>
          <w:szCs w:val="21"/>
        </w:rPr>
        <w:t>方案比较结构清晰，比较规范全面，提供资料较完整，得</w:t>
      </w:r>
      <w:r>
        <w:rPr>
          <w:rFonts w:ascii="宋体" w:hAnsi="宋体"/>
          <w:color w:val="auto"/>
          <w:szCs w:val="21"/>
        </w:rPr>
        <w:t>2</w:t>
      </w:r>
      <w:r>
        <w:rPr>
          <w:rFonts w:hint="eastAsia" w:ascii="宋体" w:hAnsi="宋体"/>
          <w:color w:val="auto"/>
          <w:szCs w:val="21"/>
        </w:rPr>
        <w:t>分</w:t>
      </w:r>
    </w:p>
    <w:p>
      <w:pPr>
        <w:pStyle w:val="18"/>
        <w:keepNext w:val="0"/>
        <w:keepLines w:val="0"/>
        <w:pageBreakBefore w:val="0"/>
        <w:widowControl/>
        <w:kinsoku/>
        <w:wordWrap/>
        <w:overflowPunct/>
        <w:topLinePunct w:val="0"/>
        <w:bidi w:val="0"/>
        <w:spacing w:line="480" w:lineRule="exact"/>
        <w:ind w:left="720" w:firstLine="0" w:firstLineChars="0"/>
        <w:textAlignment w:val="auto"/>
        <w:rPr>
          <w:rFonts w:ascii="宋体" w:hAnsi="宋体"/>
          <w:color w:val="auto"/>
          <w:szCs w:val="21"/>
        </w:rPr>
      </w:pPr>
      <w:r>
        <w:rPr>
          <w:rFonts w:hint="eastAsia" w:ascii="宋体" w:hAnsi="宋体"/>
          <w:color w:val="auto"/>
          <w:szCs w:val="21"/>
        </w:rPr>
        <w:t>方案整体设计一般，得1分</w:t>
      </w:r>
    </w:p>
    <w:p>
      <w:pPr>
        <w:keepNext w:val="0"/>
        <w:keepLines w:val="0"/>
        <w:pageBreakBefore w:val="0"/>
        <w:widowControl/>
        <w:kinsoku/>
        <w:wordWrap/>
        <w:overflowPunct/>
        <w:topLinePunct w:val="0"/>
        <w:bidi w:val="0"/>
        <w:spacing w:line="480" w:lineRule="exact"/>
        <w:ind w:left="315" w:leftChars="150"/>
        <w:textAlignment w:val="auto"/>
        <w:rPr>
          <w:rFonts w:ascii="宋体" w:hAnsi="宋体" w:cs="宋体"/>
          <w:color w:val="auto"/>
          <w:kern w:val="0"/>
          <w:szCs w:val="21"/>
        </w:rPr>
      </w:pPr>
      <w:r>
        <w:rPr>
          <w:rFonts w:hint="eastAsia" w:ascii="宋体" w:hAnsi="宋体" w:cs="宋体"/>
          <w:color w:val="auto"/>
          <w:kern w:val="0"/>
          <w:szCs w:val="21"/>
        </w:rPr>
        <w:t>2）、投标人施工总体部署合理，对本工程特点有针对性措施，主要分项工程的施工方法切实可行、质量安全保证措施完善、施工进度计划及工期保证措施恰当。</w:t>
      </w:r>
    </w:p>
    <w:p>
      <w:pPr>
        <w:pStyle w:val="18"/>
        <w:keepNext w:val="0"/>
        <w:keepLines w:val="0"/>
        <w:pageBreakBefore w:val="0"/>
        <w:widowControl/>
        <w:kinsoku/>
        <w:wordWrap/>
        <w:overflowPunct/>
        <w:topLinePunct w:val="0"/>
        <w:bidi w:val="0"/>
        <w:spacing w:line="480" w:lineRule="exact"/>
        <w:ind w:left="720" w:firstLine="0" w:firstLineChars="0"/>
        <w:textAlignment w:val="auto"/>
        <w:rPr>
          <w:rFonts w:ascii="宋体" w:hAnsi="宋体" w:cs="宋体"/>
          <w:color w:val="auto"/>
          <w:kern w:val="0"/>
          <w:szCs w:val="21"/>
        </w:rPr>
      </w:pPr>
      <w:r>
        <w:rPr>
          <w:rFonts w:hint="eastAsia" w:ascii="宋体" w:hAnsi="宋体" w:cs="宋体"/>
          <w:color w:val="auto"/>
          <w:kern w:val="0"/>
          <w:szCs w:val="21"/>
        </w:rPr>
        <w:t>方案结构清晰，规范全面，提供资料完整，得</w:t>
      </w:r>
      <w:r>
        <w:rPr>
          <w:rFonts w:ascii="宋体" w:hAnsi="宋体" w:cs="宋体"/>
          <w:color w:val="auto"/>
          <w:kern w:val="0"/>
          <w:szCs w:val="21"/>
        </w:rPr>
        <w:t>3</w:t>
      </w:r>
      <w:r>
        <w:rPr>
          <w:rFonts w:hint="eastAsia" w:ascii="宋体" w:hAnsi="宋体" w:cs="宋体"/>
          <w:color w:val="auto"/>
          <w:kern w:val="0"/>
          <w:szCs w:val="21"/>
        </w:rPr>
        <w:t>分</w:t>
      </w:r>
    </w:p>
    <w:p>
      <w:pPr>
        <w:pStyle w:val="18"/>
        <w:keepNext w:val="0"/>
        <w:keepLines w:val="0"/>
        <w:pageBreakBefore w:val="0"/>
        <w:widowControl/>
        <w:kinsoku/>
        <w:wordWrap/>
        <w:overflowPunct/>
        <w:topLinePunct w:val="0"/>
        <w:bidi w:val="0"/>
        <w:spacing w:line="480" w:lineRule="exact"/>
        <w:ind w:left="720" w:firstLine="0" w:firstLineChars="0"/>
        <w:textAlignment w:val="auto"/>
        <w:rPr>
          <w:rFonts w:ascii="宋体" w:hAnsi="宋体" w:cs="宋体"/>
          <w:color w:val="auto"/>
          <w:kern w:val="0"/>
          <w:szCs w:val="21"/>
        </w:rPr>
      </w:pPr>
      <w:r>
        <w:rPr>
          <w:rFonts w:hint="eastAsia" w:ascii="宋体" w:hAnsi="宋体" w:cs="宋体"/>
          <w:color w:val="auto"/>
          <w:kern w:val="0"/>
          <w:szCs w:val="21"/>
        </w:rPr>
        <w:t>方案比较结构清晰，比较规范全面，提供资料较完整，得</w:t>
      </w:r>
      <w:r>
        <w:rPr>
          <w:rFonts w:ascii="宋体" w:hAnsi="宋体" w:cs="宋体"/>
          <w:color w:val="auto"/>
          <w:kern w:val="0"/>
          <w:szCs w:val="21"/>
        </w:rPr>
        <w:t>2</w:t>
      </w:r>
      <w:r>
        <w:rPr>
          <w:rFonts w:hint="eastAsia" w:ascii="宋体" w:hAnsi="宋体" w:cs="宋体"/>
          <w:color w:val="auto"/>
          <w:kern w:val="0"/>
          <w:szCs w:val="21"/>
        </w:rPr>
        <w:t>分</w:t>
      </w:r>
    </w:p>
    <w:p>
      <w:pPr>
        <w:pStyle w:val="5"/>
        <w:keepNext w:val="0"/>
        <w:keepLines w:val="0"/>
        <w:pageBreakBefore w:val="0"/>
        <w:numPr>
          <w:ilvl w:val="0"/>
          <w:numId w:val="0"/>
        </w:numPr>
        <w:kinsoku/>
        <w:wordWrap/>
        <w:overflowPunct/>
        <w:topLinePunct w:val="0"/>
        <w:bidi w:val="0"/>
        <w:spacing w:line="480" w:lineRule="exact"/>
        <w:ind w:left="720"/>
        <w:textAlignment w:val="auto"/>
        <w:rPr>
          <w:rFonts w:ascii="宋体" w:hAnsi="宋体" w:cs="宋体"/>
          <w:color w:val="auto"/>
          <w:kern w:val="0"/>
          <w:szCs w:val="21"/>
        </w:rPr>
      </w:pPr>
      <w:r>
        <w:rPr>
          <w:rFonts w:hint="eastAsia" w:ascii="宋体" w:hAnsi="宋体" w:cs="宋体"/>
          <w:color w:val="auto"/>
          <w:kern w:val="0"/>
          <w:szCs w:val="21"/>
        </w:rPr>
        <w:t>方案整体设计一般，得1分</w:t>
      </w:r>
    </w:p>
    <w:p>
      <w:pPr>
        <w:pStyle w:val="5"/>
        <w:keepNext w:val="0"/>
        <w:keepLines w:val="0"/>
        <w:pageBreakBefore w:val="0"/>
        <w:numPr>
          <w:ilvl w:val="0"/>
          <w:numId w:val="4"/>
        </w:numPr>
        <w:kinsoku/>
        <w:wordWrap/>
        <w:overflowPunct/>
        <w:topLinePunct w:val="0"/>
        <w:bidi w:val="0"/>
        <w:spacing w:line="480" w:lineRule="exact"/>
        <w:textAlignment w:val="auto"/>
        <w:rPr>
          <w:rFonts w:ascii="宋体" w:hAnsi="宋体" w:cs="宋体"/>
          <w:color w:val="auto"/>
          <w:kern w:val="0"/>
          <w:szCs w:val="21"/>
        </w:rPr>
      </w:pPr>
      <w:r>
        <w:rPr>
          <w:rFonts w:hint="eastAsia" w:ascii="宋体" w:hAnsi="宋体" w:cs="宋体"/>
          <w:color w:val="auto"/>
          <w:kern w:val="0"/>
          <w:szCs w:val="21"/>
        </w:rPr>
        <w:t>实施能力（</w:t>
      </w:r>
      <w:r>
        <w:rPr>
          <w:rFonts w:ascii="宋体" w:hAnsi="宋体" w:cs="宋体"/>
          <w:color w:val="auto"/>
          <w:kern w:val="0"/>
          <w:szCs w:val="21"/>
        </w:rPr>
        <w:t>10</w:t>
      </w:r>
      <w:r>
        <w:rPr>
          <w:rFonts w:hint="eastAsia" w:ascii="宋体" w:hAnsi="宋体" w:cs="宋体"/>
          <w:color w:val="auto"/>
          <w:kern w:val="0"/>
          <w:szCs w:val="21"/>
        </w:rPr>
        <w:t>分）</w:t>
      </w:r>
    </w:p>
    <w:p>
      <w:pPr>
        <w:pStyle w:val="18"/>
        <w:keepNext w:val="0"/>
        <w:keepLines w:val="0"/>
        <w:pageBreakBefore w:val="0"/>
        <w:kinsoku/>
        <w:wordWrap/>
        <w:overflowPunct/>
        <w:topLinePunct w:val="0"/>
        <w:bidi w:val="0"/>
        <w:spacing w:line="480" w:lineRule="exact"/>
        <w:ind w:left="720" w:firstLine="0" w:firstLineChars="0"/>
        <w:textAlignment w:val="auto"/>
        <w:rPr>
          <w:rFonts w:ascii="宋体" w:hAnsi="宋体"/>
          <w:color w:val="auto"/>
          <w:szCs w:val="21"/>
        </w:rPr>
      </w:pPr>
      <w:r>
        <w:rPr>
          <w:rFonts w:hint="eastAsia" w:ascii="宋体" w:hAnsi="宋体"/>
          <w:color w:val="auto"/>
          <w:szCs w:val="21"/>
        </w:rPr>
        <w:t>本项目团队人员具有注册一级建造师（机电或通信专业）2人及以上得</w:t>
      </w:r>
      <w:r>
        <w:rPr>
          <w:rFonts w:ascii="宋体" w:hAnsi="宋体"/>
          <w:color w:val="auto"/>
          <w:szCs w:val="21"/>
        </w:rPr>
        <w:t>2</w:t>
      </w:r>
      <w:r>
        <w:rPr>
          <w:rFonts w:hint="eastAsia" w:ascii="宋体" w:hAnsi="宋体"/>
          <w:color w:val="auto"/>
          <w:szCs w:val="21"/>
        </w:rPr>
        <w:t>分，其他不得分；</w:t>
      </w:r>
    </w:p>
    <w:p>
      <w:pPr>
        <w:pStyle w:val="18"/>
        <w:keepNext w:val="0"/>
        <w:keepLines w:val="0"/>
        <w:pageBreakBefore w:val="0"/>
        <w:kinsoku/>
        <w:wordWrap/>
        <w:overflowPunct/>
        <w:topLinePunct w:val="0"/>
        <w:bidi w:val="0"/>
        <w:spacing w:line="480" w:lineRule="exact"/>
        <w:ind w:left="720" w:firstLine="0" w:firstLineChars="0"/>
        <w:textAlignment w:val="auto"/>
        <w:rPr>
          <w:rFonts w:ascii="宋体" w:hAnsi="宋体"/>
          <w:color w:val="auto"/>
          <w:szCs w:val="21"/>
        </w:rPr>
      </w:pPr>
      <w:r>
        <w:rPr>
          <w:rFonts w:hint="eastAsia" w:ascii="宋体" w:hAnsi="宋体"/>
          <w:color w:val="auto"/>
          <w:szCs w:val="21"/>
        </w:rPr>
        <w:t>本项目团队人员具备电工作业证书，2人及以上得</w:t>
      </w:r>
      <w:r>
        <w:rPr>
          <w:rFonts w:ascii="宋体" w:hAnsi="宋体"/>
          <w:color w:val="auto"/>
          <w:szCs w:val="21"/>
        </w:rPr>
        <w:t>2</w:t>
      </w:r>
      <w:r>
        <w:rPr>
          <w:rFonts w:hint="eastAsia" w:ascii="宋体" w:hAnsi="宋体"/>
          <w:color w:val="auto"/>
          <w:szCs w:val="21"/>
        </w:rPr>
        <w:t>分，其他不得分；</w:t>
      </w:r>
    </w:p>
    <w:p>
      <w:pPr>
        <w:pStyle w:val="18"/>
        <w:keepNext w:val="0"/>
        <w:keepLines w:val="0"/>
        <w:pageBreakBefore w:val="0"/>
        <w:kinsoku/>
        <w:wordWrap/>
        <w:overflowPunct/>
        <w:topLinePunct w:val="0"/>
        <w:bidi w:val="0"/>
        <w:spacing w:line="480" w:lineRule="exact"/>
        <w:ind w:left="720" w:firstLine="0" w:firstLineChars="0"/>
        <w:textAlignment w:val="auto"/>
        <w:rPr>
          <w:rFonts w:ascii="宋体" w:hAnsi="宋体"/>
          <w:color w:val="auto"/>
          <w:szCs w:val="21"/>
        </w:rPr>
      </w:pPr>
      <w:r>
        <w:rPr>
          <w:rFonts w:hint="eastAsia" w:ascii="宋体" w:hAnsi="宋体"/>
          <w:color w:val="auto"/>
          <w:szCs w:val="21"/>
        </w:rPr>
        <w:t>本项目团队人员具备焊工作业证书，2人及以上得</w:t>
      </w:r>
      <w:r>
        <w:rPr>
          <w:rFonts w:ascii="宋体" w:hAnsi="宋体"/>
          <w:color w:val="auto"/>
          <w:szCs w:val="21"/>
        </w:rPr>
        <w:t>2</w:t>
      </w:r>
      <w:r>
        <w:rPr>
          <w:rFonts w:hint="eastAsia" w:ascii="宋体" w:hAnsi="宋体"/>
          <w:color w:val="auto"/>
          <w:szCs w:val="21"/>
        </w:rPr>
        <w:t>分，其他不得分；</w:t>
      </w:r>
    </w:p>
    <w:p>
      <w:pPr>
        <w:pStyle w:val="18"/>
        <w:keepNext w:val="0"/>
        <w:keepLines w:val="0"/>
        <w:pageBreakBefore w:val="0"/>
        <w:kinsoku/>
        <w:wordWrap/>
        <w:overflowPunct/>
        <w:topLinePunct w:val="0"/>
        <w:bidi w:val="0"/>
        <w:spacing w:line="480" w:lineRule="exact"/>
        <w:ind w:left="720" w:firstLine="0" w:firstLineChars="0"/>
        <w:textAlignment w:val="auto"/>
        <w:rPr>
          <w:rFonts w:ascii="宋体" w:hAnsi="宋体"/>
          <w:color w:val="auto"/>
          <w:szCs w:val="21"/>
        </w:rPr>
      </w:pPr>
      <w:r>
        <w:rPr>
          <w:rFonts w:hint="eastAsia" w:ascii="宋体" w:hAnsi="宋体"/>
          <w:color w:val="auto"/>
          <w:szCs w:val="21"/>
        </w:rPr>
        <w:t>本项目团队人员具备设备安装</w:t>
      </w:r>
      <w:r>
        <w:rPr>
          <w:rFonts w:ascii="宋体" w:hAnsi="宋体"/>
          <w:color w:val="auto"/>
          <w:szCs w:val="21"/>
        </w:rPr>
        <w:t>质量员</w:t>
      </w:r>
      <w:r>
        <w:rPr>
          <w:rFonts w:hint="eastAsia" w:ascii="宋体" w:hAnsi="宋体"/>
          <w:color w:val="auto"/>
          <w:szCs w:val="21"/>
        </w:rPr>
        <w:t>证书，2人及以上得</w:t>
      </w:r>
      <w:r>
        <w:rPr>
          <w:rFonts w:ascii="宋体" w:hAnsi="宋体"/>
          <w:color w:val="auto"/>
          <w:szCs w:val="21"/>
        </w:rPr>
        <w:t>2</w:t>
      </w:r>
      <w:r>
        <w:rPr>
          <w:rFonts w:hint="eastAsia" w:ascii="宋体" w:hAnsi="宋体"/>
          <w:color w:val="auto"/>
          <w:szCs w:val="21"/>
        </w:rPr>
        <w:t>分，其他不得分；</w:t>
      </w:r>
    </w:p>
    <w:p>
      <w:pPr>
        <w:pStyle w:val="18"/>
        <w:keepNext w:val="0"/>
        <w:keepLines w:val="0"/>
        <w:pageBreakBefore w:val="0"/>
        <w:kinsoku/>
        <w:wordWrap/>
        <w:overflowPunct/>
        <w:topLinePunct w:val="0"/>
        <w:bidi w:val="0"/>
        <w:spacing w:line="480" w:lineRule="exact"/>
        <w:ind w:left="720" w:firstLine="0" w:firstLineChars="0"/>
        <w:textAlignment w:val="auto"/>
        <w:rPr>
          <w:rFonts w:ascii="宋体" w:hAnsi="宋体"/>
          <w:color w:val="auto"/>
          <w:szCs w:val="21"/>
        </w:rPr>
      </w:pPr>
      <w:r>
        <w:rPr>
          <w:rFonts w:hint="eastAsia" w:ascii="宋体" w:hAnsi="宋体"/>
          <w:color w:val="auto"/>
          <w:szCs w:val="21"/>
        </w:rPr>
        <w:t>本项目团队人员具备安全生产知识考核合格证书，2人及以上得</w:t>
      </w:r>
      <w:r>
        <w:rPr>
          <w:rFonts w:ascii="宋体" w:hAnsi="宋体"/>
          <w:color w:val="auto"/>
          <w:szCs w:val="21"/>
        </w:rPr>
        <w:t>2</w:t>
      </w:r>
      <w:r>
        <w:rPr>
          <w:rFonts w:hint="eastAsia" w:ascii="宋体" w:hAnsi="宋体"/>
          <w:color w:val="auto"/>
          <w:szCs w:val="21"/>
        </w:rPr>
        <w:t>分，其他不得分；</w:t>
      </w:r>
    </w:p>
    <w:p>
      <w:pPr>
        <w:pStyle w:val="5"/>
        <w:keepNext w:val="0"/>
        <w:keepLines w:val="0"/>
        <w:pageBreakBefore w:val="0"/>
        <w:numPr>
          <w:ilvl w:val="0"/>
          <w:numId w:val="0"/>
        </w:numPr>
        <w:kinsoku/>
        <w:wordWrap/>
        <w:overflowPunct/>
        <w:topLinePunct w:val="0"/>
        <w:bidi w:val="0"/>
        <w:spacing w:line="480" w:lineRule="exact"/>
        <w:ind w:left="720"/>
        <w:textAlignment w:val="auto"/>
        <w:rPr>
          <w:color w:val="auto"/>
        </w:rPr>
      </w:pPr>
      <w:r>
        <w:rPr>
          <w:rFonts w:hint="eastAsia" w:ascii="宋体" w:hAnsi="宋体" w:cs="宋体"/>
          <w:color w:val="auto"/>
          <w:szCs w:val="21"/>
        </w:rPr>
        <w:t>以上人员证书须提供证书复印件加盖投标人公章以及投标人近</w:t>
      </w:r>
      <w:r>
        <w:rPr>
          <w:rFonts w:ascii="宋体" w:hAnsi="宋体" w:cs="宋体"/>
          <w:color w:val="auto"/>
          <w:szCs w:val="21"/>
        </w:rPr>
        <w:t>6</w:t>
      </w:r>
      <w:r>
        <w:rPr>
          <w:rFonts w:hint="eastAsia" w:ascii="宋体" w:hAnsi="宋体" w:cs="宋体"/>
          <w:color w:val="auto"/>
          <w:szCs w:val="21"/>
        </w:rPr>
        <w:t>个月连续为其缴纳社保的证明材料。</w:t>
      </w:r>
    </w:p>
    <w:p>
      <w:pPr>
        <w:autoSpaceDE w:val="0"/>
        <w:autoSpaceDN w:val="0"/>
        <w:adjustRightInd w:val="0"/>
        <w:snapToGrid w:val="0"/>
        <w:spacing w:line="480" w:lineRule="exact"/>
        <w:rPr>
          <w:rFonts w:ascii="宋体" w:hAnsi="宋体"/>
          <w:color w:val="auto"/>
          <w:szCs w:val="21"/>
        </w:rPr>
      </w:pPr>
      <w:r>
        <w:rPr>
          <w:rFonts w:hint="eastAsia" w:ascii="宋体" w:hAnsi="宋体"/>
          <w:b/>
          <w:bCs/>
          <w:color w:val="auto"/>
          <w:szCs w:val="21"/>
        </w:rPr>
        <w:t>六、定标</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1、评标委员会完成评标后，应当向招标人提出书面评标报告，阐明评标委员会对各投标文件的评审和比较意见，并按照招标文件中规定的评标方法，推荐3名有排序的合格中标候选人。</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2、排序原则：本次评标采用综合评分法，评标委员会通过对商务、技术等因素的综合评审进行打分，综合得分最高的投标人排名第一，依此类推确定排名顺序，按排名顺序先后推荐为中标候选人。</w:t>
      </w:r>
    </w:p>
    <w:p>
      <w:pPr>
        <w:keepNext w:val="0"/>
        <w:keepLines w:val="0"/>
        <w:pageBreakBefore w:val="0"/>
        <w:widowControl w:val="0"/>
        <w:kinsoku/>
        <w:wordWrap/>
        <w:overflowPunct/>
        <w:topLinePunct w:val="0"/>
        <w:autoSpaceDE w:val="0"/>
        <w:autoSpaceDN w:val="0"/>
        <w:bidi w:val="0"/>
        <w:adjustRightInd w:val="0"/>
        <w:snapToGrid w:val="0"/>
        <w:spacing w:line="480" w:lineRule="exact"/>
        <w:ind w:firstLine="561"/>
        <w:textAlignment w:val="auto"/>
        <w:rPr>
          <w:rFonts w:ascii="宋体" w:hAnsi="宋体"/>
          <w:color w:val="auto"/>
          <w:szCs w:val="21"/>
        </w:rPr>
      </w:pPr>
      <w:r>
        <w:rPr>
          <w:rFonts w:hint="eastAsia" w:ascii="宋体" w:hAnsi="宋体"/>
          <w:color w:val="auto"/>
          <w:szCs w:val="21"/>
        </w:rPr>
        <w:t>3、确定中标人的原则：招标人按照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keepNext w:val="0"/>
        <w:keepLines w:val="0"/>
        <w:pageBreakBefore w:val="0"/>
        <w:widowControl w:val="0"/>
        <w:kinsoku/>
        <w:wordWrap/>
        <w:overflowPunct/>
        <w:topLinePunct w:val="0"/>
        <w:bidi w:val="0"/>
        <w:snapToGrid w:val="0"/>
        <w:spacing w:line="480" w:lineRule="exact"/>
        <w:textAlignment w:val="auto"/>
        <w:rPr>
          <w:rFonts w:ascii="宋体" w:hAnsi="宋体" w:cs="宋体"/>
          <w:color w:val="auto"/>
          <w:kern w:val="0"/>
        </w:rPr>
      </w:pPr>
      <w:r>
        <w:rPr>
          <w:rFonts w:hint="eastAsia" w:ascii="宋体" w:hAnsi="宋体"/>
          <w:color w:val="auto"/>
          <w:szCs w:val="21"/>
          <w:lang w:val="en-US" w:eastAsia="zh-CN"/>
        </w:rPr>
        <w:t xml:space="preserve">    4、</w:t>
      </w:r>
      <w:r>
        <w:rPr>
          <w:rFonts w:ascii="宋体" w:hAnsi="宋体" w:cs="宋体"/>
          <w:color w:val="auto"/>
          <w:kern w:val="0"/>
        </w:rPr>
        <w:t>在合同签订</w:t>
      </w:r>
      <w:r>
        <w:rPr>
          <w:rFonts w:hint="eastAsia" w:ascii="宋体" w:hAnsi="宋体" w:cs="宋体"/>
          <w:color w:val="auto"/>
          <w:kern w:val="0"/>
        </w:rPr>
        <w:t>前，</w:t>
      </w:r>
      <w:r>
        <w:rPr>
          <w:rFonts w:hint="eastAsia" w:ascii="宋体" w:hAnsi="宋体" w:cs="宋体"/>
          <w:b/>
          <w:bCs/>
          <w:color w:val="auto"/>
          <w:kern w:val="0"/>
        </w:rPr>
        <w:t>中标人应</w:t>
      </w:r>
      <w:r>
        <w:rPr>
          <w:rFonts w:hint="eastAsia" w:ascii="宋体" w:hAnsi="宋体" w:cs="宋体"/>
          <w:b/>
          <w:bCs/>
          <w:color w:val="auto"/>
          <w:kern w:val="0"/>
          <w:lang w:eastAsia="zh-CN"/>
        </w:rPr>
        <w:t>在收到中标通知书后七个工作日内</w:t>
      </w:r>
      <w:r>
        <w:rPr>
          <w:rFonts w:hint="eastAsia" w:ascii="宋体" w:hAnsi="宋体" w:cs="宋体"/>
          <w:b/>
          <w:bCs/>
          <w:color w:val="auto"/>
          <w:kern w:val="0"/>
        </w:rPr>
        <w:t>向招标人提交</w:t>
      </w:r>
      <w:r>
        <w:rPr>
          <w:rFonts w:hint="eastAsia" w:ascii="宋体" w:hAnsi="宋体" w:cs="宋体"/>
          <w:b/>
          <w:bCs/>
          <w:color w:val="auto"/>
          <w:kern w:val="0"/>
          <w:lang w:eastAsia="zh-CN"/>
        </w:rPr>
        <w:t>中标</w:t>
      </w:r>
      <w:r>
        <w:rPr>
          <w:rFonts w:hint="eastAsia" w:ascii="宋体" w:hAnsi="宋体" w:cs="宋体"/>
          <w:b/>
          <w:bCs/>
          <w:color w:val="auto"/>
          <w:kern w:val="0"/>
        </w:rPr>
        <w:t>价</w:t>
      </w:r>
      <w:r>
        <w:rPr>
          <w:rFonts w:ascii="宋体" w:hAnsi="宋体" w:cs="宋体"/>
          <w:b/>
          <w:bCs/>
          <w:color w:val="auto"/>
          <w:kern w:val="0"/>
        </w:rPr>
        <w:t>10%的履约保</w:t>
      </w:r>
      <w:r>
        <w:rPr>
          <w:rFonts w:hint="eastAsia" w:ascii="宋体" w:hAnsi="宋体" w:cs="宋体"/>
          <w:b/>
          <w:bCs/>
          <w:color w:val="auto"/>
          <w:kern w:val="0"/>
          <w:lang w:eastAsia="zh-CN"/>
        </w:rPr>
        <w:t>证金</w:t>
      </w:r>
      <w:r>
        <w:rPr>
          <w:rFonts w:hint="eastAsia" w:ascii="宋体" w:hAnsi="宋体" w:cs="宋体"/>
          <w:color w:val="auto"/>
          <w:kern w:val="0"/>
          <w:lang w:eastAsia="zh-CN"/>
        </w:rPr>
        <w:t>（履约保证金的方式可以</w:t>
      </w:r>
      <w:r>
        <w:rPr>
          <w:rFonts w:hint="eastAsia" w:ascii="宋体" w:hAnsi="宋体"/>
          <w:color w:val="auto"/>
          <w:sz w:val="21"/>
          <w:szCs w:val="21"/>
          <w:highlight w:val="none"/>
          <w:lang w:eastAsia="zh-CN"/>
        </w:rPr>
        <w:t>是</w:t>
      </w:r>
      <w:r>
        <w:rPr>
          <w:rFonts w:hint="eastAsia" w:ascii="宋体" w:hAnsi="宋体"/>
          <w:color w:val="auto"/>
          <w:sz w:val="21"/>
          <w:szCs w:val="21"/>
          <w:highlight w:val="none"/>
        </w:rPr>
        <w:t>：银行汇票、银行保函或现金支票</w:t>
      </w:r>
      <w:r>
        <w:rPr>
          <w:rFonts w:hint="eastAsia" w:ascii="宋体" w:hAnsi="宋体"/>
          <w:color w:val="auto"/>
          <w:sz w:val="21"/>
          <w:szCs w:val="21"/>
          <w:highlight w:val="none"/>
          <w:lang w:eastAsia="zh-CN"/>
        </w:rPr>
        <w:t>）</w:t>
      </w:r>
      <w:r>
        <w:rPr>
          <w:rFonts w:ascii="宋体" w:hAnsi="宋体" w:cs="宋体"/>
          <w:color w:val="auto"/>
          <w:kern w:val="0"/>
          <w:sz w:val="21"/>
          <w:szCs w:val="21"/>
        </w:rPr>
        <w:t>；</w:t>
      </w:r>
      <w:r>
        <w:rPr>
          <w:rFonts w:ascii="宋体" w:hAnsi="宋体" w:cs="宋体"/>
          <w:color w:val="auto"/>
          <w:kern w:val="0"/>
        </w:rPr>
        <w:t>如果中标人7日内未按规定办理</w:t>
      </w:r>
      <w:r>
        <w:rPr>
          <w:rFonts w:hint="eastAsia" w:ascii="宋体" w:hAnsi="宋体" w:cs="宋体"/>
          <w:color w:val="auto"/>
          <w:kern w:val="0"/>
          <w:lang w:eastAsia="zh-CN"/>
        </w:rPr>
        <w:t>履约保证金手续</w:t>
      </w:r>
      <w:r>
        <w:rPr>
          <w:rFonts w:ascii="宋体" w:hAnsi="宋体" w:cs="宋体"/>
          <w:color w:val="auto"/>
          <w:kern w:val="0"/>
        </w:rPr>
        <w:t>的，招标人即认为中标单位无能力提供履约保</w:t>
      </w:r>
      <w:r>
        <w:rPr>
          <w:rFonts w:hint="eastAsia" w:ascii="宋体" w:hAnsi="宋体" w:cs="宋体"/>
          <w:color w:val="auto"/>
          <w:kern w:val="0"/>
          <w:lang w:eastAsia="zh-CN"/>
        </w:rPr>
        <w:t>证金</w:t>
      </w:r>
      <w:r>
        <w:rPr>
          <w:rFonts w:ascii="宋体" w:hAnsi="宋体" w:cs="宋体"/>
          <w:color w:val="auto"/>
          <w:kern w:val="0"/>
        </w:rPr>
        <w:t>而取消其中标资格；招标人可以确定排名第二的中标候选人为中标人。</w:t>
      </w:r>
    </w:p>
    <w:p>
      <w:pPr>
        <w:autoSpaceDE w:val="0"/>
        <w:autoSpaceDN w:val="0"/>
        <w:adjustRightInd w:val="0"/>
        <w:snapToGrid w:val="0"/>
        <w:spacing w:line="480" w:lineRule="exact"/>
        <w:rPr>
          <w:rFonts w:hint="eastAsia" w:ascii="宋体" w:hAnsi="宋体" w:eastAsia="宋体"/>
          <w:color w:val="auto"/>
          <w:szCs w:val="21"/>
          <w:lang w:val="en-US" w:eastAsia="zh-CN"/>
        </w:rPr>
      </w:pPr>
    </w:p>
    <w:p>
      <w:pPr>
        <w:autoSpaceDE w:val="0"/>
        <w:autoSpaceDN w:val="0"/>
        <w:adjustRightInd w:val="0"/>
        <w:snapToGrid w:val="0"/>
        <w:spacing w:line="480" w:lineRule="exact"/>
        <w:rPr>
          <w:rFonts w:ascii="宋体" w:hAnsi="宋体"/>
          <w:color w:val="auto"/>
          <w:szCs w:val="21"/>
        </w:rPr>
      </w:pPr>
      <w:r>
        <w:rPr>
          <w:rFonts w:hint="eastAsia" w:ascii="宋体" w:hAnsi="宋体"/>
          <w:color w:val="auto"/>
          <w:szCs w:val="21"/>
        </w:rPr>
        <w:t>七、</w:t>
      </w:r>
      <w:r>
        <w:rPr>
          <w:rFonts w:hint="eastAsia" w:ascii="宋体" w:hAnsi="宋体"/>
          <w:color w:val="auto"/>
          <w:szCs w:val="21"/>
          <w:lang w:eastAsia="zh-CN"/>
        </w:rPr>
        <w:t>通用</w:t>
      </w:r>
      <w:r>
        <w:rPr>
          <w:rFonts w:hint="eastAsia" w:ascii="宋体" w:hAnsi="宋体"/>
          <w:color w:val="auto"/>
          <w:szCs w:val="21"/>
        </w:rPr>
        <w:t>合同条款：</w:t>
      </w:r>
    </w:p>
    <w:p>
      <w:pPr>
        <w:jc w:val="center"/>
        <w:rPr>
          <w:rFonts w:hint="eastAsia" w:ascii="黑体" w:eastAsia="黑体"/>
          <w:b/>
          <w:color w:val="auto"/>
          <w:sz w:val="36"/>
          <w:szCs w:val="36"/>
        </w:rPr>
      </w:pPr>
      <w:r>
        <w:rPr>
          <w:rFonts w:hint="eastAsia" w:ascii="黑体" w:eastAsia="黑体"/>
          <w:b/>
          <w:color w:val="auto"/>
          <w:sz w:val="36"/>
          <w:szCs w:val="36"/>
        </w:rPr>
        <w:t>合  同</w:t>
      </w:r>
    </w:p>
    <w:p>
      <w:pPr>
        <w:jc w:val="center"/>
        <w:rPr>
          <w:rFonts w:hint="eastAsia" w:ascii="黑体" w:hAnsi="宋体" w:eastAsia="黑体"/>
          <w:color w:val="auto"/>
          <w:sz w:val="28"/>
          <w:szCs w:val="28"/>
        </w:rPr>
      </w:pPr>
    </w:p>
    <w:p>
      <w:pPr>
        <w:spacing w:line="440" w:lineRule="exact"/>
        <w:ind w:left="420"/>
        <w:rPr>
          <w:rFonts w:hint="eastAsia" w:ascii="宋体" w:hAnsi="宋体"/>
          <w:color w:val="auto"/>
          <w:sz w:val="24"/>
        </w:rPr>
      </w:pPr>
      <w:r>
        <w:rPr>
          <w:rFonts w:hint="eastAsia" w:ascii="宋体" w:hAnsi="宋体"/>
          <w:color w:val="auto"/>
          <w:sz w:val="24"/>
        </w:rPr>
        <w:t>买方：江苏长江水务股份有限公司</w:t>
      </w:r>
    </w:p>
    <w:p>
      <w:pPr>
        <w:spacing w:line="440" w:lineRule="exact"/>
        <w:ind w:left="420"/>
        <w:rPr>
          <w:rFonts w:hint="eastAsia" w:ascii="宋体" w:hAnsi="宋体"/>
          <w:color w:val="auto"/>
          <w:sz w:val="24"/>
        </w:rPr>
      </w:pPr>
      <w:r>
        <w:rPr>
          <w:rFonts w:hint="eastAsia" w:ascii="宋体" w:hAnsi="宋体"/>
          <w:color w:val="auto"/>
          <w:sz w:val="24"/>
        </w:rPr>
        <w:t>卖方：</w:t>
      </w:r>
    </w:p>
    <w:p>
      <w:pPr>
        <w:spacing w:line="440" w:lineRule="exact"/>
        <w:ind w:right="-290" w:rightChars="-138"/>
        <w:rPr>
          <w:rFonts w:hint="eastAsia" w:ascii="宋体" w:hAnsi="宋体"/>
          <w:color w:val="auto"/>
          <w:sz w:val="24"/>
        </w:rPr>
      </w:pPr>
    </w:p>
    <w:p>
      <w:pPr>
        <w:spacing w:line="440" w:lineRule="exact"/>
        <w:ind w:right="-290" w:rightChars="-138"/>
        <w:rPr>
          <w:rFonts w:hint="eastAsia" w:ascii="宋体" w:hAnsi="宋体"/>
          <w:color w:val="auto"/>
          <w:sz w:val="24"/>
        </w:rPr>
      </w:pPr>
      <w:r>
        <w:rPr>
          <w:rFonts w:hint="eastAsia" w:ascii="宋体" w:hAnsi="宋体"/>
          <w:color w:val="auto"/>
          <w:sz w:val="24"/>
        </w:rPr>
        <w:t xml:space="preserve">    江苏长江水务股份有限公司（以下简称“买方”）通过</w:t>
      </w:r>
      <w:r>
        <w:rPr>
          <w:rFonts w:hint="eastAsia" w:ascii="宋体" w:hAnsi="宋体"/>
          <w:color w:val="auto"/>
          <w:sz w:val="24"/>
          <w:lang w:eastAsia="zh-CN"/>
        </w:rPr>
        <w:t>公开</w:t>
      </w:r>
      <w:r>
        <w:rPr>
          <w:rFonts w:hint="eastAsia" w:ascii="宋体" w:hAnsi="宋体"/>
          <w:color w:val="auto"/>
          <w:sz w:val="24"/>
        </w:rPr>
        <w:t>招标</w:t>
      </w:r>
      <w:r>
        <w:rPr>
          <w:rFonts w:hint="eastAsia" w:ascii="宋体" w:hAnsi="宋体"/>
          <w:color w:val="auto"/>
          <w:sz w:val="24"/>
          <w:lang w:eastAsia="zh-CN"/>
        </w:rPr>
        <w:t>方式</w:t>
      </w:r>
      <w:r>
        <w:rPr>
          <w:rFonts w:hint="eastAsia" w:ascii="宋体" w:hAnsi="宋体"/>
          <w:color w:val="auto"/>
          <w:sz w:val="24"/>
        </w:rPr>
        <w:t xml:space="preserve">，确定 </w:t>
      </w:r>
      <w:r>
        <w:rPr>
          <w:rFonts w:hint="eastAsia" w:ascii="宋体" w:hAnsi="宋体"/>
          <w:color w:val="auto"/>
          <w:sz w:val="24"/>
          <w:u w:val="single"/>
        </w:rPr>
        <w:t xml:space="preserve">        </w:t>
      </w:r>
      <w:r>
        <w:rPr>
          <w:rFonts w:hint="eastAsia" w:ascii="宋体" w:hAnsi="宋体"/>
          <w:color w:val="auto"/>
          <w:sz w:val="24"/>
        </w:rPr>
        <w:t>公司（以下简称“卖方”）为</w:t>
      </w:r>
      <w:r>
        <w:rPr>
          <w:rFonts w:hint="eastAsia" w:ascii="宋体" w:hAnsi="宋体"/>
          <w:color w:val="auto"/>
          <w:sz w:val="24"/>
          <w:lang w:eastAsia="zh-CN"/>
        </w:rPr>
        <w:t>江苏长江水务股份有限公司</w:t>
      </w:r>
      <w:r>
        <w:rPr>
          <w:rFonts w:hint="eastAsia" w:ascii="宋体" w:hAnsi="宋体"/>
          <w:color w:val="auto"/>
          <w:sz w:val="24"/>
          <w:lang w:val="en-US" w:eastAsia="zh-CN"/>
        </w:rPr>
        <w:t>一水厂“智慧安防”升级改造项目</w:t>
      </w:r>
      <w:r>
        <w:rPr>
          <w:rFonts w:hint="eastAsia" w:ascii="宋体" w:hAnsi="宋体"/>
          <w:color w:val="auto"/>
          <w:sz w:val="24"/>
        </w:rPr>
        <w:t>的供应方，经买卖双方协商一致，签订本合同。</w:t>
      </w:r>
    </w:p>
    <w:p>
      <w:pPr>
        <w:spacing w:line="440" w:lineRule="exact"/>
        <w:ind w:firstLine="570"/>
        <w:rPr>
          <w:rFonts w:hint="eastAsia" w:ascii="宋体" w:hAnsi="宋体"/>
          <w:b/>
          <w:color w:val="auto"/>
          <w:sz w:val="24"/>
        </w:rPr>
      </w:pPr>
      <w:r>
        <w:rPr>
          <w:rFonts w:hint="eastAsia" w:ascii="宋体" w:hAnsi="宋体"/>
          <w:b/>
          <w:color w:val="auto"/>
          <w:sz w:val="24"/>
        </w:rPr>
        <w:t>第一条　名词和用语</w:t>
      </w:r>
    </w:p>
    <w:p>
      <w:pPr>
        <w:spacing w:line="440" w:lineRule="exact"/>
        <w:ind w:firstLine="570"/>
        <w:rPr>
          <w:rFonts w:hint="eastAsia" w:ascii="宋体" w:hAnsi="宋体"/>
          <w:color w:val="auto"/>
          <w:sz w:val="24"/>
        </w:rPr>
      </w:pPr>
      <w:r>
        <w:rPr>
          <w:rFonts w:hint="eastAsia" w:ascii="宋体" w:hAnsi="宋体"/>
          <w:color w:val="auto"/>
          <w:sz w:val="24"/>
        </w:rPr>
        <w:t>下列名词和用语， 除上下文另有规定外，有如下含义：</w:t>
      </w:r>
    </w:p>
    <w:p>
      <w:pPr>
        <w:numPr>
          <w:ilvl w:val="0"/>
          <w:numId w:val="5"/>
        </w:numPr>
        <w:spacing w:line="440" w:lineRule="exact"/>
        <w:ind w:hanging="600"/>
        <w:rPr>
          <w:rFonts w:hint="eastAsia" w:ascii="宋体" w:hAnsi="宋体"/>
          <w:color w:val="auto"/>
          <w:sz w:val="24"/>
        </w:rPr>
      </w:pPr>
      <w:r>
        <w:rPr>
          <w:rFonts w:hint="eastAsia" w:ascii="宋体" w:hAnsi="宋体"/>
          <w:color w:val="auto"/>
          <w:sz w:val="24"/>
        </w:rPr>
        <w:t>“工程”是指</w:t>
      </w:r>
      <w:r>
        <w:rPr>
          <w:rFonts w:hint="eastAsia" w:ascii="宋体" w:hAnsi="宋体"/>
          <w:color w:val="auto"/>
          <w:sz w:val="24"/>
          <w:lang w:eastAsia="zh-CN"/>
        </w:rPr>
        <w:t>江苏长江水务股份有限公司</w:t>
      </w:r>
      <w:r>
        <w:rPr>
          <w:rFonts w:hint="eastAsia" w:ascii="宋体" w:hAnsi="宋体"/>
          <w:color w:val="auto"/>
          <w:sz w:val="24"/>
          <w:lang w:val="en-US" w:eastAsia="zh-CN"/>
        </w:rPr>
        <w:t>一水厂“智慧安防”升级改造项目设备安装</w:t>
      </w:r>
      <w:r>
        <w:rPr>
          <w:rFonts w:hint="eastAsia" w:ascii="宋体" w:hAnsi="宋体"/>
          <w:color w:val="auto"/>
          <w:sz w:val="24"/>
        </w:rPr>
        <w:t>采购。</w:t>
      </w:r>
    </w:p>
    <w:p>
      <w:pPr>
        <w:numPr>
          <w:ilvl w:val="0"/>
          <w:numId w:val="5"/>
        </w:numPr>
        <w:spacing w:line="440" w:lineRule="exact"/>
        <w:ind w:hanging="600"/>
        <w:rPr>
          <w:rFonts w:hint="eastAsia" w:ascii="宋体" w:hAnsi="宋体"/>
          <w:color w:val="auto"/>
          <w:sz w:val="24"/>
        </w:rPr>
      </w:pPr>
      <w:r>
        <w:rPr>
          <w:rFonts w:hint="eastAsia" w:ascii="宋体" w:hAnsi="宋体"/>
          <w:color w:val="auto"/>
          <w:sz w:val="24"/>
        </w:rPr>
        <w:t>“买方”指江苏长江水务股份有限公司或其合法承继者。</w:t>
      </w:r>
    </w:p>
    <w:p>
      <w:pPr>
        <w:numPr>
          <w:ilvl w:val="0"/>
          <w:numId w:val="5"/>
        </w:numPr>
        <w:spacing w:line="440" w:lineRule="exact"/>
        <w:ind w:hanging="600"/>
        <w:rPr>
          <w:rFonts w:hint="eastAsia" w:ascii="宋体" w:hAnsi="宋体"/>
          <w:color w:val="auto"/>
          <w:sz w:val="24"/>
        </w:rPr>
      </w:pPr>
      <w:r>
        <w:rPr>
          <w:rFonts w:hint="eastAsia" w:ascii="宋体" w:hAnsi="宋体"/>
          <w:color w:val="auto"/>
          <w:sz w:val="24"/>
        </w:rPr>
        <w:t>“卖方”是指</w:t>
      </w:r>
      <w:r>
        <w:rPr>
          <w:rFonts w:hint="eastAsia" w:ascii="宋体" w:hAnsi="宋体"/>
          <w:color w:val="auto"/>
          <w:sz w:val="24"/>
          <w:u w:val="single"/>
        </w:rPr>
        <w:t xml:space="preserve">             </w:t>
      </w:r>
      <w:r>
        <w:rPr>
          <w:rFonts w:hint="eastAsia" w:ascii="宋体" w:hAnsi="宋体"/>
          <w:color w:val="auto"/>
          <w:sz w:val="24"/>
        </w:rPr>
        <w:t>公司以及其合法承继者。</w:t>
      </w:r>
    </w:p>
    <w:p>
      <w:pPr>
        <w:numPr>
          <w:ilvl w:val="0"/>
          <w:numId w:val="5"/>
        </w:numPr>
        <w:spacing w:line="440" w:lineRule="exact"/>
        <w:ind w:hanging="600"/>
        <w:rPr>
          <w:rFonts w:hint="eastAsia" w:ascii="宋体" w:hAnsi="宋体"/>
          <w:color w:val="auto"/>
          <w:sz w:val="24"/>
        </w:rPr>
      </w:pPr>
      <w:r>
        <w:rPr>
          <w:rFonts w:hint="eastAsia" w:ascii="宋体" w:hAnsi="宋体"/>
          <w:color w:val="auto"/>
          <w:sz w:val="24"/>
        </w:rPr>
        <w:t>“中标通知书”：指买方正式接受卖方投标的接受信。</w:t>
      </w:r>
    </w:p>
    <w:p>
      <w:pPr>
        <w:numPr>
          <w:ilvl w:val="0"/>
          <w:numId w:val="5"/>
        </w:numPr>
        <w:tabs>
          <w:tab w:val="left" w:pos="540"/>
        </w:tabs>
        <w:spacing w:line="440" w:lineRule="exact"/>
        <w:ind w:left="540" w:firstLine="0"/>
        <w:rPr>
          <w:rFonts w:hint="eastAsia" w:ascii="宋体" w:hAnsi="宋体"/>
          <w:color w:val="auto"/>
          <w:sz w:val="24"/>
        </w:rPr>
      </w:pPr>
      <w:r>
        <w:rPr>
          <w:rFonts w:hint="eastAsia" w:ascii="宋体" w:hAnsi="宋体"/>
          <w:color w:val="auto"/>
          <w:sz w:val="24"/>
        </w:rPr>
        <w:t>“不可抗力”：任何一方都不能预见、对其发生及后果不能避免并且超过合理控制范围、且不能克服的自然事件和社会事件。</w:t>
      </w:r>
    </w:p>
    <w:p>
      <w:pPr>
        <w:numPr>
          <w:ilvl w:val="0"/>
          <w:numId w:val="5"/>
        </w:numPr>
        <w:tabs>
          <w:tab w:val="left" w:pos="540"/>
        </w:tabs>
        <w:spacing w:line="440" w:lineRule="exact"/>
        <w:ind w:left="540" w:firstLine="0"/>
        <w:rPr>
          <w:rFonts w:hint="eastAsia" w:ascii="宋体" w:hAnsi="宋体"/>
          <w:color w:val="auto"/>
          <w:sz w:val="24"/>
        </w:rPr>
      </w:pPr>
      <w:r>
        <w:rPr>
          <w:rFonts w:hint="eastAsia" w:ascii="宋体" w:hAnsi="宋体"/>
          <w:color w:val="auto"/>
          <w:sz w:val="24"/>
        </w:rPr>
        <w:t>“合同价款”：指根据合同条款，用以支付卖方在全面正确地履行合同义务后卖方所应得的金额。</w:t>
      </w:r>
    </w:p>
    <w:p>
      <w:pPr>
        <w:numPr>
          <w:ilvl w:val="0"/>
          <w:numId w:val="5"/>
        </w:numPr>
        <w:spacing w:line="440" w:lineRule="exact"/>
        <w:ind w:hanging="600"/>
        <w:rPr>
          <w:rFonts w:hint="eastAsia" w:ascii="宋体" w:hAnsi="宋体"/>
          <w:color w:val="auto"/>
          <w:sz w:val="24"/>
        </w:rPr>
      </w:pPr>
      <w:r>
        <w:rPr>
          <w:rFonts w:hint="eastAsia" w:ascii="宋体" w:hAnsi="宋体"/>
          <w:color w:val="auto"/>
          <w:sz w:val="24"/>
        </w:rPr>
        <w:t>“一方”：指买方或卖方的任何一方。</w:t>
      </w:r>
    </w:p>
    <w:p>
      <w:pPr>
        <w:numPr>
          <w:ilvl w:val="0"/>
          <w:numId w:val="5"/>
        </w:numPr>
        <w:tabs>
          <w:tab w:val="left" w:pos="540"/>
        </w:tabs>
        <w:spacing w:line="440" w:lineRule="exact"/>
        <w:ind w:left="540" w:firstLine="0"/>
        <w:rPr>
          <w:rFonts w:hint="eastAsia" w:ascii="宋体" w:hAnsi="宋体"/>
          <w:color w:val="auto"/>
          <w:sz w:val="24"/>
        </w:rPr>
      </w:pPr>
      <w:r>
        <w:rPr>
          <w:rFonts w:hint="eastAsia" w:ascii="宋体" w:hAnsi="宋体"/>
          <w:color w:val="auto"/>
          <w:sz w:val="24"/>
        </w:rPr>
        <w:t>“服务”：系指合同规定卖方需承担的检验、运输、保险、交接验收、技术援助与保障、培训以及其它类似的在合同中所提到的卖方的义务。</w:t>
      </w:r>
    </w:p>
    <w:p>
      <w:pPr>
        <w:numPr>
          <w:ilvl w:val="0"/>
          <w:numId w:val="5"/>
        </w:numPr>
        <w:spacing w:line="440" w:lineRule="exact"/>
        <w:ind w:hanging="600"/>
        <w:rPr>
          <w:rFonts w:hint="eastAsia" w:ascii="宋体" w:hAnsi="宋体"/>
          <w:color w:val="auto"/>
          <w:sz w:val="24"/>
        </w:rPr>
      </w:pPr>
      <w:r>
        <w:rPr>
          <w:rFonts w:hint="eastAsia" w:ascii="宋体" w:hAnsi="宋体"/>
          <w:color w:val="auto"/>
          <w:sz w:val="24"/>
        </w:rPr>
        <w:t>“现场”系指将要进行加工或货物使用的地点。</w:t>
      </w:r>
    </w:p>
    <w:p>
      <w:pPr>
        <w:numPr>
          <w:ilvl w:val="0"/>
          <w:numId w:val="5"/>
        </w:numPr>
        <w:tabs>
          <w:tab w:val="left" w:pos="540"/>
        </w:tabs>
        <w:spacing w:line="440" w:lineRule="exact"/>
        <w:ind w:left="540" w:firstLine="0"/>
        <w:rPr>
          <w:rFonts w:hint="eastAsia" w:ascii="宋体" w:hAnsi="宋体"/>
          <w:color w:val="auto"/>
          <w:sz w:val="24"/>
        </w:rPr>
      </w:pPr>
      <w:r>
        <w:rPr>
          <w:rFonts w:hint="eastAsia" w:ascii="宋体" w:hAnsi="宋体"/>
          <w:color w:val="auto"/>
          <w:sz w:val="24"/>
        </w:rPr>
        <w:t>“技术资料”是指卖方提供的与合同设备及相关的设计、制造、监造、检验、指导安装、调试、验收、性能验收试验和技术指导等文件(包括图纸、各种文字说明、标准、各种软件)。</w:t>
      </w:r>
    </w:p>
    <w:p>
      <w:pPr>
        <w:numPr>
          <w:ilvl w:val="0"/>
          <w:numId w:val="5"/>
        </w:numPr>
        <w:tabs>
          <w:tab w:val="left" w:pos="540"/>
        </w:tabs>
        <w:spacing w:line="440" w:lineRule="exact"/>
        <w:ind w:left="540" w:firstLine="0"/>
        <w:rPr>
          <w:rFonts w:hint="eastAsia" w:ascii="宋体" w:hAnsi="宋体"/>
          <w:color w:val="auto"/>
          <w:sz w:val="24"/>
        </w:rPr>
      </w:pPr>
      <w:r>
        <w:rPr>
          <w:rFonts w:hint="eastAsia" w:ascii="宋体" w:hAnsi="宋体"/>
          <w:color w:val="auto"/>
          <w:sz w:val="24"/>
        </w:rPr>
        <w:t>“合同设备”是指卖方根据合同所供应的机器、装置、材料、物品、专用工具、备品备件等。</w:t>
      </w:r>
    </w:p>
    <w:p>
      <w:pPr>
        <w:numPr>
          <w:ilvl w:val="0"/>
          <w:numId w:val="5"/>
        </w:numPr>
        <w:tabs>
          <w:tab w:val="left" w:pos="540"/>
        </w:tabs>
        <w:spacing w:line="440" w:lineRule="exact"/>
        <w:ind w:left="540" w:firstLine="0"/>
        <w:rPr>
          <w:rFonts w:hint="eastAsia" w:ascii="宋体" w:hAnsi="宋体"/>
          <w:color w:val="auto"/>
          <w:sz w:val="24"/>
        </w:rPr>
      </w:pPr>
      <w:r>
        <w:rPr>
          <w:rFonts w:hint="eastAsia" w:ascii="宋体" w:hAnsi="宋体"/>
          <w:color w:val="auto"/>
          <w:sz w:val="24"/>
        </w:rPr>
        <w:t>“技术服务”是指由卖方提供的与本合同设备有关的工程设计、设备监造、检验、土建、指导安装、调试、验收、性能验收试验、运行、检修时相应的技术指导、技术配合、技术培训等全过程的服务。</w:t>
      </w:r>
    </w:p>
    <w:p>
      <w:pPr>
        <w:numPr>
          <w:ilvl w:val="0"/>
          <w:numId w:val="5"/>
        </w:numPr>
        <w:tabs>
          <w:tab w:val="left" w:pos="540"/>
        </w:tabs>
        <w:spacing w:line="440" w:lineRule="exact"/>
        <w:ind w:left="540" w:firstLine="0"/>
        <w:rPr>
          <w:rFonts w:hint="eastAsia" w:ascii="宋体" w:hAnsi="宋体"/>
          <w:color w:val="auto"/>
          <w:sz w:val="24"/>
        </w:rPr>
      </w:pPr>
      <w:r>
        <w:rPr>
          <w:rFonts w:hint="eastAsia" w:ascii="宋体" w:hAnsi="宋体"/>
          <w:color w:val="auto"/>
          <w:sz w:val="24"/>
        </w:rPr>
        <w:t>“验收”系指买方依据技术规格书规定接受所供货物应依据的程序和检验。</w:t>
      </w:r>
    </w:p>
    <w:p>
      <w:pPr>
        <w:numPr>
          <w:ilvl w:val="0"/>
          <w:numId w:val="5"/>
        </w:numPr>
        <w:tabs>
          <w:tab w:val="left" w:pos="540"/>
        </w:tabs>
        <w:spacing w:line="440" w:lineRule="exact"/>
        <w:ind w:left="540" w:firstLine="0"/>
        <w:rPr>
          <w:rFonts w:hint="eastAsia" w:ascii="宋体" w:hAnsi="宋体"/>
          <w:color w:val="auto"/>
          <w:sz w:val="24"/>
        </w:rPr>
      </w:pPr>
      <w:r>
        <w:rPr>
          <w:rFonts w:hint="eastAsia" w:ascii="宋体" w:hAnsi="宋体"/>
          <w:color w:val="auto"/>
          <w:sz w:val="24"/>
        </w:rPr>
        <w:t>“日、月、年”是指公历的日、月、年；“天”是指24小时；“周”是指7天。</w:t>
      </w:r>
    </w:p>
    <w:p>
      <w:pPr>
        <w:numPr>
          <w:ilvl w:val="0"/>
          <w:numId w:val="5"/>
        </w:numPr>
        <w:tabs>
          <w:tab w:val="left" w:pos="540"/>
        </w:tabs>
        <w:spacing w:line="440" w:lineRule="exact"/>
        <w:ind w:left="540" w:firstLine="0"/>
        <w:rPr>
          <w:rFonts w:hint="eastAsia" w:ascii="宋体" w:hAnsi="宋体"/>
          <w:color w:val="auto"/>
          <w:sz w:val="24"/>
        </w:rPr>
      </w:pPr>
      <w:r>
        <w:rPr>
          <w:rFonts w:hint="eastAsia" w:ascii="宋体" w:hAnsi="宋体"/>
          <w:color w:val="auto"/>
          <w:sz w:val="24"/>
        </w:rPr>
        <w:t>“备品备件”是指根据本合同提供的随机备用部件。</w:t>
      </w:r>
    </w:p>
    <w:p>
      <w:pPr>
        <w:numPr>
          <w:ilvl w:val="0"/>
          <w:numId w:val="5"/>
        </w:numPr>
        <w:tabs>
          <w:tab w:val="left" w:pos="540"/>
        </w:tabs>
        <w:spacing w:line="440" w:lineRule="exact"/>
        <w:ind w:left="540" w:firstLine="0"/>
        <w:rPr>
          <w:rFonts w:hint="eastAsia" w:ascii="宋体" w:hAnsi="宋体"/>
          <w:color w:val="auto"/>
          <w:sz w:val="24"/>
        </w:rPr>
      </w:pPr>
      <w:r>
        <w:rPr>
          <w:rFonts w:hint="eastAsia" w:ascii="宋体" w:hAnsi="宋体"/>
          <w:color w:val="auto"/>
          <w:sz w:val="24"/>
        </w:rPr>
        <w:t>“设备缺陷”是指卖方因设计、制造错误或疏忽所引起的本合同设备（包括部件、原材料、铸锻件、原器件等）达不到本合同及技术附件规定的性能、质量标准要求的情形。</w:t>
      </w:r>
    </w:p>
    <w:p>
      <w:pPr>
        <w:numPr>
          <w:ilvl w:val="0"/>
          <w:numId w:val="5"/>
        </w:numPr>
        <w:tabs>
          <w:tab w:val="left" w:pos="540"/>
        </w:tabs>
        <w:spacing w:line="440" w:lineRule="exact"/>
        <w:ind w:left="540" w:firstLine="0"/>
        <w:rPr>
          <w:rFonts w:hint="eastAsia" w:ascii="宋体" w:hAnsi="宋体"/>
          <w:color w:val="auto"/>
          <w:sz w:val="24"/>
        </w:rPr>
      </w:pPr>
      <w:r>
        <w:rPr>
          <w:rFonts w:hint="eastAsia" w:ascii="宋体" w:hAnsi="宋体"/>
          <w:color w:val="auto"/>
          <w:sz w:val="24"/>
        </w:rPr>
        <w:t>“初步性能验收”是指当性能验收试验的结果表明已达到了合同附件技术规格书规定的保证值后，买方对合同设备的验收。</w:t>
      </w:r>
    </w:p>
    <w:p>
      <w:pPr>
        <w:numPr>
          <w:ilvl w:val="0"/>
          <w:numId w:val="5"/>
        </w:numPr>
        <w:spacing w:line="440" w:lineRule="exact"/>
        <w:ind w:hanging="600"/>
        <w:rPr>
          <w:rFonts w:hint="eastAsia" w:ascii="宋体" w:hAnsi="宋体"/>
          <w:color w:val="auto"/>
          <w:sz w:val="24"/>
        </w:rPr>
      </w:pPr>
      <w:r>
        <w:rPr>
          <w:rFonts w:hint="eastAsia" w:ascii="宋体" w:hAnsi="宋体"/>
          <w:color w:val="auto"/>
          <w:sz w:val="24"/>
        </w:rPr>
        <w:t>“最终性能验收”是指买方对每一合同设备质量保证期满后的验收。</w:t>
      </w:r>
    </w:p>
    <w:p>
      <w:pPr>
        <w:spacing w:line="440" w:lineRule="exact"/>
        <w:ind w:firstLine="570"/>
        <w:rPr>
          <w:rFonts w:ascii="宋体" w:hAnsi="宋体"/>
          <w:color w:val="auto"/>
          <w:sz w:val="24"/>
        </w:rPr>
      </w:pPr>
    </w:p>
    <w:p>
      <w:pPr>
        <w:spacing w:line="440" w:lineRule="exact"/>
        <w:ind w:firstLine="570"/>
        <w:rPr>
          <w:rFonts w:hint="eastAsia" w:ascii="宋体" w:hAnsi="宋体"/>
          <w:b/>
          <w:color w:val="auto"/>
          <w:sz w:val="24"/>
        </w:rPr>
      </w:pPr>
      <w:r>
        <w:rPr>
          <w:rFonts w:hint="eastAsia" w:ascii="宋体" w:hAnsi="宋体"/>
          <w:b/>
          <w:color w:val="auto"/>
          <w:sz w:val="24"/>
        </w:rPr>
        <w:t>第二条　合同条件的构成及解释顺序</w:t>
      </w:r>
    </w:p>
    <w:p>
      <w:pPr>
        <w:spacing w:line="440" w:lineRule="exact"/>
        <w:ind w:firstLine="570"/>
        <w:rPr>
          <w:rFonts w:hint="eastAsia" w:ascii="宋体" w:hAnsi="宋体"/>
          <w:color w:val="auto"/>
          <w:sz w:val="24"/>
        </w:rPr>
      </w:pPr>
      <w:r>
        <w:rPr>
          <w:rFonts w:hint="eastAsia" w:ascii="宋体" w:hAnsi="宋体"/>
          <w:color w:val="auto"/>
          <w:sz w:val="24"/>
        </w:rPr>
        <w:t>合同文件应能互相解释，互为说明。除合同另有约定外，其组成和解释顺序如下：</w:t>
      </w:r>
    </w:p>
    <w:p>
      <w:pPr>
        <w:numPr>
          <w:ilvl w:val="0"/>
          <w:numId w:val="6"/>
        </w:numPr>
        <w:tabs>
          <w:tab w:val="left" w:pos="1440"/>
        </w:tabs>
        <w:spacing w:line="440" w:lineRule="exact"/>
        <w:rPr>
          <w:rFonts w:hint="eastAsia" w:ascii="宋体" w:hAnsi="宋体"/>
          <w:color w:val="auto"/>
          <w:sz w:val="24"/>
        </w:rPr>
      </w:pPr>
      <w:r>
        <w:rPr>
          <w:rFonts w:hint="eastAsia" w:ascii="宋体" w:hAnsi="宋体"/>
          <w:color w:val="auto"/>
          <w:sz w:val="24"/>
        </w:rPr>
        <w:t>双方协商同意的对本合同的变更、补充协议等正式书面文件；</w:t>
      </w:r>
    </w:p>
    <w:p>
      <w:pPr>
        <w:numPr>
          <w:ilvl w:val="0"/>
          <w:numId w:val="6"/>
        </w:numPr>
        <w:tabs>
          <w:tab w:val="left" w:pos="1440"/>
        </w:tabs>
        <w:spacing w:line="440" w:lineRule="exact"/>
        <w:rPr>
          <w:rFonts w:hint="eastAsia" w:ascii="宋体" w:hAnsi="宋体"/>
          <w:color w:val="auto"/>
          <w:sz w:val="24"/>
        </w:rPr>
      </w:pPr>
      <w:r>
        <w:rPr>
          <w:rFonts w:hint="eastAsia" w:ascii="宋体" w:hAnsi="宋体"/>
          <w:color w:val="auto"/>
          <w:sz w:val="24"/>
        </w:rPr>
        <w:t>本合同；</w:t>
      </w:r>
    </w:p>
    <w:p>
      <w:pPr>
        <w:numPr>
          <w:ilvl w:val="0"/>
          <w:numId w:val="6"/>
        </w:numPr>
        <w:tabs>
          <w:tab w:val="left" w:pos="1440"/>
        </w:tabs>
        <w:spacing w:line="440" w:lineRule="exact"/>
        <w:rPr>
          <w:rFonts w:hint="eastAsia" w:ascii="宋体" w:hAnsi="宋体"/>
          <w:color w:val="auto"/>
          <w:sz w:val="24"/>
        </w:rPr>
      </w:pPr>
      <w:r>
        <w:rPr>
          <w:rFonts w:hint="eastAsia" w:ascii="宋体" w:hAnsi="宋体"/>
          <w:color w:val="auto"/>
          <w:sz w:val="24"/>
        </w:rPr>
        <w:t>中标通知书；</w:t>
      </w:r>
    </w:p>
    <w:p>
      <w:pPr>
        <w:numPr>
          <w:ilvl w:val="0"/>
          <w:numId w:val="6"/>
        </w:numPr>
        <w:tabs>
          <w:tab w:val="left" w:pos="1440"/>
        </w:tabs>
        <w:spacing w:line="440" w:lineRule="exact"/>
        <w:rPr>
          <w:rFonts w:hint="eastAsia" w:ascii="宋体" w:hAnsi="宋体"/>
          <w:color w:val="auto"/>
          <w:sz w:val="24"/>
        </w:rPr>
      </w:pPr>
      <w:r>
        <w:rPr>
          <w:rFonts w:hint="eastAsia" w:ascii="宋体" w:hAnsi="宋体"/>
          <w:color w:val="auto"/>
          <w:sz w:val="24"/>
        </w:rPr>
        <w:t>投标文件；</w:t>
      </w:r>
    </w:p>
    <w:p>
      <w:pPr>
        <w:numPr>
          <w:ilvl w:val="0"/>
          <w:numId w:val="6"/>
        </w:numPr>
        <w:tabs>
          <w:tab w:val="left" w:pos="1440"/>
        </w:tabs>
        <w:spacing w:line="440" w:lineRule="exact"/>
        <w:rPr>
          <w:rFonts w:hint="eastAsia" w:ascii="宋体" w:hAnsi="宋体"/>
          <w:color w:val="auto"/>
          <w:sz w:val="24"/>
        </w:rPr>
      </w:pPr>
      <w:r>
        <w:rPr>
          <w:rFonts w:hint="eastAsia" w:ascii="宋体" w:hAnsi="宋体"/>
          <w:color w:val="auto"/>
          <w:sz w:val="24"/>
        </w:rPr>
        <w:t>买方提供的工程技术资料和技术要求；</w:t>
      </w:r>
    </w:p>
    <w:p>
      <w:pPr>
        <w:numPr>
          <w:ilvl w:val="0"/>
          <w:numId w:val="6"/>
        </w:numPr>
        <w:tabs>
          <w:tab w:val="left" w:pos="1440"/>
        </w:tabs>
        <w:spacing w:line="440" w:lineRule="exact"/>
        <w:rPr>
          <w:rFonts w:hint="eastAsia" w:ascii="宋体" w:hAnsi="宋体"/>
          <w:color w:val="auto"/>
          <w:sz w:val="24"/>
        </w:rPr>
      </w:pPr>
      <w:r>
        <w:rPr>
          <w:rFonts w:hint="eastAsia" w:ascii="宋体" w:hAnsi="宋体"/>
          <w:color w:val="auto"/>
          <w:sz w:val="24"/>
        </w:rPr>
        <w:t>卖方提供的技术资料；</w:t>
      </w:r>
    </w:p>
    <w:p>
      <w:pPr>
        <w:numPr>
          <w:ilvl w:val="0"/>
          <w:numId w:val="6"/>
        </w:numPr>
        <w:tabs>
          <w:tab w:val="left" w:pos="1440"/>
        </w:tabs>
        <w:spacing w:line="440" w:lineRule="exact"/>
        <w:rPr>
          <w:rFonts w:hint="eastAsia" w:ascii="宋体" w:hAnsi="宋体"/>
          <w:color w:val="auto"/>
          <w:sz w:val="24"/>
        </w:rPr>
      </w:pPr>
      <w:r>
        <w:rPr>
          <w:rFonts w:hint="eastAsia" w:ascii="宋体" w:hAnsi="宋体"/>
          <w:color w:val="auto"/>
          <w:sz w:val="24"/>
        </w:rPr>
        <w:t>招标文件；</w:t>
      </w:r>
    </w:p>
    <w:p>
      <w:pPr>
        <w:spacing w:line="440" w:lineRule="exact"/>
        <w:ind w:left="540" w:leftChars="257" w:firstLine="508" w:firstLineChars="212"/>
        <w:rPr>
          <w:rFonts w:hint="eastAsia" w:ascii="宋体" w:hAnsi="宋体"/>
          <w:color w:val="auto"/>
          <w:sz w:val="24"/>
        </w:rPr>
      </w:pPr>
      <w:r>
        <w:rPr>
          <w:rFonts w:hint="eastAsia" w:ascii="宋体" w:hAnsi="宋体"/>
          <w:color w:val="auto"/>
          <w:sz w:val="24"/>
        </w:rPr>
        <w:t>当合同文件出现含糊不清或不相一致，并按上述规定不能解决时，由双方协商解决；双方经协商不能达成一致的，按本合同第二十六条约定的办法解决。</w:t>
      </w:r>
    </w:p>
    <w:p>
      <w:pPr>
        <w:spacing w:line="440" w:lineRule="exact"/>
        <w:ind w:firstLine="570"/>
        <w:rPr>
          <w:rFonts w:ascii="宋体" w:hAnsi="宋体"/>
          <w:color w:val="auto"/>
          <w:sz w:val="24"/>
        </w:rPr>
      </w:pPr>
    </w:p>
    <w:p>
      <w:pPr>
        <w:spacing w:line="440" w:lineRule="exact"/>
        <w:ind w:left="540" w:leftChars="257" w:firstLine="30"/>
        <w:rPr>
          <w:rFonts w:hint="eastAsia" w:ascii="宋体" w:hAnsi="宋体"/>
          <w:b/>
          <w:color w:val="auto"/>
          <w:sz w:val="24"/>
        </w:rPr>
      </w:pPr>
      <w:r>
        <w:rPr>
          <w:rFonts w:hint="eastAsia" w:ascii="宋体" w:hAnsi="宋体"/>
          <w:b/>
          <w:color w:val="auto"/>
          <w:sz w:val="24"/>
        </w:rPr>
        <w:t>第三条 适用的法律</w:t>
      </w:r>
    </w:p>
    <w:p>
      <w:pPr>
        <w:spacing w:line="440" w:lineRule="exact"/>
        <w:ind w:left="540" w:leftChars="257" w:firstLine="508" w:firstLineChars="212"/>
        <w:rPr>
          <w:rFonts w:hint="eastAsia" w:ascii="宋体" w:hAnsi="宋体"/>
          <w:color w:val="auto"/>
          <w:sz w:val="24"/>
        </w:rPr>
      </w:pPr>
      <w:r>
        <w:rPr>
          <w:rFonts w:hint="eastAsia" w:ascii="宋体" w:hAnsi="宋体"/>
          <w:color w:val="auto"/>
          <w:sz w:val="24"/>
        </w:rPr>
        <w:t>本合同适用的法律是指中华人民共和国的法律、行政法规，以及双方议定的部门规章或工程所在地的地方法规、地方规章。</w:t>
      </w:r>
    </w:p>
    <w:p>
      <w:pPr>
        <w:spacing w:line="440" w:lineRule="exact"/>
        <w:ind w:left="540" w:leftChars="257" w:firstLine="508" w:firstLineChars="212"/>
        <w:rPr>
          <w:rFonts w:hint="eastAsia" w:ascii="宋体" w:hAnsi="宋体"/>
          <w:color w:val="auto"/>
          <w:sz w:val="24"/>
        </w:rPr>
      </w:pPr>
      <w:r>
        <w:rPr>
          <w:rFonts w:hint="eastAsia" w:ascii="宋体" w:hAnsi="宋体"/>
          <w:color w:val="auto"/>
          <w:sz w:val="24"/>
        </w:rPr>
        <w:t>本合同文件使用中文书写、解释和说明。除技术规格书中另有规定外，计量单位均使用国际单位制。</w:t>
      </w:r>
    </w:p>
    <w:p>
      <w:pPr>
        <w:spacing w:line="440" w:lineRule="exact"/>
        <w:ind w:firstLine="570"/>
        <w:rPr>
          <w:rFonts w:ascii="宋体" w:hAnsi="宋体"/>
          <w:color w:val="auto"/>
          <w:sz w:val="24"/>
        </w:rPr>
      </w:pPr>
    </w:p>
    <w:p>
      <w:pPr>
        <w:spacing w:line="440" w:lineRule="exact"/>
        <w:ind w:firstLine="570"/>
        <w:rPr>
          <w:rFonts w:hint="eastAsia" w:ascii="宋体" w:hAnsi="宋体"/>
          <w:b/>
          <w:color w:val="auto"/>
          <w:sz w:val="24"/>
        </w:rPr>
      </w:pPr>
      <w:r>
        <w:rPr>
          <w:rFonts w:hint="eastAsia" w:ascii="宋体" w:hAnsi="宋体"/>
          <w:b/>
          <w:color w:val="auto"/>
          <w:sz w:val="24"/>
        </w:rPr>
        <w:t>第四条 合同标的</w:t>
      </w:r>
    </w:p>
    <w:p>
      <w:pPr>
        <w:numPr>
          <w:ilvl w:val="0"/>
          <w:numId w:val="7"/>
        </w:numPr>
        <w:tabs>
          <w:tab w:val="left" w:pos="900"/>
          <w:tab w:val="left" w:pos="1440"/>
          <w:tab w:val="clear" w:pos="1080"/>
        </w:tabs>
        <w:spacing w:line="440" w:lineRule="exact"/>
        <w:ind w:hanging="540"/>
        <w:rPr>
          <w:rFonts w:hint="eastAsia" w:ascii="宋体" w:hAnsi="宋体"/>
          <w:color w:val="auto"/>
          <w:sz w:val="24"/>
        </w:rPr>
      </w:pPr>
      <w:r>
        <w:rPr>
          <w:rFonts w:hint="eastAsia" w:ascii="宋体" w:hAnsi="宋体"/>
          <w:color w:val="auto"/>
          <w:sz w:val="24"/>
        </w:rPr>
        <w:t>设备名称、规格(型号)、数量</w:t>
      </w:r>
    </w:p>
    <w:p>
      <w:pPr>
        <w:tabs>
          <w:tab w:val="left" w:pos="900"/>
        </w:tabs>
        <w:spacing w:line="440" w:lineRule="exact"/>
        <w:ind w:left="2485" w:leftChars="429" w:hanging="1584" w:hangingChars="660"/>
        <w:rPr>
          <w:rFonts w:hint="eastAsia" w:ascii="宋体" w:hAnsi="宋体"/>
          <w:color w:val="auto"/>
          <w:sz w:val="24"/>
        </w:rPr>
      </w:pPr>
      <w:r>
        <w:rPr>
          <w:rFonts w:hint="eastAsia" w:ascii="宋体" w:hAnsi="宋体"/>
          <w:color w:val="auto"/>
          <w:sz w:val="24"/>
        </w:rPr>
        <w:t xml:space="preserve">设备名称：                        </w:t>
      </w:r>
    </w:p>
    <w:p>
      <w:pPr>
        <w:tabs>
          <w:tab w:val="left" w:pos="900"/>
        </w:tabs>
        <w:spacing w:line="440" w:lineRule="exact"/>
        <w:ind w:left="2485" w:leftChars="429" w:hanging="1584" w:hangingChars="660"/>
        <w:rPr>
          <w:rFonts w:hint="eastAsia" w:ascii="宋体" w:hAnsi="宋体"/>
          <w:color w:val="auto"/>
          <w:sz w:val="24"/>
        </w:rPr>
      </w:pPr>
      <w:r>
        <w:rPr>
          <w:rFonts w:hint="eastAsia" w:ascii="宋体" w:hAnsi="宋体"/>
          <w:color w:val="auto"/>
          <w:sz w:val="24"/>
        </w:rPr>
        <w:t>设备规格(型号)及数量：。</w:t>
      </w:r>
    </w:p>
    <w:p>
      <w:pPr>
        <w:numPr>
          <w:ilvl w:val="0"/>
          <w:numId w:val="7"/>
        </w:numPr>
        <w:tabs>
          <w:tab w:val="left" w:pos="900"/>
          <w:tab w:val="left" w:pos="1440"/>
          <w:tab w:val="clear" w:pos="1080"/>
        </w:tabs>
        <w:spacing w:line="440" w:lineRule="exact"/>
        <w:ind w:left="900"/>
        <w:rPr>
          <w:rFonts w:hint="eastAsia" w:ascii="宋体" w:hAnsi="宋体"/>
          <w:color w:val="auto"/>
          <w:sz w:val="24"/>
        </w:rPr>
      </w:pPr>
      <w:r>
        <w:rPr>
          <w:rFonts w:hint="eastAsia" w:ascii="宋体" w:hAnsi="宋体"/>
          <w:color w:val="auto"/>
          <w:sz w:val="24"/>
        </w:rPr>
        <w:t>凡卖方供应的设备应是</w:t>
      </w:r>
      <w:r>
        <w:rPr>
          <w:rFonts w:hint="eastAsia" w:ascii="宋体" w:hAnsi="宋体"/>
          <w:color w:val="auto"/>
          <w:sz w:val="24"/>
          <w:lang w:eastAsia="zh-CN"/>
        </w:rPr>
        <w:t>与投标文件中列出的品牌、型号相符合的</w:t>
      </w:r>
      <w:r>
        <w:rPr>
          <w:rFonts w:hint="eastAsia" w:ascii="宋体" w:hAnsi="宋体"/>
          <w:color w:val="auto"/>
          <w:sz w:val="24"/>
        </w:rPr>
        <w:t>全新的、</w:t>
      </w:r>
      <w:r>
        <w:rPr>
          <w:rFonts w:hint="eastAsia" w:ascii="宋体" w:hAnsi="宋体"/>
          <w:color w:val="auto"/>
          <w:sz w:val="24"/>
          <w:lang w:eastAsia="zh-CN"/>
        </w:rPr>
        <w:t>质量完好</w:t>
      </w:r>
      <w:r>
        <w:rPr>
          <w:rFonts w:hint="eastAsia" w:ascii="宋体" w:hAnsi="宋体"/>
          <w:color w:val="auto"/>
          <w:sz w:val="24"/>
        </w:rPr>
        <w:t>的</w:t>
      </w:r>
      <w:r>
        <w:rPr>
          <w:rFonts w:hint="eastAsia" w:ascii="宋体" w:hAnsi="宋体"/>
          <w:color w:val="auto"/>
          <w:sz w:val="24"/>
          <w:lang w:eastAsia="zh-CN"/>
        </w:rPr>
        <w:t>货物</w:t>
      </w:r>
      <w:r>
        <w:rPr>
          <w:rFonts w:hint="eastAsia" w:ascii="宋体" w:hAnsi="宋体"/>
          <w:color w:val="auto"/>
          <w:sz w:val="24"/>
        </w:rPr>
        <w:t>。</w:t>
      </w:r>
    </w:p>
    <w:p>
      <w:pPr>
        <w:numPr>
          <w:ilvl w:val="0"/>
          <w:numId w:val="7"/>
        </w:numPr>
        <w:tabs>
          <w:tab w:val="left" w:pos="900"/>
          <w:tab w:val="left" w:pos="1440"/>
          <w:tab w:val="clear" w:pos="1080"/>
        </w:tabs>
        <w:spacing w:line="440" w:lineRule="exact"/>
        <w:ind w:left="900"/>
        <w:rPr>
          <w:rFonts w:hint="eastAsia" w:ascii="宋体" w:hAnsi="宋体"/>
          <w:color w:val="auto"/>
          <w:sz w:val="24"/>
        </w:rPr>
      </w:pPr>
      <w:r>
        <w:rPr>
          <w:rFonts w:hint="eastAsia" w:ascii="宋体" w:hAnsi="宋体"/>
          <w:color w:val="auto"/>
          <w:sz w:val="24"/>
        </w:rPr>
        <w:t>设备的技术规范、技术经济指标和性能、合同设备的供货范围、卖方提供的技术资料和技术服务。</w:t>
      </w:r>
    </w:p>
    <w:p>
      <w:pPr>
        <w:spacing w:line="440" w:lineRule="exact"/>
        <w:ind w:left="540" w:leftChars="257" w:firstLine="30"/>
        <w:rPr>
          <w:rFonts w:hint="eastAsia" w:ascii="宋体" w:hAnsi="宋体"/>
          <w:color w:val="auto"/>
          <w:sz w:val="24"/>
        </w:rPr>
      </w:pPr>
      <w:r>
        <w:rPr>
          <w:rFonts w:hint="eastAsia" w:ascii="宋体" w:hAnsi="宋体"/>
          <w:b/>
          <w:color w:val="auto"/>
          <w:sz w:val="24"/>
        </w:rPr>
        <w:t>第五条 供货范围</w:t>
      </w:r>
    </w:p>
    <w:p>
      <w:pPr>
        <w:spacing w:line="440" w:lineRule="exact"/>
        <w:ind w:left="540" w:leftChars="257" w:firstLine="508" w:firstLineChars="212"/>
        <w:rPr>
          <w:rFonts w:hint="eastAsia" w:ascii="宋体" w:hAnsi="宋体"/>
          <w:color w:val="auto"/>
          <w:sz w:val="24"/>
        </w:rPr>
      </w:pPr>
      <w:r>
        <w:rPr>
          <w:rFonts w:hint="eastAsia" w:ascii="宋体" w:hAnsi="宋体"/>
          <w:color w:val="auto"/>
          <w:sz w:val="24"/>
        </w:rPr>
        <w:t>本合同的供货范围包括了所有设备、技术资料、专用工具、备品备件、人员培训及技术协调、技术服务及安装技术指导，但在执行合同过程中如发现有任何漏项和短缺，在发货清单中并未列入而且确实是卖方供货范围中应该有的，并且是满足技术规格书对合同设备的性能保证值要求所必须的，均应由卖方负责将所缺的设备、技术资料、专用工具、备品备件、人员培训及技术协调、技术服务及技术指导等补上，发生的费用由卖方承担。</w:t>
      </w:r>
    </w:p>
    <w:p>
      <w:pPr>
        <w:spacing w:line="440" w:lineRule="exact"/>
        <w:ind w:left="540" w:leftChars="257" w:firstLine="30"/>
        <w:rPr>
          <w:rFonts w:hint="eastAsia" w:ascii="宋体" w:hAnsi="宋体"/>
          <w:color w:val="auto"/>
          <w:sz w:val="24"/>
        </w:rPr>
      </w:pPr>
    </w:p>
    <w:p>
      <w:pPr>
        <w:spacing w:line="440" w:lineRule="exact"/>
        <w:ind w:firstLine="570"/>
        <w:rPr>
          <w:rFonts w:hint="eastAsia" w:ascii="宋体" w:hAnsi="宋体"/>
          <w:b/>
          <w:color w:val="auto"/>
          <w:sz w:val="24"/>
        </w:rPr>
      </w:pPr>
      <w:r>
        <w:rPr>
          <w:rFonts w:hint="eastAsia" w:ascii="宋体" w:hAnsi="宋体"/>
          <w:b/>
          <w:color w:val="auto"/>
          <w:sz w:val="24"/>
        </w:rPr>
        <w:t>第六条  包装</w:t>
      </w:r>
    </w:p>
    <w:p>
      <w:pPr>
        <w:numPr>
          <w:ilvl w:val="0"/>
          <w:numId w:val="8"/>
        </w:numPr>
        <w:tabs>
          <w:tab w:val="left" w:pos="1440"/>
        </w:tabs>
        <w:spacing w:line="440" w:lineRule="exact"/>
        <w:rPr>
          <w:rFonts w:hint="eastAsia" w:ascii="宋体" w:hAnsi="宋体"/>
          <w:color w:val="auto"/>
          <w:sz w:val="24"/>
        </w:rPr>
      </w:pPr>
      <w:r>
        <w:rPr>
          <w:rFonts w:hint="eastAsia" w:ascii="宋体" w:hAnsi="宋体"/>
          <w:color w:val="auto"/>
          <w:sz w:val="24"/>
        </w:rPr>
        <w:t>除非本合同另有规定外，卖方提供所有货物的包装应符合技术规格书及货物承运部门的有关规定，采用良好的防湿、防潮、防震和防野蛮装卸等保护措施，以确保货物安全运抵现场而不使货物受损。如果由于包装不妥或不合理而引起货物损坏和丢失的责任，卖方应按本合同第十五条的规定承担更换或赔偿的责任。如果因此造成整个工程损失的，卖方应此类损失承担赔偿责任。</w:t>
      </w:r>
    </w:p>
    <w:p>
      <w:pPr>
        <w:numPr>
          <w:ilvl w:val="0"/>
          <w:numId w:val="8"/>
        </w:numPr>
        <w:tabs>
          <w:tab w:val="left" w:pos="1440"/>
        </w:tabs>
        <w:spacing w:line="440" w:lineRule="exact"/>
        <w:rPr>
          <w:rFonts w:hint="eastAsia" w:ascii="宋体" w:hAnsi="宋体"/>
          <w:color w:val="auto"/>
          <w:sz w:val="24"/>
        </w:rPr>
      </w:pPr>
      <w:r>
        <w:rPr>
          <w:rFonts w:hint="eastAsia" w:ascii="宋体" w:hAnsi="宋体"/>
          <w:color w:val="auto"/>
          <w:sz w:val="24"/>
        </w:rPr>
        <w:t>卖方应提供</w:t>
      </w:r>
      <w:r>
        <w:rPr>
          <w:rFonts w:hint="eastAsia" w:ascii="宋体" w:hAnsi="宋体"/>
          <w:color w:val="auto"/>
          <w:sz w:val="24"/>
          <w:lang w:eastAsia="zh-CN"/>
        </w:rPr>
        <w:t>完整的发货清单、</w:t>
      </w:r>
      <w:r>
        <w:rPr>
          <w:rFonts w:hint="eastAsia" w:ascii="宋体" w:hAnsi="宋体"/>
          <w:color w:val="auto"/>
          <w:sz w:val="24"/>
        </w:rPr>
        <w:t>质量证书</w:t>
      </w:r>
      <w:r>
        <w:rPr>
          <w:rFonts w:hint="eastAsia" w:ascii="宋体" w:hAnsi="宋体"/>
          <w:color w:val="auto"/>
          <w:sz w:val="24"/>
          <w:lang w:eastAsia="zh-CN"/>
        </w:rPr>
        <w:t>及相关产品合格证。</w:t>
      </w:r>
    </w:p>
    <w:p>
      <w:pPr>
        <w:numPr>
          <w:ilvl w:val="0"/>
          <w:numId w:val="8"/>
        </w:numPr>
        <w:tabs>
          <w:tab w:val="left" w:pos="1440"/>
        </w:tabs>
        <w:spacing w:line="440" w:lineRule="exact"/>
        <w:rPr>
          <w:rFonts w:hint="eastAsia" w:ascii="宋体" w:hAnsi="宋体"/>
          <w:color w:val="auto"/>
          <w:sz w:val="24"/>
        </w:rPr>
      </w:pPr>
      <w:r>
        <w:rPr>
          <w:rFonts w:hint="eastAsia" w:ascii="宋体" w:hAnsi="宋体"/>
          <w:color w:val="auto"/>
          <w:sz w:val="24"/>
        </w:rPr>
        <w:t>对裸装货物应以金属标签(金属铭牌)或在设备本身上注明内容上述有关内容。大件货物应带有足够的货物支架或包装垫木。</w:t>
      </w:r>
    </w:p>
    <w:p>
      <w:pPr>
        <w:numPr>
          <w:ilvl w:val="0"/>
          <w:numId w:val="8"/>
        </w:numPr>
        <w:tabs>
          <w:tab w:val="left" w:pos="1440"/>
        </w:tabs>
        <w:spacing w:line="440" w:lineRule="exact"/>
        <w:rPr>
          <w:rFonts w:hint="eastAsia" w:ascii="宋体" w:hAnsi="宋体"/>
          <w:color w:val="auto"/>
          <w:sz w:val="24"/>
        </w:rPr>
      </w:pPr>
      <w:r>
        <w:rPr>
          <w:rFonts w:hint="eastAsia" w:ascii="宋体" w:hAnsi="宋体"/>
          <w:color w:val="auto"/>
          <w:sz w:val="24"/>
        </w:rPr>
        <w:t>备品备件、专用工具应按设备分别包装，并在包装箱外按7.2条注明内容，并标明“备品配件”或“专用工具”的字样，一次性发货。</w:t>
      </w:r>
    </w:p>
    <w:p>
      <w:pPr>
        <w:numPr>
          <w:ilvl w:val="0"/>
          <w:numId w:val="8"/>
        </w:numPr>
        <w:tabs>
          <w:tab w:val="left" w:pos="1440"/>
        </w:tabs>
        <w:spacing w:line="440" w:lineRule="exact"/>
        <w:rPr>
          <w:rFonts w:hint="eastAsia" w:ascii="宋体" w:hAnsi="宋体"/>
          <w:color w:val="auto"/>
          <w:sz w:val="24"/>
        </w:rPr>
      </w:pPr>
      <w:r>
        <w:rPr>
          <w:rFonts w:hint="eastAsia" w:ascii="宋体" w:hAnsi="宋体"/>
          <w:color w:val="auto"/>
          <w:sz w:val="24"/>
        </w:rPr>
        <w:t>所有设备的端口必须用保护盖或其它方式妥善防护。</w:t>
      </w:r>
    </w:p>
    <w:p>
      <w:pPr>
        <w:numPr>
          <w:ilvl w:val="0"/>
          <w:numId w:val="8"/>
        </w:numPr>
        <w:tabs>
          <w:tab w:val="left" w:pos="1440"/>
        </w:tabs>
        <w:spacing w:line="440" w:lineRule="exact"/>
        <w:rPr>
          <w:rFonts w:hint="eastAsia" w:ascii="宋体" w:hAnsi="宋体"/>
          <w:color w:val="auto"/>
          <w:sz w:val="24"/>
        </w:rPr>
      </w:pPr>
      <w:r>
        <w:rPr>
          <w:rFonts w:hint="eastAsia" w:ascii="宋体" w:hAnsi="宋体"/>
          <w:color w:val="auto"/>
          <w:sz w:val="24"/>
        </w:rPr>
        <w:t>卖方不得用同一箱号标明任何两个箱件，包装箱应连续编号，而且在全部装运的过程中，装箱编号的顺序始终是连贯的。</w:t>
      </w:r>
    </w:p>
    <w:p>
      <w:pPr>
        <w:numPr>
          <w:ilvl w:val="0"/>
          <w:numId w:val="8"/>
        </w:numPr>
        <w:tabs>
          <w:tab w:val="left" w:pos="1440"/>
        </w:tabs>
        <w:spacing w:line="440" w:lineRule="exact"/>
        <w:rPr>
          <w:rFonts w:hint="eastAsia" w:ascii="宋体" w:hAnsi="宋体"/>
          <w:color w:val="auto"/>
          <w:sz w:val="24"/>
        </w:rPr>
      </w:pPr>
      <w:r>
        <w:rPr>
          <w:rFonts w:hint="eastAsia" w:ascii="宋体" w:hAnsi="宋体"/>
          <w:color w:val="auto"/>
          <w:sz w:val="24"/>
        </w:rPr>
        <w:t>对于需要保证精确装配的明亮洁净加工面的货物，加工面应采用优良，耐久的保护层(不得用油漆)以防止在安装前发生锈蚀和损坏。</w:t>
      </w:r>
    </w:p>
    <w:p>
      <w:pPr>
        <w:numPr>
          <w:ilvl w:val="0"/>
          <w:numId w:val="8"/>
        </w:numPr>
        <w:tabs>
          <w:tab w:val="left" w:pos="1440"/>
        </w:tabs>
        <w:spacing w:line="440" w:lineRule="exact"/>
        <w:rPr>
          <w:rFonts w:hint="eastAsia" w:ascii="宋体" w:hAnsi="宋体"/>
          <w:color w:val="auto"/>
          <w:sz w:val="24"/>
        </w:rPr>
      </w:pPr>
      <w:r>
        <w:rPr>
          <w:rFonts w:hint="eastAsia" w:ascii="宋体" w:hAnsi="宋体"/>
          <w:color w:val="auto"/>
          <w:sz w:val="24"/>
        </w:rPr>
        <w:t>卖方交付的技术资料应使用适合于长途运输、多次搬运、防雨和防潮的包装，并应防止潮气和海水的侵蚀。每包技术资料的封面上应注明下述内容：</w:t>
      </w:r>
    </w:p>
    <w:p>
      <w:pPr>
        <w:numPr>
          <w:ilvl w:val="0"/>
          <w:numId w:val="9"/>
        </w:numPr>
        <w:tabs>
          <w:tab w:val="left" w:pos="1440"/>
        </w:tabs>
        <w:spacing w:line="440" w:lineRule="exact"/>
        <w:rPr>
          <w:rFonts w:hint="eastAsia" w:ascii="宋体" w:hAnsi="宋体"/>
          <w:color w:val="auto"/>
          <w:sz w:val="24"/>
        </w:rPr>
      </w:pPr>
      <w:r>
        <w:rPr>
          <w:rFonts w:hint="eastAsia" w:ascii="宋体" w:hAnsi="宋体"/>
          <w:color w:val="auto"/>
          <w:sz w:val="24"/>
        </w:rPr>
        <w:t>合同号；</w:t>
      </w:r>
    </w:p>
    <w:p>
      <w:pPr>
        <w:numPr>
          <w:ilvl w:val="0"/>
          <w:numId w:val="9"/>
        </w:numPr>
        <w:tabs>
          <w:tab w:val="left" w:pos="1440"/>
        </w:tabs>
        <w:spacing w:line="440" w:lineRule="exact"/>
        <w:rPr>
          <w:rFonts w:hint="eastAsia" w:ascii="宋体" w:hAnsi="宋体"/>
          <w:color w:val="auto"/>
          <w:sz w:val="24"/>
        </w:rPr>
      </w:pPr>
      <w:r>
        <w:rPr>
          <w:rFonts w:hint="eastAsia" w:ascii="宋体" w:hAnsi="宋体"/>
          <w:color w:val="auto"/>
          <w:sz w:val="24"/>
        </w:rPr>
        <w:t>供货、收货单位名称；</w:t>
      </w:r>
    </w:p>
    <w:p>
      <w:pPr>
        <w:numPr>
          <w:ilvl w:val="0"/>
          <w:numId w:val="9"/>
        </w:numPr>
        <w:tabs>
          <w:tab w:val="left" w:pos="1440"/>
        </w:tabs>
        <w:spacing w:line="440" w:lineRule="exact"/>
        <w:rPr>
          <w:rFonts w:hint="eastAsia" w:ascii="宋体" w:hAnsi="宋体"/>
          <w:color w:val="auto"/>
          <w:sz w:val="24"/>
        </w:rPr>
      </w:pPr>
      <w:r>
        <w:rPr>
          <w:rFonts w:hint="eastAsia" w:ascii="宋体" w:hAnsi="宋体"/>
          <w:color w:val="auto"/>
          <w:sz w:val="24"/>
        </w:rPr>
        <w:t>目的地；</w:t>
      </w:r>
    </w:p>
    <w:p>
      <w:pPr>
        <w:numPr>
          <w:ilvl w:val="0"/>
          <w:numId w:val="9"/>
        </w:numPr>
        <w:tabs>
          <w:tab w:val="left" w:pos="1440"/>
        </w:tabs>
        <w:spacing w:line="440" w:lineRule="exact"/>
        <w:rPr>
          <w:rFonts w:hint="eastAsia" w:ascii="宋体" w:hAnsi="宋体"/>
          <w:color w:val="auto"/>
          <w:sz w:val="24"/>
        </w:rPr>
      </w:pPr>
      <w:r>
        <w:rPr>
          <w:rFonts w:hint="eastAsia" w:ascii="宋体" w:hAnsi="宋体"/>
          <w:color w:val="auto"/>
          <w:sz w:val="24"/>
        </w:rPr>
        <w:t>毛重；</w:t>
      </w:r>
    </w:p>
    <w:p>
      <w:pPr>
        <w:numPr>
          <w:ilvl w:val="0"/>
          <w:numId w:val="9"/>
        </w:numPr>
        <w:tabs>
          <w:tab w:val="left" w:pos="1440"/>
        </w:tabs>
        <w:spacing w:line="440" w:lineRule="exact"/>
        <w:rPr>
          <w:rFonts w:hint="eastAsia" w:ascii="宋体" w:hAnsi="宋体"/>
          <w:color w:val="auto"/>
          <w:sz w:val="24"/>
        </w:rPr>
      </w:pPr>
      <w:r>
        <w:rPr>
          <w:rFonts w:hint="eastAsia" w:ascii="宋体" w:hAnsi="宋体"/>
          <w:color w:val="auto"/>
          <w:sz w:val="24"/>
        </w:rPr>
        <w:t>箱号/件号。</w:t>
      </w:r>
    </w:p>
    <w:p>
      <w:pPr>
        <w:spacing w:line="440" w:lineRule="exact"/>
        <w:ind w:firstLine="570"/>
        <w:rPr>
          <w:rFonts w:hint="eastAsia" w:ascii="宋体" w:hAnsi="宋体"/>
          <w:color w:val="auto"/>
          <w:sz w:val="24"/>
        </w:rPr>
      </w:pPr>
      <w:r>
        <w:rPr>
          <w:rFonts w:hint="eastAsia" w:ascii="宋体" w:hAnsi="宋体"/>
          <w:color w:val="auto"/>
          <w:sz w:val="24"/>
        </w:rPr>
        <w:t>每一包资料内应附有技术资料的详细清单一式二份，标明技术资料的序号、文件项号、名称和页数。</w:t>
      </w:r>
    </w:p>
    <w:p>
      <w:pPr>
        <w:spacing w:line="440" w:lineRule="exact"/>
        <w:ind w:firstLine="570"/>
        <w:rPr>
          <w:rFonts w:ascii="宋体" w:hAnsi="宋体"/>
          <w:color w:val="auto"/>
          <w:sz w:val="24"/>
        </w:rPr>
      </w:pPr>
    </w:p>
    <w:p>
      <w:pPr>
        <w:spacing w:line="440" w:lineRule="exact"/>
        <w:ind w:firstLine="570"/>
        <w:rPr>
          <w:rFonts w:hint="eastAsia" w:ascii="宋体" w:hAnsi="宋体"/>
          <w:b/>
          <w:color w:val="auto"/>
          <w:sz w:val="24"/>
        </w:rPr>
      </w:pPr>
      <w:r>
        <w:rPr>
          <w:rFonts w:hint="eastAsia" w:ascii="宋体" w:hAnsi="宋体"/>
          <w:b/>
          <w:color w:val="auto"/>
          <w:sz w:val="24"/>
        </w:rPr>
        <w:t>第七条  标记</w:t>
      </w:r>
    </w:p>
    <w:p>
      <w:pPr>
        <w:numPr>
          <w:ilvl w:val="0"/>
          <w:numId w:val="10"/>
        </w:numPr>
        <w:tabs>
          <w:tab w:val="left" w:pos="900"/>
          <w:tab w:val="left" w:pos="1440"/>
          <w:tab w:val="clear" w:pos="1080"/>
        </w:tabs>
        <w:spacing w:line="440" w:lineRule="exact"/>
        <w:ind w:left="900"/>
        <w:rPr>
          <w:rFonts w:hint="eastAsia" w:ascii="宋体" w:hAnsi="宋体"/>
          <w:color w:val="auto"/>
          <w:sz w:val="24"/>
        </w:rPr>
      </w:pPr>
      <w:r>
        <w:rPr>
          <w:rFonts w:hint="eastAsia" w:ascii="宋体" w:hAnsi="宋体"/>
          <w:color w:val="auto"/>
          <w:sz w:val="24"/>
        </w:rPr>
        <w:t>合同设备的喷漆、标识、验收文件和运输应符合本合同附件技术规范书所列的各项要求。</w:t>
      </w:r>
    </w:p>
    <w:p>
      <w:pPr>
        <w:numPr>
          <w:ilvl w:val="0"/>
          <w:numId w:val="10"/>
        </w:numPr>
        <w:tabs>
          <w:tab w:val="left" w:pos="900"/>
          <w:tab w:val="left" w:pos="1440"/>
          <w:tab w:val="clear" w:pos="1080"/>
        </w:tabs>
        <w:spacing w:line="440" w:lineRule="exact"/>
        <w:ind w:left="900"/>
        <w:rPr>
          <w:rFonts w:hint="eastAsia" w:ascii="宋体" w:hAnsi="宋体"/>
          <w:color w:val="auto"/>
          <w:sz w:val="24"/>
        </w:rPr>
      </w:pPr>
      <w:r>
        <w:rPr>
          <w:rFonts w:hint="eastAsia" w:ascii="宋体" w:hAnsi="宋体"/>
          <w:color w:val="auto"/>
          <w:sz w:val="24"/>
        </w:rPr>
        <w:t>合同设备若有外包装，卖方应在每件外包装上以醒目的方式用中文印刷字样标明以下各项：</w:t>
      </w:r>
    </w:p>
    <w:p>
      <w:pPr>
        <w:numPr>
          <w:ilvl w:val="1"/>
          <w:numId w:val="11"/>
        </w:numPr>
        <w:spacing w:line="440" w:lineRule="exact"/>
        <w:rPr>
          <w:rFonts w:hint="eastAsia" w:ascii="宋体" w:hAnsi="宋体"/>
          <w:color w:val="auto"/>
          <w:sz w:val="24"/>
        </w:rPr>
      </w:pPr>
      <w:r>
        <w:rPr>
          <w:rFonts w:hint="eastAsia" w:ascii="宋体" w:hAnsi="宋体"/>
          <w:color w:val="auto"/>
          <w:sz w:val="24"/>
        </w:rPr>
        <w:t>制造厂名称和产品商标，设备名称；</w:t>
      </w:r>
    </w:p>
    <w:p>
      <w:pPr>
        <w:numPr>
          <w:ilvl w:val="1"/>
          <w:numId w:val="11"/>
        </w:numPr>
        <w:spacing w:line="440" w:lineRule="exact"/>
        <w:rPr>
          <w:rFonts w:hint="eastAsia" w:ascii="宋体" w:hAnsi="宋体"/>
          <w:color w:val="auto"/>
          <w:sz w:val="24"/>
        </w:rPr>
      </w:pPr>
      <w:r>
        <w:rPr>
          <w:rFonts w:hint="eastAsia" w:ascii="宋体" w:hAnsi="宋体"/>
          <w:color w:val="auto"/>
          <w:sz w:val="24"/>
        </w:rPr>
        <w:t>毛重／净重（Kg）；体积(长×宽×高，以毫米表示)；</w:t>
      </w:r>
    </w:p>
    <w:p>
      <w:pPr>
        <w:numPr>
          <w:ilvl w:val="1"/>
          <w:numId w:val="11"/>
        </w:numPr>
        <w:spacing w:line="440" w:lineRule="exact"/>
        <w:rPr>
          <w:rFonts w:hint="eastAsia" w:ascii="宋体" w:hAnsi="宋体"/>
          <w:color w:val="auto"/>
          <w:sz w:val="24"/>
        </w:rPr>
      </w:pPr>
      <w:r>
        <w:rPr>
          <w:rFonts w:hint="eastAsia" w:ascii="宋体" w:hAnsi="宋体"/>
          <w:color w:val="auto"/>
          <w:sz w:val="24"/>
        </w:rPr>
        <w:t>制造时间</w:t>
      </w:r>
    </w:p>
    <w:p>
      <w:pPr>
        <w:numPr>
          <w:ilvl w:val="1"/>
          <w:numId w:val="11"/>
        </w:numPr>
        <w:spacing w:line="440" w:lineRule="exact"/>
        <w:rPr>
          <w:rFonts w:hint="eastAsia" w:ascii="宋体" w:hAnsi="宋体"/>
          <w:color w:val="auto"/>
          <w:sz w:val="24"/>
        </w:rPr>
      </w:pPr>
      <w:r>
        <w:rPr>
          <w:rFonts w:hint="eastAsia" w:ascii="宋体" w:hAnsi="宋体"/>
          <w:color w:val="auto"/>
          <w:sz w:val="24"/>
        </w:rPr>
        <w:t>出厂检验合格标志</w:t>
      </w:r>
    </w:p>
    <w:p>
      <w:pPr>
        <w:numPr>
          <w:ilvl w:val="1"/>
          <w:numId w:val="11"/>
        </w:numPr>
        <w:spacing w:line="440" w:lineRule="exact"/>
        <w:rPr>
          <w:rFonts w:hint="eastAsia" w:ascii="宋体" w:hAnsi="宋体"/>
          <w:color w:val="auto"/>
          <w:sz w:val="24"/>
        </w:rPr>
      </w:pPr>
      <w:r>
        <w:rPr>
          <w:rFonts w:hint="eastAsia" w:ascii="宋体" w:hAnsi="宋体"/>
          <w:color w:val="auto"/>
          <w:sz w:val="24"/>
        </w:rPr>
        <w:t>表示储运安全的其它标志</w:t>
      </w:r>
    </w:p>
    <w:p>
      <w:pPr>
        <w:numPr>
          <w:ilvl w:val="1"/>
          <w:numId w:val="11"/>
        </w:numPr>
        <w:spacing w:line="440" w:lineRule="exact"/>
        <w:rPr>
          <w:rFonts w:hint="eastAsia" w:ascii="宋体" w:hAnsi="宋体"/>
          <w:color w:val="auto"/>
          <w:sz w:val="24"/>
        </w:rPr>
      </w:pPr>
      <w:r>
        <w:rPr>
          <w:rFonts w:hint="eastAsia" w:ascii="宋体" w:hAnsi="宋体"/>
          <w:color w:val="auto"/>
          <w:sz w:val="24"/>
        </w:rPr>
        <w:t>项目名称</w:t>
      </w:r>
    </w:p>
    <w:p>
      <w:pPr>
        <w:numPr>
          <w:ilvl w:val="1"/>
          <w:numId w:val="11"/>
        </w:numPr>
        <w:spacing w:line="440" w:lineRule="exact"/>
        <w:rPr>
          <w:rFonts w:hint="eastAsia" w:ascii="宋体" w:hAnsi="宋体"/>
          <w:color w:val="auto"/>
          <w:sz w:val="24"/>
        </w:rPr>
      </w:pPr>
      <w:r>
        <w:rPr>
          <w:rFonts w:hint="eastAsia" w:ascii="宋体" w:hAnsi="宋体"/>
          <w:color w:val="auto"/>
          <w:sz w:val="24"/>
        </w:rPr>
        <w:t>联系方式</w:t>
      </w:r>
    </w:p>
    <w:p>
      <w:pPr>
        <w:numPr>
          <w:ilvl w:val="1"/>
          <w:numId w:val="11"/>
        </w:numPr>
        <w:spacing w:line="440" w:lineRule="exact"/>
        <w:rPr>
          <w:rFonts w:hint="eastAsia" w:ascii="宋体" w:hAnsi="宋体"/>
          <w:color w:val="auto"/>
          <w:sz w:val="24"/>
        </w:rPr>
      </w:pPr>
      <w:r>
        <w:rPr>
          <w:rFonts w:hint="eastAsia" w:ascii="宋体" w:hAnsi="宋体"/>
          <w:color w:val="auto"/>
          <w:sz w:val="24"/>
        </w:rPr>
        <w:t>箱号/件号；</w:t>
      </w:r>
    </w:p>
    <w:p>
      <w:pPr>
        <w:spacing w:line="440" w:lineRule="exact"/>
        <w:ind w:left="540" w:leftChars="257" w:firstLine="508" w:firstLineChars="212"/>
        <w:rPr>
          <w:rFonts w:hint="eastAsia" w:ascii="宋体" w:hAnsi="宋体"/>
          <w:color w:val="auto"/>
          <w:sz w:val="24"/>
        </w:rPr>
      </w:pPr>
      <w:r>
        <w:rPr>
          <w:rFonts w:hint="eastAsia" w:ascii="宋体" w:hAnsi="宋体"/>
          <w:color w:val="auto"/>
          <w:sz w:val="24"/>
        </w:rPr>
        <w:t>凡重量为二吨或超过二吨的货物，应在包装箱的侧面以运输常用的标记和图案标明重心位置及起吊点，以便于装卸和搬运。</w:t>
      </w:r>
    </w:p>
    <w:p>
      <w:pPr>
        <w:spacing w:line="440" w:lineRule="exact"/>
        <w:ind w:left="540" w:leftChars="257" w:firstLine="508" w:firstLineChars="212"/>
        <w:rPr>
          <w:rFonts w:hint="eastAsia" w:ascii="宋体" w:hAnsi="宋体"/>
          <w:color w:val="auto"/>
          <w:sz w:val="24"/>
        </w:rPr>
      </w:pPr>
      <w:r>
        <w:rPr>
          <w:rFonts w:hint="eastAsia" w:ascii="宋体" w:hAnsi="宋体"/>
          <w:color w:val="auto"/>
          <w:sz w:val="24"/>
        </w:rPr>
        <w:t>应按照设备各特性和不同的运输及装卸要求，在箱上明显位置标上“小心”“向上”、“防潮”、“勿倒”、“怕热”、“远离放射源及热源”、“由此起吊”、“重心点”、“堆码重量极限”、“堆码层数极限”、“温度极限”等通用标志。</w:t>
      </w:r>
    </w:p>
    <w:p>
      <w:pPr>
        <w:spacing w:line="440" w:lineRule="exact"/>
        <w:ind w:firstLine="570"/>
        <w:rPr>
          <w:rFonts w:ascii="宋体" w:hAnsi="宋体"/>
          <w:color w:val="auto"/>
          <w:sz w:val="24"/>
        </w:rPr>
      </w:pPr>
    </w:p>
    <w:p>
      <w:pPr>
        <w:spacing w:line="440" w:lineRule="exact"/>
        <w:ind w:firstLine="570"/>
        <w:rPr>
          <w:rFonts w:hint="eastAsia" w:ascii="宋体" w:hAnsi="宋体"/>
          <w:b/>
          <w:color w:val="auto"/>
          <w:sz w:val="24"/>
        </w:rPr>
      </w:pPr>
      <w:r>
        <w:rPr>
          <w:rFonts w:hint="eastAsia" w:ascii="宋体" w:hAnsi="宋体"/>
          <w:b/>
          <w:color w:val="auto"/>
          <w:sz w:val="24"/>
        </w:rPr>
        <w:t>第八条  交货和运输</w:t>
      </w:r>
    </w:p>
    <w:p>
      <w:pPr>
        <w:numPr>
          <w:ilvl w:val="0"/>
          <w:numId w:val="12"/>
        </w:numPr>
        <w:tabs>
          <w:tab w:val="left" w:pos="1440"/>
        </w:tabs>
        <w:spacing w:line="440" w:lineRule="exact"/>
        <w:rPr>
          <w:rFonts w:hint="eastAsia" w:ascii="宋体" w:hAnsi="宋体"/>
          <w:color w:val="auto"/>
          <w:sz w:val="24"/>
        </w:rPr>
      </w:pPr>
      <w:r>
        <w:rPr>
          <w:rFonts w:hint="eastAsia" w:ascii="宋体" w:hAnsi="宋体"/>
          <w:color w:val="auto"/>
          <w:sz w:val="24"/>
        </w:rPr>
        <w:t xml:space="preserve"> </w:t>
      </w:r>
      <w:r>
        <w:rPr>
          <w:rFonts w:hint="eastAsia" w:ascii="宋体" w:hAnsi="宋体"/>
          <w:b/>
          <w:color w:val="auto"/>
          <w:sz w:val="24"/>
        </w:rPr>
        <w:t>交货期</w:t>
      </w:r>
      <w:r>
        <w:rPr>
          <w:rFonts w:hint="eastAsia" w:ascii="宋体" w:hAnsi="宋体"/>
          <w:b/>
          <w:color w:val="auto"/>
          <w:sz w:val="24"/>
          <w:lang w:eastAsia="zh-CN"/>
        </w:rPr>
        <w:t>（峻工期）</w:t>
      </w:r>
      <w:r>
        <w:rPr>
          <w:rFonts w:hint="eastAsia" w:ascii="宋体" w:hAnsi="宋体"/>
          <w:b/>
          <w:color w:val="auto"/>
          <w:sz w:val="24"/>
        </w:rPr>
        <w:t>：</w:t>
      </w:r>
      <w:r>
        <w:rPr>
          <w:rFonts w:hint="eastAsia" w:ascii="宋体" w:hAnsi="宋体"/>
          <w:b/>
          <w:color w:val="auto"/>
          <w:sz w:val="24"/>
          <w:highlight w:val="none"/>
        </w:rPr>
        <w:t>合同签订后4</w:t>
      </w:r>
      <w:r>
        <w:rPr>
          <w:rFonts w:hint="eastAsia" w:ascii="宋体" w:hAnsi="宋体"/>
          <w:b/>
          <w:color w:val="auto"/>
          <w:sz w:val="24"/>
          <w:highlight w:val="none"/>
          <w:lang w:val="en-US" w:eastAsia="zh-CN"/>
        </w:rPr>
        <w:t>0天内</w:t>
      </w:r>
      <w:r>
        <w:rPr>
          <w:rFonts w:hint="eastAsia" w:ascii="宋体" w:hAnsi="宋体"/>
          <w:b/>
          <w:color w:val="auto"/>
          <w:sz w:val="24"/>
          <w:highlight w:val="none"/>
        </w:rPr>
        <w:t>货到用户指定地点</w:t>
      </w:r>
      <w:r>
        <w:rPr>
          <w:rFonts w:hint="eastAsia" w:ascii="宋体" w:hAnsi="宋体"/>
          <w:b/>
          <w:color w:val="auto"/>
          <w:sz w:val="24"/>
          <w:highlight w:val="none"/>
          <w:lang w:eastAsia="zh-CN"/>
        </w:rPr>
        <w:t>并安装调试完毕；每批货物送达买方指定地点后须经买方指定人员对货物按照合同内容进行品牌、质量、数量的初步验收并签字确认。</w:t>
      </w:r>
    </w:p>
    <w:p>
      <w:pPr>
        <w:numPr>
          <w:ilvl w:val="0"/>
          <w:numId w:val="12"/>
        </w:numPr>
        <w:tabs>
          <w:tab w:val="left" w:pos="1440"/>
        </w:tabs>
        <w:spacing w:line="440" w:lineRule="exact"/>
        <w:rPr>
          <w:rFonts w:hint="eastAsia" w:ascii="宋体" w:hAnsi="宋体"/>
          <w:color w:val="auto"/>
          <w:szCs w:val="21"/>
        </w:rPr>
      </w:pPr>
      <w:r>
        <w:rPr>
          <w:rFonts w:hint="eastAsia" w:ascii="宋体" w:hAnsi="宋体"/>
          <w:color w:val="auto"/>
          <w:sz w:val="24"/>
        </w:rPr>
        <w:t>本合同项下货物的交货地点为买方指定位置地面，卖方负责将货物运抵交货地点并负责卸车并搬运到指定地点。</w:t>
      </w:r>
    </w:p>
    <w:p>
      <w:pPr>
        <w:tabs>
          <w:tab w:val="left" w:pos="1440"/>
        </w:tabs>
        <w:spacing w:line="440" w:lineRule="exact"/>
        <w:ind w:left="540" w:leftChars="257" w:firstLine="360"/>
        <w:rPr>
          <w:rFonts w:hint="eastAsia" w:ascii="宋体" w:hAnsi="宋体"/>
          <w:color w:val="auto"/>
          <w:szCs w:val="21"/>
        </w:rPr>
      </w:pPr>
      <w:r>
        <w:rPr>
          <w:rFonts w:hint="eastAsia" w:ascii="宋体" w:hAnsi="宋体"/>
          <w:color w:val="auto"/>
          <w:sz w:val="24"/>
        </w:rPr>
        <w:t>合同设备所有权自</w:t>
      </w:r>
      <w:r>
        <w:rPr>
          <w:rFonts w:hint="eastAsia" w:ascii="宋体" w:hAnsi="宋体"/>
          <w:color w:val="auto"/>
          <w:sz w:val="24"/>
          <w:szCs w:val="24"/>
        </w:rPr>
        <w:t>合同设备交付时起由卖方转移给买方。合同设备毁损、灭失的风险，在合同设备交付之前由卖方承担，交付之后由买方承担。货物到达目的地后，当场可清点验收的设备，经</w:t>
      </w:r>
      <w:r>
        <w:rPr>
          <w:rFonts w:hint="eastAsia" w:ascii="宋体" w:hAnsi="宋体"/>
          <w:color w:val="auto"/>
          <w:sz w:val="24"/>
          <w:szCs w:val="24"/>
          <w:lang w:eastAsia="zh-CN"/>
        </w:rPr>
        <w:t>买卖</w:t>
      </w:r>
      <w:r>
        <w:rPr>
          <w:rFonts w:hint="eastAsia" w:ascii="宋体" w:hAnsi="宋体"/>
          <w:color w:val="auto"/>
          <w:sz w:val="24"/>
          <w:szCs w:val="24"/>
        </w:rPr>
        <w:t>双方</w:t>
      </w:r>
      <w:r>
        <w:rPr>
          <w:rFonts w:hint="eastAsia" w:ascii="宋体" w:hAnsi="宋体"/>
          <w:color w:val="auto"/>
          <w:sz w:val="24"/>
          <w:szCs w:val="24"/>
          <w:lang w:eastAsia="zh-CN"/>
        </w:rPr>
        <w:t>组织人员</w:t>
      </w:r>
      <w:r>
        <w:rPr>
          <w:rFonts w:hint="eastAsia" w:ascii="宋体" w:hAnsi="宋体"/>
          <w:color w:val="auto"/>
          <w:sz w:val="24"/>
          <w:szCs w:val="24"/>
        </w:rPr>
        <w:t>进行现场验收，由</w:t>
      </w:r>
      <w:r>
        <w:rPr>
          <w:rFonts w:hint="eastAsia" w:ascii="宋体" w:hAnsi="宋体"/>
          <w:color w:val="auto"/>
          <w:sz w:val="24"/>
          <w:szCs w:val="24"/>
          <w:lang w:eastAsia="zh-CN"/>
        </w:rPr>
        <w:t>卖方</w:t>
      </w:r>
      <w:r>
        <w:rPr>
          <w:rFonts w:hint="eastAsia" w:ascii="宋体" w:hAnsi="宋体"/>
          <w:color w:val="auto"/>
          <w:sz w:val="24"/>
          <w:szCs w:val="24"/>
        </w:rPr>
        <w:t>安装</w:t>
      </w:r>
      <w:r>
        <w:rPr>
          <w:rFonts w:hint="eastAsia" w:ascii="宋体" w:hAnsi="宋体"/>
          <w:color w:val="auto"/>
          <w:sz w:val="24"/>
          <w:szCs w:val="24"/>
          <w:lang w:eastAsia="zh-CN"/>
        </w:rPr>
        <w:t>人员</w:t>
      </w:r>
      <w:r>
        <w:rPr>
          <w:rFonts w:hint="eastAsia" w:ascii="宋体" w:hAnsi="宋体"/>
          <w:color w:val="auto"/>
          <w:sz w:val="24"/>
          <w:szCs w:val="24"/>
        </w:rPr>
        <w:t>负责</w:t>
      </w:r>
      <w:r>
        <w:rPr>
          <w:rFonts w:hint="eastAsia" w:ascii="宋体" w:hAnsi="宋体"/>
          <w:color w:val="auto"/>
          <w:sz w:val="24"/>
          <w:szCs w:val="24"/>
          <w:lang w:val="en-US" w:eastAsia="zh-CN"/>
        </w:rPr>
        <w:t>开箱</w:t>
      </w:r>
      <w:r>
        <w:rPr>
          <w:rFonts w:hint="eastAsia" w:ascii="宋体" w:hAnsi="宋体"/>
          <w:color w:val="auto"/>
          <w:sz w:val="24"/>
          <w:szCs w:val="24"/>
        </w:rPr>
        <w:t>验收后设备的保管、仓</w:t>
      </w:r>
      <w:r>
        <w:rPr>
          <w:rFonts w:hint="eastAsia" w:ascii="宋体" w:hAnsi="宋体"/>
          <w:color w:val="auto"/>
          <w:sz w:val="24"/>
          <w:szCs w:val="24"/>
          <w:lang w:eastAsia="zh-CN"/>
        </w:rPr>
        <w:t>储</w:t>
      </w:r>
      <w:r>
        <w:rPr>
          <w:rFonts w:hint="eastAsia" w:ascii="宋体" w:hAnsi="宋体"/>
          <w:color w:val="auto"/>
          <w:sz w:val="24"/>
          <w:szCs w:val="24"/>
        </w:rPr>
        <w:t>（供方应提出对设备的存放要求）。对未开箱的设备（指需在安装时开箱的设备），经</w:t>
      </w:r>
      <w:r>
        <w:rPr>
          <w:rFonts w:hint="eastAsia" w:ascii="宋体" w:hAnsi="宋体"/>
          <w:color w:val="auto"/>
          <w:sz w:val="24"/>
          <w:szCs w:val="24"/>
          <w:lang w:eastAsia="zh-CN"/>
        </w:rPr>
        <w:t>双</w:t>
      </w:r>
      <w:r>
        <w:rPr>
          <w:rFonts w:hint="eastAsia" w:ascii="宋体" w:hAnsi="宋体"/>
          <w:color w:val="auto"/>
          <w:sz w:val="24"/>
          <w:szCs w:val="24"/>
        </w:rPr>
        <w:t>方清点数量后由供方负责安全保管、仓贮</w:t>
      </w:r>
      <w:r>
        <w:rPr>
          <w:rFonts w:hint="eastAsia" w:ascii="宋体" w:hAnsi="宋体"/>
          <w:color w:val="auto"/>
          <w:sz w:val="24"/>
          <w:szCs w:val="24"/>
          <w:lang w:eastAsia="zh-CN"/>
        </w:rPr>
        <w:t>。</w:t>
      </w:r>
      <w:r>
        <w:rPr>
          <w:rFonts w:hint="eastAsia" w:ascii="宋体" w:hAnsi="宋体"/>
          <w:color w:val="auto"/>
          <w:sz w:val="24"/>
          <w:szCs w:val="24"/>
        </w:rPr>
        <w:t>确定安装时开箱验收的，由</w:t>
      </w:r>
      <w:r>
        <w:rPr>
          <w:rFonts w:hint="eastAsia" w:ascii="宋体" w:hAnsi="宋体"/>
          <w:color w:val="auto"/>
          <w:sz w:val="24"/>
          <w:szCs w:val="24"/>
          <w:lang w:eastAsia="zh-CN"/>
        </w:rPr>
        <w:t>双方</w:t>
      </w:r>
      <w:r>
        <w:rPr>
          <w:rFonts w:hint="eastAsia" w:ascii="宋体" w:hAnsi="宋体"/>
          <w:color w:val="auto"/>
          <w:sz w:val="24"/>
          <w:szCs w:val="24"/>
        </w:rPr>
        <w:t>共同参与对货物进行检验，按开箱清单现场清点核对，并签发字确认。如果货物被证明有缺陷，包括潜在缺陷或使用了不适当的材料不符合合同约定的，需方将保留拒收货物和对供方索赔的权力；</w:t>
      </w:r>
    </w:p>
    <w:p>
      <w:pPr>
        <w:numPr>
          <w:ilvl w:val="0"/>
          <w:numId w:val="12"/>
        </w:numPr>
        <w:tabs>
          <w:tab w:val="left" w:pos="1440"/>
        </w:tabs>
        <w:spacing w:line="440" w:lineRule="exact"/>
        <w:rPr>
          <w:rFonts w:hint="eastAsia" w:ascii="宋体" w:hAnsi="宋体"/>
          <w:color w:val="auto"/>
          <w:sz w:val="24"/>
        </w:rPr>
      </w:pPr>
      <w:r>
        <w:rPr>
          <w:rFonts w:hint="eastAsia" w:ascii="宋体" w:hAnsi="宋体"/>
          <w:color w:val="auto"/>
          <w:sz w:val="24"/>
        </w:rPr>
        <w:t>在</w:t>
      </w:r>
      <w:r>
        <w:rPr>
          <w:rFonts w:hint="eastAsia" w:ascii="宋体" w:hAnsi="宋体"/>
          <w:color w:val="auto"/>
          <w:sz w:val="24"/>
          <w:lang w:eastAsia="zh-CN"/>
        </w:rPr>
        <w:t>质量</w:t>
      </w:r>
      <w:r>
        <w:rPr>
          <w:rFonts w:hint="eastAsia" w:ascii="宋体" w:hAnsi="宋体"/>
          <w:color w:val="auto"/>
          <w:sz w:val="24"/>
        </w:rPr>
        <w:t>保证期内由于卖方的过失或疏忽造成的供应设备（或部件）的损坏或潜在缺陷，而动用了买方库存中的备品备件以调换损坏的设备或部件，则卖方应负责免费将动用的备品备件补齐，最迟不得超过买方通知后1个月运到指定交付点，并且通知买方。</w:t>
      </w:r>
    </w:p>
    <w:p>
      <w:pPr>
        <w:numPr>
          <w:ilvl w:val="0"/>
          <w:numId w:val="12"/>
        </w:numPr>
        <w:tabs>
          <w:tab w:val="left" w:pos="1440"/>
        </w:tabs>
        <w:spacing w:line="440" w:lineRule="exact"/>
        <w:rPr>
          <w:rFonts w:hint="eastAsia" w:ascii="宋体" w:hAnsi="宋体"/>
          <w:color w:val="auto"/>
          <w:sz w:val="24"/>
        </w:rPr>
      </w:pPr>
      <w:r>
        <w:rPr>
          <w:rFonts w:hint="eastAsia" w:ascii="宋体" w:hAnsi="宋体"/>
          <w:color w:val="auto"/>
          <w:sz w:val="24"/>
        </w:rPr>
        <w:t>卖方应按技术规格书规定，向买方提供满足调试、试验、检验、培训、运行和维修所需的技术资料。技术资料的交付时间按买方要求的时间及时提供。</w:t>
      </w:r>
    </w:p>
    <w:p>
      <w:pPr>
        <w:numPr>
          <w:ilvl w:val="0"/>
          <w:numId w:val="12"/>
        </w:numPr>
        <w:tabs>
          <w:tab w:val="left" w:pos="1440"/>
        </w:tabs>
        <w:spacing w:line="440" w:lineRule="exact"/>
        <w:rPr>
          <w:rFonts w:hint="eastAsia" w:ascii="宋体" w:hAnsi="宋体"/>
          <w:color w:val="auto"/>
          <w:sz w:val="24"/>
        </w:rPr>
      </w:pPr>
      <w:r>
        <w:rPr>
          <w:rFonts w:hint="eastAsia" w:ascii="宋体" w:hAnsi="宋体"/>
          <w:color w:val="auto"/>
          <w:sz w:val="24"/>
        </w:rPr>
        <w:t>技术资料以快递邮寄</w:t>
      </w:r>
      <w:r>
        <w:rPr>
          <w:rFonts w:hint="eastAsia" w:ascii="宋体" w:hAnsi="宋体"/>
          <w:color w:val="auto"/>
          <w:sz w:val="24"/>
          <w:lang w:eastAsia="zh-CN"/>
        </w:rPr>
        <w:t>（可直送）</w:t>
      </w:r>
      <w:r>
        <w:rPr>
          <w:rFonts w:hint="eastAsia" w:ascii="宋体" w:hAnsi="宋体"/>
          <w:color w:val="auto"/>
          <w:sz w:val="24"/>
        </w:rPr>
        <w:t>方式递交,每批技术资料交邮后，卖方应在24小时内将技术资料的交邮日期、邮单号、技术资料的详细清单、件数及重量、合同号等以传真通知买方。</w:t>
      </w:r>
    </w:p>
    <w:p>
      <w:pPr>
        <w:numPr>
          <w:ilvl w:val="0"/>
          <w:numId w:val="12"/>
        </w:numPr>
        <w:tabs>
          <w:tab w:val="left" w:pos="1440"/>
        </w:tabs>
        <w:spacing w:line="440" w:lineRule="exact"/>
        <w:rPr>
          <w:rFonts w:hint="eastAsia" w:ascii="宋体" w:hAnsi="宋体"/>
          <w:color w:val="auto"/>
          <w:sz w:val="24"/>
        </w:rPr>
      </w:pPr>
      <w:r>
        <w:rPr>
          <w:rFonts w:hint="eastAsia" w:ascii="宋体" w:hAnsi="宋体"/>
          <w:color w:val="auto"/>
          <w:sz w:val="24"/>
        </w:rPr>
        <w:t>技术资料可以邮寄方式或专人送达方式递交，如以邮寄方式递交，则以邮政部门提货通知单时间戳记为技术资料的实际交付日期，如以专人送达方式递交，则以买方代表签收日期为技术资料的实际交付日期。此日期将作为按合同第十五条对任何延期交付资料进行延期违约金计算的依据。</w:t>
      </w:r>
    </w:p>
    <w:p>
      <w:pPr>
        <w:spacing w:line="440" w:lineRule="exact"/>
        <w:ind w:left="540" w:leftChars="257" w:firstLine="388" w:firstLineChars="162"/>
        <w:rPr>
          <w:rFonts w:hint="eastAsia" w:ascii="宋体" w:hAnsi="宋体"/>
          <w:color w:val="auto"/>
          <w:sz w:val="24"/>
        </w:rPr>
      </w:pPr>
      <w:r>
        <w:rPr>
          <w:rFonts w:hint="eastAsia" w:ascii="宋体" w:hAnsi="宋体"/>
          <w:color w:val="auto"/>
          <w:sz w:val="24"/>
        </w:rPr>
        <w:t>如果技术资料经买方或买方代表检查后发现有缺少、丢失或损坏，且非买方原因，卖方应在收到买方通知后14天内(对急用者应在3天内)免费向现场补充提供缺少、丢失或损坏的部分。</w:t>
      </w:r>
    </w:p>
    <w:p>
      <w:pPr>
        <w:spacing w:line="440" w:lineRule="exact"/>
        <w:ind w:left="540" w:leftChars="257" w:firstLine="388" w:firstLineChars="162"/>
        <w:rPr>
          <w:rFonts w:hint="eastAsia" w:ascii="宋体" w:hAnsi="宋体"/>
          <w:color w:val="auto"/>
          <w:sz w:val="24"/>
        </w:rPr>
      </w:pPr>
      <w:r>
        <w:rPr>
          <w:rFonts w:hint="eastAsia" w:ascii="宋体" w:hAnsi="宋体"/>
          <w:color w:val="auto"/>
          <w:sz w:val="24"/>
        </w:rPr>
        <w:t>如因买方原因发生缺少、丢失或损坏，卖方应在接到买方通知后14天内(对急用者应在3天内)，向现场补充提供缺少、丢失或损坏部分，费用由买方承担。</w:t>
      </w:r>
    </w:p>
    <w:p>
      <w:pPr>
        <w:numPr>
          <w:ilvl w:val="0"/>
          <w:numId w:val="12"/>
        </w:numPr>
        <w:tabs>
          <w:tab w:val="left" w:pos="1440"/>
        </w:tabs>
        <w:spacing w:line="440" w:lineRule="exact"/>
        <w:rPr>
          <w:rFonts w:hint="eastAsia" w:ascii="宋体" w:hAnsi="宋体"/>
          <w:color w:val="auto"/>
          <w:sz w:val="24"/>
        </w:rPr>
      </w:pPr>
      <w:r>
        <w:rPr>
          <w:rFonts w:hint="eastAsia" w:ascii="宋体" w:hAnsi="宋体"/>
          <w:color w:val="auto"/>
          <w:sz w:val="24"/>
        </w:rPr>
        <w:t>买方可派遣代表到卖方工厂及装货车站/码头/机场检查包装质量和监督装车情况。卖方应提前15天通知买方交运日期。买方代表的检查与监督不能免除卖方应负的责任。</w:t>
      </w:r>
    </w:p>
    <w:p>
      <w:pPr>
        <w:numPr>
          <w:ilvl w:val="0"/>
          <w:numId w:val="12"/>
        </w:numPr>
        <w:spacing w:line="440" w:lineRule="exact"/>
        <w:rPr>
          <w:rFonts w:hint="eastAsia" w:ascii="宋体" w:hAnsi="宋体"/>
          <w:color w:val="auto"/>
          <w:sz w:val="24"/>
        </w:rPr>
      </w:pPr>
      <w:r>
        <w:rPr>
          <w:rFonts w:hint="eastAsia" w:ascii="宋体" w:hAnsi="宋体"/>
          <w:color w:val="auto"/>
          <w:sz w:val="24"/>
        </w:rPr>
        <w:t>技术资料收件单位：江苏长江水务股份有限公司（注明技术资料）</w:t>
      </w:r>
    </w:p>
    <w:p>
      <w:pPr>
        <w:spacing w:line="440" w:lineRule="exact"/>
        <w:ind w:firstLine="570"/>
        <w:rPr>
          <w:rFonts w:hint="eastAsia" w:ascii="宋体" w:hAnsi="宋体"/>
          <w:color w:val="auto"/>
          <w:sz w:val="24"/>
        </w:rPr>
      </w:pPr>
    </w:p>
    <w:p>
      <w:pPr>
        <w:spacing w:line="440" w:lineRule="exact"/>
        <w:ind w:firstLine="570"/>
        <w:rPr>
          <w:rFonts w:hint="eastAsia" w:ascii="宋体" w:hAnsi="宋体"/>
          <w:b/>
          <w:color w:val="auto"/>
          <w:sz w:val="24"/>
        </w:rPr>
      </w:pPr>
      <w:r>
        <w:rPr>
          <w:rFonts w:hint="eastAsia" w:ascii="宋体" w:hAnsi="宋体"/>
          <w:b/>
          <w:color w:val="auto"/>
          <w:sz w:val="24"/>
        </w:rPr>
        <w:t>第九条 保险</w:t>
      </w:r>
    </w:p>
    <w:p>
      <w:pPr>
        <w:spacing w:line="440" w:lineRule="exact"/>
        <w:ind w:left="540" w:leftChars="257" w:firstLine="540" w:firstLineChars="225"/>
        <w:rPr>
          <w:rFonts w:hint="eastAsia" w:ascii="宋体" w:hAnsi="宋体"/>
          <w:color w:val="auto"/>
          <w:sz w:val="24"/>
        </w:rPr>
      </w:pPr>
      <w:r>
        <w:rPr>
          <w:rFonts w:hint="eastAsia" w:ascii="宋体" w:hAnsi="宋体"/>
          <w:color w:val="auto"/>
          <w:sz w:val="24"/>
        </w:rPr>
        <w:t>在货物发运前卖方须对货物，根据水运、陆运和空运等运输方式，向保险公司投保以卖方为受益人，金额为发运货物价格110%的运输一切险(包括卸货至现场地面的最后一吊)，保险区段为卖方仓库到交货地点交货后90天止。</w:t>
      </w:r>
    </w:p>
    <w:p>
      <w:pPr>
        <w:spacing w:line="440" w:lineRule="exact"/>
        <w:ind w:firstLine="570"/>
        <w:rPr>
          <w:rFonts w:ascii="宋体" w:hAnsi="宋体"/>
          <w:color w:val="auto"/>
          <w:sz w:val="24"/>
        </w:rPr>
      </w:pPr>
    </w:p>
    <w:p>
      <w:pPr>
        <w:spacing w:line="440" w:lineRule="exact"/>
        <w:ind w:firstLine="570"/>
        <w:rPr>
          <w:rFonts w:hint="eastAsia" w:ascii="宋体" w:hAnsi="宋体"/>
          <w:b/>
          <w:color w:val="auto"/>
          <w:sz w:val="24"/>
        </w:rPr>
      </w:pPr>
      <w:r>
        <w:rPr>
          <w:rFonts w:hint="eastAsia" w:ascii="宋体" w:hAnsi="宋体"/>
          <w:b/>
          <w:color w:val="auto"/>
          <w:sz w:val="24"/>
        </w:rPr>
        <w:t>第十条  交货</w:t>
      </w:r>
    </w:p>
    <w:p>
      <w:pPr>
        <w:numPr>
          <w:ilvl w:val="0"/>
          <w:numId w:val="13"/>
        </w:numPr>
        <w:tabs>
          <w:tab w:val="left" w:pos="1080"/>
        </w:tabs>
        <w:spacing w:line="440" w:lineRule="exact"/>
        <w:ind w:left="540" w:firstLine="0"/>
        <w:rPr>
          <w:rFonts w:hint="eastAsia" w:ascii="宋体" w:hAnsi="宋体"/>
          <w:color w:val="auto"/>
          <w:sz w:val="24"/>
        </w:rPr>
      </w:pPr>
      <w:r>
        <w:rPr>
          <w:rFonts w:hint="eastAsia" w:ascii="宋体" w:hAnsi="宋体"/>
          <w:color w:val="auto"/>
          <w:sz w:val="24"/>
        </w:rPr>
        <w:t>所有货物在交货之前的所有风险和责任均由卖方承担。如果在交货之前因运输等问题造成货物损失、损害等风险，卖方在本合同项下的义务与责任均不予解除。</w:t>
      </w:r>
    </w:p>
    <w:p>
      <w:pPr>
        <w:spacing w:line="440" w:lineRule="exact"/>
        <w:ind w:firstLine="570"/>
        <w:rPr>
          <w:rFonts w:ascii="宋体" w:hAnsi="宋体"/>
          <w:b/>
          <w:color w:val="auto"/>
          <w:sz w:val="24"/>
        </w:rPr>
      </w:pPr>
      <w:r>
        <w:rPr>
          <w:rFonts w:ascii="宋体" w:hAnsi="宋体"/>
          <w:b/>
          <w:color w:val="auto"/>
          <w:sz w:val="24"/>
        </w:rPr>
        <w:t xml:space="preserve">  </w:t>
      </w:r>
    </w:p>
    <w:p>
      <w:pPr>
        <w:spacing w:line="360" w:lineRule="auto"/>
        <w:ind w:firstLine="570"/>
        <w:rPr>
          <w:rFonts w:hint="eastAsia" w:ascii="宋体" w:hAnsi="宋体"/>
          <w:b/>
          <w:color w:val="auto"/>
          <w:sz w:val="24"/>
        </w:rPr>
      </w:pPr>
      <w:r>
        <w:rPr>
          <w:rFonts w:hint="eastAsia" w:ascii="宋体" w:hAnsi="宋体"/>
          <w:b/>
          <w:color w:val="auto"/>
          <w:sz w:val="24"/>
        </w:rPr>
        <w:t xml:space="preserve">第十一条  合同价款与支付 </w:t>
      </w:r>
    </w:p>
    <w:p>
      <w:pPr>
        <w:numPr>
          <w:ilvl w:val="0"/>
          <w:numId w:val="14"/>
        </w:numPr>
        <w:tabs>
          <w:tab w:val="left" w:pos="540"/>
          <w:tab w:val="left" w:pos="1080"/>
          <w:tab w:val="clear" w:pos="900"/>
        </w:tabs>
        <w:spacing w:line="360" w:lineRule="auto"/>
        <w:ind w:left="540" w:firstLine="0"/>
        <w:rPr>
          <w:rFonts w:hint="eastAsia" w:ascii="宋体" w:hAnsi="宋体"/>
          <w:color w:val="auto"/>
          <w:sz w:val="24"/>
        </w:rPr>
      </w:pPr>
      <w:r>
        <w:rPr>
          <w:rFonts w:hint="eastAsia" w:ascii="宋体" w:hAnsi="宋体"/>
          <w:color w:val="auto"/>
          <w:sz w:val="24"/>
        </w:rPr>
        <w:t>本合同价款即合同总价为人民币总价：     万元(大写：        )。合同总价为固定不变价格，</w:t>
      </w:r>
      <w:r>
        <w:rPr>
          <w:rFonts w:hint="eastAsia" w:ascii="宋体" w:hAnsi="宋体"/>
          <w:color w:val="auto"/>
          <w:sz w:val="24"/>
          <w:lang w:eastAsia="zh-CN"/>
        </w:rPr>
        <w:t>对投标文件中的清单报价作为质保期外维修或更换的结算依据，</w:t>
      </w:r>
      <w:r>
        <w:rPr>
          <w:rFonts w:hint="eastAsia" w:ascii="宋体" w:hAnsi="宋体"/>
          <w:color w:val="auto"/>
          <w:sz w:val="24"/>
        </w:rPr>
        <w:t>除非本合同另有规定，否则在合同期内不因任何原因加以变更或调整。</w:t>
      </w:r>
    </w:p>
    <w:p>
      <w:pPr>
        <w:spacing w:line="360" w:lineRule="auto"/>
        <w:ind w:left="540" w:leftChars="257" w:firstLine="420" w:firstLineChars="175"/>
        <w:rPr>
          <w:rFonts w:hint="eastAsia" w:ascii="宋体" w:hAnsi="宋体"/>
          <w:color w:val="auto"/>
          <w:sz w:val="24"/>
        </w:rPr>
      </w:pPr>
      <w:r>
        <w:rPr>
          <w:rFonts w:hint="eastAsia" w:ascii="宋体" w:hAnsi="宋体"/>
          <w:color w:val="auto"/>
          <w:sz w:val="24"/>
        </w:rPr>
        <w:t>本合同价款包括合同设备(含备品备件、专用工具)、</w:t>
      </w:r>
      <w:r>
        <w:rPr>
          <w:rFonts w:hint="eastAsia" w:ascii="宋体" w:hAnsi="宋体"/>
          <w:color w:val="auto"/>
          <w:sz w:val="24"/>
          <w:lang w:val="en-US" w:eastAsia="zh-CN"/>
        </w:rPr>
        <w:t>安装调试、</w:t>
      </w:r>
      <w:r>
        <w:rPr>
          <w:rFonts w:hint="eastAsia" w:ascii="宋体" w:hAnsi="宋体"/>
          <w:color w:val="auto"/>
          <w:sz w:val="24"/>
        </w:rPr>
        <w:t>技术资料、技术服务和运输及保险费等费用,还包括合同设备的税费等与本合同中卖方应承担的所有义务和所有工作相关的费用。合同设备的技术服务及备品备件由卖方免费提供。</w:t>
      </w:r>
    </w:p>
    <w:p>
      <w:pPr>
        <w:spacing w:line="360" w:lineRule="auto"/>
        <w:ind w:left="540" w:leftChars="257" w:firstLine="420" w:firstLineChars="175"/>
        <w:rPr>
          <w:rFonts w:hint="eastAsia" w:ascii="宋体" w:hAnsi="宋体"/>
          <w:color w:val="auto"/>
          <w:sz w:val="24"/>
        </w:rPr>
      </w:pPr>
      <w:r>
        <w:rPr>
          <w:rFonts w:hint="eastAsia" w:ascii="宋体" w:hAnsi="宋体"/>
          <w:color w:val="auto"/>
          <w:sz w:val="24"/>
        </w:rPr>
        <w:t>合同设备运抵项目现场的运输及保险费等杂费已含在合同价款内。运输及保险费是指合同设备从卖方(包括卖方的分包商)始发站（车上）/码头（船上）到交货地点地面所发生的公路、铁路、水路、航空运费，保险费等运输过程中发生的各种费用。</w:t>
      </w:r>
    </w:p>
    <w:p>
      <w:pPr>
        <w:numPr>
          <w:ilvl w:val="0"/>
          <w:numId w:val="14"/>
        </w:numPr>
        <w:tabs>
          <w:tab w:val="left" w:pos="1080"/>
        </w:tabs>
        <w:spacing w:line="360" w:lineRule="auto"/>
        <w:rPr>
          <w:rFonts w:hint="eastAsia" w:ascii="宋体" w:hAnsi="宋体"/>
          <w:color w:val="auto"/>
          <w:sz w:val="24"/>
        </w:rPr>
      </w:pPr>
      <w:r>
        <w:rPr>
          <w:rFonts w:hint="eastAsia" w:ascii="宋体" w:hAnsi="宋体"/>
          <w:color w:val="auto"/>
          <w:sz w:val="24"/>
        </w:rPr>
        <w:t>支付</w:t>
      </w:r>
    </w:p>
    <w:p>
      <w:pPr>
        <w:spacing w:line="360" w:lineRule="auto"/>
        <w:ind w:left="540" w:leftChars="257" w:firstLine="420" w:firstLineChars="175"/>
        <w:rPr>
          <w:rFonts w:hint="eastAsia" w:ascii="宋体" w:hAnsi="宋体"/>
          <w:color w:val="auto"/>
          <w:sz w:val="24"/>
        </w:rPr>
      </w:pPr>
      <w:r>
        <w:rPr>
          <w:rFonts w:hint="eastAsia" w:ascii="宋体" w:hAnsi="宋体"/>
          <w:color w:val="auto"/>
          <w:sz w:val="24"/>
        </w:rPr>
        <w:t>所有货到工地</w:t>
      </w:r>
      <w:r>
        <w:rPr>
          <w:rFonts w:hint="eastAsia" w:ascii="宋体" w:hAnsi="宋体"/>
          <w:color w:val="auto"/>
          <w:sz w:val="24"/>
          <w:lang w:eastAsia="zh-CN"/>
        </w:rPr>
        <w:t>经</w:t>
      </w:r>
      <w:r>
        <w:rPr>
          <w:rFonts w:hint="eastAsia" w:ascii="宋体" w:hAnsi="宋体"/>
          <w:color w:val="auto"/>
          <w:sz w:val="24"/>
        </w:rPr>
        <w:t>联动调试、验收合格且连续无故障运行30天后支付至合同总价</w:t>
      </w:r>
      <w:r>
        <w:rPr>
          <w:rFonts w:hint="eastAsia" w:ascii="宋体" w:hAnsi="宋体"/>
          <w:color w:val="auto"/>
          <w:sz w:val="24"/>
          <w:lang w:eastAsia="zh-CN"/>
        </w:rPr>
        <w:t>款</w:t>
      </w:r>
      <w:r>
        <w:rPr>
          <w:rFonts w:hint="eastAsia" w:ascii="宋体" w:hAnsi="宋体"/>
          <w:color w:val="auto"/>
          <w:sz w:val="24"/>
        </w:rPr>
        <w:t>的</w:t>
      </w:r>
      <w:r>
        <w:rPr>
          <w:rFonts w:hint="eastAsia" w:ascii="宋体" w:hAnsi="宋体"/>
          <w:color w:val="auto"/>
          <w:sz w:val="24"/>
          <w:highlight w:val="none"/>
        </w:rPr>
        <w:t>9</w:t>
      </w:r>
      <w:r>
        <w:rPr>
          <w:rFonts w:hint="eastAsia" w:ascii="宋体" w:hAnsi="宋体"/>
          <w:color w:val="auto"/>
          <w:sz w:val="24"/>
          <w:highlight w:val="none"/>
          <w:lang w:val="en-US" w:eastAsia="zh-CN"/>
        </w:rPr>
        <w:t>5</w:t>
      </w:r>
      <w:r>
        <w:rPr>
          <w:rFonts w:hint="eastAsia" w:ascii="宋体" w:hAnsi="宋体"/>
          <w:color w:val="auto"/>
          <w:sz w:val="24"/>
          <w:highlight w:val="none"/>
        </w:rPr>
        <w:t>%，</w:t>
      </w:r>
      <w:r>
        <w:rPr>
          <w:rFonts w:hint="eastAsia" w:ascii="宋体" w:hAnsi="宋体"/>
          <w:color w:val="auto"/>
          <w:sz w:val="24"/>
          <w:highlight w:val="none"/>
          <w:lang w:val="en-US" w:eastAsia="zh-CN"/>
        </w:rPr>
        <w:t>同时无息退还履约保证金，</w:t>
      </w:r>
      <w:r>
        <w:rPr>
          <w:rFonts w:hint="eastAsia" w:ascii="宋体" w:hAnsi="宋体"/>
          <w:color w:val="auto"/>
          <w:sz w:val="24"/>
          <w:highlight w:val="none"/>
        </w:rPr>
        <w:t>余款</w:t>
      </w:r>
      <w:r>
        <w:rPr>
          <w:rFonts w:hint="eastAsia" w:ascii="宋体" w:hAnsi="宋体"/>
          <w:color w:val="auto"/>
          <w:sz w:val="24"/>
          <w:highlight w:val="none"/>
          <w:lang w:val="en-US" w:eastAsia="zh-CN"/>
        </w:rPr>
        <w:t>5</w:t>
      </w:r>
      <w:r>
        <w:rPr>
          <w:rFonts w:hint="eastAsia" w:ascii="宋体" w:hAnsi="宋体"/>
          <w:color w:val="auto"/>
          <w:sz w:val="24"/>
          <w:highlight w:val="none"/>
        </w:rPr>
        <w:t>%</w:t>
      </w:r>
      <w:r>
        <w:rPr>
          <w:rFonts w:hint="eastAsia" w:ascii="宋体" w:hAnsi="宋体"/>
          <w:color w:val="auto"/>
          <w:sz w:val="24"/>
        </w:rPr>
        <w:t>作为质保金，在质保期满且无质量问题后</w:t>
      </w:r>
      <w:r>
        <w:rPr>
          <w:rFonts w:hint="eastAsia" w:ascii="宋体" w:hAnsi="宋体"/>
          <w:color w:val="auto"/>
          <w:sz w:val="24"/>
          <w:lang w:eastAsia="zh-CN"/>
        </w:rPr>
        <w:t>一个月内</w:t>
      </w:r>
      <w:r>
        <w:rPr>
          <w:rFonts w:hint="eastAsia" w:ascii="宋体" w:hAnsi="宋体"/>
          <w:color w:val="auto"/>
          <w:sz w:val="24"/>
        </w:rPr>
        <w:t>无息付清。质保期为联动调试合格试运行后</w:t>
      </w:r>
      <w:r>
        <w:rPr>
          <w:rFonts w:hint="eastAsia" w:ascii="宋体" w:hAnsi="宋体"/>
          <w:color w:val="auto"/>
          <w:sz w:val="24"/>
          <w:lang w:val="en-US" w:eastAsia="zh-CN"/>
        </w:rPr>
        <w:t>的</w:t>
      </w:r>
      <w:r>
        <w:rPr>
          <w:rFonts w:hint="eastAsia" w:ascii="宋体" w:hAnsi="宋体"/>
          <w:color w:val="auto"/>
          <w:sz w:val="30"/>
          <w:szCs w:val="30"/>
        </w:rPr>
        <w:t>18</w:t>
      </w:r>
      <w:r>
        <w:rPr>
          <w:rFonts w:hint="eastAsia" w:ascii="宋体" w:hAnsi="宋体"/>
          <w:color w:val="auto"/>
          <w:sz w:val="24"/>
        </w:rPr>
        <w:t>个月。（备注：本项目在结算支付时，票据为税率为</w:t>
      </w:r>
      <w:r>
        <w:rPr>
          <w:rFonts w:hint="eastAsia" w:ascii="宋体" w:hAnsi="宋体"/>
          <w:color w:val="auto"/>
          <w:sz w:val="24"/>
          <w:highlight w:val="none"/>
          <w:lang w:val="en-US" w:eastAsia="zh-CN"/>
        </w:rPr>
        <w:t>13</w:t>
      </w:r>
      <w:r>
        <w:rPr>
          <w:rFonts w:hint="eastAsia" w:ascii="宋体" w:hAnsi="宋体"/>
          <w:color w:val="auto"/>
          <w:sz w:val="24"/>
          <w:highlight w:val="none"/>
        </w:rPr>
        <w:t>%增值税专用发票</w:t>
      </w:r>
      <w:r>
        <w:rPr>
          <w:rFonts w:hint="eastAsia" w:ascii="宋体" w:hAnsi="宋体"/>
          <w:color w:val="auto"/>
          <w:sz w:val="24"/>
        </w:rPr>
        <w:t>（国家政策若发生变化以相关政策执行）。</w:t>
      </w:r>
    </w:p>
    <w:p>
      <w:pPr>
        <w:spacing w:line="360" w:lineRule="auto"/>
        <w:ind w:firstLine="570"/>
        <w:rPr>
          <w:rFonts w:hint="eastAsia" w:ascii="宋体" w:hAnsi="宋体"/>
          <w:color w:val="auto"/>
          <w:sz w:val="24"/>
        </w:rPr>
      </w:pPr>
    </w:p>
    <w:p>
      <w:pPr>
        <w:spacing w:line="360" w:lineRule="auto"/>
        <w:ind w:firstLine="570"/>
        <w:rPr>
          <w:rFonts w:hint="eastAsia" w:ascii="宋体" w:hAnsi="宋体"/>
          <w:b/>
          <w:color w:val="auto"/>
          <w:sz w:val="24"/>
        </w:rPr>
      </w:pPr>
      <w:r>
        <w:rPr>
          <w:rFonts w:hint="eastAsia" w:ascii="宋体" w:hAnsi="宋体"/>
          <w:b/>
          <w:color w:val="auto"/>
          <w:sz w:val="24"/>
        </w:rPr>
        <w:t>第十二条  连带责任</w:t>
      </w:r>
    </w:p>
    <w:p>
      <w:pPr>
        <w:spacing w:line="440" w:lineRule="exact"/>
        <w:ind w:firstLine="480" w:firstLineChars="200"/>
        <w:rPr>
          <w:rFonts w:hint="eastAsia" w:ascii="宋体" w:hAnsi="宋体"/>
          <w:color w:val="auto"/>
          <w:sz w:val="24"/>
        </w:rPr>
      </w:pPr>
      <w:r>
        <w:rPr>
          <w:rFonts w:hint="eastAsia" w:ascii="宋体" w:hAnsi="宋体"/>
          <w:color w:val="auto"/>
          <w:sz w:val="24"/>
          <w:lang w:val="en-US" w:eastAsia="zh-CN"/>
        </w:rPr>
        <w:t>12.1</w:t>
      </w:r>
      <w:r>
        <w:rPr>
          <w:rFonts w:hint="eastAsia" w:ascii="宋体" w:hAnsi="宋体"/>
          <w:color w:val="auto"/>
          <w:sz w:val="24"/>
        </w:rPr>
        <w:t>卖方应对本合同项下设备的制造、运输、装卸、交货</w:t>
      </w:r>
      <w:r>
        <w:rPr>
          <w:rFonts w:hint="eastAsia" w:ascii="宋体" w:hAnsi="宋体"/>
          <w:color w:val="auto"/>
          <w:sz w:val="24"/>
          <w:lang w:eastAsia="zh-CN"/>
        </w:rPr>
        <w:t>、</w:t>
      </w:r>
      <w:r>
        <w:rPr>
          <w:rFonts w:hint="eastAsia" w:ascii="宋体" w:hAnsi="宋体"/>
          <w:color w:val="auto"/>
          <w:sz w:val="24"/>
          <w:lang w:val="en-US" w:eastAsia="zh-CN"/>
        </w:rPr>
        <w:t>安装</w:t>
      </w:r>
      <w:r>
        <w:rPr>
          <w:rFonts w:hint="eastAsia" w:ascii="宋体" w:hAnsi="宋体"/>
          <w:color w:val="auto"/>
          <w:sz w:val="24"/>
        </w:rPr>
        <w:t>等承担全部责任。</w:t>
      </w:r>
    </w:p>
    <w:p>
      <w:pPr>
        <w:spacing w:line="440" w:lineRule="exact"/>
        <w:ind w:firstLine="480" w:firstLineChars="200"/>
        <w:rPr>
          <w:rFonts w:hint="default" w:ascii="宋体" w:hAnsi="宋体"/>
          <w:color w:val="auto"/>
          <w:sz w:val="24"/>
          <w:lang w:val="en-US" w:eastAsia="zh-CN"/>
        </w:rPr>
      </w:pPr>
      <w:r>
        <w:rPr>
          <w:rFonts w:hint="eastAsia" w:ascii="宋体" w:hAnsi="宋体"/>
          <w:color w:val="auto"/>
          <w:sz w:val="24"/>
          <w:lang w:val="en-US" w:eastAsia="zh-CN"/>
        </w:rPr>
        <w:t>12.2 卖方应对本合同项下设备安装过程中影响买方安全生产的任何事宜承担全部责任。</w:t>
      </w:r>
    </w:p>
    <w:p>
      <w:pPr>
        <w:spacing w:line="440" w:lineRule="exact"/>
        <w:ind w:firstLine="570"/>
        <w:rPr>
          <w:rFonts w:ascii="宋体" w:hAnsi="宋体"/>
          <w:color w:val="auto"/>
          <w:sz w:val="24"/>
        </w:rPr>
      </w:pPr>
    </w:p>
    <w:p>
      <w:pPr>
        <w:spacing w:line="440" w:lineRule="exact"/>
        <w:ind w:firstLine="570"/>
        <w:rPr>
          <w:rFonts w:hint="eastAsia" w:ascii="宋体" w:hAnsi="宋体"/>
          <w:b/>
          <w:color w:val="auto"/>
          <w:sz w:val="24"/>
        </w:rPr>
      </w:pPr>
      <w:r>
        <w:rPr>
          <w:rFonts w:hint="eastAsia" w:ascii="宋体" w:hAnsi="宋体"/>
          <w:b/>
          <w:color w:val="auto"/>
          <w:sz w:val="24"/>
        </w:rPr>
        <w:t>第十三条  质量保证</w:t>
      </w:r>
    </w:p>
    <w:p>
      <w:pPr>
        <w:numPr>
          <w:ilvl w:val="0"/>
          <w:numId w:val="15"/>
        </w:numPr>
        <w:tabs>
          <w:tab w:val="left" w:pos="540"/>
          <w:tab w:val="left" w:pos="1080"/>
          <w:tab w:val="clear" w:pos="900"/>
        </w:tabs>
        <w:spacing w:line="440" w:lineRule="exact"/>
        <w:ind w:left="540" w:firstLine="0"/>
        <w:rPr>
          <w:rFonts w:hint="eastAsia" w:ascii="宋体" w:hAnsi="宋体"/>
          <w:color w:val="auto"/>
          <w:sz w:val="24"/>
        </w:rPr>
      </w:pPr>
      <w:r>
        <w:rPr>
          <w:rFonts w:hint="eastAsia" w:ascii="宋体" w:hAnsi="宋体"/>
          <w:color w:val="auto"/>
          <w:sz w:val="24"/>
        </w:rPr>
        <w:t>卖方应保证其提供的货物在各个方面符合技术规格书规定的质量、规格和性能要求。</w:t>
      </w:r>
    </w:p>
    <w:p>
      <w:pPr>
        <w:numPr>
          <w:ilvl w:val="0"/>
          <w:numId w:val="15"/>
        </w:numPr>
        <w:tabs>
          <w:tab w:val="left" w:pos="540"/>
          <w:tab w:val="left" w:pos="1080"/>
          <w:tab w:val="clear" w:pos="900"/>
        </w:tabs>
        <w:spacing w:line="440" w:lineRule="exact"/>
        <w:ind w:left="540" w:firstLine="0"/>
        <w:rPr>
          <w:rFonts w:hint="eastAsia" w:ascii="宋体" w:hAnsi="宋体"/>
          <w:color w:val="auto"/>
          <w:sz w:val="24"/>
        </w:rPr>
      </w:pPr>
      <w:r>
        <w:rPr>
          <w:rFonts w:hint="eastAsia" w:ascii="宋体" w:hAnsi="宋体"/>
          <w:color w:val="auto"/>
          <w:sz w:val="24"/>
        </w:rPr>
        <w:t>合同货物的质量保证期为联动调试合格试运行后的</w:t>
      </w:r>
      <w:r>
        <w:rPr>
          <w:rFonts w:hint="eastAsia" w:ascii="宋体" w:hAnsi="宋体"/>
          <w:color w:val="auto"/>
          <w:sz w:val="30"/>
          <w:szCs w:val="30"/>
        </w:rPr>
        <w:t>18</w:t>
      </w:r>
      <w:r>
        <w:rPr>
          <w:rFonts w:hint="eastAsia" w:ascii="宋体" w:hAnsi="宋体"/>
          <w:color w:val="auto"/>
          <w:sz w:val="24"/>
        </w:rPr>
        <w:t>个月。在质量保证期内，卖方应对由于设计、工艺、生产或运输导致的缺陷负责，出现上述情况，卖方应在7天内对买方提出的要求给予答复并处理。</w:t>
      </w:r>
    </w:p>
    <w:p>
      <w:pPr>
        <w:tabs>
          <w:tab w:val="left" w:pos="1080"/>
        </w:tabs>
        <w:spacing w:line="440" w:lineRule="exact"/>
        <w:ind w:left="540"/>
        <w:rPr>
          <w:rFonts w:hint="eastAsia" w:ascii="宋体" w:hAnsi="宋体"/>
          <w:color w:val="auto"/>
          <w:sz w:val="24"/>
        </w:rPr>
      </w:pPr>
    </w:p>
    <w:p>
      <w:pPr>
        <w:spacing w:line="440" w:lineRule="exact"/>
        <w:ind w:firstLine="570"/>
        <w:rPr>
          <w:rFonts w:hint="eastAsia" w:ascii="宋体" w:hAnsi="宋体"/>
          <w:b/>
          <w:color w:val="auto"/>
          <w:sz w:val="24"/>
        </w:rPr>
      </w:pPr>
      <w:r>
        <w:rPr>
          <w:rFonts w:hint="eastAsia" w:ascii="宋体" w:hAnsi="宋体"/>
          <w:b/>
          <w:color w:val="auto"/>
          <w:sz w:val="24"/>
        </w:rPr>
        <w:t>第十四条  技术服务和检验</w:t>
      </w:r>
    </w:p>
    <w:p>
      <w:pPr>
        <w:numPr>
          <w:ilvl w:val="0"/>
          <w:numId w:val="16"/>
        </w:numPr>
        <w:tabs>
          <w:tab w:val="left" w:pos="540"/>
          <w:tab w:val="clear" w:pos="1080"/>
        </w:tabs>
        <w:spacing w:line="440" w:lineRule="exact"/>
        <w:ind w:left="540" w:firstLine="0"/>
        <w:rPr>
          <w:rFonts w:hint="eastAsia" w:ascii="宋体" w:hAnsi="宋体"/>
          <w:color w:val="auto"/>
          <w:sz w:val="24"/>
        </w:rPr>
      </w:pPr>
      <w:r>
        <w:rPr>
          <w:rFonts w:hint="eastAsia" w:ascii="宋体" w:hAnsi="宋体"/>
          <w:color w:val="auto"/>
          <w:sz w:val="24"/>
        </w:rPr>
        <w:t>卖方应及时提供与本合同设备有关的安装、调试、验收、性能验收试验、运行、检修等相应的技术指导、技术配合、技术培训等全过程的服务。</w:t>
      </w:r>
    </w:p>
    <w:p>
      <w:pPr>
        <w:numPr>
          <w:ilvl w:val="0"/>
          <w:numId w:val="16"/>
        </w:numPr>
        <w:tabs>
          <w:tab w:val="left" w:pos="540"/>
          <w:tab w:val="clear" w:pos="1080"/>
        </w:tabs>
        <w:spacing w:line="440" w:lineRule="exact"/>
        <w:ind w:left="540" w:firstLine="0"/>
        <w:rPr>
          <w:rFonts w:hint="eastAsia" w:ascii="宋体" w:hAnsi="宋体"/>
          <w:color w:val="auto"/>
          <w:sz w:val="24"/>
        </w:rPr>
      </w:pPr>
      <w:r>
        <w:rPr>
          <w:rFonts w:hint="eastAsia" w:ascii="宋体" w:hAnsi="宋体"/>
          <w:color w:val="auto"/>
          <w:sz w:val="24"/>
        </w:rPr>
        <w:t>卖方需派代表到现场进行技术服务，指导买方按卖方的技术资料、图纸进行安装、分部试运、调试、启动和试运行，并负责解决合同设备在安装调试、试运行中发现的制造质量及性能等有关问题。</w:t>
      </w:r>
    </w:p>
    <w:p>
      <w:pPr>
        <w:numPr>
          <w:ilvl w:val="0"/>
          <w:numId w:val="16"/>
        </w:numPr>
        <w:tabs>
          <w:tab w:val="left" w:pos="540"/>
          <w:tab w:val="clear" w:pos="1080"/>
        </w:tabs>
        <w:spacing w:line="440" w:lineRule="exact"/>
        <w:ind w:left="540" w:firstLine="0"/>
        <w:rPr>
          <w:rFonts w:hint="eastAsia" w:ascii="宋体" w:hAnsi="宋体"/>
          <w:color w:val="auto"/>
          <w:sz w:val="24"/>
        </w:rPr>
      </w:pPr>
      <w:r>
        <w:rPr>
          <w:rFonts w:hint="eastAsia" w:ascii="宋体" w:hAnsi="宋体"/>
          <w:color w:val="auto"/>
          <w:sz w:val="24"/>
        </w:rPr>
        <w:t>卖方应在合同生效后1个月内以快递邮寄方式向买方提交执行14.2条规定的服务工作的组织计划一式两份。</w:t>
      </w:r>
    </w:p>
    <w:p>
      <w:pPr>
        <w:numPr>
          <w:ilvl w:val="0"/>
          <w:numId w:val="16"/>
        </w:numPr>
        <w:tabs>
          <w:tab w:val="left" w:pos="540"/>
          <w:tab w:val="clear" w:pos="1080"/>
        </w:tabs>
        <w:spacing w:line="440" w:lineRule="exact"/>
        <w:ind w:left="540" w:firstLine="0"/>
        <w:rPr>
          <w:rFonts w:hint="eastAsia" w:ascii="宋体" w:hAnsi="宋体"/>
          <w:color w:val="auto"/>
          <w:sz w:val="24"/>
        </w:rPr>
      </w:pPr>
      <w:r>
        <w:rPr>
          <w:rFonts w:hint="eastAsia" w:ascii="宋体" w:hAnsi="宋体"/>
          <w:color w:val="auto"/>
          <w:sz w:val="24"/>
        </w:rPr>
        <w:t>如遇有重大问题需要双方立即研究协商时，任何一方均可建议召开会议，在一般情况下，另一方应同意参加。</w:t>
      </w:r>
    </w:p>
    <w:p>
      <w:pPr>
        <w:numPr>
          <w:ilvl w:val="0"/>
          <w:numId w:val="16"/>
        </w:numPr>
        <w:tabs>
          <w:tab w:val="left" w:pos="540"/>
          <w:tab w:val="clear" w:pos="1080"/>
        </w:tabs>
        <w:spacing w:line="440" w:lineRule="exact"/>
        <w:ind w:left="540" w:firstLine="0"/>
        <w:rPr>
          <w:rFonts w:hint="eastAsia" w:ascii="宋体" w:hAnsi="宋体"/>
          <w:color w:val="auto"/>
          <w:sz w:val="24"/>
        </w:rPr>
      </w:pPr>
      <w:r>
        <w:rPr>
          <w:rFonts w:hint="eastAsia" w:ascii="宋体" w:hAnsi="宋体"/>
          <w:color w:val="auto"/>
          <w:sz w:val="24"/>
        </w:rPr>
        <w:t>各次会议及其他联络方式双方均应签订会议或联络纪要，所签纪要双方均应执行。如涉及合同条款有修改时，双方需签订补充或更改合同。</w:t>
      </w:r>
    </w:p>
    <w:p>
      <w:pPr>
        <w:numPr>
          <w:ilvl w:val="0"/>
          <w:numId w:val="16"/>
        </w:numPr>
        <w:tabs>
          <w:tab w:val="left" w:pos="540"/>
          <w:tab w:val="clear" w:pos="1080"/>
        </w:tabs>
        <w:spacing w:line="440" w:lineRule="exact"/>
        <w:ind w:left="540" w:firstLine="0"/>
        <w:rPr>
          <w:rFonts w:hint="eastAsia" w:ascii="宋体" w:hAnsi="宋体"/>
          <w:color w:val="auto"/>
          <w:sz w:val="24"/>
        </w:rPr>
      </w:pPr>
      <w:r>
        <w:rPr>
          <w:rFonts w:hint="eastAsia" w:ascii="宋体" w:hAnsi="宋体"/>
          <w:color w:val="auto"/>
          <w:sz w:val="24"/>
        </w:rPr>
        <w:t>卖方提出并经双方在会议上确定的安装、调试和运行技术服务方案，卖方如有修改，须以书面形式通知买方，经买方确认后方可进行。为适应现场条件的要求，买方有权提出变更或修改意见，并书面通知卖方，卖方应给予充分考虑，应尽量满足买方要求。</w:t>
      </w:r>
    </w:p>
    <w:p>
      <w:pPr>
        <w:numPr>
          <w:ilvl w:val="0"/>
          <w:numId w:val="16"/>
        </w:numPr>
        <w:tabs>
          <w:tab w:val="left" w:pos="540"/>
          <w:tab w:val="clear" w:pos="1080"/>
        </w:tabs>
        <w:spacing w:line="440" w:lineRule="exact"/>
        <w:ind w:left="540" w:firstLine="0"/>
        <w:rPr>
          <w:rFonts w:hint="eastAsia" w:ascii="宋体" w:hAnsi="宋体"/>
          <w:color w:val="auto"/>
          <w:sz w:val="24"/>
        </w:rPr>
      </w:pPr>
      <w:r>
        <w:rPr>
          <w:rFonts w:hint="eastAsia" w:ascii="宋体" w:hAnsi="宋体"/>
          <w:color w:val="auto"/>
          <w:sz w:val="24"/>
        </w:rPr>
        <w:t>买方有权将对方所提供的一切与本合同设备有关的资料分发给与本工程有关的各方，并不由此而构成任何侵权,但不得向任何与本工程无关的第三方提供。</w:t>
      </w:r>
    </w:p>
    <w:p>
      <w:pPr>
        <w:numPr>
          <w:ilvl w:val="0"/>
          <w:numId w:val="16"/>
        </w:numPr>
        <w:tabs>
          <w:tab w:val="left" w:pos="540"/>
          <w:tab w:val="clear" w:pos="1080"/>
        </w:tabs>
        <w:spacing w:line="440" w:lineRule="exact"/>
        <w:ind w:left="540" w:firstLine="0"/>
        <w:rPr>
          <w:rFonts w:hint="eastAsia" w:ascii="宋体" w:hAnsi="宋体"/>
          <w:color w:val="auto"/>
          <w:sz w:val="24"/>
        </w:rPr>
      </w:pPr>
      <w:r>
        <w:rPr>
          <w:rFonts w:hint="eastAsia" w:ascii="宋体" w:hAnsi="宋体"/>
          <w:color w:val="auto"/>
          <w:sz w:val="24"/>
        </w:rPr>
        <w:t>对盖有“密件”印章的卖方、买方的资料，双方都有为其保密的义务。</w:t>
      </w:r>
    </w:p>
    <w:p>
      <w:pPr>
        <w:numPr>
          <w:ilvl w:val="0"/>
          <w:numId w:val="16"/>
        </w:numPr>
        <w:tabs>
          <w:tab w:val="left" w:pos="540"/>
          <w:tab w:val="clear" w:pos="1080"/>
        </w:tabs>
        <w:spacing w:line="440" w:lineRule="exact"/>
        <w:ind w:left="540" w:firstLine="0"/>
        <w:rPr>
          <w:rFonts w:hint="eastAsia" w:ascii="宋体" w:hAnsi="宋体"/>
          <w:color w:val="auto"/>
          <w:sz w:val="24"/>
        </w:rPr>
      </w:pPr>
      <w:r>
        <w:rPr>
          <w:rFonts w:hint="eastAsia" w:ascii="宋体" w:hAnsi="宋体"/>
          <w:color w:val="auto"/>
          <w:sz w:val="24"/>
        </w:rPr>
        <w:t>需要卖方的分包商对合同设备的部分技术服务或去现场工作，应由卖方统一组织并征得买方同意，费用应由卖方负担。</w:t>
      </w:r>
    </w:p>
    <w:p>
      <w:pPr>
        <w:numPr>
          <w:ilvl w:val="0"/>
          <w:numId w:val="16"/>
        </w:numPr>
        <w:tabs>
          <w:tab w:val="left" w:pos="540"/>
          <w:tab w:val="clear" w:pos="1080"/>
        </w:tabs>
        <w:spacing w:line="440" w:lineRule="exact"/>
        <w:ind w:left="540" w:firstLine="0"/>
        <w:rPr>
          <w:rFonts w:hint="eastAsia" w:ascii="宋体" w:hAnsi="宋体"/>
          <w:color w:val="auto"/>
          <w:sz w:val="24"/>
        </w:rPr>
      </w:pPr>
      <w:r>
        <w:rPr>
          <w:rFonts w:hint="eastAsia" w:ascii="宋体" w:hAnsi="宋体"/>
          <w:color w:val="auto"/>
          <w:sz w:val="24"/>
        </w:rPr>
        <w:t>卖方（包括外购）须对一切与本合同有关的供货、设备及技术接口、技术服务等问题负全部责任。</w:t>
      </w:r>
    </w:p>
    <w:p>
      <w:pPr>
        <w:numPr>
          <w:ilvl w:val="0"/>
          <w:numId w:val="16"/>
        </w:numPr>
        <w:tabs>
          <w:tab w:val="left" w:pos="540"/>
          <w:tab w:val="clear" w:pos="1080"/>
        </w:tabs>
        <w:spacing w:line="440" w:lineRule="exact"/>
        <w:ind w:left="540" w:firstLine="0"/>
        <w:rPr>
          <w:rFonts w:hint="eastAsia" w:ascii="宋体" w:hAnsi="宋体"/>
          <w:color w:val="auto"/>
          <w:sz w:val="24"/>
        </w:rPr>
      </w:pPr>
      <w:r>
        <w:rPr>
          <w:rFonts w:hint="eastAsia" w:ascii="宋体" w:hAnsi="宋体"/>
          <w:color w:val="auto"/>
          <w:sz w:val="24"/>
        </w:rPr>
        <w:t>凡与本合同设备相连接的其它设备装置，卖方有提供接口和技术配合的义务，并不由此而发生合同价格以外的任何费用。</w:t>
      </w:r>
    </w:p>
    <w:p>
      <w:pPr>
        <w:numPr>
          <w:ilvl w:val="0"/>
          <w:numId w:val="16"/>
        </w:numPr>
        <w:tabs>
          <w:tab w:val="left" w:pos="540"/>
          <w:tab w:val="clear" w:pos="1080"/>
        </w:tabs>
        <w:spacing w:line="440" w:lineRule="exact"/>
        <w:ind w:left="540" w:firstLine="0"/>
        <w:rPr>
          <w:rFonts w:hint="eastAsia" w:ascii="宋体" w:hAnsi="宋体"/>
          <w:color w:val="auto"/>
          <w:sz w:val="24"/>
        </w:rPr>
      </w:pPr>
      <w:r>
        <w:rPr>
          <w:rFonts w:hint="eastAsia" w:ascii="宋体" w:hAnsi="宋体"/>
          <w:color w:val="auto"/>
          <w:sz w:val="24"/>
        </w:rPr>
        <w:t>卖方派到现场服务的技术人员应是有实践经验、可胜任此项工作的人员。卖方派到现场服务的技术人员名单在本合同生效后1个月内提交买方予以确认。</w:t>
      </w:r>
    </w:p>
    <w:p>
      <w:pPr>
        <w:spacing w:line="440" w:lineRule="exact"/>
        <w:ind w:left="540" w:leftChars="257" w:firstLine="420" w:firstLineChars="175"/>
        <w:rPr>
          <w:rFonts w:hint="eastAsia" w:ascii="宋体" w:hAnsi="宋体"/>
          <w:color w:val="auto"/>
          <w:sz w:val="24"/>
        </w:rPr>
      </w:pPr>
      <w:r>
        <w:rPr>
          <w:rFonts w:hint="eastAsia" w:ascii="宋体" w:hAnsi="宋体"/>
          <w:color w:val="auto"/>
          <w:sz w:val="24"/>
        </w:rPr>
        <w:t>买方有权提出更换不符合要求的卖方现场服务人员，卖方应根据现场需要，重新选派买方认可的服务人员。如果买方在书面提出该项要求10天内卖方没有答复，将按第十五条视为延误工期等同处理。</w:t>
      </w:r>
    </w:p>
    <w:p>
      <w:pPr>
        <w:numPr>
          <w:ilvl w:val="0"/>
          <w:numId w:val="16"/>
        </w:numPr>
        <w:tabs>
          <w:tab w:val="left" w:pos="540"/>
          <w:tab w:val="clear" w:pos="1080"/>
        </w:tabs>
        <w:spacing w:line="440" w:lineRule="exact"/>
        <w:ind w:left="540" w:firstLine="0"/>
        <w:rPr>
          <w:rFonts w:hint="eastAsia" w:ascii="宋体" w:hAnsi="宋体"/>
          <w:color w:val="auto"/>
          <w:sz w:val="24"/>
        </w:rPr>
      </w:pPr>
      <w:r>
        <w:rPr>
          <w:rFonts w:hint="eastAsia" w:ascii="宋体" w:hAnsi="宋体"/>
          <w:color w:val="auto"/>
          <w:sz w:val="24"/>
        </w:rPr>
        <w:t>由于卖方技术服务人员对安装、调试、试运的技术指导的疏忽和错误以及卖方未按要求派人指导而造成的损失应由卖方负责。</w:t>
      </w:r>
    </w:p>
    <w:p>
      <w:pPr>
        <w:numPr>
          <w:ilvl w:val="0"/>
          <w:numId w:val="16"/>
        </w:numPr>
        <w:tabs>
          <w:tab w:val="left" w:pos="540"/>
          <w:tab w:val="clear" w:pos="1080"/>
        </w:tabs>
        <w:spacing w:line="440" w:lineRule="exact"/>
        <w:ind w:left="540" w:firstLine="0"/>
        <w:rPr>
          <w:rFonts w:hint="eastAsia" w:ascii="宋体" w:hAnsi="宋体"/>
          <w:color w:val="auto"/>
          <w:sz w:val="24"/>
        </w:rPr>
      </w:pPr>
      <w:r>
        <w:rPr>
          <w:rFonts w:hint="eastAsia" w:ascii="宋体" w:hAnsi="宋体"/>
          <w:color w:val="auto"/>
          <w:sz w:val="24"/>
        </w:rPr>
        <w:t>卖方应在发货之前对货物的有关质量、规格、性能、数量进行准确的全面的检验，并出具其货物符合规定的质量证明书。该证书将作为提交付款单据的一部分。但不应视为是对质量、规格、性能、数量的定论。质量证书应附有写明制造商的出厂检验结果、细节说明。</w:t>
      </w:r>
    </w:p>
    <w:p>
      <w:pPr>
        <w:spacing w:line="440" w:lineRule="exact"/>
        <w:ind w:left="540" w:leftChars="257" w:firstLine="508" w:firstLineChars="212"/>
        <w:rPr>
          <w:rFonts w:hint="eastAsia" w:ascii="宋体" w:hAnsi="宋体"/>
          <w:color w:val="auto"/>
          <w:sz w:val="24"/>
        </w:rPr>
      </w:pPr>
      <w:r>
        <w:rPr>
          <w:rFonts w:hint="eastAsia" w:ascii="宋体" w:hAnsi="宋体"/>
          <w:color w:val="auto"/>
          <w:sz w:val="24"/>
        </w:rPr>
        <w:t>由卖方供应的所有合同设备/部件(包括分包与外购),在生产过程中都须进行严格的检验和试验,出厂前须进行部套和/或整机总装和试验。所有检验、试验和总装(装配)必须有正式的记录文件。以上工作完成之后,合格者才能出厂发运。</w:t>
      </w:r>
    </w:p>
    <w:p>
      <w:pPr>
        <w:spacing w:line="440" w:lineRule="exact"/>
        <w:ind w:left="540" w:leftChars="257" w:firstLine="508" w:firstLineChars="212"/>
        <w:rPr>
          <w:rFonts w:hint="eastAsia" w:ascii="宋体" w:hAnsi="宋体"/>
          <w:color w:val="auto"/>
          <w:sz w:val="24"/>
        </w:rPr>
      </w:pPr>
      <w:r>
        <w:rPr>
          <w:rFonts w:hint="eastAsia" w:ascii="宋体" w:hAnsi="宋体"/>
          <w:color w:val="auto"/>
          <w:sz w:val="24"/>
        </w:rPr>
        <w:t>所有这些正式的记录文件及合格证作为技术资料的一部分，卖方要以快递方式邮寄给买方存档。此外,卖方还应在随机文件中提供合格证和质量证明文件。</w:t>
      </w:r>
    </w:p>
    <w:p>
      <w:pPr>
        <w:numPr>
          <w:ilvl w:val="0"/>
          <w:numId w:val="16"/>
        </w:numPr>
        <w:tabs>
          <w:tab w:val="left" w:pos="540"/>
          <w:tab w:val="clear" w:pos="1080"/>
        </w:tabs>
        <w:spacing w:line="440" w:lineRule="exact"/>
        <w:ind w:left="540" w:firstLine="0"/>
        <w:rPr>
          <w:rFonts w:hint="eastAsia" w:ascii="宋体" w:hAnsi="宋体"/>
          <w:color w:val="auto"/>
          <w:sz w:val="24"/>
        </w:rPr>
      </w:pPr>
      <w:r>
        <w:rPr>
          <w:rFonts w:hint="eastAsia" w:ascii="宋体" w:hAnsi="宋体"/>
          <w:color w:val="auto"/>
          <w:sz w:val="24"/>
        </w:rPr>
        <w:t>货物运抵现场后，卖方在接到买方通知后应及时到现场，与买方将对货物的有关质量、规格、数量/重量进行检验，并出具检验证书，该检验证书不免除或减轻卖方对货物应承担的任何质量责任。</w:t>
      </w:r>
    </w:p>
    <w:p>
      <w:pPr>
        <w:spacing w:line="440" w:lineRule="exact"/>
        <w:ind w:left="540" w:leftChars="257" w:firstLine="508" w:firstLineChars="212"/>
        <w:rPr>
          <w:rFonts w:hint="eastAsia" w:ascii="宋体" w:hAnsi="宋体"/>
          <w:color w:val="auto"/>
          <w:sz w:val="24"/>
        </w:rPr>
      </w:pPr>
      <w:r>
        <w:rPr>
          <w:rFonts w:hint="eastAsia" w:ascii="宋体" w:hAnsi="宋体"/>
          <w:color w:val="auto"/>
          <w:sz w:val="24"/>
        </w:rPr>
        <w:t>在现场开箱检验时，如果卖方人员未按时赴现场，买方有权自行开箱检验，检验结果和记录对双方同样有效，并作为买方向卖方提出索赔的有效证据。</w:t>
      </w:r>
    </w:p>
    <w:p>
      <w:pPr>
        <w:spacing w:line="440" w:lineRule="exact"/>
        <w:ind w:left="540" w:leftChars="257" w:firstLine="508" w:firstLineChars="212"/>
        <w:rPr>
          <w:rFonts w:hint="eastAsia" w:ascii="宋体" w:hAnsi="宋体"/>
          <w:color w:val="auto"/>
          <w:sz w:val="24"/>
        </w:rPr>
      </w:pPr>
      <w:r>
        <w:rPr>
          <w:rFonts w:hint="eastAsia" w:ascii="宋体" w:hAnsi="宋体"/>
          <w:color w:val="auto"/>
          <w:sz w:val="24"/>
        </w:rPr>
        <w:t>如果经检验发现质量、规格或数量不符合技术规格书的规定时，买方有权在货物运抵现场后90日内向卖方提出索赔。</w:t>
      </w:r>
    </w:p>
    <w:p>
      <w:pPr>
        <w:numPr>
          <w:ilvl w:val="0"/>
          <w:numId w:val="16"/>
        </w:numPr>
        <w:tabs>
          <w:tab w:val="left" w:pos="540"/>
          <w:tab w:val="clear" w:pos="1080"/>
        </w:tabs>
        <w:spacing w:line="440" w:lineRule="exact"/>
        <w:ind w:left="540" w:firstLine="0"/>
        <w:rPr>
          <w:rFonts w:hint="eastAsia" w:ascii="宋体" w:hAnsi="宋体"/>
          <w:color w:val="auto"/>
          <w:sz w:val="24"/>
        </w:rPr>
      </w:pPr>
      <w:r>
        <w:rPr>
          <w:rFonts w:hint="eastAsia" w:ascii="宋体" w:hAnsi="宋体"/>
          <w:color w:val="auto"/>
          <w:sz w:val="24"/>
        </w:rPr>
        <w:t>如果在第十三条规定的质量保证期内，发现货物的质量或规格与合同规定不符，或证明货物有缺陷（包括潜在缺陷），买方有权立即将此情况通知卖方，卖方应负责处理，并对买方因此遭受的损失承担赔偿责任。</w:t>
      </w:r>
    </w:p>
    <w:p>
      <w:pPr>
        <w:spacing w:line="440" w:lineRule="exact"/>
        <w:ind w:firstLine="570"/>
        <w:rPr>
          <w:rFonts w:hint="eastAsia" w:ascii="宋体" w:hAnsi="宋体"/>
          <w:color w:val="auto"/>
          <w:sz w:val="24"/>
        </w:rPr>
      </w:pPr>
      <w:r>
        <w:rPr>
          <w:rFonts w:hint="eastAsia" w:ascii="宋体" w:hAnsi="宋体"/>
          <w:color w:val="auto"/>
          <w:sz w:val="24"/>
        </w:rPr>
        <w:t xml:space="preserve"> </w:t>
      </w:r>
    </w:p>
    <w:p>
      <w:pPr>
        <w:spacing w:line="440" w:lineRule="exact"/>
        <w:ind w:firstLine="570"/>
        <w:rPr>
          <w:rFonts w:hint="eastAsia" w:ascii="宋体" w:hAnsi="宋体"/>
          <w:b/>
          <w:color w:val="auto"/>
          <w:sz w:val="24"/>
        </w:rPr>
      </w:pPr>
      <w:r>
        <w:rPr>
          <w:rFonts w:hint="eastAsia" w:ascii="宋体" w:hAnsi="宋体"/>
          <w:b/>
          <w:color w:val="auto"/>
          <w:sz w:val="24"/>
        </w:rPr>
        <w:t>第十五条  索赔</w:t>
      </w:r>
    </w:p>
    <w:p>
      <w:pPr>
        <w:numPr>
          <w:ilvl w:val="0"/>
          <w:numId w:val="17"/>
        </w:numPr>
        <w:tabs>
          <w:tab w:val="left" w:pos="1260"/>
          <w:tab w:val="clear" w:pos="1080"/>
        </w:tabs>
        <w:spacing w:line="440" w:lineRule="exact"/>
        <w:ind w:left="540" w:firstLine="0"/>
        <w:rPr>
          <w:rFonts w:hint="eastAsia" w:ascii="宋体" w:hAnsi="宋体"/>
          <w:color w:val="auto"/>
          <w:sz w:val="24"/>
        </w:rPr>
      </w:pPr>
      <w:r>
        <w:rPr>
          <w:rFonts w:hint="eastAsia" w:ascii="宋体" w:hAnsi="宋体"/>
          <w:color w:val="auto"/>
          <w:sz w:val="24"/>
        </w:rPr>
        <w:t>如果卖方提供的货物与合同不符，并且买方已于第十三条、第十四条规定的质量保证期内和检验、验收测试期限内提出索赔，卖方应按买方同意的下述一种或多种方法解决索赔事宜。</w:t>
      </w:r>
    </w:p>
    <w:p>
      <w:pPr>
        <w:numPr>
          <w:ilvl w:val="0"/>
          <w:numId w:val="18"/>
        </w:numPr>
        <w:tabs>
          <w:tab w:val="left" w:pos="1260"/>
          <w:tab w:val="clear" w:pos="1080"/>
        </w:tabs>
        <w:spacing w:line="440" w:lineRule="exact"/>
        <w:ind w:left="540" w:firstLine="0"/>
        <w:rPr>
          <w:rFonts w:hint="eastAsia" w:ascii="宋体" w:hAnsi="宋体"/>
          <w:color w:val="auto"/>
          <w:sz w:val="24"/>
        </w:rPr>
      </w:pPr>
      <w:r>
        <w:rPr>
          <w:rFonts w:hint="eastAsia" w:ascii="宋体" w:hAnsi="宋体"/>
          <w:color w:val="auto"/>
          <w:sz w:val="24"/>
        </w:rPr>
        <w:t>卖方应向买方支付与被拒收货物价值等额的款项，并应负担由此发生的一切损失补偿和费用，包括利息、银行费用、运费和保险费、检验费、仓储费、装卸费以及为保管和保护被拒绝货物所需要的其它必要费用等。如果买方选择按本项解决索赔事宜，则在卖方支付前述款项和费用后，卖方将被免除按本合同交付该批货物的义务。</w:t>
      </w:r>
    </w:p>
    <w:p>
      <w:pPr>
        <w:spacing w:line="440" w:lineRule="exact"/>
        <w:ind w:left="540"/>
        <w:rPr>
          <w:rFonts w:hint="eastAsia" w:ascii="宋体" w:hAnsi="宋体"/>
          <w:color w:val="auto"/>
          <w:sz w:val="24"/>
        </w:rPr>
      </w:pPr>
      <w:r>
        <w:rPr>
          <w:rFonts w:hint="eastAsia" w:ascii="宋体" w:hAnsi="宋体"/>
          <w:color w:val="auto"/>
          <w:sz w:val="24"/>
        </w:rPr>
        <w:t>15.1.2 更换不合格的货物，以达到合同规定的规格、质量和性能，卖方承担由此产生的一切费用和风险并负担买方遭受的一切直接费用和损失。同时卖方应根据第十三条规定对更换的货物相应地延长质量保证期。</w:t>
      </w:r>
    </w:p>
    <w:p>
      <w:pPr>
        <w:numPr>
          <w:ilvl w:val="0"/>
          <w:numId w:val="17"/>
        </w:numPr>
        <w:tabs>
          <w:tab w:val="left" w:pos="1260"/>
          <w:tab w:val="clear" w:pos="1080"/>
        </w:tabs>
        <w:spacing w:line="440" w:lineRule="exact"/>
        <w:ind w:left="540" w:firstLine="0"/>
        <w:rPr>
          <w:rFonts w:hint="eastAsia" w:ascii="宋体" w:hAnsi="宋体"/>
          <w:color w:val="auto"/>
          <w:sz w:val="24"/>
        </w:rPr>
      </w:pPr>
      <w:r>
        <w:rPr>
          <w:rFonts w:hint="eastAsia" w:ascii="宋体" w:hAnsi="宋体"/>
          <w:color w:val="auto"/>
          <w:sz w:val="24"/>
        </w:rPr>
        <w:t>由于卖方原因而引起的设备或部件的更换或补齐短少的零部件的时间，以不影响工程建设进度为原则，但最迟不得晚于发现缺陷、损坏或短缺等之后1周或买卖双方商定的更长时间内，否则按延迟交货处理。</w:t>
      </w:r>
    </w:p>
    <w:p>
      <w:pPr>
        <w:numPr>
          <w:ilvl w:val="0"/>
          <w:numId w:val="17"/>
        </w:numPr>
        <w:tabs>
          <w:tab w:val="left" w:pos="1260"/>
          <w:tab w:val="clear" w:pos="1080"/>
        </w:tabs>
        <w:spacing w:line="440" w:lineRule="exact"/>
        <w:ind w:left="540" w:firstLine="0"/>
        <w:rPr>
          <w:rFonts w:hint="eastAsia" w:ascii="宋体" w:hAnsi="宋体"/>
          <w:color w:val="auto"/>
          <w:sz w:val="24"/>
        </w:rPr>
      </w:pPr>
      <w:r>
        <w:rPr>
          <w:rFonts w:hint="eastAsia" w:ascii="宋体" w:hAnsi="宋体"/>
          <w:color w:val="auto"/>
          <w:sz w:val="24"/>
        </w:rPr>
        <w:t xml:space="preserve"> 如果买方提出索赔通知后个20日内卖方未能答复，该索赔应视为已被卖方接受。若卖方未能在买方提出索赔通知的20日内或买方同意的更长一些的时间内，按买方同意的上述任何一种方式处理索赔事宜，买方将从货款或卖方提供的履约保证金或质量保证金中扣回索赔金额，履约保证金或质量保证金金额不足时，买方有权向卖方进行进一步的索赔。</w:t>
      </w:r>
    </w:p>
    <w:p>
      <w:pPr>
        <w:spacing w:line="440" w:lineRule="exact"/>
        <w:ind w:firstLine="570"/>
        <w:rPr>
          <w:rFonts w:ascii="宋体" w:hAnsi="宋体"/>
          <w:color w:val="auto"/>
          <w:sz w:val="24"/>
        </w:rPr>
      </w:pPr>
    </w:p>
    <w:p>
      <w:pPr>
        <w:spacing w:line="440" w:lineRule="exact"/>
        <w:ind w:firstLine="570"/>
        <w:rPr>
          <w:rFonts w:hint="eastAsia" w:ascii="宋体" w:hAnsi="宋体"/>
          <w:b/>
          <w:color w:val="auto"/>
          <w:sz w:val="24"/>
        </w:rPr>
      </w:pPr>
      <w:r>
        <w:rPr>
          <w:rFonts w:hint="eastAsia" w:ascii="宋体" w:hAnsi="宋体"/>
          <w:b/>
          <w:color w:val="auto"/>
          <w:sz w:val="24"/>
        </w:rPr>
        <w:t>第十六条 安装、调试、试运和验收</w:t>
      </w:r>
    </w:p>
    <w:p>
      <w:pPr>
        <w:numPr>
          <w:ilvl w:val="0"/>
          <w:numId w:val="19"/>
        </w:numPr>
        <w:tabs>
          <w:tab w:val="left" w:pos="540"/>
          <w:tab w:val="left" w:pos="1260"/>
          <w:tab w:val="clear" w:pos="1080"/>
        </w:tabs>
        <w:spacing w:line="440" w:lineRule="exact"/>
        <w:ind w:left="540" w:firstLine="0" w:firstLineChars="0"/>
        <w:rPr>
          <w:rFonts w:ascii="宋体" w:hAnsi="宋体"/>
          <w:sz w:val="24"/>
          <w:szCs w:val="24"/>
          <w:highlight w:val="none"/>
        </w:rPr>
      </w:pPr>
      <w:r>
        <w:rPr>
          <w:rFonts w:hint="eastAsia" w:ascii="宋体" w:hAnsi="宋体" w:cs="Times New Roman"/>
          <w:sz w:val="24"/>
          <w:szCs w:val="24"/>
          <w:highlight w:val="none"/>
        </w:rPr>
        <w:t>本合同设备由卖方根据相关设备的技术资料、检验标准、图纸及说明书进行安装、调试、运行和维修。重要工序须经卖方现场技术服务人员签字确认。安装、调试过程中，若卖方未按相关设备的技术资料规定和安装规定而出现问题，卖方自行负责。</w:t>
      </w:r>
    </w:p>
    <w:p>
      <w:pPr>
        <w:numPr>
          <w:ilvl w:val="0"/>
          <w:numId w:val="19"/>
        </w:numPr>
        <w:tabs>
          <w:tab w:val="left" w:pos="540"/>
          <w:tab w:val="left" w:pos="1260"/>
          <w:tab w:val="clear" w:pos="1080"/>
        </w:tabs>
        <w:spacing w:line="440" w:lineRule="exact"/>
        <w:ind w:left="540" w:firstLine="0" w:firstLineChars="0"/>
        <w:rPr>
          <w:rFonts w:ascii="宋体" w:hAnsi="宋体"/>
          <w:sz w:val="24"/>
          <w:szCs w:val="24"/>
          <w:highlight w:val="none"/>
        </w:rPr>
      </w:pPr>
      <w:r>
        <w:rPr>
          <w:rFonts w:hint="eastAsia" w:ascii="宋体" w:hAnsi="宋体"/>
          <w:sz w:val="24"/>
          <w:szCs w:val="24"/>
          <w:highlight w:val="none"/>
        </w:rPr>
        <w:t>在安装之前，卖方技术人员应</w:t>
      </w:r>
      <w:r>
        <w:rPr>
          <w:rFonts w:hint="eastAsia" w:ascii="宋体" w:hAnsi="宋体"/>
          <w:sz w:val="24"/>
          <w:szCs w:val="24"/>
          <w:highlight w:val="none"/>
          <w:lang w:val="en-US" w:eastAsia="zh-CN"/>
        </w:rPr>
        <w:t>说明</w:t>
      </w:r>
      <w:r>
        <w:rPr>
          <w:rFonts w:hint="eastAsia" w:ascii="宋体" w:hAnsi="宋体"/>
          <w:sz w:val="24"/>
          <w:szCs w:val="24"/>
          <w:highlight w:val="none"/>
        </w:rPr>
        <w:t>安装方法和要求。在安装过程中，</w:t>
      </w:r>
      <w:r>
        <w:rPr>
          <w:rFonts w:hint="eastAsia" w:ascii="宋体" w:hAnsi="宋体"/>
          <w:sz w:val="24"/>
          <w:szCs w:val="24"/>
          <w:highlight w:val="none"/>
          <w:lang w:val="en-US" w:eastAsia="zh-CN"/>
        </w:rPr>
        <w:t>买</w:t>
      </w:r>
      <w:r>
        <w:rPr>
          <w:rFonts w:hint="eastAsia" w:ascii="宋体" w:hAnsi="宋体"/>
          <w:sz w:val="24"/>
          <w:szCs w:val="24"/>
          <w:highlight w:val="none"/>
        </w:rPr>
        <w:t>方技术人员</w:t>
      </w:r>
      <w:r>
        <w:rPr>
          <w:rFonts w:hint="eastAsia" w:ascii="宋体" w:hAnsi="宋体"/>
          <w:sz w:val="24"/>
          <w:szCs w:val="24"/>
          <w:highlight w:val="none"/>
          <w:lang w:val="en-US" w:eastAsia="zh-CN"/>
        </w:rPr>
        <w:t>有权对</w:t>
      </w:r>
      <w:r>
        <w:rPr>
          <w:rFonts w:hint="eastAsia" w:ascii="宋体" w:hAnsi="宋体"/>
          <w:sz w:val="24"/>
          <w:szCs w:val="24"/>
          <w:highlight w:val="none"/>
        </w:rPr>
        <w:t>安装工作</w:t>
      </w:r>
      <w:r>
        <w:rPr>
          <w:rFonts w:hint="eastAsia" w:ascii="宋体" w:hAnsi="宋体"/>
          <w:sz w:val="24"/>
          <w:szCs w:val="24"/>
          <w:highlight w:val="none"/>
          <w:lang w:val="en-US" w:eastAsia="zh-CN"/>
        </w:rPr>
        <w:t>进行</w:t>
      </w:r>
      <w:r>
        <w:rPr>
          <w:rFonts w:ascii="宋体" w:hAnsi="宋体"/>
          <w:sz w:val="24"/>
          <w:szCs w:val="24"/>
          <w:highlight w:val="none"/>
        </w:rPr>
        <w:t>监督</w:t>
      </w:r>
      <w:r>
        <w:rPr>
          <w:rFonts w:hint="eastAsia" w:ascii="宋体" w:hAnsi="宋体"/>
          <w:sz w:val="24"/>
          <w:szCs w:val="24"/>
          <w:highlight w:val="none"/>
          <w:lang w:eastAsia="zh-CN"/>
        </w:rPr>
        <w:t>。</w:t>
      </w:r>
      <w:r>
        <w:rPr>
          <w:rFonts w:ascii="宋体" w:hAnsi="宋体"/>
          <w:sz w:val="24"/>
          <w:szCs w:val="24"/>
          <w:highlight w:val="none"/>
        </w:rPr>
        <w:t>在单套合同设备安装完毕后，买卖双方代表将进一步核实、确认安装工作，并共同签署安装完毕证书一式二份，买卖双方各执一份。但此证书不能解除卖方在试运行、性能验收试验和保证期内的责任，以及技术性能和保证与合同规定不相符的责任。本合同设备安装完毕后的验收工作按照技术规格书的要求进行。</w:t>
      </w:r>
    </w:p>
    <w:p>
      <w:pPr>
        <w:numPr>
          <w:ilvl w:val="0"/>
          <w:numId w:val="19"/>
        </w:numPr>
        <w:tabs>
          <w:tab w:val="left" w:pos="540"/>
          <w:tab w:val="left" w:pos="1260"/>
          <w:tab w:val="clear" w:pos="1080"/>
        </w:tabs>
        <w:spacing w:line="440" w:lineRule="exact"/>
        <w:ind w:left="540" w:firstLine="0" w:firstLineChars="0"/>
        <w:rPr>
          <w:rFonts w:ascii="宋体" w:hAnsi="宋体"/>
          <w:sz w:val="24"/>
          <w:szCs w:val="24"/>
          <w:highlight w:val="none"/>
        </w:rPr>
      </w:pPr>
      <w:r>
        <w:rPr>
          <w:rFonts w:hint="eastAsia" w:ascii="宋体" w:hAnsi="宋体"/>
          <w:sz w:val="24"/>
          <w:szCs w:val="24"/>
          <w:highlight w:val="none"/>
        </w:rPr>
        <w:t>合同设备安装完毕后，卖方应派人参加调试进行指导，并应尽快解决调试中出现的因卖方原因引起的设备问题，其所需时间一般不应超过</w:t>
      </w:r>
      <w:r>
        <w:rPr>
          <w:rFonts w:ascii="宋体" w:hAnsi="宋体"/>
          <w:sz w:val="24"/>
          <w:szCs w:val="24"/>
          <w:highlight w:val="none"/>
        </w:rPr>
        <w:t>1周，对于因卖方原因引起的较大的设备问题，卖方应在双方协商确定的合理期间内解决，否则将视为延误工期进行处理。对于非卖方原因引起的设备问题，卖方应尽快协助买方予以处理。</w:t>
      </w:r>
    </w:p>
    <w:p>
      <w:pPr>
        <w:numPr>
          <w:ilvl w:val="0"/>
          <w:numId w:val="19"/>
        </w:numPr>
        <w:tabs>
          <w:tab w:val="left" w:pos="540"/>
          <w:tab w:val="left" w:pos="1260"/>
          <w:tab w:val="clear" w:pos="1080"/>
        </w:tabs>
        <w:spacing w:line="440" w:lineRule="exact"/>
        <w:ind w:left="540" w:firstLine="0"/>
        <w:rPr>
          <w:rFonts w:hint="eastAsia" w:ascii="宋体" w:hAnsi="宋体"/>
          <w:color w:val="auto"/>
          <w:sz w:val="24"/>
        </w:rPr>
      </w:pPr>
      <w:r>
        <w:rPr>
          <w:rFonts w:hint="eastAsia" w:ascii="宋体" w:hAnsi="宋体"/>
          <w:color w:val="auto"/>
          <w:sz w:val="24"/>
        </w:rPr>
        <w:t>性能验收试验的目的是为验证合同设备是否能达到各项技术性能和保证指标。验收试验由买方负责，卖方参加。性能验收试验完毕,每套合同设备达到技术规格书所规定的各项性能保证值指标后，买方应在10天内签署由卖方会签的本合同设备初步性能验收合格证书一式二份，双方各执一份。除合同中另有规定外，各方人员所发生的费用均由该方自行负担。</w:t>
      </w:r>
    </w:p>
    <w:p>
      <w:pPr>
        <w:numPr>
          <w:ilvl w:val="0"/>
          <w:numId w:val="19"/>
        </w:numPr>
        <w:tabs>
          <w:tab w:val="left" w:pos="540"/>
          <w:tab w:val="left" w:pos="1260"/>
          <w:tab w:val="clear" w:pos="1080"/>
        </w:tabs>
        <w:spacing w:line="440" w:lineRule="exact"/>
        <w:ind w:left="540" w:firstLine="0"/>
        <w:rPr>
          <w:rFonts w:hint="eastAsia" w:ascii="宋体" w:hAnsi="宋体"/>
          <w:color w:val="auto"/>
          <w:sz w:val="24"/>
        </w:rPr>
      </w:pPr>
      <w:r>
        <w:rPr>
          <w:rFonts w:hint="eastAsia" w:ascii="宋体" w:hAnsi="宋体"/>
          <w:color w:val="auto"/>
          <w:sz w:val="24"/>
        </w:rPr>
        <w:t>在不影响本合同设备安全、可靠运行的条件下，如有个别微小缺陷，且此缺陷按本合同条款被定为卖方责任,卖方在双方商定的时间内免费修理上述的缺陷，买方则可同意签署初步性能验收合格证书。</w:t>
      </w:r>
    </w:p>
    <w:p>
      <w:pPr>
        <w:numPr>
          <w:ilvl w:val="0"/>
          <w:numId w:val="19"/>
        </w:numPr>
        <w:tabs>
          <w:tab w:val="left" w:pos="540"/>
          <w:tab w:val="left" w:pos="1260"/>
          <w:tab w:val="clear" w:pos="1080"/>
        </w:tabs>
        <w:spacing w:line="440" w:lineRule="exact"/>
        <w:ind w:left="540" w:firstLine="0"/>
        <w:rPr>
          <w:rFonts w:hint="eastAsia" w:ascii="宋体" w:hAnsi="宋体"/>
          <w:color w:val="auto"/>
          <w:sz w:val="24"/>
        </w:rPr>
      </w:pPr>
      <w:r>
        <w:rPr>
          <w:rFonts w:hint="eastAsia" w:ascii="宋体" w:hAnsi="宋体"/>
          <w:color w:val="auto"/>
          <w:sz w:val="24"/>
        </w:rPr>
        <w:t>如果第一次性能验收试验达不到技术规格书所规定的一项或多项性能保证值，则双方应共同分析原因，澄清责任,由责任一方采取措施，并在第一次验收试验结束后1个月内进行第二次验收试验。</w:t>
      </w:r>
    </w:p>
    <w:p>
      <w:pPr>
        <w:numPr>
          <w:ilvl w:val="0"/>
          <w:numId w:val="20"/>
        </w:numPr>
        <w:tabs>
          <w:tab w:val="left" w:pos="540"/>
          <w:tab w:val="left" w:pos="1260"/>
          <w:tab w:val="clear" w:pos="1080"/>
        </w:tabs>
        <w:spacing w:line="440" w:lineRule="exact"/>
        <w:ind w:left="540" w:firstLine="0"/>
        <w:rPr>
          <w:rFonts w:hint="eastAsia" w:ascii="宋体" w:hAnsi="宋体"/>
          <w:color w:val="auto"/>
          <w:sz w:val="24"/>
        </w:rPr>
      </w:pPr>
      <w:r>
        <w:rPr>
          <w:rFonts w:hint="eastAsia" w:ascii="宋体" w:hAnsi="宋体"/>
          <w:color w:val="auto"/>
          <w:sz w:val="24"/>
        </w:rPr>
        <w:t>如属卖方责任，卖方需自费采取有效措施以使第二次性能验收试验能达到技术性能和/或保证指标，卖方将负担所有直接的费用，包括但不仅限于下列费用：</w:t>
      </w:r>
    </w:p>
    <w:p>
      <w:pPr>
        <w:numPr>
          <w:ilvl w:val="1"/>
          <w:numId w:val="21"/>
        </w:numPr>
        <w:tabs>
          <w:tab w:val="left" w:pos="1260"/>
          <w:tab w:val="clear" w:pos="1320"/>
        </w:tabs>
        <w:spacing w:line="440" w:lineRule="exact"/>
        <w:rPr>
          <w:rFonts w:hint="eastAsia" w:ascii="宋体" w:hAnsi="宋体"/>
          <w:color w:val="auto"/>
          <w:sz w:val="24"/>
        </w:rPr>
      </w:pPr>
      <w:r>
        <w:rPr>
          <w:rFonts w:hint="eastAsia" w:ascii="宋体" w:hAnsi="宋体"/>
          <w:color w:val="auto"/>
          <w:sz w:val="24"/>
        </w:rPr>
        <w:t>替换和/或修理的设备和材料的费用；</w:t>
      </w:r>
    </w:p>
    <w:p>
      <w:pPr>
        <w:numPr>
          <w:ilvl w:val="1"/>
          <w:numId w:val="21"/>
        </w:numPr>
        <w:tabs>
          <w:tab w:val="left" w:pos="1260"/>
          <w:tab w:val="clear" w:pos="1320"/>
        </w:tabs>
        <w:spacing w:line="440" w:lineRule="exact"/>
        <w:rPr>
          <w:rFonts w:hint="eastAsia" w:ascii="宋体" w:hAnsi="宋体"/>
          <w:color w:val="auto"/>
          <w:sz w:val="24"/>
        </w:rPr>
      </w:pPr>
      <w:r>
        <w:rPr>
          <w:rFonts w:hint="eastAsia" w:ascii="宋体" w:hAnsi="宋体"/>
          <w:color w:val="auto"/>
          <w:sz w:val="24"/>
        </w:rPr>
        <w:t>参与第二次性能验收试验的卖方技术人员的费用；</w:t>
      </w:r>
    </w:p>
    <w:p>
      <w:pPr>
        <w:numPr>
          <w:ilvl w:val="1"/>
          <w:numId w:val="21"/>
        </w:numPr>
        <w:tabs>
          <w:tab w:val="left" w:pos="1260"/>
          <w:tab w:val="clear" w:pos="1320"/>
        </w:tabs>
        <w:spacing w:line="440" w:lineRule="exact"/>
        <w:rPr>
          <w:rFonts w:hint="eastAsia" w:ascii="宋体" w:hAnsi="宋体"/>
          <w:color w:val="auto"/>
          <w:sz w:val="24"/>
        </w:rPr>
      </w:pPr>
      <w:r>
        <w:rPr>
          <w:rFonts w:hint="eastAsia" w:ascii="宋体" w:hAnsi="宋体"/>
          <w:color w:val="auto"/>
          <w:sz w:val="24"/>
        </w:rPr>
        <w:t>参加修理的买方人员的费用；</w:t>
      </w:r>
    </w:p>
    <w:p>
      <w:pPr>
        <w:numPr>
          <w:ilvl w:val="1"/>
          <w:numId w:val="21"/>
        </w:numPr>
        <w:tabs>
          <w:tab w:val="left" w:pos="1260"/>
          <w:tab w:val="clear" w:pos="1320"/>
        </w:tabs>
        <w:spacing w:line="440" w:lineRule="exact"/>
        <w:rPr>
          <w:rFonts w:hint="eastAsia" w:ascii="宋体" w:hAnsi="宋体"/>
          <w:color w:val="auto"/>
          <w:sz w:val="24"/>
        </w:rPr>
      </w:pPr>
      <w:r>
        <w:rPr>
          <w:rFonts w:hint="eastAsia" w:ascii="宋体" w:hAnsi="宋体"/>
          <w:color w:val="auto"/>
          <w:sz w:val="24"/>
        </w:rPr>
        <w:t>第二次性能验收试验所使用的工具和设备的费用；</w:t>
      </w:r>
    </w:p>
    <w:p>
      <w:pPr>
        <w:numPr>
          <w:ilvl w:val="1"/>
          <w:numId w:val="21"/>
        </w:numPr>
        <w:tabs>
          <w:tab w:val="left" w:pos="1260"/>
          <w:tab w:val="clear" w:pos="1320"/>
        </w:tabs>
        <w:spacing w:line="440" w:lineRule="exact"/>
        <w:rPr>
          <w:rFonts w:hint="eastAsia" w:ascii="宋体" w:hAnsi="宋体"/>
          <w:color w:val="auto"/>
          <w:sz w:val="24"/>
        </w:rPr>
      </w:pPr>
      <w:r>
        <w:rPr>
          <w:rFonts w:hint="eastAsia" w:ascii="宋体" w:hAnsi="宋体"/>
          <w:color w:val="auto"/>
          <w:sz w:val="24"/>
        </w:rPr>
        <w:t>第二次性能验收试验所使用的材料和消耗品的费用；</w:t>
      </w:r>
    </w:p>
    <w:p>
      <w:pPr>
        <w:numPr>
          <w:ilvl w:val="1"/>
          <w:numId w:val="21"/>
        </w:numPr>
        <w:tabs>
          <w:tab w:val="left" w:pos="1080"/>
          <w:tab w:val="clear" w:pos="1320"/>
        </w:tabs>
        <w:spacing w:line="440" w:lineRule="exact"/>
        <w:ind w:left="1620" w:hanging="720"/>
        <w:rPr>
          <w:rFonts w:hint="eastAsia" w:ascii="宋体" w:hAnsi="宋体"/>
          <w:color w:val="auto"/>
          <w:sz w:val="24"/>
        </w:rPr>
      </w:pPr>
      <w:r>
        <w:rPr>
          <w:rFonts w:hint="eastAsia" w:ascii="宋体" w:hAnsi="宋体"/>
          <w:color w:val="auto"/>
          <w:sz w:val="24"/>
        </w:rPr>
        <w:t>所更换和/或修理的设备和材料运离/运抵现场的所有运输和保险费用。</w:t>
      </w:r>
    </w:p>
    <w:p>
      <w:pPr>
        <w:numPr>
          <w:ilvl w:val="0"/>
          <w:numId w:val="19"/>
        </w:numPr>
        <w:tabs>
          <w:tab w:val="left" w:pos="540"/>
          <w:tab w:val="left" w:pos="1260"/>
          <w:tab w:val="clear" w:pos="1080"/>
        </w:tabs>
        <w:spacing w:line="440" w:lineRule="exact"/>
        <w:ind w:left="540" w:firstLine="0"/>
        <w:rPr>
          <w:rFonts w:hint="eastAsia" w:ascii="宋体" w:hAnsi="宋体"/>
          <w:color w:val="auto"/>
          <w:sz w:val="24"/>
        </w:rPr>
      </w:pPr>
      <w:r>
        <w:rPr>
          <w:rFonts w:hint="eastAsia" w:ascii="宋体" w:hAnsi="宋体"/>
          <w:color w:val="auto"/>
          <w:sz w:val="24"/>
        </w:rPr>
        <w:t>第二次性能验收试验后，如仍有一项或多项指标未能达到技术规格书所规定的性能保证值，双方应共同研究，分析原因，澄清责任:</w:t>
      </w:r>
    </w:p>
    <w:p>
      <w:pPr>
        <w:numPr>
          <w:ilvl w:val="1"/>
          <w:numId w:val="22"/>
        </w:numPr>
        <w:spacing w:line="440" w:lineRule="exact"/>
        <w:rPr>
          <w:rFonts w:hint="eastAsia" w:ascii="宋体" w:hAnsi="宋体"/>
          <w:color w:val="auto"/>
          <w:sz w:val="24"/>
        </w:rPr>
      </w:pPr>
      <w:r>
        <w:rPr>
          <w:rFonts w:hint="eastAsia" w:ascii="宋体" w:hAnsi="宋体"/>
          <w:color w:val="auto"/>
          <w:sz w:val="24"/>
        </w:rPr>
        <w:t>如属卖方原因，则应按本合同第十七条执行。</w:t>
      </w:r>
    </w:p>
    <w:p>
      <w:pPr>
        <w:numPr>
          <w:ilvl w:val="1"/>
          <w:numId w:val="22"/>
        </w:numPr>
        <w:tabs>
          <w:tab w:val="left" w:pos="1620"/>
          <w:tab w:val="clear" w:pos="1320"/>
        </w:tabs>
        <w:spacing w:line="440" w:lineRule="exact"/>
        <w:ind w:left="1620" w:hanging="720"/>
        <w:rPr>
          <w:rFonts w:hint="eastAsia" w:ascii="宋体" w:hAnsi="宋体"/>
          <w:color w:val="auto"/>
          <w:sz w:val="24"/>
        </w:rPr>
      </w:pPr>
      <w:r>
        <w:rPr>
          <w:rFonts w:hint="eastAsia" w:ascii="宋体" w:hAnsi="宋体"/>
          <w:color w:val="auto"/>
          <w:sz w:val="24"/>
        </w:rPr>
        <w:t>如属买方原因，本合同设备应被认为初步性能验收通过，此后10天内由买方代表签署由卖方代表会签的本合同设备初步性能验收合格证书一式二份，双方各执一份。此时卖方仍有义务向买方提供技术帮助,与买方一起采取各种措施，使合同设备达到本合同规定的技术性能和保证指标。</w:t>
      </w:r>
    </w:p>
    <w:p>
      <w:pPr>
        <w:numPr>
          <w:ilvl w:val="0"/>
          <w:numId w:val="19"/>
        </w:numPr>
        <w:tabs>
          <w:tab w:val="left" w:pos="540"/>
          <w:tab w:val="left" w:pos="1260"/>
          <w:tab w:val="clear" w:pos="1080"/>
        </w:tabs>
        <w:spacing w:line="440" w:lineRule="exact"/>
        <w:ind w:left="540" w:firstLine="0"/>
        <w:rPr>
          <w:rFonts w:hint="eastAsia" w:ascii="宋体" w:hAnsi="宋体"/>
          <w:color w:val="auto"/>
          <w:sz w:val="24"/>
        </w:rPr>
      </w:pPr>
      <w:r>
        <w:rPr>
          <w:rFonts w:hint="eastAsia" w:ascii="宋体" w:hAnsi="宋体"/>
          <w:color w:val="auto"/>
          <w:sz w:val="24"/>
        </w:rPr>
        <w:t>初步性能验收合格证书只是证明卖方所提供的合同设备性能和参数截至出具初步性能验收证明时可以按合同要求予以接受，但不能视为卖方对合同设备中存在的可能引起合同设备损坏的潜在缺陷所应负的责任解除的证据；同样，最终性能验收合格证书也不能被视为卖方对合同设备中存在可能引起合同设备损坏的潜在缺陷应负责任的解除的证据。</w:t>
      </w:r>
    </w:p>
    <w:p>
      <w:pPr>
        <w:numPr>
          <w:ilvl w:val="0"/>
          <w:numId w:val="19"/>
        </w:numPr>
        <w:tabs>
          <w:tab w:val="left" w:pos="540"/>
          <w:tab w:val="left" w:pos="1260"/>
          <w:tab w:val="clear" w:pos="1080"/>
        </w:tabs>
        <w:spacing w:line="440" w:lineRule="exact"/>
        <w:ind w:left="540" w:firstLine="0"/>
        <w:rPr>
          <w:rFonts w:hint="eastAsia" w:ascii="宋体" w:hAnsi="宋体"/>
          <w:color w:val="auto"/>
          <w:sz w:val="24"/>
        </w:rPr>
      </w:pPr>
      <w:r>
        <w:rPr>
          <w:rFonts w:hint="eastAsia" w:ascii="宋体" w:hAnsi="宋体"/>
          <w:color w:val="auto"/>
          <w:sz w:val="24"/>
        </w:rPr>
        <w:t>在合同执行过程中的任何时候，对由于卖方责任需要进行的检查、试验、再试验、修理或调换，在卖方提出请求时，买方应作好安排进行配合以便进行上述工作。卖方应负担修理或调换及其人员的费用。如果卖方委托买方施工人员进行加工和/或修理、更换设备，或由于卖方设计图纸错误或卖方技术服务人员的指导错误造成返工，卖方应按下列公式向买方支付费用：（所有费用按发生时的费率水平计费）</w:t>
      </w:r>
    </w:p>
    <w:p>
      <w:pPr>
        <w:spacing w:line="440" w:lineRule="exact"/>
        <w:ind w:firstLine="570"/>
        <w:rPr>
          <w:rFonts w:hint="eastAsia" w:ascii="宋体" w:hAnsi="宋体"/>
          <w:color w:val="auto"/>
          <w:sz w:val="24"/>
        </w:rPr>
      </w:pPr>
      <w:r>
        <w:rPr>
          <w:rFonts w:hint="eastAsia" w:ascii="宋体" w:hAnsi="宋体"/>
          <w:color w:val="auto"/>
          <w:sz w:val="24"/>
        </w:rPr>
        <w:t xml:space="preserve">        Ｐ＝ ａh + M + c m</w:t>
      </w:r>
    </w:p>
    <w:p>
      <w:pPr>
        <w:spacing w:line="440" w:lineRule="exact"/>
        <w:ind w:firstLine="570"/>
        <w:rPr>
          <w:rFonts w:hint="eastAsia" w:ascii="宋体" w:hAnsi="宋体"/>
          <w:color w:val="auto"/>
          <w:sz w:val="24"/>
        </w:rPr>
      </w:pPr>
      <w:r>
        <w:rPr>
          <w:rFonts w:hint="eastAsia" w:ascii="宋体" w:hAnsi="宋体"/>
          <w:color w:val="auto"/>
          <w:sz w:val="24"/>
        </w:rPr>
        <w:t xml:space="preserve">        其中：Ｐ＿＿总费用(元)</w:t>
      </w:r>
    </w:p>
    <w:p>
      <w:pPr>
        <w:spacing w:line="440" w:lineRule="exact"/>
        <w:ind w:firstLine="570"/>
        <w:rPr>
          <w:rFonts w:hint="eastAsia" w:ascii="宋体" w:hAnsi="宋体"/>
          <w:color w:val="auto"/>
          <w:sz w:val="24"/>
        </w:rPr>
      </w:pPr>
      <w:r>
        <w:rPr>
          <w:rFonts w:hint="eastAsia" w:ascii="宋体" w:hAnsi="宋体"/>
          <w:color w:val="auto"/>
          <w:sz w:val="24"/>
        </w:rPr>
        <w:t xml:space="preserve">              a ＿＿人工费(元/小时.人)</w:t>
      </w:r>
    </w:p>
    <w:p>
      <w:pPr>
        <w:spacing w:line="440" w:lineRule="exact"/>
        <w:ind w:firstLine="570"/>
        <w:rPr>
          <w:rFonts w:hint="eastAsia" w:ascii="宋体" w:hAnsi="宋体"/>
          <w:color w:val="auto"/>
          <w:sz w:val="24"/>
        </w:rPr>
      </w:pPr>
      <w:r>
        <w:rPr>
          <w:rFonts w:hint="eastAsia" w:ascii="宋体" w:hAnsi="宋体"/>
          <w:color w:val="auto"/>
          <w:sz w:val="24"/>
        </w:rPr>
        <w:t xml:space="preserve">              h ＿＿人时(小时.人)</w:t>
      </w:r>
    </w:p>
    <w:p>
      <w:pPr>
        <w:spacing w:line="440" w:lineRule="exact"/>
        <w:ind w:firstLine="570"/>
        <w:rPr>
          <w:rFonts w:hint="eastAsia" w:ascii="宋体" w:hAnsi="宋体"/>
          <w:color w:val="auto"/>
          <w:sz w:val="24"/>
        </w:rPr>
      </w:pPr>
      <w:r>
        <w:rPr>
          <w:rFonts w:hint="eastAsia" w:ascii="宋体" w:hAnsi="宋体"/>
          <w:color w:val="auto"/>
          <w:sz w:val="24"/>
        </w:rPr>
        <w:t xml:space="preserve">              M ＿＿材料费(元)</w:t>
      </w:r>
    </w:p>
    <w:p>
      <w:pPr>
        <w:spacing w:line="440" w:lineRule="exact"/>
        <w:ind w:firstLine="570"/>
        <w:rPr>
          <w:rFonts w:hint="eastAsia" w:ascii="宋体" w:hAnsi="宋体"/>
          <w:color w:val="auto"/>
          <w:sz w:val="24"/>
        </w:rPr>
      </w:pPr>
      <w:r>
        <w:rPr>
          <w:rFonts w:hint="eastAsia" w:ascii="宋体" w:hAnsi="宋体"/>
          <w:color w:val="auto"/>
          <w:sz w:val="24"/>
        </w:rPr>
        <w:t xml:space="preserve">              c ＿＿台班数(台.班)</w:t>
      </w:r>
    </w:p>
    <w:p>
      <w:pPr>
        <w:spacing w:line="440" w:lineRule="exact"/>
        <w:ind w:firstLine="570"/>
        <w:rPr>
          <w:rFonts w:hint="eastAsia" w:ascii="宋体" w:hAnsi="宋体"/>
          <w:color w:val="auto"/>
          <w:sz w:val="24"/>
        </w:rPr>
      </w:pPr>
      <w:r>
        <w:rPr>
          <w:rFonts w:hint="eastAsia" w:ascii="宋体" w:hAnsi="宋体"/>
          <w:color w:val="auto"/>
          <w:sz w:val="24"/>
        </w:rPr>
        <w:t xml:space="preserve">              m ＿＿每台设备的台班费(元/台.班)</w:t>
      </w:r>
    </w:p>
    <w:p>
      <w:pPr>
        <w:numPr>
          <w:ilvl w:val="0"/>
          <w:numId w:val="19"/>
        </w:numPr>
        <w:tabs>
          <w:tab w:val="left" w:pos="540"/>
          <w:tab w:val="left" w:pos="1260"/>
          <w:tab w:val="clear" w:pos="1080"/>
        </w:tabs>
        <w:spacing w:line="440" w:lineRule="exact"/>
        <w:ind w:left="540" w:firstLine="0"/>
        <w:rPr>
          <w:rFonts w:hint="eastAsia" w:ascii="宋体" w:hAnsi="宋体"/>
          <w:color w:val="auto"/>
          <w:sz w:val="24"/>
        </w:rPr>
      </w:pPr>
      <w:r>
        <w:rPr>
          <w:rFonts w:hint="eastAsia" w:ascii="宋体" w:hAnsi="宋体"/>
          <w:color w:val="auto"/>
          <w:sz w:val="24"/>
        </w:rPr>
        <w:t>在设备寿命内,卖方欲停止或不能制造某些备品备件，卖方有义务提前通知买方，以便买方有足够时间从卖方处对所需的备品备件做最后一批订货，并且卖方有义务免费提供制造这些备品备件的图纸、样板、工具、模具及技术说明等，使买方能够为合同设备制造所需的备品备件，且买方制造这些备品备件不构成对专利及工业设计权的侵权。买方在用毕后适当的时候以合理的方式和状况归还以上各项物品。</w:t>
      </w:r>
    </w:p>
    <w:p>
      <w:pPr>
        <w:numPr>
          <w:ilvl w:val="0"/>
          <w:numId w:val="19"/>
        </w:numPr>
        <w:tabs>
          <w:tab w:val="left" w:pos="540"/>
          <w:tab w:val="left" w:pos="1260"/>
          <w:tab w:val="clear" w:pos="1080"/>
        </w:tabs>
        <w:spacing w:line="440" w:lineRule="exact"/>
        <w:ind w:left="540" w:firstLine="0"/>
        <w:rPr>
          <w:rFonts w:hint="eastAsia" w:ascii="宋体" w:hAnsi="宋体"/>
          <w:color w:val="auto"/>
          <w:sz w:val="24"/>
        </w:rPr>
      </w:pPr>
      <w:r>
        <w:rPr>
          <w:rFonts w:hint="eastAsia" w:ascii="宋体" w:hAnsi="宋体"/>
          <w:color w:val="auto"/>
          <w:sz w:val="24"/>
        </w:rPr>
        <w:t>不论合同设备的损失或损坏的责任在买方或是在卖方，卖方应首先尽快交付更换或补充此损失或损坏的设备，然后确定上述设备的费用由哪一方承担。</w:t>
      </w:r>
    </w:p>
    <w:p>
      <w:pPr>
        <w:spacing w:line="440" w:lineRule="exact"/>
        <w:ind w:firstLine="570"/>
        <w:rPr>
          <w:rFonts w:ascii="宋体" w:hAnsi="宋体"/>
          <w:color w:val="auto"/>
          <w:sz w:val="24"/>
        </w:rPr>
      </w:pPr>
    </w:p>
    <w:p>
      <w:pPr>
        <w:spacing w:line="440" w:lineRule="exact"/>
        <w:ind w:firstLine="570"/>
        <w:rPr>
          <w:rFonts w:hint="eastAsia" w:ascii="宋体" w:hAnsi="宋体"/>
          <w:b/>
          <w:color w:val="auto"/>
          <w:sz w:val="24"/>
        </w:rPr>
      </w:pPr>
      <w:r>
        <w:rPr>
          <w:rFonts w:hint="eastAsia" w:ascii="宋体" w:hAnsi="宋体"/>
          <w:b/>
          <w:color w:val="auto"/>
          <w:sz w:val="24"/>
        </w:rPr>
        <w:t>第十七条  保证与违约金</w:t>
      </w:r>
    </w:p>
    <w:p>
      <w:pPr>
        <w:numPr>
          <w:ilvl w:val="0"/>
          <w:numId w:val="23"/>
        </w:numPr>
        <w:tabs>
          <w:tab w:val="left" w:pos="1260"/>
          <w:tab w:val="left" w:pos="1440"/>
        </w:tabs>
        <w:spacing w:line="440" w:lineRule="exact"/>
        <w:ind w:hanging="540"/>
        <w:rPr>
          <w:rFonts w:hint="eastAsia" w:ascii="宋体" w:hAnsi="宋体"/>
          <w:color w:val="auto"/>
          <w:sz w:val="24"/>
        </w:rPr>
      </w:pPr>
      <w:r>
        <w:rPr>
          <w:rFonts w:hint="eastAsia" w:ascii="宋体" w:hAnsi="宋体"/>
          <w:color w:val="auto"/>
          <w:sz w:val="24"/>
        </w:rPr>
        <w:t>质保期为联动调试合格试运行后的18个月。</w:t>
      </w:r>
    </w:p>
    <w:p>
      <w:pPr>
        <w:numPr>
          <w:ilvl w:val="0"/>
          <w:numId w:val="23"/>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卖方保证其供应的本合同设备是全新的，技术水平是先进的、成熟的、质量是优良的，设备的选型均符合安全可靠、经济运行和易于维护的要求。</w:t>
      </w:r>
    </w:p>
    <w:p>
      <w:pPr>
        <w:spacing w:line="440" w:lineRule="exact"/>
        <w:ind w:left="567" w:leftChars="270" w:firstLine="480" w:firstLineChars="200"/>
        <w:rPr>
          <w:rFonts w:hint="eastAsia" w:ascii="宋体" w:hAnsi="宋体"/>
          <w:color w:val="auto"/>
          <w:sz w:val="24"/>
        </w:rPr>
      </w:pPr>
      <w:r>
        <w:rPr>
          <w:rFonts w:hint="eastAsia" w:ascii="宋体" w:hAnsi="宋体"/>
          <w:color w:val="auto"/>
          <w:sz w:val="24"/>
        </w:rPr>
        <w:t>卖方保证所提交技术资料完整统一和内容正确、准确并能满足合同设备的设计、安装、调试、运行和维修的要求。</w:t>
      </w:r>
    </w:p>
    <w:p>
      <w:pPr>
        <w:numPr>
          <w:ilvl w:val="0"/>
          <w:numId w:val="23"/>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本合同执行期间，如果卖方提供的设备有缺陷和技术资料有错误，或者由于卖方技术人员指导错误和疏忽，造成工程或合同设备的返工或报废，卖方应立即以最快捷的方式无偿予以更换和修理。如需更换，卖方应负担由此产生的到安装现场更换的一切费用，更换或修理期限应不迟于证实属卖方责任之日起的1周或双方商定的更长时间内。由于买方未按卖方所提供的技术资料、图纸、说明书和卖方现场技术服务人员的指导而进行安装、调试造成的设备损坏，由买方负责修理，更换，但卖方有义务尽快提供所需更换的部件，对于买方要求的紧急部件，卖方应安排最快的方式运输，所有费用均由买方负担。</w:t>
      </w:r>
    </w:p>
    <w:p>
      <w:pPr>
        <w:numPr>
          <w:ilvl w:val="0"/>
          <w:numId w:val="23"/>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合同规定的质量保证期满后，由买方在14天内出具合同设备保证期满最终性能验收合格证书交给卖方。条件是：在此期间卖方应完成买方在保证期满前提出的索赔和赔偿。但卖方对非正常维修和误操作以及由于正常磨损造成的损失不负责任。</w:t>
      </w:r>
    </w:p>
    <w:p>
      <w:pPr>
        <w:numPr>
          <w:ilvl w:val="0"/>
          <w:numId w:val="23"/>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在质量保证期内，如发现设备有缺陷，不符合本合同规定时，如属卖方责任，则买方有权向卖方提出索赔。如卖方对此索赔有异议按第十五条办理。否则卖方在接到买方索赔文件后，应立即无偿修理、更换、赔款或委托买方安排大型修理，由此产生的到安装现场的更换费用、运输费及保险费也由卖方承担。</w:t>
      </w:r>
    </w:p>
    <w:p>
      <w:pPr>
        <w:numPr>
          <w:ilvl w:val="0"/>
          <w:numId w:val="23"/>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如由于卖方责任需要更换、修理有缺陷的设备，而使合同设备停运或推迟安装时，则保证期应按实际修理或更换所延误的时间做相应的延长。</w:t>
      </w:r>
    </w:p>
    <w:p>
      <w:pPr>
        <w:numPr>
          <w:ilvl w:val="0"/>
          <w:numId w:val="23"/>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 xml:space="preserve"> 由于卖方责任，在第十六条规定的性能验收试验后，如经第二次验收试验(由于卖方原因)仍不能达到技术规格书所规定的一项或多项保证指标时，卖方应按下列方式承担违约责任为：卖方应在一周内予以更换设备，同时支付该设备合同价10%的违约金。</w:t>
      </w:r>
    </w:p>
    <w:p>
      <w:pPr>
        <w:numPr>
          <w:ilvl w:val="0"/>
          <w:numId w:val="23"/>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如合同设备在质量保证期内发现属卖方责任的十分严重的缺陷（如设备性能达不到要求等）则其质量保证期将自该缺陷修正后开始重新计算。</w:t>
      </w:r>
    </w:p>
    <w:p>
      <w:pPr>
        <w:numPr>
          <w:ilvl w:val="0"/>
          <w:numId w:val="23"/>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如果不是由于买方原因或买方没有要求推迟交货而卖方未能按本合同规定的交货期交货时（不可抗力除外），买方有权按下列比例向卖方收取违约金(不满一周按比例计算)：</w:t>
      </w:r>
    </w:p>
    <w:p>
      <w:pPr>
        <w:numPr>
          <w:ilvl w:val="1"/>
          <w:numId w:val="24"/>
        </w:numPr>
        <w:spacing w:line="440" w:lineRule="exact"/>
        <w:rPr>
          <w:rFonts w:hint="eastAsia" w:ascii="宋体" w:hAnsi="宋体"/>
          <w:color w:val="auto"/>
          <w:sz w:val="24"/>
        </w:rPr>
      </w:pPr>
      <w:r>
        <w:rPr>
          <w:rFonts w:hint="eastAsia" w:ascii="宋体" w:hAnsi="宋体"/>
          <w:color w:val="auto"/>
          <w:sz w:val="24"/>
        </w:rPr>
        <w:t>迟交1－4周，每周违约金金额为迟交货物金额的0.5％；</w:t>
      </w:r>
    </w:p>
    <w:p>
      <w:pPr>
        <w:numPr>
          <w:ilvl w:val="1"/>
          <w:numId w:val="24"/>
        </w:numPr>
        <w:spacing w:line="440" w:lineRule="exact"/>
        <w:rPr>
          <w:rFonts w:hint="eastAsia" w:ascii="宋体" w:hAnsi="宋体"/>
          <w:color w:val="auto"/>
          <w:sz w:val="24"/>
        </w:rPr>
      </w:pPr>
      <w:r>
        <w:rPr>
          <w:rFonts w:hint="eastAsia" w:ascii="宋体" w:hAnsi="宋体"/>
          <w:color w:val="auto"/>
          <w:sz w:val="24"/>
        </w:rPr>
        <w:t>迟交5－8周，每周违约金金额为迟交货物金额的1％；</w:t>
      </w:r>
    </w:p>
    <w:p>
      <w:pPr>
        <w:numPr>
          <w:ilvl w:val="1"/>
          <w:numId w:val="24"/>
        </w:numPr>
        <w:spacing w:line="440" w:lineRule="exact"/>
        <w:rPr>
          <w:rFonts w:hint="eastAsia" w:ascii="宋体" w:hAnsi="宋体"/>
          <w:color w:val="auto"/>
          <w:sz w:val="24"/>
        </w:rPr>
      </w:pPr>
      <w:r>
        <w:rPr>
          <w:rFonts w:hint="eastAsia" w:ascii="宋体" w:hAnsi="宋体"/>
          <w:color w:val="auto"/>
          <w:sz w:val="24"/>
        </w:rPr>
        <w:t>迟交9周以上，每周违约金金额为迟交货物金额的1.5％；</w:t>
      </w:r>
    </w:p>
    <w:p>
      <w:pPr>
        <w:spacing w:line="440" w:lineRule="exact"/>
        <w:ind w:left="718" w:leftChars="342" w:firstLine="420" w:firstLineChars="175"/>
        <w:rPr>
          <w:rFonts w:hint="eastAsia" w:ascii="宋体" w:hAnsi="宋体"/>
          <w:color w:val="auto"/>
          <w:sz w:val="24"/>
        </w:rPr>
      </w:pPr>
      <w:r>
        <w:rPr>
          <w:rFonts w:hint="eastAsia" w:ascii="宋体" w:hAnsi="宋体"/>
          <w:color w:val="auto"/>
          <w:sz w:val="24"/>
        </w:rPr>
        <w:t>每套合同设备迟交货物的违约金总金额不超过每套合同设备价格的10％。卖方支付迟交违约金，并不解除卖方按照合同继续交货的义务。</w:t>
      </w:r>
    </w:p>
    <w:p>
      <w:pPr>
        <w:spacing w:line="440" w:lineRule="exact"/>
        <w:ind w:left="718" w:leftChars="342" w:firstLine="420" w:firstLineChars="175"/>
        <w:rPr>
          <w:rFonts w:hint="eastAsia" w:ascii="宋体" w:hAnsi="宋体"/>
          <w:color w:val="auto"/>
          <w:sz w:val="24"/>
        </w:rPr>
      </w:pPr>
      <w:r>
        <w:rPr>
          <w:rFonts w:hint="eastAsia" w:ascii="宋体" w:hAnsi="宋体"/>
          <w:color w:val="auto"/>
          <w:sz w:val="24"/>
        </w:rPr>
        <w:t>对安装、运行有重大影响的设备迟交超过3个月时，卖方除应向买方支付合同价款10%的迟交货违约金外，还应向买方赔偿因此而遭受的损失, 此损失在履约保证金中扣除，履约保证金金额不足时，买方有权向卖方进行进一步的索赔。与此同时,买方有权终止部分或全部合同。</w:t>
      </w:r>
    </w:p>
    <w:p>
      <w:pPr>
        <w:numPr>
          <w:ilvl w:val="0"/>
          <w:numId w:val="23"/>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如由于确属卖方责任未能按本合同规定按时交付经双方确认属严重影响关键技术资料时，买方有权按下列比例向卖方收取违约金(不满一周按比例计算)：</w:t>
      </w:r>
    </w:p>
    <w:p>
      <w:pPr>
        <w:numPr>
          <w:ilvl w:val="1"/>
          <w:numId w:val="25"/>
        </w:numPr>
        <w:spacing w:line="440" w:lineRule="exact"/>
        <w:rPr>
          <w:rFonts w:hint="eastAsia" w:ascii="宋体" w:hAnsi="宋体"/>
          <w:color w:val="auto"/>
          <w:sz w:val="24"/>
        </w:rPr>
      </w:pPr>
      <w:r>
        <w:rPr>
          <w:rFonts w:hint="eastAsia" w:ascii="宋体" w:hAnsi="宋体"/>
          <w:color w:val="auto"/>
          <w:sz w:val="24"/>
        </w:rPr>
        <w:t>迟交１周内，违约金金额为人民币2000元/批；</w:t>
      </w:r>
    </w:p>
    <w:p>
      <w:pPr>
        <w:numPr>
          <w:ilvl w:val="1"/>
          <w:numId w:val="25"/>
        </w:numPr>
        <w:spacing w:line="440" w:lineRule="exact"/>
        <w:rPr>
          <w:rFonts w:hint="eastAsia" w:ascii="宋体" w:hAnsi="宋体"/>
          <w:color w:val="auto"/>
          <w:sz w:val="24"/>
        </w:rPr>
      </w:pPr>
      <w:r>
        <w:rPr>
          <w:rFonts w:hint="eastAsia" w:ascii="宋体" w:hAnsi="宋体"/>
          <w:color w:val="auto"/>
          <w:sz w:val="24"/>
        </w:rPr>
        <w:t>迟交2－4周，违约金金额为人民币5000元/周；</w:t>
      </w:r>
    </w:p>
    <w:p>
      <w:pPr>
        <w:numPr>
          <w:ilvl w:val="1"/>
          <w:numId w:val="25"/>
        </w:numPr>
        <w:spacing w:line="440" w:lineRule="exact"/>
        <w:rPr>
          <w:rFonts w:hint="eastAsia" w:ascii="宋体" w:hAnsi="宋体"/>
          <w:color w:val="auto"/>
          <w:sz w:val="24"/>
        </w:rPr>
      </w:pPr>
      <w:r>
        <w:rPr>
          <w:rFonts w:hint="eastAsia" w:ascii="宋体" w:hAnsi="宋体"/>
          <w:color w:val="auto"/>
          <w:sz w:val="24"/>
        </w:rPr>
        <w:t>迟交4周以上，违约金金额为人民币10000元/周；</w:t>
      </w:r>
    </w:p>
    <w:p>
      <w:pPr>
        <w:numPr>
          <w:ilvl w:val="0"/>
          <w:numId w:val="23"/>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如果由于卖方技术服务的延误、疏忽和/或错误，在执行合同中造成延误，每延误工期一周卖方将向买方支付合同价款的0.5％违约金。且卖方需支付由于卖方技术服务错误或违约造成买方的直接损失。如果由于卖方运抵现场的设备包装不符合买、卖双方达成的包装与保管技术标准与规范的要求，则买方有权要求卖方支付合同价款1%的违约金。</w:t>
      </w:r>
    </w:p>
    <w:p>
      <w:pPr>
        <w:numPr>
          <w:ilvl w:val="0"/>
          <w:numId w:val="23"/>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卖方按本合同规定所承担的违约金总额不论单项或多项累计将不超过合同价款的30％。</w:t>
      </w:r>
    </w:p>
    <w:p>
      <w:pPr>
        <w:numPr>
          <w:ilvl w:val="0"/>
          <w:numId w:val="23"/>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卖方支付迟交违约金并不解除按合同所规定的相应义务。</w:t>
      </w:r>
    </w:p>
    <w:p>
      <w:pPr>
        <w:numPr>
          <w:ilvl w:val="0"/>
          <w:numId w:val="23"/>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如果由于买方原因，迟付货款，买方须按下列方式支付违约金(不满一周按比例计算)：</w:t>
      </w:r>
    </w:p>
    <w:p>
      <w:pPr>
        <w:numPr>
          <w:ilvl w:val="1"/>
          <w:numId w:val="26"/>
        </w:numPr>
        <w:spacing w:line="440" w:lineRule="exact"/>
        <w:rPr>
          <w:rFonts w:hint="eastAsia" w:ascii="宋体" w:hAnsi="宋体"/>
          <w:color w:val="auto"/>
          <w:sz w:val="24"/>
        </w:rPr>
      </w:pPr>
      <w:r>
        <w:rPr>
          <w:rFonts w:hint="eastAsia" w:ascii="宋体" w:hAnsi="宋体"/>
          <w:color w:val="auto"/>
          <w:sz w:val="24"/>
        </w:rPr>
        <w:t>迟付1－4周，每周违约金金额为迟付金额的0.3%；</w:t>
      </w:r>
    </w:p>
    <w:p>
      <w:pPr>
        <w:numPr>
          <w:ilvl w:val="1"/>
          <w:numId w:val="26"/>
        </w:numPr>
        <w:spacing w:line="440" w:lineRule="exact"/>
        <w:rPr>
          <w:rFonts w:hint="eastAsia" w:ascii="宋体" w:hAnsi="宋体"/>
          <w:color w:val="auto"/>
          <w:sz w:val="24"/>
        </w:rPr>
      </w:pPr>
      <w:r>
        <w:rPr>
          <w:rFonts w:hint="eastAsia" w:ascii="宋体" w:hAnsi="宋体"/>
          <w:color w:val="auto"/>
          <w:sz w:val="24"/>
        </w:rPr>
        <w:t>迟付5－8周，每周违约金金额为迟付金额的0.7%；</w:t>
      </w:r>
    </w:p>
    <w:p>
      <w:pPr>
        <w:numPr>
          <w:ilvl w:val="1"/>
          <w:numId w:val="26"/>
        </w:numPr>
        <w:spacing w:line="440" w:lineRule="exact"/>
        <w:rPr>
          <w:rFonts w:hint="eastAsia" w:ascii="宋体" w:hAnsi="宋体"/>
          <w:color w:val="auto"/>
          <w:sz w:val="24"/>
        </w:rPr>
      </w:pPr>
      <w:r>
        <w:rPr>
          <w:rFonts w:hint="eastAsia" w:ascii="宋体" w:hAnsi="宋体"/>
          <w:color w:val="auto"/>
          <w:sz w:val="24"/>
        </w:rPr>
        <w:t>迟付9周以上，每周违约金金额为迟付金额的1.0%；</w:t>
      </w:r>
    </w:p>
    <w:p>
      <w:pPr>
        <w:spacing w:line="440" w:lineRule="exact"/>
        <w:ind w:firstLine="570"/>
        <w:rPr>
          <w:rFonts w:ascii="宋体" w:hAnsi="宋体"/>
          <w:color w:val="auto"/>
          <w:sz w:val="24"/>
        </w:rPr>
      </w:pPr>
    </w:p>
    <w:p>
      <w:pPr>
        <w:spacing w:line="440" w:lineRule="exact"/>
        <w:ind w:firstLine="570"/>
        <w:rPr>
          <w:rFonts w:hint="eastAsia" w:ascii="宋体" w:hAnsi="宋体"/>
          <w:b/>
          <w:color w:val="auto"/>
          <w:sz w:val="24"/>
        </w:rPr>
      </w:pPr>
      <w:r>
        <w:rPr>
          <w:rFonts w:hint="eastAsia" w:ascii="宋体" w:hAnsi="宋体"/>
          <w:b/>
          <w:color w:val="auto"/>
          <w:sz w:val="24"/>
        </w:rPr>
        <w:t>第十八条  不可抗力</w:t>
      </w:r>
    </w:p>
    <w:p>
      <w:pPr>
        <w:numPr>
          <w:ilvl w:val="0"/>
          <w:numId w:val="27"/>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任何一方由于不可抗力事件而影响其履行合同义务时，可以延迟履行合同义务，但延迟履行合同义务的期限和范围应仅限于受不可抗力事件影响的时间和范围，无论本合同其他条款如何规定，任何一方均不得因不可抗力事件而要求调整合同价款。</w:t>
      </w:r>
    </w:p>
    <w:p>
      <w:pPr>
        <w:numPr>
          <w:ilvl w:val="0"/>
          <w:numId w:val="27"/>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受不可抗力影响的一方应在不可抗力事故发生后，尽快将所发生的不可抗力事件的情况以传真或电报等方式通知另一方，受影响的一方同时应尽量设法缩小这种影响和由此而引起的延误，一旦不可抗力的影响消除后，应将此情况立即通知对方，并立即恢复履行受不可抗力事件影响的合同义务。</w:t>
      </w:r>
    </w:p>
    <w:p>
      <w:pPr>
        <w:numPr>
          <w:ilvl w:val="0"/>
          <w:numId w:val="27"/>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如果双方对不可抗力事件的影响估计将延续到一百天以上时，双方应通过友好协商解决本合同的执行问题。</w:t>
      </w:r>
      <w:r>
        <w:rPr>
          <w:rFonts w:hint="eastAsia" w:ascii="宋体" w:hAnsi="宋体"/>
          <w:color w:val="auto"/>
          <w:sz w:val="24"/>
          <w:lang w:eastAsia="zh-CN"/>
        </w:rPr>
        <w:t>、</w:t>
      </w:r>
    </w:p>
    <w:p>
      <w:pPr>
        <w:numPr>
          <w:ilvl w:val="0"/>
          <w:numId w:val="27"/>
        </w:numPr>
        <w:tabs>
          <w:tab w:val="left" w:pos="540"/>
          <w:tab w:val="left" w:pos="1260"/>
          <w:tab w:val="left" w:pos="1440"/>
          <w:tab w:val="clear" w:pos="1080"/>
        </w:tabs>
        <w:spacing w:line="440" w:lineRule="exact"/>
        <w:ind w:left="540" w:firstLine="0"/>
        <w:rPr>
          <w:rFonts w:hint="default" w:ascii="宋体" w:hAnsi="宋体"/>
          <w:color w:val="auto"/>
          <w:sz w:val="24"/>
          <w:highlight w:val="none"/>
          <w:lang w:val="en-US"/>
        </w:rPr>
      </w:pPr>
      <w:r>
        <w:rPr>
          <w:rFonts w:hint="eastAsia" w:ascii="宋体" w:hAnsi="宋体"/>
          <w:color w:val="auto"/>
          <w:sz w:val="24"/>
          <w:highlight w:val="none"/>
          <w:lang w:val="en-US" w:eastAsia="zh-CN"/>
        </w:rPr>
        <w:t>根据苏建价〔2020〕20号文，因新冠肺炎疫情防控造成的损失和费用增加，适用合同不可抗力相关条款规定。</w:t>
      </w:r>
    </w:p>
    <w:p>
      <w:pPr>
        <w:spacing w:line="440" w:lineRule="exact"/>
        <w:ind w:firstLine="570"/>
        <w:rPr>
          <w:rFonts w:ascii="宋体" w:hAnsi="宋体"/>
          <w:color w:val="auto"/>
          <w:sz w:val="24"/>
        </w:rPr>
      </w:pPr>
    </w:p>
    <w:p>
      <w:pPr>
        <w:spacing w:line="440" w:lineRule="exact"/>
        <w:ind w:firstLine="570"/>
        <w:rPr>
          <w:rFonts w:hint="eastAsia" w:ascii="宋体" w:hAnsi="宋体"/>
          <w:b/>
          <w:color w:val="auto"/>
          <w:sz w:val="24"/>
        </w:rPr>
      </w:pPr>
      <w:r>
        <w:rPr>
          <w:rFonts w:hint="eastAsia" w:ascii="宋体" w:hAnsi="宋体"/>
          <w:b/>
          <w:color w:val="auto"/>
          <w:sz w:val="24"/>
        </w:rPr>
        <w:t>第十九条  违约终止合同</w:t>
      </w:r>
    </w:p>
    <w:p>
      <w:pPr>
        <w:numPr>
          <w:ilvl w:val="0"/>
          <w:numId w:val="28"/>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 xml:space="preserve">因卖方违约，买方有权采取任何必要的措施予以补救，在下列卖方违约情况下，买方在向卖方发出书面违约通知后，可立即终止全部或部分合同： </w:t>
      </w:r>
    </w:p>
    <w:p>
      <w:pPr>
        <w:numPr>
          <w:ilvl w:val="1"/>
          <w:numId w:val="29"/>
        </w:numPr>
        <w:tabs>
          <w:tab w:val="left" w:pos="1620"/>
          <w:tab w:val="clear" w:pos="1320"/>
        </w:tabs>
        <w:spacing w:line="440" w:lineRule="exact"/>
        <w:ind w:left="1620" w:hanging="720"/>
        <w:rPr>
          <w:rFonts w:hint="eastAsia" w:ascii="宋体" w:hAnsi="宋体"/>
          <w:color w:val="auto"/>
          <w:sz w:val="24"/>
        </w:rPr>
      </w:pPr>
      <w:r>
        <w:rPr>
          <w:rFonts w:hint="eastAsia" w:ascii="宋体" w:hAnsi="宋体"/>
          <w:color w:val="auto"/>
          <w:sz w:val="24"/>
        </w:rPr>
        <w:t>卖方原因导致的迟延交货达90天时；</w:t>
      </w:r>
    </w:p>
    <w:p>
      <w:pPr>
        <w:numPr>
          <w:ilvl w:val="1"/>
          <w:numId w:val="29"/>
        </w:numPr>
        <w:tabs>
          <w:tab w:val="left" w:pos="1620"/>
          <w:tab w:val="clear" w:pos="1320"/>
        </w:tabs>
        <w:spacing w:line="440" w:lineRule="exact"/>
        <w:ind w:left="1620" w:hanging="720"/>
        <w:rPr>
          <w:rFonts w:hint="eastAsia" w:ascii="宋体" w:hAnsi="宋体"/>
          <w:color w:val="auto"/>
          <w:sz w:val="24"/>
        </w:rPr>
      </w:pPr>
      <w:r>
        <w:rPr>
          <w:rFonts w:hint="eastAsia" w:ascii="宋体" w:hAnsi="宋体"/>
          <w:color w:val="auto"/>
          <w:sz w:val="24"/>
        </w:rPr>
        <w:t>卖方未能履行合同项下的任何其它义务，导致买方利益遭受严重损害的；</w:t>
      </w:r>
    </w:p>
    <w:p>
      <w:pPr>
        <w:numPr>
          <w:ilvl w:val="1"/>
          <w:numId w:val="29"/>
        </w:numPr>
        <w:tabs>
          <w:tab w:val="left" w:pos="1620"/>
          <w:tab w:val="clear" w:pos="1320"/>
        </w:tabs>
        <w:spacing w:line="440" w:lineRule="exact"/>
        <w:ind w:left="1620" w:hanging="720"/>
        <w:rPr>
          <w:rFonts w:hint="eastAsia" w:ascii="宋体" w:hAnsi="宋体"/>
          <w:color w:val="auto"/>
          <w:sz w:val="24"/>
        </w:rPr>
      </w:pPr>
      <w:r>
        <w:rPr>
          <w:rFonts w:hint="eastAsia" w:ascii="宋体" w:hAnsi="宋体"/>
          <w:color w:val="auto"/>
          <w:sz w:val="24"/>
        </w:rPr>
        <w:t>卖方破产或无清偿能力。</w:t>
      </w:r>
    </w:p>
    <w:p>
      <w:pPr>
        <w:numPr>
          <w:ilvl w:val="0"/>
          <w:numId w:val="28"/>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一旦买方根据第19.1款终止部分或全部合同，买方有权按其认为适当的条件和方式采购类似未交付部分货物。卖方应承担买方购买类似货物的额外费用，以及因此而造成的一切损失。但是，卖方应继续履行合同中未终止的部分。</w:t>
      </w:r>
    </w:p>
    <w:p>
      <w:pPr>
        <w:spacing w:line="440" w:lineRule="exact"/>
        <w:ind w:firstLine="570"/>
        <w:rPr>
          <w:rFonts w:ascii="宋体" w:hAnsi="宋体"/>
          <w:color w:val="auto"/>
          <w:sz w:val="24"/>
        </w:rPr>
      </w:pPr>
    </w:p>
    <w:p>
      <w:pPr>
        <w:spacing w:line="440" w:lineRule="exact"/>
        <w:ind w:firstLine="570"/>
        <w:rPr>
          <w:rFonts w:hint="eastAsia" w:ascii="宋体" w:hAnsi="宋体"/>
          <w:b/>
          <w:color w:val="auto"/>
          <w:sz w:val="24"/>
        </w:rPr>
      </w:pPr>
      <w:r>
        <w:rPr>
          <w:rFonts w:hint="eastAsia" w:ascii="宋体" w:hAnsi="宋体"/>
          <w:b/>
          <w:color w:val="auto"/>
          <w:sz w:val="24"/>
        </w:rPr>
        <w:t>第二十条  变更指示</w:t>
      </w:r>
    </w:p>
    <w:p>
      <w:pPr>
        <w:numPr>
          <w:ilvl w:val="0"/>
          <w:numId w:val="30"/>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 xml:space="preserve">买方在任何时候可以按第二十三条规定向卖方发出书面指示，对合同的下列内容及相应条款作出变更或修改： </w:t>
      </w:r>
    </w:p>
    <w:p>
      <w:pPr>
        <w:numPr>
          <w:ilvl w:val="1"/>
          <w:numId w:val="31"/>
        </w:numPr>
        <w:tabs>
          <w:tab w:val="left" w:pos="1620"/>
          <w:tab w:val="clear" w:pos="1320"/>
        </w:tabs>
        <w:spacing w:line="440" w:lineRule="exact"/>
        <w:ind w:left="1620" w:hanging="720"/>
        <w:rPr>
          <w:rFonts w:hint="eastAsia" w:ascii="宋体" w:hAnsi="宋体"/>
          <w:color w:val="auto"/>
          <w:sz w:val="24"/>
        </w:rPr>
      </w:pPr>
      <w:r>
        <w:rPr>
          <w:rFonts w:hint="eastAsia" w:ascii="宋体" w:hAnsi="宋体"/>
          <w:color w:val="auto"/>
          <w:sz w:val="24"/>
        </w:rPr>
        <w:t>装运方式和包装方式；</w:t>
      </w:r>
    </w:p>
    <w:p>
      <w:pPr>
        <w:numPr>
          <w:ilvl w:val="1"/>
          <w:numId w:val="31"/>
        </w:numPr>
        <w:tabs>
          <w:tab w:val="left" w:pos="1620"/>
          <w:tab w:val="clear" w:pos="1320"/>
        </w:tabs>
        <w:spacing w:line="440" w:lineRule="exact"/>
        <w:ind w:left="1620" w:hanging="720"/>
        <w:rPr>
          <w:rFonts w:hint="eastAsia" w:ascii="宋体" w:hAnsi="宋体"/>
          <w:color w:val="auto"/>
          <w:sz w:val="24"/>
        </w:rPr>
      </w:pPr>
      <w:r>
        <w:rPr>
          <w:rFonts w:hint="eastAsia" w:ascii="宋体" w:hAnsi="宋体"/>
          <w:color w:val="auto"/>
          <w:sz w:val="24"/>
        </w:rPr>
        <w:t>交货地点；</w:t>
      </w:r>
    </w:p>
    <w:p>
      <w:pPr>
        <w:numPr>
          <w:ilvl w:val="1"/>
          <w:numId w:val="31"/>
        </w:numPr>
        <w:tabs>
          <w:tab w:val="left" w:pos="1620"/>
          <w:tab w:val="clear" w:pos="1320"/>
        </w:tabs>
        <w:spacing w:line="440" w:lineRule="exact"/>
        <w:ind w:left="1620" w:hanging="720"/>
        <w:rPr>
          <w:rFonts w:hint="eastAsia" w:ascii="宋体" w:hAnsi="宋体"/>
          <w:color w:val="auto"/>
          <w:sz w:val="24"/>
        </w:rPr>
      </w:pPr>
      <w:r>
        <w:rPr>
          <w:rFonts w:hint="eastAsia" w:ascii="宋体" w:hAnsi="宋体"/>
          <w:color w:val="auto"/>
          <w:sz w:val="24"/>
        </w:rPr>
        <w:t>卖方须提供的服务。</w:t>
      </w:r>
    </w:p>
    <w:p>
      <w:pPr>
        <w:spacing w:line="440" w:lineRule="exact"/>
        <w:ind w:firstLine="570"/>
        <w:rPr>
          <w:rFonts w:ascii="宋体" w:hAnsi="宋体"/>
          <w:color w:val="auto"/>
          <w:sz w:val="24"/>
        </w:rPr>
      </w:pPr>
    </w:p>
    <w:p>
      <w:pPr>
        <w:spacing w:line="440" w:lineRule="exact"/>
        <w:ind w:firstLine="570"/>
        <w:rPr>
          <w:rFonts w:hint="eastAsia" w:ascii="宋体" w:hAnsi="宋体"/>
          <w:b/>
          <w:color w:val="auto"/>
          <w:sz w:val="24"/>
        </w:rPr>
      </w:pPr>
      <w:r>
        <w:rPr>
          <w:rFonts w:hint="eastAsia" w:ascii="宋体" w:hAnsi="宋体"/>
          <w:b/>
          <w:color w:val="auto"/>
          <w:sz w:val="24"/>
        </w:rPr>
        <w:t>第二十一条  合同修改</w:t>
      </w:r>
    </w:p>
    <w:p>
      <w:pPr>
        <w:spacing w:line="440" w:lineRule="exact"/>
        <w:ind w:firstLine="570"/>
        <w:rPr>
          <w:rFonts w:hint="eastAsia" w:ascii="宋体" w:hAnsi="宋体"/>
          <w:color w:val="auto"/>
          <w:sz w:val="24"/>
        </w:rPr>
      </w:pPr>
      <w:r>
        <w:rPr>
          <w:rFonts w:hint="eastAsia" w:ascii="宋体" w:hAnsi="宋体"/>
          <w:color w:val="auto"/>
          <w:sz w:val="24"/>
        </w:rPr>
        <w:t>根据第二十条，欲对合同条款作出任何改动或偏离，买卖双方均须签署书面的合同修改书。</w:t>
      </w:r>
    </w:p>
    <w:p>
      <w:pPr>
        <w:spacing w:line="440" w:lineRule="exact"/>
        <w:ind w:firstLine="570"/>
        <w:rPr>
          <w:rFonts w:ascii="宋体" w:hAnsi="宋体"/>
          <w:color w:val="auto"/>
          <w:sz w:val="24"/>
        </w:rPr>
      </w:pPr>
    </w:p>
    <w:p>
      <w:pPr>
        <w:spacing w:line="440" w:lineRule="exact"/>
        <w:ind w:firstLine="570"/>
        <w:rPr>
          <w:rFonts w:hint="eastAsia" w:ascii="宋体" w:hAnsi="宋体"/>
          <w:b/>
          <w:color w:val="auto"/>
          <w:sz w:val="24"/>
        </w:rPr>
      </w:pPr>
      <w:r>
        <w:rPr>
          <w:rFonts w:hint="eastAsia" w:ascii="宋体" w:hAnsi="宋体"/>
          <w:b/>
          <w:color w:val="auto"/>
          <w:sz w:val="24"/>
        </w:rPr>
        <w:t>第二十二条  转包与分包</w:t>
      </w:r>
    </w:p>
    <w:p>
      <w:pPr>
        <w:spacing w:line="440" w:lineRule="exact"/>
        <w:ind w:firstLine="570"/>
        <w:rPr>
          <w:rFonts w:hint="eastAsia" w:ascii="宋体" w:hAnsi="宋体"/>
          <w:color w:val="auto"/>
          <w:sz w:val="24"/>
        </w:rPr>
      </w:pPr>
      <w:r>
        <w:rPr>
          <w:rFonts w:hint="eastAsia" w:ascii="宋体" w:hAnsi="宋体"/>
          <w:color w:val="auto"/>
          <w:sz w:val="24"/>
        </w:rPr>
        <w:t>卖方不得将其在本合同项下的义务全部转让或分包给任何第三方。</w:t>
      </w:r>
    </w:p>
    <w:p>
      <w:pPr>
        <w:spacing w:line="440" w:lineRule="exact"/>
        <w:ind w:firstLine="570"/>
        <w:rPr>
          <w:rFonts w:ascii="宋体" w:hAnsi="宋体"/>
          <w:color w:val="auto"/>
          <w:sz w:val="24"/>
        </w:rPr>
      </w:pPr>
    </w:p>
    <w:p>
      <w:pPr>
        <w:spacing w:line="440" w:lineRule="exact"/>
        <w:ind w:firstLine="570"/>
        <w:rPr>
          <w:rFonts w:hint="eastAsia" w:ascii="宋体" w:hAnsi="宋体"/>
          <w:b/>
          <w:color w:val="auto"/>
          <w:sz w:val="24"/>
        </w:rPr>
      </w:pPr>
      <w:r>
        <w:rPr>
          <w:rFonts w:hint="eastAsia" w:ascii="宋体" w:hAnsi="宋体"/>
          <w:b/>
          <w:color w:val="auto"/>
          <w:sz w:val="24"/>
        </w:rPr>
        <w:t>第二十三条  通知</w:t>
      </w:r>
    </w:p>
    <w:p>
      <w:pPr>
        <w:spacing w:line="440" w:lineRule="exact"/>
        <w:ind w:firstLine="570"/>
        <w:rPr>
          <w:rFonts w:hint="eastAsia" w:ascii="宋体" w:hAnsi="宋体"/>
          <w:color w:val="auto"/>
          <w:sz w:val="24"/>
        </w:rPr>
      </w:pPr>
      <w:r>
        <w:rPr>
          <w:rFonts w:hint="eastAsia" w:ascii="宋体" w:hAnsi="宋体"/>
          <w:color w:val="auto"/>
          <w:sz w:val="24"/>
        </w:rPr>
        <w:t>本合同任何一方给另一方的通知都应以信函或电报、传真等书面形式发送，而另一方应以书面形式确认并发送到对方明确的地址。</w:t>
      </w:r>
    </w:p>
    <w:p>
      <w:pPr>
        <w:spacing w:line="440" w:lineRule="exact"/>
        <w:ind w:firstLine="570"/>
        <w:rPr>
          <w:rFonts w:ascii="宋体" w:hAnsi="宋体"/>
          <w:color w:val="auto"/>
          <w:sz w:val="24"/>
        </w:rPr>
      </w:pPr>
    </w:p>
    <w:p>
      <w:pPr>
        <w:spacing w:line="440" w:lineRule="exact"/>
        <w:ind w:firstLine="570"/>
        <w:rPr>
          <w:rFonts w:hint="eastAsia" w:ascii="宋体" w:hAnsi="宋体"/>
          <w:b/>
          <w:color w:val="auto"/>
          <w:sz w:val="24"/>
        </w:rPr>
      </w:pPr>
      <w:r>
        <w:rPr>
          <w:rFonts w:hint="eastAsia" w:ascii="宋体" w:hAnsi="宋体"/>
          <w:b/>
          <w:color w:val="auto"/>
          <w:sz w:val="24"/>
        </w:rPr>
        <w:t>第二十四条  合同文件资料的使用</w:t>
      </w:r>
    </w:p>
    <w:p>
      <w:pPr>
        <w:numPr>
          <w:ilvl w:val="0"/>
          <w:numId w:val="32"/>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除了卖方为执行合同所雇人员外，在未经买方同意的情况下，卖方不得将合同、或其中任何规定、或任何有关规格、计划或买方为上述内容向卖方提供的资料透露给任何人。卖方须在对外保密的前提下，对其雇用人员提供有关情况，所提供的情况仅限于执行合同必不可少的范围内。</w:t>
      </w:r>
    </w:p>
    <w:p>
      <w:pPr>
        <w:numPr>
          <w:ilvl w:val="0"/>
          <w:numId w:val="32"/>
        </w:numPr>
        <w:tabs>
          <w:tab w:val="left" w:pos="540"/>
          <w:tab w:val="left" w:pos="1260"/>
          <w:tab w:val="left" w:pos="1440"/>
          <w:tab w:val="clear" w:pos="1080"/>
        </w:tabs>
        <w:spacing w:line="400" w:lineRule="exact"/>
        <w:ind w:left="540" w:firstLine="0"/>
        <w:rPr>
          <w:rFonts w:hint="eastAsia" w:ascii="宋体" w:hAnsi="宋体"/>
          <w:color w:val="auto"/>
          <w:sz w:val="24"/>
        </w:rPr>
      </w:pPr>
      <w:r>
        <w:rPr>
          <w:rFonts w:hint="eastAsia" w:ascii="宋体" w:hAnsi="宋体"/>
          <w:color w:val="auto"/>
          <w:sz w:val="24"/>
        </w:rPr>
        <w:t>除非执行合同需要，在事先未得到买方同意的情况下，卖方不得使用第24.1款中所列的任何文件和资料。</w:t>
      </w:r>
    </w:p>
    <w:p>
      <w:pPr>
        <w:spacing w:line="400" w:lineRule="exact"/>
        <w:ind w:firstLine="570"/>
        <w:rPr>
          <w:rFonts w:ascii="宋体" w:hAnsi="宋体"/>
          <w:color w:val="auto"/>
          <w:sz w:val="24"/>
        </w:rPr>
      </w:pPr>
    </w:p>
    <w:p>
      <w:pPr>
        <w:spacing w:line="400" w:lineRule="exact"/>
        <w:ind w:firstLine="570"/>
        <w:rPr>
          <w:rFonts w:hint="eastAsia" w:ascii="宋体" w:hAnsi="宋体"/>
          <w:b/>
          <w:color w:val="auto"/>
          <w:sz w:val="24"/>
        </w:rPr>
      </w:pPr>
      <w:r>
        <w:rPr>
          <w:rFonts w:hint="eastAsia" w:ascii="宋体" w:hAnsi="宋体"/>
          <w:b/>
          <w:color w:val="auto"/>
          <w:sz w:val="24"/>
        </w:rPr>
        <w:t>第二十五条  合同生效及其它</w:t>
      </w:r>
    </w:p>
    <w:p>
      <w:pPr>
        <w:numPr>
          <w:ilvl w:val="0"/>
          <w:numId w:val="33"/>
        </w:numPr>
        <w:tabs>
          <w:tab w:val="left" w:pos="1260"/>
          <w:tab w:val="left" w:pos="1440"/>
        </w:tabs>
        <w:spacing w:line="400" w:lineRule="exact"/>
        <w:ind w:hanging="540"/>
        <w:rPr>
          <w:rFonts w:hint="eastAsia" w:ascii="宋体" w:hAnsi="宋体"/>
          <w:color w:val="auto"/>
          <w:sz w:val="24"/>
        </w:rPr>
      </w:pPr>
      <w:r>
        <w:rPr>
          <w:rFonts w:hint="eastAsia" w:ascii="宋体" w:hAnsi="宋体"/>
          <w:color w:val="auto"/>
          <w:sz w:val="24"/>
        </w:rPr>
        <w:t>本合同经双方法定代表人或其授权代表签字后，即开始生效。</w:t>
      </w:r>
    </w:p>
    <w:p>
      <w:pPr>
        <w:numPr>
          <w:ilvl w:val="0"/>
          <w:numId w:val="33"/>
        </w:numPr>
        <w:tabs>
          <w:tab w:val="left" w:pos="1260"/>
          <w:tab w:val="left" w:pos="1440"/>
        </w:tabs>
        <w:spacing w:line="400" w:lineRule="exact"/>
        <w:ind w:left="540" w:firstLine="0"/>
        <w:rPr>
          <w:rFonts w:hint="eastAsia" w:ascii="宋体" w:hAnsi="宋体"/>
          <w:color w:val="auto"/>
          <w:sz w:val="24"/>
        </w:rPr>
      </w:pPr>
      <w:r>
        <w:rPr>
          <w:rFonts w:hint="eastAsia" w:ascii="宋体" w:hAnsi="宋体"/>
          <w:color w:val="auto"/>
          <w:sz w:val="24"/>
        </w:rPr>
        <w:t>本合同有效期自合同生效日起到双方之间已完全解决了所有索赔事项并货款两清之日止。</w:t>
      </w:r>
    </w:p>
    <w:p>
      <w:pPr>
        <w:numPr>
          <w:ilvl w:val="0"/>
          <w:numId w:val="33"/>
        </w:numPr>
        <w:tabs>
          <w:tab w:val="left" w:pos="1260"/>
          <w:tab w:val="left" w:pos="1440"/>
        </w:tabs>
        <w:spacing w:line="400" w:lineRule="exact"/>
        <w:ind w:left="540" w:firstLine="0"/>
        <w:rPr>
          <w:rFonts w:hint="eastAsia" w:ascii="宋体" w:hAnsi="宋体"/>
          <w:color w:val="auto"/>
          <w:sz w:val="24"/>
        </w:rPr>
      </w:pPr>
      <w:r>
        <w:rPr>
          <w:rFonts w:hint="eastAsia" w:ascii="宋体" w:hAnsi="宋体"/>
          <w:color w:val="auto"/>
          <w:sz w:val="24"/>
        </w:rPr>
        <w:t>卖方须按技术规格书中的规定，向买方提供与合同项下货物有关的技术服务及其它相关服务。</w:t>
      </w:r>
    </w:p>
    <w:p>
      <w:pPr>
        <w:spacing w:line="400" w:lineRule="exact"/>
        <w:ind w:firstLine="570"/>
        <w:rPr>
          <w:rFonts w:ascii="宋体" w:hAnsi="宋体"/>
          <w:color w:val="auto"/>
          <w:sz w:val="24"/>
        </w:rPr>
      </w:pPr>
    </w:p>
    <w:p>
      <w:pPr>
        <w:spacing w:line="400" w:lineRule="exact"/>
        <w:ind w:firstLine="570"/>
        <w:rPr>
          <w:rFonts w:hint="eastAsia" w:ascii="宋体" w:hAnsi="宋体" w:eastAsia="宋体"/>
          <w:b/>
          <w:sz w:val="24"/>
          <w:szCs w:val="24"/>
          <w:highlight w:val="none"/>
          <w:lang w:eastAsia="zh-CN"/>
        </w:rPr>
      </w:pPr>
      <w:r>
        <w:rPr>
          <w:rFonts w:hint="eastAsia" w:ascii="宋体" w:hAnsi="宋体"/>
          <w:b/>
          <w:color w:val="auto"/>
          <w:sz w:val="24"/>
        </w:rPr>
        <w:t xml:space="preserve">第二十六条  </w:t>
      </w:r>
      <w:r>
        <w:rPr>
          <w:rFonts w:hint="eastAsia" w:ascii="宋体" w:hAnsi="宋体"/>
          <w:b/>
          <w:sz w:val="24"/>
          <w:szCs w:val="24"/>
          <w:highlight w:val="none"/>
          <w:lang w:val="en-US" w:eastAsia="zh-CN"/>
        </w:rPr>
        <w:t>争议解决</w:t>
      </w:r>
    </w:p>
    <w:p>
      <w:pPr>
        <w:numPr>
          <w:ilvl w:val="0"/>
          <w:numId w:val="0"/>
        </w:numPr>
        <w:tabs>
          <w:tab w:val="left" w:pos="540"/>
          <w:tab w:val="left" w:pos="1260"/>
          <w:tab w:val="left" w:pos="1440"/>
        </w:tabs>
        <w:spacing w:line="400" w:lineRule="exact"/>
        <w:ind w:left="540" w:leftChars="0"/>
        <w:rPr>
          <w:rFonts w:hint="eastAsia" w:ascii="宋体" w:hAnsi="宋体" w:cs="Times New Roman"/>
          <w:sz w:val="24"/>
          <w:szCs w:val="24"/>
          <w:highlight w:val="none"/>
        </w:rPr>
      </w:pPr>
      <w:r>
        <w:rPr>
          <w:rFonts w:hint="eastAsia" w:ascii="宋体" w:hAnsi="宋体" w:cs="Times New Roman"/>
          <w:sz w:val="24"/>
          <w:szCs w:val="24"/>
          <w:highlight w:val="none"/>
          <w:lang w:val="en-US" w:eastAsia="zh-CN"/>
        </w:rPr>
        <w:t>26.1</w:t>
      </w:r>
      <w:r>
        <w:rPr>
          <w:rFonts w:hint="eastAsia" w:ascii="宋体" w:hAnsi="宋体" w:cs="Times New Roman"/>
          <w:sz w:val="24"/>
          <w:szCs w:val="24"/>
          <w:highlight w:val="none"/>
        </w:rPr>
        <w:t xml:space="preserve"> 因货物的质量问题发生争议的，可在国家认可的质量检测机构对货物质量进行鉴定。货物符合标准的，鉴定费由</w:t>
      </w:r>
      <w:r>
        <w:rPr>
          <w:rFonts w:hint="eastAsia" w:ascii="宋体" w:hAnsi="宋体" w:cs="Times New Roman"/>
          <w:sz w:val="24"/>
          <w:szCs w:val="24"/>
          <w:highlight w:val="none"/>
          <w:lang w:eastAsia="zh-CN"/>
        </w:rPr>
        <w:t>买方</w:t>
      </w:r>
      <w:r>
        <w:rPr>
          <w:rFonts w:hint="eastAsia" w:ascii="宋体" w:hAnsi="宋体" w:cs="Times New Roman"/>
          <w:sz w:val="24"/>
          <w:szCs w:val="24"/>
          <w:highlight w:val="none"/>
        </w:rPr>
        <w:t>承担；货物不符合质量标准的，鉴定费由</w:t>
      </w:r>
      <w:r>
        <w:rPr>
          <w:rFonts w:hint="eastAsia" w:ascii="宋体" w:hAnsi="宋体" w:cs="Times New Roman"/>
          <w:sz w:val="24"/>
          <w:szCs w:val="24"/>
          <w:highlight w:val="none"/>
          <w:lang w:eastAsia="zh-CN"/>
        </w:rPr>
        <w:t>卖方</w:t>
      </w:r>
      <w:r>
        <w:rPr>
          <w:rFonts w:hint="eastAsia" w:ascii="宋体" w:hAnsi="宋体" w:cs="Times New Roman"/>
          <w:sz w:val="24"/>
          <w:szCs w:val="24"/>
          <w:highlight w:val="none"/>
        </w:rPr>
        <w:t>承担。</w:t>
      </w:r>
    </w:p>
    <w:p>
      <w:pPr>
        <w:numPr>
          <w:ilvl w:val="0"/>
          <w:numId w:val="0"/>
        </w:numPr>
        <w:tabs>
          <w:tab w:val="left" w:pos="540"/>
          <w:tab w:val="left" w:pos="1260"/>
          <w:tab w:val="left" w:pos="1440"/>
        </w:tabs>
        <w:spacing w:line="400" w:lineRule="exact"/>
        <w:ind w:left="540" w:leftChars="0"/>
        <w:rPr>
          <w:rFonts w:hint="eastAsia" w:ascii="宋体" w:hAnsi="宋体" w:cs="Times New Roman"/>
          <w:sz w:val="24"/>
          <w:szCs w:val="24"/>
          <w:highlight w:val="none"/>
        </w:rPr>
      </w:pPr>
      <w:r>
        <w:rPr>
          <w:rFonts w:hint="eastAsia" w:ascii="宋体" w:hAnsi="宋体" w:cs="Times New Roman"/>
          <w:sz w:val="24"/>
          <w:szCs w:val="24"/>
          <w:highlight w:val="none"/>
          <w:lang w:val="en-US" w:eastAsia="zh-CN"/>
        </w:rPr>
        <w:t>26.2</w:t>
      </w:r>
      <w:r>
        <w:rPr>
          <w:rFonts w:hint="eastAsia" w:ascii="宋体" w:hAnsi="宋体" w:cs="Times New Roman"/>
          <w:sz w:val="24"/>
          <w:szCs w:val="24"/>
          <w:highlight w:val="none"/>
        </w:rPr>
        <w:t>因履行本合同引起的或与本合同有关的争议，甲、乙双方应首先通过友好协商解决；如果协商不能解决争议，</w:t>
      </w:r>
      <w:r>
        <w:rPr>
          <w:rFonts w:hint="eastAsia" w:ascii="宋体" w:hAnsi="宋体" w:cs="Times New Roman"/>
          <w:sz w:val="24"/>
          <w:szCs w:val="24"/>
          <w:highlight w:val="none"/>
          <w:lang w:eastAsia="zh-CN"/>
        </w:rPr>
        <w:t>买卖</w:t>
      </w:r>
      <w:r>
        <w:rPr>
          <w:rFonts w:hint="eastAsia" w:ascii="宋体" w:hAnsi="宋体" w:cs="Times New Roman"/>
          <w:sz w:val="24"/>
          <w:szCs w:val="24"/>
          <w:highlight w:val="none"/>
        </w:rPr>
        <w:t>双方同意采取下列两种方式的第（ 1 ）种方式解决争议：</w:t>
      </w:r>
    </w:p>
    <w:p>
      <w:pPr>
        <w:numPr>
          <w:ilvl w:val="0"/>
          <w:numId w:val="0"/>
        </w:numPr>
        <w:tabs>
          <w:tab w:val="left" w:pos="540"/>
          <w:tab w:val="left" w:pos="1260"/>
          <w:tab w:val="left" w:pos="1440"/>
        </w:tabs>
        <w:spacing w:line="400" w:lineRule="exact"/>
        <w:ind w:left="540" w:leftChars="0"/>
        <w:rPr>
          <w:rFonts w:hint="eastAsia" w:ascii="宋体" w:hAnsi="宋体" w:cs="Times New Roman"/>
          <w:sz w:val="24"/>
          <w:szCs w:val="24"/>
          <w:highlight w:val="none"/>
        </w:rPr>
      </w:pPr>
      <w:r>
        <w:rPr>
          <w:rFonts w:hint="eastAsia" w:ascii="宋体" w:hAnsi="宋体" w:cs="Times New Roman"/>
          <w:sz w:val="24"/>
          <w:szCs w:val="24"/>
          <w:highlight w:val="none"/>
        </w:rPr>
        <w:t>（1）向</w:t>
      </w:r>
      <w:r>
        <w:rPr>
          <w:rFonts w:hint="eastAsia" w:ascii="宋体" w:hAnsi="宋体" w:cs="Times New Roman"/>
          <w:sz w:val="24"/>
          <w:szCs w:val="24"/>
          <w:highlight w:val="none"/>
          <w:lang w:eastAsia="zh-CN"/>
        </w:rPr>
        <w:t>买方</w:t>
      </w:r>
      <w:r>
        <w:rPr>
          <w:rFonts w:hint="eastAsia" w:ascii="宋体" w:hAnsi="宋体" w:cs="Times New Roman"/>
          <w:sz w:val="24"/>
          <w:szCs w:val="24"/>
          <w:highlight w:val="none"/>
        </w:rPr>
        <w:t>所在地有管辖权的人民法院提起诉讼，适用中华人民共和国法律；</w:t>
      </w:r>
    </w:p>
    <w:p>
      <w:pPr>
        <w:numPr>
          <w:ilvl w:val="0"/>
          <w:numId w:val="0"/>
        </w:numPr>
        <w:tabs>
          <w:tab w:val="left" w:pos="540"/>
          <w:tab w:val="left" w:pos="1260"/>
          <w:tab w:val="left" w:pos="1440"/>
        </w:tabs>
        <w:spacing w:line="400" w:lineRule="exact"/>
        <w:ind w:left="540" w:leftChars="0"/>
        <w:rPr>
          <w:rFonts w:hint="eastAsia" w:ascii="宋体" w:hAnsi="宋体" w:cs="Times New Roman"/>
          <w:sz w:val="24"/>
          <w:szCs w:val="24"/>
          <w:highlight w:val="none"/>
        </w:rPr>
      </w:pPr>
      <w:r>
        <w:rPr>
          <w:rFonts w:hint="eastAsia" w:ascii="宋体" w:hAnsi="宋体" w:cs="Times New Roman"/>
          <w:sz w:val="24"/>
          <w:szCs w:val="24"/>
          <w:highlight w:val="none"/>
        </w:rPr>
        <w:t>（2）向扬州仲裁委员会按其仲裁规则申请仲裁。</w:t>
      </w:r>
    </w:p>
    <w:p>
      <w:pPr>
        <w:numPr>
          <w:ilvl w:val="0"/>
          <w:numId w:val="0"/>
        </w:numPr>
        <w:tabs>
          <w:tab w:val="left" w:pos="540"/>
          <w:tab w:val="left" w:pos="1260"/>
          <w:tab w:val="left" w:pos="1440"/>
        </w:tabs>
        <w:spacing w:line="400" w:lineRule="exact"/>
        <w:ind w:left="540" w:leftChars="0"/>
        <w:rPr>
          <w:rFonts w:hint="eastAsia" w:ascii="宋体" w:hAnsi="宋体" w:cs="Times New Roman"/>
          <w:sz w:val="24"/>
          <w:szCs w:val="24"/>
          <w:highlight w:val="none"/>
        </w:rPr>
      </w:pPr>
      <w:r>
        <w:rPr>
          <w:rFonts w:hint="eastAsia" w:ascii="宋体" w:hAnsi="宋体" w:cs="Times New Roman"/>
          <w:sz w:val="24"/>
          <w:szCs w:val="24"/>
          <w:highlight w:val="none"/>
          <w:lang w:val="en-US" w:eastAsia="zh-CN"/>
        </w:rPr>
        <w:t>26.3</w:t>
      </w:r>
      <w:r>
        <w:rPr>
          <w:rFonts w:hint="eastAsia" w:ascii="宋体" w:hAnsi="宋体" w:cs="Times New Roman"/>
          <w:sz w:val="24"/>
          <w:szCs w:val="24"/>
          <w:highlight w:val="none"/>
        </w:rPr>
        <w:t xml:space="preserve"> 若</w:t>
      </w:r>
      <w:r>
        <w:rPr>
          <w:rFonts w:hint="eastAsia" w:ascii="宋体" w:hAnsi="宋体" w:cs="Times New Roman"/>
          <w:sz w:val="24"/>
          <w:szCs w:val="24"/>
          <w:highlight w:val="none"/>
          <w:lang w:eastAsia="zh-CN"/>
        </w:rPr>
        <w:t>买卖</w:t>
      </w:r>
      <w:r>
        <w:rPr>
          <w:rFonts w:hint="eastAsia" w:ascii="宋体" w:hAnsi="宋体" w:cs="Times New Roman"/>
          <w:sz w:val="24"/>
          <w:szCs w:val="24"/>
          <w:highlight w:val="none"/>
        </w:rPr>
        <w:t>双方任何一方都没有选择解除合同的，为避免扩大损失，在诉讼或仲裁期间，双方应继续履行。</w:t>
      </w:r>
    </w:p>
    <w:p>
      <w:pPr>
        <w:tabs>
          <w:tab w:val="left" w:pos="1260"/>
          <w:tab w:val="left" w:pos="1440"/>
        </w:tabs>
        <w:spacing w:line="400" w:lineRule="exact"/>
        <w:ind w:left="720"/>
        <w:rPr>
          <w:rFonts w:hint="eastAsia" w:ascii="宋体" w:hAnsi="宋体"/>
          <w:color w:val="auto"/>
          <w:sz w:val="24"/>
        </w:rPr>
      </w:pPr>
    </w:p>
    <w:p>
      <w:pPr>
        <w:spacing w:line="400" w:lineRule="exact"/>
        <w:ind w:firstLine="570"/>
        <w:rPr>
          <w:rFonts w:hint="eastAsia" w:ascii="宋体" w:hAnsi="宋体"/>
          <w:b/>
          <w:color w:val="auto"/>
          <w:sz w:val="24"/>
        </w:rPr>
      </w:pPr>
      <w:r>
        <w:rPr>
          <w:rFonts w:hint="eastAsia" w:ascii="宋体" w:hAnsi="宋体"/>
          <w:b/>
          <w:color w:val="auto"/>
          <w:sz w:val="24"/>
        </w:rPr>
        <w:t>第二十七条  其他</w:t>
      </w:r>
    </w:p>
    <w:p>
      <w:pPr>
        <w:numPr>
          <w:ilvl w:val="0"/>
          <w:numId w:val="34"/>
        </w:numPr>
        <w:tabs>
          <w:tab w:val="left" w:pos="540"/>
          <w:tab w:val="left" w:pos="1260"/>
          <w:tab w:val="left" w:pos="1440"/>
          <w:tab w:val="clear" w:pos="1080"/>
        </w:tabs>
        <w:spacing w:line="400" w:lineRule="exact"/>
        <w:ind w:left="540" w:firstLine="0"/>
        <w:rPr>
          <w:rFonts w:hint="eastAsia" w:ascii="宋体" w:hAnsi="宋体"/>
          <w:color w:val="auto"/>
          <w:sz w:val="24"/>
        </w:rPr>
      </w:pPr>
      <w:r>
        <w:rPr>
          <w:rFonts w:hint="eastAsia" w:ascii="宋体" w:hAnsi="宋体"/>
          <w:color w:val="auto"/>
          <w:sz w:val="24"/>
        </w:rPr>
        <w:t>本合同</w:t>
      </w:r>
      <w:r>
        <w:rPr>
          <w:rFonts w:hint="eastAsia" w:ascii="宋体" w:hAnsi="宋体"/>
          <w:color w:val="auto"/>
          <w:sz w:val="24"/>
          <w:lang w:eastAsia="zh-CN"/>
        </w:rPr>
        <w:t>一式四</w:t>
      </w:r>
      <w:r>
        <w:rPr>
          <w:rFonts w:hint="eastAsia" w:ascii="宋体" w:hAnsi="宋体"/>
          <w:color w:val="auto"/>
          <w:sz w:val="24"/>
        </w:rPr>
        <w:t>份，买方、卖方双方各执</w:t>
      </w:r>
      <w:r>
        <w:rPr>
          <w:rFonts w:hint="eastAsia" w:ascii="宋体" w:hAnsi="宋体"/>
          <w:color w:val="auto"/>
          <w:sz w:val="24"/>
          <w:lang w:eastAsia="zh-CN"/>
        </w:rPr>
        <w:t>两</w:t>
      </w:r>
      <w:r>
        <w:rPr>
          <w:rFonts w:hint="eastAsia" w:ascii="宋体" w:hAnsi="宋体"/>
          <w:color w:val="auto"/>
          <w:sz w:val="24"/>
        </w:rPr>
        <w:t>份，下述合同附件为本合同不可分割的部分并与本合同具有同等效力：</w:t>
      </w:r>
    </w:p>
    <w:p>
      <w:pPr>
        <w:numPr>
          <w:ilvl w:val="0"/>
          <w:numId w:val="34"/>
        </w:numPr>
        <w:tabs>
          <w:tab w:val="left" w:pos="540"/>
          <w:tab w:val="left" w:pos="1260"/>
          <w:tab w:val="left" w:pos="1440"/>
          <w:tab w:val="clear" w:pos="1080"/>
        </w:tabs>
        <w:spacing w:line="400" w:lineRule="exact"/>
        <w:ind w:left="540" w:firstLine="0"/>
        <w:rPr>
          <w:rFonts w:hint="eastAsia" w:ascii="宋体" w:hAnsi="宋体"/>
          <w:color w:val="auto"/>
          <w:sz w:val="24"/>
        </w:rPr>
      </w:pPr>
      <w:r>
        <w:rPr>
          <w:rFonts w:hint="eastAsia" w:ascii="宋体" w:hAnsi="宋体"/>
          <w:color w:val="auto"/>
          <w:sz w:val="24"/>
        </w:rPr>
        <w:t>本合同若有未尽事宜，以招标文件为准，或经双方协商一致后签订的补充合同。</w:t>
      </w:r>
    </w:p>
    <w:p>
      <w:pPr>
        <w:spacing w:line="400" w:lineRule="exact"/>
        <w:ind w:firstLine="602" w:firstLineChars="250"/>
        <w:rPr>
          <w:rFonts w:hint="eastAsia" w:ascii="宋体" w:hAnsi="宋体"/>
          <w:b/>
          <w:color w:val="auto"/>
          <w:sz w:val="24"/>
        </w:rPr>
      </w:pPr>
    </w:p>
    <w:p>
      <w:pPr>
        <w:spacing w:line="400" w:lineRule="exact"/>
        <w:ind w:firstLine="602" w:firstLineChars="250"/>
        <w:rPr>
          <w:rFonts w:hint="eastAsia" w:ascii="宋体" w:hAnsi="宋体"/>
          <w:b/>
          <w:color w:val="auto"/>
          <w:sz w:val="24"/>
        </w:rPr>
      </w:pPr>
      <w:r>
        <w:rPr>
          <w:rFonts w:hint="eastAsia" w:ascii="宋体" w:hAnsi="宋体"/>
          <w:b/>
          <w:color w:val="auto"/>
          <w:sz w:val="24"/>
        </w:rPr>
        <w:t>附件：履约保函格式</w:t>
      </w:r>
    </w:p>
    <w:p>
      <w:pPr>
        <w:spacing w:line="400" w:lineRule="exact"/>
        <w:rPr>
          <w:rFonts w:hint="eastAsia" w:ascii="宋体" w:hAnsi="宋体"/>
          <w:color w:val="auto"/>
          <w:sz w:val="24"/>
        </w:rPr>
      </w:pPr>
    </w:p>
    <w:p>
      <w:pPr>
        <w:spacing w:line="400" w:lineRule="exact"/>
        <w:rPr>
          <w:rFonts w:hint="eastAsia" w:ascii="宋体" w:hAnsi="宋体"/>
          <w:color w:val="auto"/>
          <w:sz w:val="24"/>
        </w:rPr>
      </w:pPr>
      <w:r>
        <w:rPr>
          <w:rFonts w:hint="eastAsia" w:ascii="宋体" w:hAnsi="宋体"/>
          <w:color w:val="auto"/>
          <w:sz w:val="24"/>
        </w:rPr>
        <w:t>买方：                             卖方：</w:t>
      </w:r>
    </w:p>
    <w:p>
      <w:pPr>
        <w:spacing w:line="400" w:lineRule="exact"/>
        <w:rPr>
          <w:rFonts w:hint="eastAsia" w:ascii="宋体" w:hAnsi="宋体"/>
          <w:color w:val="auto"/>
          <w:sz w:val="24"/>
        </w:rPr>
      </w:pPr>
      <w:r>
        <w:rPr>
          <w:rFonts w:hint="eastAsia" w:ascii="宋体" w:hAnsi="宋体"/>
          <w:color w:val="auto"/>
          <w:sz w:val="24"/>
        </w:rPr>
        <w:t>授权代表人：       　　　　　      授权代表人：</w:t>
      </w:r>
    </w:p>
    <w:p>
      <w:pPr>
        <w:spacing w:line="400" w:lineRule="exact"/>
        <w:ind w:left="4680" w:hanging="4680" w:hangingChars="1950"/>
        <w:rPr>
          <w:rFonts w:hint="eastAsia" w:ascii="宋体" w:hAnsi="宋体"/>
          <w:color w:val="auto"/>
          <w:sz w:val="24"/>
        </w:rPr>
      </w:pPr>
      <w:r>
        <w:rPr>
          <w:rFonts w:hint="eastAsia" w:ascii="宋体" w:hAnsi="宋体"/>
          <w:color w:val="auto"/>
          <w:sz w:val="24"/>
        </w:rPr>
        <w:t>开户银行：            　　　　     开户银行：</w:t>
      </w:r>
    </w:p>
    <w:p>
      <w:pPr>
        <w:spacing w:line="400" w:lineRule="exact"/>
        <w:rPr>
          <w:rFonts w:hint="eastAsia" w:ascii="宋体" w:hAnsi="宋体"/>
          <w:color w:val="auto"/>
          <w:sz w:val="24"/>
        </w:rPr>
      </w:pPr>
      <w:r>
        <w:rPr>
          <w:rFonts w:hint="eastAsia" w:ascii="宋体" w:hAnsi="宋体"/>
          <w:color w:val="auto"/>
          <w:sz w:val="24"/>
        </w:rPr>
        <w:t>账　号：                   　      账　号：</w:t>
      </w:r>
    </w:p>
    <w:p>
      <w:pPr>
        <w:spacing w:line="400" w:lineRule="exact"/>
        <w:ind w:left="720" w:hanging="720" w:hangingChars="300"/>
        <w:jc w:val="left"/>
        <w:rPr>
          <w:rFonts w:hint="eastAsia" w:ascii="宋体" w:hAnsi="宋体"/>
          <w:color w:val="auto"/>
          <w:sz w:val="24"/>
        </w:rPr>
      </w:pPr>
      <w:r>
        <w:rPr>
          <w:rFonts w:hint="eastAsia" w:ascii="宋体" w:hAnsi="宋体"/>
          <w:color w:val="auto"/>
          <w:sz w:val="24"/>
        </w:rPr>
        <w:t>地址：                             地  址：</w:t>
      </w:r>
    </w:p>
    <w:p>
      <w:pPr>
        <w:spacing w:line="400" w:lineRule="exact"/>
        <w:rPr>
          <w:rFonts w:hint="eastAsia" w:ascii="宋体" w:hAnsi="宋体"/>
          <w:color w:val="auto"/>
          <w:sz w:val="24"/>
        </w:rPr>
      </w:pPr>
      <w:r>
        <w:rPr>
          <w:rFonts w:hint="eastAsia" w:ascii="宋体" w:hAnsi="宋体"/>
          <w:color w:val="auto"/>
          <w:sz w:val="24"/>
        </w:rPr>
        <w:t>邮　编：      　　　　　　　　     邮　编：</w:t>
      </w:r>
    </w:p>
    <w:p>
      <w:pPr>
        <w:spacing w:line="400" w:lineRule="exact"/>
        <w:rPr>
          <w:rFonts w:hint="eastAsia" w:ascii="宋体" w:hAnsi="宋体"/>
          <w:color w:val="auto"/>
          <w:sz w:val="24"/>
        </w:rPr>
      </w:pPr>
      <w:r>
        <w:rPr>
          <w:rFonts w:hint="eastAsia" w:ascii="宋体" w:hAnsi="宋体"/>
          <w:color w:val="auto"/>
          <w:sz w:val="24"/>
        </w:rPr>
        <w:t>电　话：                  　　     电　话：</w:t>
      </w:r>
    </w:p>
    <w:p>
      <w:pPr>
        <w:spacing w:line="400" w:lineRule="exact"/>
        <w:rPr>
          <w:rFonts w:hint="eastAsia" w:ascii="黑体" w:hAnsi="宋体" w:eastAsia="黑体"/>
          <w:color w:val="auto"/>
          <w:sz w:val="32"/>
          <w:szCs w:val="32"/>
        </w:rPr>
      </w:pPr>
      <w:r>
        <w:rPr>
          <w:rFonts w:hint="eastAsia" w:ascii="宋体" w:hAnsi="宋体"/>
          <w:color w:val="auto"/>
          <w:sz w:val="24"/>
        </w:rPr>
        <w:t>日期：                             日期：</w:t>
      </w:r>
      <w:r>
        <w:rPr>
          <w:rFonts w:ascii="黑体" w:hAnsi="宋体" w:eastAsia="黑体"/>
          <w:color w:val="auto"/>
          <w:sz w:val="32"/>
          <w:szCs w:val="32"/>
        </w:rPr>
        <w:br w:type="page"/>
      </w:r>
      <w:r>
        <w:rPr>
          <w:rFonts w:hint="eastAsia" w:ascii="黑体" w:hAnsi="宋体" w:eastAsia="黑体"/>
          <w:color w:val="auto"/>
          <w:sz w:val="32"/>
          <w:szCs w:val="32"/>
        </w:rPr>
        <w:t>附  件</w:t>
      </w:r>
    </w:p>
    <w:p>
      <w:pPr>
        <w:pStyle w:val="8"/>
        <w:rPr>
          <w:rFonts w:hint="eastAsia"/>
          <w:color w:val="auto"/>
        </w:rPr>
      </w:pPr>
      <w:r>
        <w:rPr>
          <w:rFonts w:hint="eastAsia"/>
          <w:color w:val="auto"/>
        </w:rPr>
        <w:t xml:space="preserve">                                              </w:t>
      </w:r>
    </w:p>
    <w:p>
      <w:pPr>
        <w:jc w:val="center"/>
        <w:rPr>
          <w:rFonts w:hint="eastAsia" w:ascii="宋体" w:hAnsi="宋体"/>
          <w:b/>
          <w:color w:val="auto"/>
          <w:sz w:val="28"/>
        </w:rPr>
      </w:pPr>
      <w:r>
        <w:rPr>
          <w:rFonts w:hint="eastAsia" w:ascii="宋体" w:hAnsi="宋体"/>
          <w:b/>
          <w:color w:val="auto"/>
          <w:sz w:val="28"/>
        </w:rPr>
        <w:t>履约保函格式</w:t>
      </w:r>
    </w:p>
    <w:p>
      <w:pPr>
        <w:snapToGrid w:val="0"/>
        <w:spacing w:line="360" w:lineRule="auto"/>
        <w:rPr>
          <w:rFonts w:hint="eastAsia" w:ascii="宋体" w:hAnsi="宋体"/>
          <w:color w:val="auto"/>
          <w:sz w:val="24"/>
        </w:rPr>
      </w:pPr>
      <w:r>
        <w:rPr>
          <w:rFonts w:hint="eastAsia" w:ascii="宋体" w:hAnsi="宋体"/>
          <w:color w:val="auto"/>
          <w:sz w:val="24"/>
        </w:rPr>
        <w:t>致：</w:t>
      </w:r>
      <w:r>
        <w:rPr>
          <w:rFonts w:hint="eastAsia" w:ascii="宋体" w:hAnsi="宋体"/>
          <w:color w:val="auto"/>
          <w:sz w:val="24"/>
          <w:u w:val="single"/>
        </w:rPr>
        <w:t xml:space="preserve">        [买方名称、地址]           </w:t>
      </w:r>
    </w:p>
    <w:p>
      <w:pPr>
        <w:snapToGrid w:val="0"/>
        <w:spacing w:line="360" w:lineRule="auto"/>
        <w:rPr>
          <w:rFonts w:hint="eastAsia" w:ascii="宋体" w:hAnsi="宋体"/>
          <w:color w:val="auto"/>
          <w:sz w:val="24"/>
        </w:rPr>
      </w:pPr>
      <w:r>
        <w:rPr>
          <w:rFonts w:hint="eastAsia" w:ascii="宋体" w:hAnsi="宋体"/>
          <w:color w:val="auto"/>
          <w:sz w:val="24"/>
        </w:rPr>
        <w:t xml:space="preserve">    鉴于 </w:t>
      </w:r>
      <w:r>
        <w:rPr>
          <w:rFonts w:hint="eastAsia" w:ascii="宋体" w:hAnsi="宋体"/>
          <w:color w:val="auto"/>
          <w:sz w:val="24"/>
          <w:u w:val="single"/>
        </w:rPr>
        <w:t xml:space="preserve">         [供货单位名称、地址]           </w:t>
      </w:r>
      <w:r>
        <w:rPr>
          <w:rFonts w:hint="eastAsia" w:ascii="宋体" w:hAnsi="宋体"/>
          <w:color w:val="auto"/>
          <w:sz w:val="24"/>
        </w:rPr>
        <w:t>（以下简称供货单位）已保证按</w:t>
      </w:r>
      <w:r>
        <w:rPr>
          <w:rFonts w:hint="eastAsia" w:ascii="宋体" w:hAnsi="宋体"/>
          <w:color w:val="auto"/>
          <w:sz w:val="24"/>
          <w:u w:val="single"/>
        </w:rPr>
        <w:t xml:space="preserve">      [合同名称]       </w:t>
      </w:r>
      <w:r>
        <w:rPr>
          <w:rFonts w:hint="eastAsia" w:ascii="宋体" w:hAnsi="宋体"/>
          <w:color w:val="auto"/>
          <w:sz w:val="24"/>
        </w:rPr>
        <w:t>合同（编号</w:t>
      </w:r>
      <w:r>
        <w:rPr>
          <w:rFonts w:hint="eastAsia" w:ascii="宋体" w:hAnsi="宋体"/>
          <w:color w:val="auto"/>
          <w:sz w:val="24"/>
          <w:u w:val="single"/>
        </w:rPr>
        <w:t xml:space="preserve">           </w:t>
      </w:r>
      <w:r>
        <w:rPr>
          <w:rFonts w:hint="eastAsia" w:ascii="宋体" w:hAnsi="宋体"/>
          <w:color w:val="auto"/>
          <w:sz w:val="24"/>
        </w:rPr>
        <w:t>，</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日签署）（以下称“合同”）实施</w:t>
      </w:r>
      <w:r>
        <w:rPr>
          <w:rFonts w:hint="eastAsia" w:ascii="宋体" w:hAnsi="宋体"/>
          <w:color w:val="auto"/>
          <w:sz w:val="24"/>
          <w:u w:val="single"/>
        </w:rPr>
        <w:t xml:space="preserve">                </w:t>
      </w:r>
      <w:r>
        <w:rPr>
          <w:rFonts w:hint="eastAsia" w:ascii="宋体" w:hAnsi="宋体"/>
          <w:color w:val="auto"/>
          <w:sz w:val="24"/>
        </w:rPr>
        <w:t xml:space="preserve"> ;</w:t>
      </w:r>
    </w:p>
    <w:p>
      <w:pPr>
        <w:pStyle w:val="4"/>
        <w:snapToGrid w:val="0"/>
        <w:spacing w:line="360" w:lineRule="auto"/>
        <w:rPr>
          <w:rFonts w:hint="eastAsia" w:ascii="宋体" w:hAnsi="宋体" w:eastAsia="宋体"/>
          <w:color w:val="auto"/>
          <w:kern w:val="2"/>
          <w:sz w:val="24"/>
          <w:szCs w:val="24"/>
          <w:lang w:val="en-US" w:eastAsia="zh-CN" w:bidi="ar-SA"/>
        </w:rPr>
      </w:pPr>
      <w:r>
        <w:rPr>
          <w:rFonts w:hint="eastAsia" w:ascii="宋体" w:hAnsi="宋体" w:eastAsia="宋体"/>
          <w:color w:val="auto"/>
        </w:rPr>
        <w:t xml:space="preserve">  </w:t>
      </w:r>
      <w:r>
        <w:rPr>
          <w:rFonts w:hint="eastAsia" w:ascii="宋体" w:hAnsi="宋体" w:eastAsia="宋体"/>
          <w:color w:val="auto"/>
          <w:kern w:val="2"/>
          <w:sz w:val="24"/>
          <w:szCs w:val="24"/>
          <w:lang w:val="en-US" w:eastAsia="zh-CN" w:bidi="ar-SA"/>
        </w:rPr>
        <w:t xml:space="preserve">  且鉴于你方在上述合同中要求供货单位通过经认可的银行向你方提交合同规定金额的10%履约保证金，作为供货单位履约本合同责任的担保；</w:t>
      </w:r>
    </w:p>
    <w:p>
      <w:pPr>
        <w:snapToGrid w:val="0"/>
        <w:spacing w:line="360" w:lineRule="auto"/>
        <w:rPr>
          <w:rFonts w:hint="eastAsia" w:ascii="宋体" w:hAnsi="宋体"/>
          <w:color w:val="auto"/>
          <w:sz w:val="24"/>
        </w:rPr>
      </w:pPr>
      <w:r>
        <w:rPr>
          <w:rFonts w:hint="eastAsia" w:ascii="宋体" w:hAnsi="宋体"/>
          <w:color w:val="auto"/>
          <w:sz w:val="24"/>
        </w:rPr>
        <w:t xml:space="preserve">    而且本行同意为供货单位出具银行保函，对供货单位履行合同的行为承担连带担保责任；</w:t>
      </w:r>
    </w:p>
    <w:p>
      <w:pPr>
        <w:snapToGrid w:val="0"/>
        <w:spacing w:line="360" w:lineRule="auto"/>
        <w:ind w:firstLine="480" w:firstLineChars="200"/>
        <w:rPr>
          <w:rFonts w:hint="eastAsia" w:ascii="宋体" w:hAnsi="宋体"/>
          <w:color w:val="auto"/>
          <w:sz w:val="24"/>
          <w:u w:val="single"/>
        </w:rPr>
      </w:pPr>
      <w:r>
        <w:rPr>
          <w:rFonts w:hint="eastAsia" w:ascii="宋体" w:hAnsi="宋体"/>
          <w:color w:val="auto"/>
          <w:sz w:val="24"/>
        </w:rPr>
        <w:t>本行作为担保人在此本保函项下承担担保责任的金额以人民币</w:t>
      </w:r>
      <w:r>
        <w:rPr>
          <w:rFonts w:hint="eastAsia" w:ascii="宋体" w:hAnsi="宋体"/>
          <w:color w:val="auto"/>
          <w:sz w:val="24"/>
          <w:u w:val="single"/>
        </w:rPr>
        <w:t xml:space="preserve">                                                                </w:t>
      </w:r>
    </w:p>
    <w:p>
      <w:pPr>
        <w:pStyle w:val="9"/>
        <w:spacing w:line="360" w:lineRule="auto"/>
        <w:rPr>
          <w:rFonts w:hint="eastAsia" w:ascii="宋体" w:hAnsi="宋体"/>
          <w:color w:val="auto"/>
          <w:sz w:val="24"/>
        </w:rPr>
      </w:pPr>
      <w:r>
        <w:rPr>
          <w:rFonts w:hint="eastAsia" w:ascii="宋体" w:hAnsi="宋体"/>
          <w:color w:val="auto"/>
          <w:sz w:val="24"/>
        </w:rPr>
        <w:t>万元为限，在你方第一次书面提出要求得到上述金额内的任何付款时，本行即予支付，不挑剔、不争辩，也不要求你方出具证明或说明背景或理由。</w:t>
      </w:r>
    </w:p>
    <w:p>
      <w:pPr>
        <w:snapToGrid w:val="0"/>
        <w:spacing w:line="360" w:lineRule="auto"/>
        <w:rPr>
          <w:rFonts w:hint="eastAsia" w:ascii="宋体" w:hAnsi="宋体"/>
          <w:color w:val="auto"/>
          <w:sz w:val="24"/>
        </w:rPr>
      </w:pPr>
      <w:r>
        <w:rPr>
          <w:rFonts w:hint="eastAsia" w:ascii="宋体" w:hAnsi="宋体"/>
          <w:color w:val="auto"/>
          <w:sz w:val="24"/>
        </w:rPr>
        <w:t xml:space="preserve">    本行放弃你方应先向供货单位要求赔偿上述金额然后再向本行提出要求的权利。</w:t>
      </w:r>
    </w:p>
    <w:p>
      <w:pPr>
        <w:snapToGrid w:val="0"/>
        <w:spacing w:line="360" w:lineRule="auto"/>
        <w:rPr>
          <w:rFonts w:hint="eastAsia" w:ascii="宋体" w:hAnsi="宋体"/>
          <w:color w:val="auto"/>
          <w:sz w:val="24"/>
        </w:rPr>
      </w:pPr>
      <w:r>
        <w:rPr>
          <w:rFonts w:hint="eastAsia" w:ascii="宋体" w:hAnsi="宋体"/>
          <w:color w:val="auto"/>
          <w:sz w:val="24"/>
        </w:rPr>
        <w:t xml:space="preserve">    我行还同意：在买方和供货单位之间的合同条款、合同项下的工程或合同文件发生变化、补充或修改后，我行承担本保函的责任按照双方协商一致的变化而变化，上述变化、补充或修改不必通知我行。</w:t>
      </w:r>
    </w:p>
    <w:p>
      <w:pPr>
        <w:autoSpaceDE w:val="0"/>
        <w:autoSpaceDN w:val="0"/>
        <w:adjustRightInd w:val="0"/>
        <w:spacing w:line="360" w:lineRule="auto"/>
        <w:ind w:firstLine="480" w:firstLineChars="200"/>
        <w:rPr>
          <w:rFonts w:hint="eastAsia" w:ascii="宋体" w:hAnsi="宋体"/>
          <w:color w:val="auto"/>
          <w:kern w:val="0"/>
          <w:sz w:val="24"/>
        </w:rPr>
      </w:pPr>
      <w:r>
        <w:rPr>
          <w:rFonts w:hint="eastAsia" w:ascii="宋体" w:hAnsi="宋体"/>
          <w:color w:val="auto"/>
          <w:kern w:val="0"/>
          <w:sz w:val="24"/>
        </w:rPr>
        <w:t>本保函为无条件、不可撤消的凭要求即付的银行保函。</w:t>
      </w:r>
    </w:p>
    <w:p>
      <w:pPr>
        <w:autoSpaceDE w:val="0"/>
        <w:autoSpaceDN w:val="0"/>
        <w:adjustRightInd w:val="0"/>
        <w:spacing w:line="360" w:lineRule="auto"/>
        <w:ind w:firstLine="480" w:firstLineChars="200"/>
        <w:rPr>
          <w:rFonts w:hint="eastAsia" w:ascii="宋体" w:hAnsi="宋体"/>
          <w:color w:val="auto"/>
          <w:kern w:val="0"/>
          <w:sz w:val="24"/>
        </w:rPr>
      </w:pPr>
      <w:r>
        <w:rPr>
          <w:rFonts w:hint="eastAsia" w:ascii="宋体" w:hAnsi="宋体"/>
          <w:color w:val="auto"/>
          <w:kern w:val="0"/>
          <w:sz w:val="24"/>
        </w:rPr>
        <w:t>本保函有效期与合同有效期一致。</w:t>
      </w:r>
    </w:p>
    <w:p>
      <w:pPr>
        <w:snapToGrid w:val="0"/>
        <w:spacing w:line="360" w:lineRule="auto"/>
        <w:ind w:firstLine="480"/>
        <w:rPr>
          <w:rFonts w:hint="eastAsia" w:ascii="宋体" w:hAnsi="宋体"/>
          <w:color w:val="auto"/>
          <w:sz w:val="24"/>
        </w:rPr>
      </w:pPr>
    </w:p>
    <w:p>
      <w:pPr>
        <w:snapToGrid w:val="0"/>
        <w:spacing w:line="360" w:lineRule="auto"/>
        <w:rPr>
          <w:rFonts w:hint="eastAsia" w:ascii="宋体" w:hAnsi="宋体"/>
          <w:color w:val="auto"/>
          <w:sz w:val="24"/>
        </w:rPr>
      </w:pPr>
    </w:p>
    <w:p>
      <w:pPr>
        <w:snapToGrid w:val="0"/>
        <w:spacing w:line="360" w:lineRule="auto"/>
        <w:ind w:left="480"/>
        <w:rPr>
          <w:rFonts w:hint="eastAsia" w:ascii="宋体" w:hAnsi="宋体"/>
          <w:color w:val="auto"/>
          <w:sz w:val="24"/>
        </w:rPr>
      </w:pPr>
      <w:r>
        <w:rPr>
          <w:rFonts w:hint="eastAsia" w:ascii="宋体" w:hAnsi="宋体"/>
          <w:color w:val="auto"/>
          <w:sz w:val="24"/>
        </w:rPr>
        <w:t>银行授权代表：             （签字）</w:t>
      </w:r>
    </w:p>
    <w:p>
      <w:pPr>
        <w:snapToGrid w:val="0"/>
        <w:spacing w:line="300" w:lineRule="auto"/>
        <w:ind w:left="1275"/>
        <w:rPr>
          <w:rFonts w:hint="eastAsia" w:ascii="宋体" w:hAnsi="宋体"/>
          <w:color w:val="auto"/>
          <w:sz w:val="24"/>
        </w:rPr>
      </w:pPr>
    </w:p>
    <w:p>
      <w:pPr>
        <w:snapToGrid w:val="0"/>
        <w:spacing w:line="300" w:lineRule="auto"/>
        <w:ind w:left="480"/>
        <w:rPr>
          <w:rFonts w:hint="eastAsia" w:ascii="宋体" w:hAnsi="宋体"/>
          <w:color w:val="auto"/>
          <w:sz w:val="24"/>
        </w:rPr>
      </w:pPr>
      <w:r>
        <w:rPr>
          <w:rFonts w:hint="eastAsia" w:ascii="宋体" w:hAnsi="宋体"/>
          <w:color w:val="auto"/>
          <w:sz w:val="24"/>
        </w:rPr>
        <w:t>地址：</w:t>
      </w:r>
    </w:p>
    <w:p>
      <w:pPr>
        <w:snapToGrid w:val="0"/>
        <w:spacing w:line="300" w:lineRule="auto"/>
        <w:ind w:left="1275"/>
        <w:rPr>
          <w:rFonts w:hint="eastAsia" w:ascii="宋体" w:hAnsi="宋体"/>
          <w:color w:val="auto"/>
          <w:sz w:val="24"/>
        </w:rPr>
      </w:pPr>
    </w:p>
    <w:p>
      <w:pPr>
        <w:snapToGrid w:val="0"/>
        <w:spacing w:line="300" w:lineRule="auto"/>
        <w:ind w:left="480"/>
        <w:rPr>
          <w:rFonts w:hint="eastAsia" w:ascii="宋体" w:hAnsi="宋体"/>
          <w:color w:val="auto"/>
          <w:sz w:val="24"/>
        </w:rPr>
      </w:pPr>
      <w:r>
        <w:rPr>
          <w:rFonts w:hint="eastAsia" w:ascii="宋体" w:hAnsi="宋体"/>
          <w:color w:val="auto"/>
          <w:sz w:val="24"/>
        </w:rPr>
        <w:t>银行名称：               （盖章）</w:t>
      </w:r>
    </w:p>
    <w:p>
      <w:pPr>
        <w:snapToGrid w:val="0"/>
        <w:spacing w:line="300" w:lineRule="auto"/>
        <w:ind w:left="1275"/>
        <w:rPr>
          <w:rFonts w:hint="eastAsia" w:ascii="宋体" w:hAnsi="宋体"/>
          <w:color w:val="auto"/>
          <w:sz w:val="24"/>
        </w:rPr>
      </w:pPr>
    </w:p>
    <w:p>
      <w:pPr>
        <w:snapToGrid w:val="0"/>
        <w:spacing w:line="300" w:lineRule="auto"/>
        <w:ind w:left="480"/>
        <w:rPr>
          <w:rFonts w:hint="eastAsia" w:ascii="宋体" w:hAnsi="宋体"/>
          <w:color w:val="auto"/>
          <w:sz w:val="24"/>
        </w:rPr>
      </w:pPr>
      <w:r>
        <w:rPr>
          <w:rFonts w:hint="eastAsia" w:ascii="宋体" w:hAnsi="宋体"/>
          <w:color w:val="auto"/>
          <w:sz w:val="24"/>
        </w:rPr>
        <w:t>日期：   年  月  日</w:t>
      </w:r>
    </w:p>
    <w:p>
      <w:pPr>
        <w:autoSpaceDE w:val="0"/>
        <w:autoSpaceDN w:val="0"/>
        <w:adjustRightInd w:val="0"/>
        <w:snapToGrid w:val="0"/>
        <w:spacing w:line="480" w:lineRule="exact"/>
        <w:ind w:firstLine="843" w:firstLineChars="400"/>
        <w:outlineLvl w:val="1"/>
        <w:rPr>
          <w:rFonts w:hint="eastAsia" w:ascii="宋体" w:hAnsi="宋体"/>
          <w:b/>
          <w:color w:val="auto"/>
          <w:szCs w:val="21"/>
        </w:rPr>
      </w:pPr>
    </w:p>
    <w:p>
      <w:pPr>
        <w:pStyle w:val="2"/>
        <w:rPr>
          <w:color w:val="auto"/>
        </w:rPr>
      </w:pPr>
    </w:p>
    <w:p>
      <w:pPr>
        <w:pStyle w:val="2"/>
        <w:rPr>
          <w:color w:val="auto"/>
        </w:rPr>
      </w:pPr>
    </w:p>
    <w:p>
      <w:pPr>
        <w:pStyle w:val="2"/>
        <w:rPr>
          <w:color w:val="auto"/>
        </w:rPr>
      </w:pPr>
    </w:p>
    <w:p>
      <w:pPr>
        <w:autoSpaceDE w:val="0"/>
        <w:autoSpaceDN w:val="0"/>
        <w:adjustRightInd w:val="0"/>
        <w:snapToGrid w:val="0"/>
        <w:spacing w:line="480" w:lineRule="exact"/>
        <w:outlineLvl w:val="1"/>
        <w:rPr>
          <w:rFonts w:ascii="宋体" w:hAnsi="宋体"/>
          <w:b/>
          <w:color w:val="auto"/>
          <w:szCs w:val="21"/>
        </w:rPr>
      </w:pPr>
      <w:r>
        <w:rPr>
          <w:rFonts w:hint="eastAsia" w:ascii="宋体" w:hAnsi="宋体"/>
          <w:b/>
          <w:color w:val="auto"/>
          <w:szCs w:val="21"/>
          <w:lang w:eastAsia="zh-CN"/>
        </w:rPr>
        <w:t>八</w:t>
      </w:r>
      <w:r>
        <w:rPr>
          <w:rFonts w:hint="eastAsia" w:ascii="宋体" w:hAnsi="宋体"/>
          <w:b/>
          <w:color w:val="auto"/>
          <w:szCs w:val="21"/>
        </w:rPr>
        <w:t>、 投标文件格式</w:t>
      </w:r>
    </w:p>
    <w:p>
      <w:pPr>
        <w:spacing w:line="980" w:lineRule="exact"/>
        <w:jc w:val="center"/>
        <w:rPr>
          <w:rFonts w:ascii="黑体" w:eastAsia="黑体"/>
          <w:color w:val="auto"/>
          <w:sz w:val="30"/>
        </w:rPr>
      </w:pPr>
      <w:r>
        <w:rPr>
          <w:rFonts w:hint="eastAsia" w:ascii="黑体" w:eastAsia="黑体"/>
          <w:color w:val="auto"/>
          <w:sz w:val="30"/>
        </w:rPr>
        <w:t>目   录</w:t>
      </w:r>
    </w:p>
    <w:p>
      <w:pPr>
        <w:spacing w:line="460" w:lineRule="exact"/>
        <w:rPr>
          <w:rFonts w:ascii="宋体" w:hAnsi="宋体"/>
          <w:color w:val="auto"/>
          <w:sz w:val="24"/>
        </w:rPr>
      </w:pPr>
      <w:r>
        <w:rPr>
          <w:rFonts w:hint="eastAsia" w:ascii="宋体" w:hAnsi="宋体"/>
          <w:color w:val="auto"/>
          <w:sz w:val="24"/>
        </w:rPr>
        <w:t>一、投标书及其附件</w:t>
      </w:r>
    </w:p>
    <w:p>
      <w:pPr>
        <w:spacing w:line="460" w:lineRule="exact"/>
        <w:rPr>
          <w:rFonts w:ascii="宋体" w:hAnsi="宋体"/>
          <w:color w:val="auto"/>
          <w:sz w:val="24"/>
        </w:rPr>
      </w:pPr>
      <w:r>
        <w:rPr>
          <w:rFonts w:hint="eastAsia" w:ascii="宋体" w:hAnsi="宋体"/>
          <w:color w:val="auto"/>
          <w:sz w:val="24"/>
        </w:rPr>
        <w:t xml:space="preserve">      1.投标书</w:t>
      </w:r>
    </w:p>
    <w:p>
      <w:pPr>
        <w:spacing w:line="460" w:lineRule="exact"/>
        <w:rPr>
          <w:rFonts w:ascii="宋体" w:hAnsi="宋体"/>
          <w:color w:val="auto"/>
          <w:sz w:val="24"/>
        </w:rPr>
      </w:pPr>
      <w:r>
        <w:rPr>
          <w:rFonts w:hint="eastAsia" w:ascii="宋体" w:hAnsi="宋体"/>
          <w:color w:val="auto"/>
          <w:sz w:val="24"/>
        </w:rPr>
        <w:t xml:space="preserve">      2.开标一览表     </w:t>
      </w:r>
    </w:p>
    <w:p>
      <w:pPr>
        <w:spacing w:line="460" w:lineRule="exact"/>
        <w:rPr>
          <w:rFonts w:ascii="宋体" w:hAnsi="宋体"/>
          <w:color w:val="auto"/>
          <w:sz w:val="24"/>
        </w:rPr>
      </w:pPr>
      <w:r>
        <w:rPr>
          <w:rFonts w:hint="eastAsia" w:ascii="宋体" w:hAnsi="宋体"/>
          <w:color w:val="auto"/>
          <w:sz w:val="24"/>
        </w:rPr>
        <w:t>二、投标人资格证明文件</w:t>
      </w:r>
    </w:p>
    <w:p>
      <w:pPr>
        <w:spacing w:line="460" w:lineRule="exact"/>
        <w:rPr>
          <w:rFonts w:ascii="宋体" w:hAnsi="宋体"/>
          <w:color w:val="auto"/>
          <w:sz w:val="24"/>
        </w:rPr>
      </w:pPr>
      <w:r>
        <w:rPr>
          <w:rFonts w:hint="eastAsia" w:ascii="宋体" w:hAnsi="宋体"/>
          <w:color w:val="auto"/>
          <w:sz w:val="24"/>
        </w:rPr>
        <w:t xml:space="preserve">      1.投标人概况（营业执照副本等材料）</w:t>
      </w:r>
    </w:p>
    <w:p>
      <w:pPr>
        <w:spacing w:line="460" w:lineRule="exact"/>
        <w:rPr>
          <w:rFonts w:ascii="宋体" w:hAnsi="宋体"/>
          <w:color w:val="auto"/>
          <w:sz w:val="24"/>
        </w:rPr>
      </w:pPr>
      <w:r>
        <w:rPr>
          <w:rFonts w:hint="eastAsia" w:ascii="宋体" w:hAnsi="宋体"/>
          <w:color w:val="auto"/>
          <w:sz w:val="24"/>
        </w:rPr>
        <w:t xml:space="preserve">      2.投标人技术能力（技术人员相关证明材料）</w:t>
      </w:r>
    </w:p>
    <w:p>
      <w:pPr>
        <w:spacing w:line="460" w:lineRule="exact"/>
        <w:rPr>
          <w:rFonts w:ascii="宋体" w:hAnsi="宋体"/>
          <w:color w:val="auto"/>
          <w:sz w:val="24"/>
        </w:rPr>
      </w:pPr>
      <w:r>
        <w:rPr>
          <w:rFonts w:hint="eastAsia" w:ascii="宋体" w:hAnsi="宋体"/>
          <w:color w:val="auto"/>
          <w:sz w:val="24"/>
        </w:rPr>
        <w:t xml:space="preserve">      3.投标人财务状况（相关材料）</w:t>
      </w:r>
    </w:p>
    <w:p>
      <w:pPr>
        <w:spacing w:line="460" w:lineRule="exact"/>
        <w:rPr>
          <w:rFonts w:ascii="宋体" w:hAnsi="宋体"/>
          <w:color w:val="auto"/>
          <w:sz w:val="24"/>
        </w:rPr>
      </w:pPr>
      <w:r>
        <w:rPr>
          <w:rFonts w:hint="eastAsia" w:ascii="宋体" w:hAnsi="宋体"/>
          <w:color w:val="auto"/>
          <w:sz w:val="24"/>
        </w:rPr>
        <w:t xml:space="preserve">      4、相关资质证书材料</w:t>
      </w:r>
    </w:p>
    <w:p>
      <w:pPr>
        <w:spacing w:line="460" w:lineRule="exact"/>
        <w:rPr>
          <w:rFonts w:ascii="宋体" w:hAnsi="宋体"/>
          <w:color w:val="auto"/>
          <w:sz w:val="24"/>
        </w:rPr>
      </w:pPr>
      <w:r>
        <w:rPr>
          <w:rFonts w:hint="eastAsia" w:ascii="宋体" w:hAnsi="宋体"/>
          <w:color w:val="auto"/>
          <w:sz w:val="24"/>
        </w:rPr>
        <w:t xml:space="preserve">      5.授权委托书</w:t>
      </w:r>
    </w:p>
    <w:p>
      <w:pPr>
        <w:spacing w:line="460" w:lineRule="exact"/>
        <w:rPr>
          <w:rFonts w:ascii="宋体" w:hAnsi="宋体"/>
          <w:color w:val="auto"/>
          <w:sz w:val="24"/>
        </w:rPr>
      </w:pPr>
      <w:r>
        <w:rPr>
          <w:rFonts w:hint="eastAsia" w:ascii="宋体" w:hAnsi="宋体"/>
          <w:color w:val="auto"/>
          <w:sz w:val="24"/>
        </w:rPr>
        <w:t xml:space="preserve">      6.视频设备主材制造商授权书格式</w:t>
      </w:r>
    </w:p>
    <w:p>
      <w:pPr>
        <w:spacing w:line="460" w:lineRule="exact"/>
        <w:rPr>
          <w:rFonts w:ascii="宋体" w:hAnsi="宋体"/>
          <w:color w:val="auto"/>
          <w:sz w:val="24"/>
        </w:rPr>
      </w:pPr>
      <w:r>
        <w:rPr>
          <w:rFonts w:hint="eastAsia" w:ascii="宋体" w:hAnsi="宋体"/>
          <w:color w:val="auto"/>
          <w:sz w:val="24"/>
        </w:rPr>
        <w:t>三、证明货物的合格性和符合招标文件规定的文件</w:t>
      </w:r>
    </w:p>
    <w:p>
      <w:pPr>
        <w:numPr>
          <w:ilvl w:val="0"/>
          <w:numId w:val="35"/>
        </w:numPr>
        <w:spacing w:line="460" w:lineRule="exact"/>
        <w:rPr>
          <w:rFonts w:ascii="宋体" w:hAnsi="宋体"/>
          <w:color w:val="auto"/>
          <w:sz w:val="24"/>
        </w:rPr>
      </w:pPr>
      <w:r>
        <w:rPr>
          <w:rFonts w:hint="eastAsia" w:ascii="宋体" w:hAnsi="宋体"/>
          <w:color w:val="auto"/>
          <w:sz w:val="24"/>
        </w:rPr>
        <w:t>质量保证书</w:t>
      </w:r>
    </w:p>
    <w:p>
      <w:pPr>
        <w:numPr>
          <w:ilvl w:val="0"/>
          <w:numId w:val="35"/>
        </w:numPr>
        <w:spacing w:line="460" w:lineRule="exact"/>
        <w:rPr>
          <w:rFonts w:ascii="宋体" w:hAnsi="宋体"/>
          <w:color w:val="auto"/>
          <w:sz w:val="24"/>
        </w:rPr>
      </w:pPr>
      <w:r>
        <w:rPr>
          <w:rFonts w:hint="eastAsia" w:ascii="宋体" w:hAnsi="宋体"/>
          <w:color w:val="auto"/>
          <w:sz w:val="24"/>
        </w:rPr>
        <w:t>有关部门的检测报告（如有）</w:t>
      </w:r>
    </w:p>
    <w:p>
      <w:pPr>
        <w:spacing w:line="460" w:lineRule="exact"/>
        <w:rPr>
          <w:rFonts w:ascii="宋体" w:hAnsi="宋体"/>
          <w:color w:val="auto"/>
          <w:sz w:val="24"/>
        </w:rPr>
      </w:pPr>
      <w:r>
        <w:rPr>
          <w:rFonts w:hint="eastAsia" w:ascii="宋体" w:hAnsi="宋体"/>
          <w:color w:val="auto"/>
          <w:sz w:val="24"/>
        </w:rPr>
        <w:t xml:space="preserve">      3. 货物组成（供货范围表）</w:t>
      </w:r>
    </w:p>
    <w:p>
      <w:pPr>
        <w:spacing w:line="460" w:lineRule="exact"/>
        <w:rPr>
          <w:rFonts w:ascii="宋体" w:hAnsi="宋体"/>
          <w:color w:val="auto"/>
          <w:sz w:val="24"/>
        </w:rPr>
      </w:pPr>
      <w:r>
        <w:rPr>
          <w:rFonts w:hint="eastAsia" w:ascii="宋体" w:hAnsi="宋体"/>
          <w:color w:val="auto"/>
          <w:sz w:val="24"/>
        </w:rPr>
        <w:t xml:space="preserve">      4. 投标货物规格响应表格式</w:t>
      </w:r>
    </w:p>
    <w:p>
      <w:pPr>
        <w:spacing w:line="460" w:lineRule="exact"/>
        <w:rPr>
          <w:rFonts w:ascii="宋体" w:hAnsi="宋体"/>
          <w:color w:val="auto"/>
          <w:sz w:val="24"/>
        </w:rPr>
      </w:pPr>
      <w:r>
        <w:rPr>
          <w:rFonts w:hint="eastAsia" w:ascii="宋体" w:hAnsi="宋体"/>
          <w:color w:val="auto"/>
          <w:sz w:val="24"/>
        </w:rPr>
        <w:t xml:space="preserve">      5. 商务条款偏离表</w:t>
      </w:r>
    </w:p>
    <w:p>
      <w:pPr>
        <w:spacing w:line="460" w:lineRule="exact"/>
        <w:rPr>
          <w:rFonts w:ascii="宋体" w:hAnsi="宋体"/>
          <w:color w:val="auto"/>
          <w:sz w:val="24"/>
        </w:rPr>
      </w:pPr>
      <w:r>
        <w:rPr>
          <w:rFonts w:hint="eastAsia" w:ascii="宋体" w:hAnsi="宋体"/>
          <w:color w:val="auto"/>
          <w:sz w:val="24"/>
        </w:rPr>
        <w:t xml:space="preserve">      6. 服务（培训、售后服务等）</w:t>
      </w:r>
    </w:p>
    <w:p>
      <w:pPr>
        <w:spacing w:line="460" w:lineRule="exact"/>
        <w:rPr>
          <w:rFonts w:ascii="宋体" w:hAnsi="宋体"/>
          <w:color w:val="auto"/>
          <w:sz w:val="24"/>
        </w:rPr>
      </w:pPr>
      <w:r>
        <w:rPr>
          <w:rFonts w:hint="eastAsia" w:ascii="宋体" w:hAnsi="宋体"/>
          <w:color w:val="auto"/>
          <w:sz w:val="24"/>
        </w:rPr>
        <w:t xml:space="preserve">    </w:t>
      </w:r>
    </w:p>
    <w:p>
      <w:pPr>
        <w:spacing w:line="460" w:lineRule="exact"/>
        <w:rPr>
          <w:rFonts w:ascii="宋体" w:hAnsi="宋体"/>
          <w:color w:val="auto"/>
          <w:sz w:val="24"/>
        </w:rPr>
      </w:pPr>
    </w:p>
    <w:p>
      <w:pPr>
        <w:spacing w:line="460" w:lineRule="exact"/>
        <w:rPr>
          <w:rFonts w:ascii="宋体" w:hAnsi="宋体"/>
          <w:color w:val="auto"/>
          <w:sz w:val="24"/>
        </w:rPr>
      </w:pPr>
    </w:p>
    <w:p>
      <w:pPr>
        <w:spacing w:line="460" w:lineRule="exact"/>
        <w:rPr>
          <w:rFonts w:ascii="宋体" w:hAnsi="宋体"/>
          <w:color w:val="auto"/>
          <w:sz w:val="24"/>
        </w:rPr>
      </w:pPr>
    </w:p>
    <w:p>
      <w:pPr>
        <w:spacing w:line="460" w:lineRule="exact"/>
        <w:rPr>
          <w:rFonts w:ascii="宋体" w:hAnsi="宋体"/>
          <w:color w:val="auto"/>
          <w:sz w:val="24"/>
        </w:rPr>
      </w:pPr>
    </w:p>
    <w:p>
      <w:pPr>
        <w:widowControl/>
        <w:jc w:val="left"/>
        <w:rPr>
          <w:rFonts w:ascii="楷体_GB2312" w:eastAsia="楷体_GB2312"/>
          <w:color w:val="auto"/>
          <w:sz w:val="24"/>
        </w:rPr>
        <w:sectPr>
          <w:headerReference r:id="rId3" w:type="default"/>
          <w:footerReference r:id="rId4" w:type="default"/>
          <w:pgSz w:w="11906" w:h="16838"/>
          <w:pgMar w:top="935" w:right="1406" w:bottom="1091" w:left="1575" w:header="851" w:footer="992" w:gutter="0"/>
          <w:cols w:space="720" w:num="1"/>
          <w:docGrid w:type="lines" w:linePitch="312" w:charSpace="0"/>
        </w:sectPr>
      </w:pPr>
    </w:p>
    <w:p>
      <w:pPr>
        <w:spacing w:line="560" w:lineRule="exact"/>
        <w:ind w:left="720" w:leftChars="343" w:firstLine="2700" w:firstLineChars="750"/>
        <w:rPr>
          <w:rFonts w:ascii="黑体" w:eastAsia="黑体"/>
          <w:color w:val="auto"/>
          <w:sz w:val="36"/>
        </w:rPr>
      </w:pPr>
      <w:r>
        <w:rPr>
          <w:rFonts w:hint="eastAsia" w:ascii="黑体" w:eastAsia="黑体"/>
          <w:color w:val="auto"/>
          <w:sz w:val="36"/>
        </w:rPr>
        <w:t>一、投标书及其附件</w:t>
      </w:r>
    </w:p>
    <w:p>
      <w:pPr>
        <w:spacing w:line="560" w:lineRule="exact"/>
        <w:ind w:firstLine="3780" w:firstLineChars="1050"/>
        <w:rPr>
          <w:rFonts w:ascii="黑体" w:eastAsia="黑体"/>
          <w:color w:val="auto"/>
          <w:sz w:val="36"/>
        </w:rPr>
      </w:pPr>
      <w:r>
        <w:rPr>
          <w:rFonts w:hint="eastAsia" w:ascii="黑体" w:eastAsia="黑体"/>
          <w:color w:val="auto"/>
          <w:sz w:val="36"/>
        </w:rPr>
        <w:t>1、投标书格式</w:t>
      </w:r>
    </w:p>
    <w:p>
      <w:pPr>
        <w:spacing w:line="720" w:lineRule="exact"/>
        <w:ind w:firstLine="4518" w:firstLineChars="1500"/>
        <w:rPr>
          <w:rFonts w:ascii="楷体_GB2312" w:eastAsia="楷体_GB2312"/>
          <w:b/>
          <w:color w:val="auto"/>
          <w:sz w:val="30"/>
        </w:rPr>
      </w:pPr>
      <w:r>
        <w:rPr>
          <w:rFonts w:hint="eastAsia" w:ascii="楷体_GB2312" w:eastAsia="楷体_GB2312"/>
          <w:b/>
          <w:color w:val="auto"/>
          <w:sz w:val="30"/>
        </w:rPr>
        <w:t>投标书</w:t>
      </w:r>
    </w:p>
    <w:p>
      <w:pPr>
        <w:spacing w:line="480" w:lineRule="exact"/>
        <w:rPr>
          <w:rFonts w:ascii="楷体_GB2312" w:eastAsia="楷体_GB2312"/>
          <w:color w:val="auto"/>
          <w:sz w:val="24"/>
        </w:rPr>
      </w:pPr>
      <w:r>
        <w:rPr>
          <w:rFonts w:hint="eastAsia" w:ascii="宋体" w:hAnsi="宋体"/>
          <w:color w:val="auto"/>
          <w:spacing w:val="28"/>
          <w:sz w:val="24"/>
        </w:rPr>
        <w:t>江苏长江水务股份有限公司</w:t>
      </w:r>
      <w:r>
        <w:rPr>
          <w:rFonts w:hint="eastAsia" w:ascii="楷体_GB2312" w:eastAsia="楷体_GB2312"/>
          <w:color w:val="auto"/>
          <w:sz w:val="24"/>
        </w:rPr>
        <w:t>：</w:t>
      </w:r>
    </w:p>
    <w:p>
      <w:pPr>
        <w:spacing w:line="480" w:lineRule="exact"/>
        <w:ind w:firstLine="480"/>
        <w:rPr>
          <w:rFonts w:ascii="宋体" w:hAnsi="宋体"/>
          <w:color w:val="auto"/>
          <w:sz w:val="24"/>
        </w:rPr>
      </w:pPr>
      <w:r>
        <w:rPr>
          <w:rFonts w:hint="eastAsia" w:ascii="宋体" w:hAnsi="宋体"/>
          <w:color w:val="auto"/>
          <w:sz w:val="24"/>
        </w:rPr>
        <w:t>你们</w:t>
      </w:r>
      <w:r>
        <w:rPr>
          <w:rFonts w:hint="eastAsia" w:ascii="宋体" w:hAnsi="宋体"/>
          <w:color w:val="auto"/>
          <w:sz w:val="24"/>
          <w:u w:val="single"/>
        </w:rPr>
        <w:t xml:space="preserve">         </w:t>
      </w:r>
      <w:r>
        <w:rPr>
          <w:rFonts w:hint="eastAsia" w:ascii="宋体" w:hAnsi="宋体"/>
          <w:color w:val="auto"/>
          <w:sz w:val="24"/>
        </w:rPr>
        <w:t xml:space="preserve"> 招标文件（包括补充文件，如果有的话）收悉，我们经详细审阅和研究，现决定参加投标。</w:t>
      </w:r>
    </w:p>
    <w:p>
      <w:pPr>
        <w:spacing w:line="480" w:lineRule="exact"/>
        <w:rPr>
          <w:rFonts w:ascii="宋体" w:hAnsi="宋体"/>
          <w:color w:val="auto"/>
          <w:sz w:val="24"/>
        </w:rPr>
      </w:pPr>
      <w:r>
        <w:rPr>
          <w:rFonts w:hint="eastAsia" w:ascii="宋体" w:hAnsi="宋体"/>
          <w:color w:val="auto"/>
          <w:sz w:val="24"/>
        </w:rPr>
        <w:t xml:space="preserve">    1.我们愿按照招标文件中的条款、要求，提供所需的招标货物及一切相关的服务，投标价为</w:t>
      </w:r>
      <w:r>
        <w:rPr>
          <w:rFonts w:hint="eastAsia" w:ascii="宋体" w:hAnsi="宋体"/>
          <w:color w:val="auto"/>
          <w:sz w:val="24"/>
          <w:u w:val="single"/>
        </w:rPr>
        <w:t xml:space="preserve">（币种及金额） </w:t>
      </w:r>
      <w:r>
        <w:rPr>
          <w:rFonts w:hint="eastAsia" w:ascii="宋体" w:hAnsi="宋体"/>
          <w:color w:val="auto"/>
          <w:sz w:val="24"/>
        </w:rPr>
        <w:t>。</w:t>
      </w:r>
    </w:p>
    <w:p>
      <w:pPr>
        <w:spacing w:line="480" w:lineRule="exact"/>
        <w:ind w:firstLine="420"/>
        <w:rPr>
          <w:rFonts w:ascii="宋体" w:hAnsi="宋体"/>
          <w:color w:val="auto"/>
          <w:sz w:val="24"/>
        </w:rPr>
      </w:pPr>
      <w:r>
        <w:rPr>
          <w:rFonts w:hint="eastAsia" w:ascii="宋体" w:hAnsi="宋体"/>
          <w:color w:val="auto"/>
          <w:sz w:val="24"/>
        </w:rPr>
        <w:t>2.如果我们中标，我们将在</w:t>
      </w:r>
      <w:r>
        <w:rPr>
          <w:rFonts w:hint="eastAsia" w:ascii="宋体" w:hAnsi="宋体"/>
          <w:color w:val="auto"/>
          <w:sz w:val="24"/>
          <w:u w:val="single"/>
        </w:rPr>
        <w:t xml:space="preserve">           </w:t>
      </w:r>
      <w:r>
        <w:rPr>
          <w:rFonts w:hint="eastAsia" w:ascii="宋体" w:hAnsi="宋体"/>
          <w:color w:val="auto"/>
          <w:sz w:val="24"/>
        </w:rPr>
        <w:t>之后的</w:t>
      </w:r>
      <w:r>
        <w:rPr>
          <w:rFonts w:hint="eastAsia" w:ascii="宋体" w:hAnsi="宋体"/>
          <w:color w:val="auto"/>
          <w:sz w:val="24"/>
          <w:u w:val="single"/>
        </w:rPr>
        <w:t xml:space="preserve">       </w:t>
      </w:r>
      <w:r>
        <w:rPr>
          <w:rFonts w:hint="eastAsia" w:ascii="宋体" w:hAnsi="宋体"/>
          <w:color w:val="auto"/>
          <w:sz w:val="24"/>
        </w:rPr>
        <w:t>天内交货。</w:t>
      </w:r>
    </w:p>
    <w:p>
      <w:pPr>
        <w:spacing w:line="480" w:lineRule="exact"/>
        <w:ind w:firstLine="420"/>
        <w:rPr>
          <w:rFonts w:ascii="宋体" w:hAnsi="宋体"/>
          <w:color w:val="auto"/>
          <w:sz w:val="24"/>
        </w:rPr>
      </w:pPr>
      <w:r>
        <w:rPr>
          <w:rFonts w:hint="eastAsia" w:ascii="宋体" w:hAnsi="宋体"/>
          <w:color w:val="auto"/>
          <w:sz w:val="24"/>
        </w:rPr>
        <w:t>3.我们同意招标文件 “投标人须知”的规定，本投标文件在有效期内，将始终对我们具有约束力，并可随时被接受。如果我们入围，本投标文件在此期间之后将继续保持有效，直至合同生效。</w:t>
      </w:r>
    </w:p>
    <w:p>
      <w:pPr>
        <w:spacing w:line="480" w:lineRule="exact"/>
        <w:rPr>
          <w:rFonts w:ascii="宋体" w:hAnsi="宋体"/>
          <w:color w:val="auto"/>
          <w:sz w:val="24"/>
        </w:rPr>
      </w:pPr>
      <w:r>
        <w:rPr>
          <w:rFonts w:hint="eastAsia" w:ascii="宋体" w:hAnsi="宋体"/>
          <w:color w:val="auto"/>
          <w:sz w:val="24"/>
        </w:rPr>
        <w:t xml:space="preserve">    4.我们同意提供招标人要求的有关本次招标的所有资料。</w:t>
      </w:r>
    </w:p>
    <w:p>
      <w:pPr>
        <w:spacing w:line="480" w:lineRule="exact"/>
        <w:ind w:firstLine="480"/>
        <w:rPr>
          <w:rFonts w:ascii="宋体" w:hAnsi="宋体"/>
          <w:color w:val="auto"/>
          <w:sz w:val="24"/>
        </w:rPr>
      </w:pPr>
      <w:r>
        <w:rPr>
          <w:rFonts w:hint="eastAsia" w:ascii="宋体" w:hAnsi="宋体"/>
          <w:color w:val="auto"/>
          <w:sz w:val="24"/>
        </w:rPr>
        <w:t>5.我们理解，你们无义务必须接受投标价最低的投标，并有权拒绝所有的投标。</w:t>
      </w:r>
    </w:p>
    <w:p>
      <w:pPr>
        <w:spacing w:line="480" w:lineRule="exact"/>
        <w:ind w:firstLine="480"/>
        <w:rPr>
          <w:rFonts w:ascii="宋体" w:hAnsi="宋体"/>
          <w:color w:val="auto"/>
          <w:sz w:val="24"/>
        </w:rPr>
      </w:pPr>
      <w:r>
        <w:rPr>
          <w:rFonts w:hint="eastAsia" w:ascii="宋体" w:hAnsi="宋体"/>
          <w:color w:val="auto"/>
          <w:sz w:val="24"/>
        </w:rPr>
        <w:t>6.如果我们中标，为执行合同，我们将按招标文件的要求提供必要的履约保证。</w:t>
      </w:r>
    </w:p>
    <w:p>
      <w:pPr>
        <w:spacing w:line="480" w:lineRule="exact"/>
        <w:rPr>
          <w:rFonts w:ascii="楷体_GB2312" w:eastAsia="楷体_GB2312"/>
          <w:color w:val="auto"/>
          <w:sz w:val="24"/>
        </w:rPr>
      </w:pPr>
    </w:p>
    <w:p>
      <w:pPr>
        <w:spacing w:line="480" w:lineRule="exact"/>
        <w:rPr>
          <w:rFonts w:ascii="楷体_GB2312" w:eastAsia="楷体_GB2312"/>
          <w:color w:val="auto"/>
          <w:sz w:val="24"/>
        </w:rPr>
      </w:pPr>
    </w:p>
    <w:p>
      <w:pPr>
        <w:spacing w:line="480" w:lineRule="exact"/>
        <w:rPr>
          <w:rFonts w:ascii="楷体_GB2312" w:eastAsia="楷体_GB2312"/>
          <w:color w:val="auto"/>
          <w:sz w:val="24"/>
        </w:rPr>
      </w:pPr>
      <w:r>
        <w:rPr>
          <w:rFonts w:hint="eastAsia" w:ascii="楷体_GB2312" w:eastAsia="楷体_GB2312"/>
          <w:color w:val="auto"/>
          <w:sz w:val="24"/>
        </w:rPr>
        <w:t xml:space="preserve">                     </w:t>
      </w:r>
    </w:p>
    <w:p>
      <w:pPr>
        <w:spacing w:line="480" w:lineRule="exact"/>
        <w:jc w:val="center"/>
        <w:rPr>
          <w:rFonts w:ascii="宋体" w:hAnsi="宋体"/>
          <w:color w:val="auto"/>
          <w:sz w:val="24"/>
        </w:rPr>
      </w:pPr>
      <w:r>
        <w:rPr>
          <w:rFonts w:hint="eastAsia" w:ascii="宋体" w:hAnsi="宋体"/>
          <w:color w:val="auto"/>
          <w:sz w:val="24"/>
        </w:rPr>
        <w:t xml:space="preserve">  投标人名称：</w:t>
      </w:r>
    </w:p>
    <w:p>
      <w:pPr>
        <w:spacing w:line="480" w:lineRule="exact"/>
        <w:rPr>
          <w:rFonts w:ascii="宋体" w:hAnsi="宋体"/>
          <w:color w:val="auto"/>
          <w:sz w:val="24"/>
        </w:rPr>
      </w:pPr>
      <w:r>
        <w:rPr>
          <w:rFonts w:hint="eastAsia" w:ascii="宋体" w:hAnsi="宋体"/>
          <w:color w:val="auto"/>
          <w:sz w:val="24"/>
        </w:rPr>
        <w:t xml:space="preserve">                             （盖章）</w:t>
      </w:r>
    </w:p>
    <w:p>
      <w:pPr>
        <w:spacing w:line="480" w:lineRule="exact"/>
        <w:rPr>
          <w:rFonts w:ascii="宋体" w:hAnsi="宋体"/>
          <w:color w:val="auto"/>
          <w:sz w:val="24"/>
        </w:rPr>
      </w:pPr>
      <w:r>
        <w:rPr>
          <w:rFonts w:hint="eastAsia" w:ascii="宋体" w:hAnsi="宋体"/>
          <w:color w:val="auto"/>
          <w:sz w:val="24"/>
        </w:rPr>
        <w:t xml:space="preserve">                              地址：               邮编：</w:t>
      </w:r>
    </w:p>
    <w:p>
      <w:pPr>
        <w:spacing w:line="480" w:lineRule="exact"/>
        <w:rPr>
          <w:rFonts w:ascii="宋体" w:hAnsi="宋体"/>
          <w:color w:val="auto"/>
          <w:sz w:val="24"/>
        </w:rPr>
      </w:pPr>
      <w:r>
        <w:rPr>
          <w:rFonts w:hint="eastAsia" w:ascii="宋体" w:hAnsi="宋体"/>
          <w:color w:val="auto"/>
          <w:sz w:val="24"/>
        </w:rPr>
        <w:t xml:space="preserve">                              电话：               传真：</w:t>
      </w:r>
    </w:p>
    <w:p>
      <w:pPr>
        <w:spacing w:line="480" w:lineRule="exact"/>
        <w:rPr>
          <w:rFonts w:ascii="宋体" w:hAnsi="宋体"/>
          <w:color w:val="auto"/>
          <w:sz w:val="24"/>
        </w:rPr>
      </w:pPr>
      <w:r>
        <w:rPr>
          <w:rFonts w:hint="eastAsia" w:ascii="宋体" w:hAnsi="宋体"/>
          <w:color w:val="auto"/>
          <w:sz w:val="24"/>
        </w:rPr>
        <w:t xml:space="preserve">                              授权代表签字：</w:t>
      </w:r>
    </w:p>
    <w:p>
      <w:pPr>
        <w:spacing w:line="480" w:lineRule="exact"/>
        <w:rPr>
          <w:rFonts w:ascii="宋体" w:hAnsi="宋体"/>
          <w:color w:val="auto"/>
          <w:sz w:val="24"/>
        </w:rPr>
      </w:pPr>
      <w:r>
        <w:rPr>
          <w:rFonts w:hint="eastAsia" w:ascii="宋体" w:hAnsi="宋体"/>
          <w:color w:val="auto"/>
          <w:sz w:val="24"/>
        </w:rPr>
        <w:t xml:space="preserve">                              职务：</w:t>
      </w:r>
    </w:p>
    <w:p>
      <w:pPr>
        <w:spacing w:line="480" w:lineRule="exact"/>
        <w:rPr>
          <w:rFonts w:ascii="宋体" w:hAnsi="宋体"/>
          <w:color w:val="auto"/>
          <w:sz w:val="24"/>
        </w:rPr>
      </w:pPr>
      <w:r>
        <w:rPr>
          <w:rFonts w:hint="eastAsia" w:ascii="宋体" w:hAnsi="宋体"/>
          <w:color w:val="auto"/>
          <w:sz w:val="24"/>
        </w:rPr>
        <w:t xml:space="preserve">                              日期：</w:t>
      </w:r>
    </w:p>
    <w:p>
      <w:pPr>
        <w:spacing w:line="480" w:lineRule="exact"/>
        <w:rPr>
          <w:rFonts w:ascii="宋体" w:hAnsi="宋体"/>
          <w:color w:val="auto"/>
          <w:sz w:val="24"/>
        </w:rPr>
      </w:pPr>
    </w:p>
    <w:p>
      <w:pPr>
        <w:spacing w:line="480" w:lineRule="exact"/>
        <w:rPr>
          <w:rFonts w:ascii="宋体" w:hAnsi="宋体"/>
          <w:color w:val="auto"/>
          <w:sz w:val="24"/>
        </w:rPr>
      </w:pPr>
    </w:p>
    <w:p>
      <w:pPr>
        <w:spacing w:line="480" w:lineRule="exact"/>
        <w:rPr>
          <w:rFonts w:ascii="宋体" w:hAnsi="宋体"/>
          <w:color w:val="auto"/>
          <w:sz w:val="24"/>
        </w:rPr>
      </w:pPr>
    </w:p>
    <w:p>
      <w:pPr>
        <w:spacing w:line="560" w:lineRule="exact"/>
        <w:jc w:val="center"/>
        <w:rPr>
          <w:rFonts w:ascii="黑体" w:eastAsia="黑体"/>
          <w:color w:val="auto"/>
          <w:sz w:val="36"/>
        </w:rPr>
      </w:pPr>
      <w:r>
        <w:rPr>
          <w:rFonts w:hint="eastAsia" w:ascii="黑体" w:eastAsia="黑体"/>
          <w:color w:val="auto"/>
          <w:sz w:val="36"/>
        </w:rPr>
        <w:t>2、开标一览表</w:t>
      </w:r>
    </w:p>
    <w:tbl>
      <w:tblPr>
        <w:tblStyle w:val="10"/>
        <w:tblW w:w="100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828"/>
        <w:gridCol w:w="1844"/>
        <w:gridCol w:w="2051"/>
        <w:gridCol w:w="1680"/>
        <w:gridCol w:w="2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项目名称</w:t>
            </w:r>
          </w:p>
        </w:tc>
        <w:tc>
          <w:tcPr>
            <w:tcW w:w="8430"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序号</w:t>
            </w:r>
          </w:p>
        </w:tc>
        <w:tc>
          <w:tcPr>
            <w:tcW w:w="2672"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类 别</w:t>
            </w:r>
          </w:p>
        </w:tc>
        <w:tc>
          <w:tcPr>
            <w:tcW w:w="2051"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制 造 厂 商</w:t>
            </w:r>
          </w:p>
        </w:tc>
        <w:tc>
          <w:tcPr>
            <w:tcW w:w="1680"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单位价格</w:t>
            </w:r>
          </w:p>
        </w:tc>
        <w:tc>
          <w:tcPr>
            <w:tcW w:w="2855"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1</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auto"/>
                <w:sz w:val="24"/>
              </w:rPr>
            </w:pPr>
          </w:p>
        </w:tc>
        <w:tc>
          <w:tcPr>
            <w:tcW w:w="2051"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1680"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285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2</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auto"/>
                <w:sz w:val="24"/>
              </w:rPr>
            </w:pPr>
          </w:p>
        </w:tc>
        <w:tc>
          <w:tcPr>
            <w:tcW w:w="2051"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1680"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285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3</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auto"/>
                <w:sz w:val="24"/>
              </w:rPr>
            </w:pPr>
          </w:p>
        </w:tc>
        <w:tc>
          <w:tcPr>
            <w:tcW w:w="2051"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1680"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285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4</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auto"/>
                <w:sz w:val="24"/>
              </w:rPr>
            </w:pPr>
          </w:p>
        </w:tc>
        <w:tc>
          <w:tcPr>
            <w:tcW w:w="2051"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1680"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285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5</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auto"/>
                <w:sz w:val="24"/>
              </w:rPr>
            </w:pPr>
          </w:p>
        </w:tc>
        <w:tc>
          <w:tcPr>
            <w:tcW w:w="2051"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1680"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285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6</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auto"/>
                <w:sz w:val="24"/>
              </w:rPr>
            </w:pPr>
          </w:p>
        </w:tc>
        <w:tc>
          <w:tcPr>
            <w:tcW w:w="2051"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1680"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285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7</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auto"/>
                <w:sz w:val="24"/>
              </w:rPr>
            </w:pPr>
          </w:p>
        </w:tc>
        <w:tc>
          <w:tcPr>
            <w:tcW w:w="2051"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1680"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285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8</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auto"/>
                <w:sz w:val="24"/>
              </w:rPr>
            </w:pPr>
          </w:p>
        </w:tc>
        <w:tc>
          <w:tcPr>
            <w:tcW w:w="2051"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1680"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285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9</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auto"/>
                <w:sz w:val="24"/>
              </w:rPr>
            </w:pPr>
          </w:p>
        </w:tc>
        <w:tc>
          <w:tcPr>
            <w:tcW w:w="2051"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1680"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285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10</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auto"/>
                <w:sz w:val="24"/>
              </w:rPr>
            </w:pPr>
          </w:p>
        </w:tc>
        <w:tc>
          <w:tcPr>
            <w:tcW w:w="2051"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1680"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285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11</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auto"/>
                <w:sz w:val="24"/>
              </w:rPr>
            </w:pPr>
          </w:p>
        </w:tc>
        <w:tc>
          <w:tcPr>
            <w:tcW w:w="2051"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1680"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285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12</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auto"/>
                <w:sz w:val="24"/>
              </w:rPr>
            </w:pPr>
          </w:p>
        </w:tc>
        <w:tc>
          <w:tcPr>
            <w:tcW w:w="2051"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168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ascii="宋体" w:hAnsi="宋体"/>
                <w:color w:val="auto"/>
                <w:sz w:val="24"/>
                <w:highlight w:val="lightGray"/>
              </w:rPr>
            </w:pPr>
          </w:p>
        </w:tc>
        <w:tc>
          <w:tcPr>
            <w:tcW w:w="2855"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ascii="宋体" w:hAnsi="宋体"/>
                <w:color w:val="auto"/>
                <w:sz w:val="24"/>
                <w:highlight w:val="lightGray"/>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13</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auto"/>
                <w:sz w:val="24"/>
              </w:rPr>
            </w:pPr>
          </w:p>
        </w:tc>
        <w:tc>
          <w:tcPr>
            <w:tcW w:w="2051"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168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ascii="宋体" w:hAnsi="宋体"/>
                <w:color w:val="auto"/>
                <w:sz w:val="24"/>
                <w:highlight w:val="lightGray"/>
              </w:rPr>
            </w:pPr>
          </w:p>
        </w:tc>
        <w:tc>
          <w:tcPr>
            <w:tcW w:w="2855"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ascii="宋体" w:hAnsi="宋体"/>
                <w:color w:val="auto"/>
                <w:sz w:val="24"/>
                <w:highlight w:val="lightGray"/>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14</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auto"/>
                <w:sz w:val="24"/>
              </w:rPr>
            </w:pPr>
          </w:p>
        </w:tc>
        <w:tc>
          <w:tcPr>
            <w:tcW w:w="2051"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168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ascii="宋体" w:hAnsi="宋体"/>
                <w:color w:val="auto"/>
                <w:sz w:val="24"/>
              </w:rPr>
            </w:pPr>
          </w:p>
        </w:tc>
        <w:tc>
          <w:tcPr>
            <w:tcW w:w="2855"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15</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auto"/>
                <w:sz w:val="24"/>
              </w:rPr>
            </w:pPr>
          </w:p>
        </w:tc>
        <w:tc>
          <w:tcPr>
            <w:tcW w:w="2051"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168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ascii="宋体" w:hAnsi="宋体"/>
                <w:color w:val="auto"/>
                <w:sz w:val="24"/>
              </w:rPr>
            </w:pPr>
          </w:p>
        </w:tc>
        <w:tc>
          <w:tcPr>
            <w:tcW w:w="2855"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价格条件</w:t>
            </w:r>
          </w:p>
        </w:tc>
        <w:tc>
          <w:tcPr>
            <w:tcW w:w="8430" w:type="dxa"/>
            <w:gridSpan w:val="4"/>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r>
              <w:rPr>
                <w:rFonts w:hint="eastAsia" w:ascii="宋体" w:hAnsi="宋体"/>
                <w:color w:val="auto"/>
                <w:szCs w:val="21"/>
              </w:rPr>
              <w:t>扬州（指定地点）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p>
        </w:tc>
        <w:tc>
          <w:tcPr>
            <w:tcW w:w="8430" w:type="dxa"/>
            <w:gridSpan w:val="4"/>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交 货 期</w:t>
            </w:r>
          </w:p>
        </w:tc>
        <w:tc>
          <w:tcPr>
            <w:tcW w:w="8430" w:type="dxa"/>
            <w:gridSpan w:val="4"/>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p>
        </w:tc>
        <w:tc>
          <w:tcPr>
            <w:tcW w:w="8430" w:type="dxa"/>
            <w:gridSpan w:val="4"/>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r>
    </w:tbl>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宋体" w:hAnsi="宋体"/>
          <w:color w:val="auto"/>
          <w:sz w:val="24"/>
        </w:rPr>
      </w:pPr>
      <w:r>
        <w:rPr>
          <w:rFonts w:hint="eastAsia" w:ascii="宋体" w:hAnsi="宋体"/>
          <w:color w:val="auto"/>
          <w:sz w:val="24"/>
        </w:rPr>
        <w:t>投标人全称：（盖章或签字）</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宋体" w:hAnsi="宋体"/>
          <w:color w:val="auto"/>
          <w:sz w:val="24"/>
        </w:rPr>
      </w:pPr>
      <w:r>
        <w:rPr>
          <w:rFonts w:hint="eastAsia" w:ascii="宋体" w:hAnsi="宋体"/>
          <w:color w:val="auto"/>
          <w:sz w:val="24"/>
        </w:rPr>
        <w:t>授权代表签字：</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宋体" w:hAnsi="宋体"/>
          <w:color w:val="auto"/>
          <w:sz w:val="24"/>
        </w:rPr>
      </w:pPr>
      <w:r>
        <w:rPr>
          <w:rFonts w:hint="eastAsia" w:ascii="宋体" w:hAnsi="宋体"/>
          <w:color w:val="auto"/>
          <w:sz w:val="24"/>
        </w:rPr>
        <w:t>日  期：</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宋体" w:hAnsi="宋体" w:eastAsia="宋体"/>
          <w:color w:val="auto"/>
          <w:sz w:val="24"/>
          <w:lang w:val="en-US" w:eastAsia="zh-CN"/>
        </w:rPr>
      </w:pPr>
      <w:r>
        <w:rPr>
          <w:rFonts w:hint="eastAsia" w:ascii="宋体" w:hAnsi="宋体"/>
          <w:color w:val="auto"/>
          <w:sz w:val="24"/>
        </w:rPr>
        <w:t>说明：1、</w:t>
      </w:r>
      <w:r>
        <w:rPr>
          <w:rFonts w:hint="eastAsia" w:ascii="宋体" w:hAnsi="宋体"/>
          <w:color w:val="auto"/>
          <w:sz w:val="24"/>
          <w:lang w:eastAsia="zh-CN"/>
        </w:rPr>
        <w:t>各投标单位须根据招标货物清单进行报单价和总价，且须对清单中未尽但项目必须的货物自动补齐，如有因缺漏项造成工程项目费用增加，由中标方承担；</w:t>
      </w:r>
      <w:r>
        <w:rPr>
          <w:rFonts w:hint="eastAsia" w:ascii="宋体" w:hAnsi="宋体"/>
          <w:color w:val="auto"/>
          <w:sz w:val="24"/>
        </w:rPr>
        <w:t>不得填报选择性报价方案；</w:t>
      </w:r>
      <w:r>
        <w:rPr>
          <w:rFonts w:hint="eastAsia" w:ascii="宋体" w:hAnsi="宋体"/>
          <w:color w:val="auto"/>
          <w:sz w:val="24"/>
          <w:lang w:eastAsia="zh-CN"/>
        </w:rPr>
        <w:t>此价格含</w:t>
      </w:r>
      <w:r>
        <w:rPr>
          <w:rFonts w:hint="eastAsia" w:ascii="宋体" w:hAnsi="宋体"/>
          <w:color w:val="auto"/>
          <w:sz w:val="24"/>
          <w:lang w:val="en-US" w:eastAsia="zh-CN"/>
        </w:rPr>
        <w:t>13%增值税。</w:t>
      </w:r>
    </w:p>
    <w:p>
      <w:pPr>
        <w:keepNext w:val="0"/>
        <w:keepLines w:val="0"/>
        <w:pageBreakBefore w:val="0"/>
        <w:widowControl w:val="0"/>
        <w:kinsoku/>
        <w:wordWrap/>
        <w:overflowPunct/>
        <w:topLinePunct w:val="0"/>
        <w:autoSpaceDE/>
        <w:autoSpaceDN/>
        <w:bidi w:val="0"/>
        <w:adjustRightInd/>
        <w:snapToGrid/>
        <w:spacing w:line="480" w:lineRule="exact"/>
        <w:ind w:firstLine="720" w:firstLineChars="300"/>
        <w:textAlignment w:val="auto"/>
        <w:rPr>
          <w:rFonts w:ascii="宋体" w:hAnsi="宋体"/>
          <w:color w:val="auto"/>
          <w:sz w:val="24"/>
        </w:rPr>
      </w:pPr>
      <w:r>
        <w:rPr>
          <w:rFonts w:hint="eastAsia" w:ascii="宋体" w:hAnsi="宋体"/>
          <w:color w:val="auto"/>
          <w:sz w:val="24"/>
        </w:rPr>
        <w:t>2、此表一式两份，按招标文件要求封装，装入正本袋中。</w:t>
      </w:r>
    </w:p>
    <w:p>
      <w:pPr>
        <w:keepNext w:val="0"/>
        <w:keepLines w:val="0"/>
        <w:pageBreakBefore w:val="0"/>
        <w:widowControl w:val="0"/>
        <w:kinsoku/>
        <w:wordWrap/>
        <w:overflowPunct/>
        <w:topLinePunct w:val="0"/>
        <w:autoSpaceDE/>
        <w:autoSpaceDN/>
        <w:bidi w:val="0"/>
        <w:adjustRightInd/>
        <w:snapToGrid/>
        <w:spacing w:line="480" w:lineRule="exact"/>
        <w:ind w:firstLine="720" w:firstLineChars="300"/>
        <w:textAlignment w:val="auto"/>
        <w:rPr>
          <w:rFonts w:ascii="宋体" w:hAnsi="宋体"/>
          <w:color w:val="auto"/>
          <w:sz w:val="24"/>
        </w:rPr>
      </w:pPr>
      <w:r>
        <w:rPr>
          <w:rFonts w:hint="eastAsia" w:ascii="宋体" w:hAnsi="宋体"/>
          <w:color w:val="auto"/>
          <w:sz w:val="24"/>
        </w:rPr>
        <w:t>3、如因投标人填写有误，导致无法唱标，责任由投标人自负。</w:t>
      </w:r>
    </w:p>
    <w:p>
      <w:pPr>
        <w:spacing w:line="560" w:lineRule="exact"/>
        <w:rPr>
          <w:rFonts w:ascii="楷体_GB2312" w:eastAsia="楷体_GB2312"/>
          <w:color w:val="auto"/>
          <w:sz w:val="24"/>
        </w:rPr>
      </w:pPr>
      <w:r>
        <w:rPr>
          <w:rFonts w:hint="eastAsia" w:ascii="楷体_GB2312" w:eastAsia="楷体_GB2312"/>
          <w:b/>
          <w:color w:val="auto"/>
          <w:sz w:val="28"/>
          <w:szCs w:val="28"/>
        </w:rPr>
        <w:br w:type="page"/>
      </w:r>
    </w:p>
    <w:p>
      <w:pPr>
        <w:spacing w:line="560" w:lineRule="exact"/>
        <w:jc w:val="center"/>
        <w:rPr>
          <w:rFonts w:ascii="楷体_GB2312" w:eastAsia="楷体_GB2312"/>
          <w:b/>
          <w:color w:val="auto"/>
          <w:sz w:val="44"/>
        </w:rPr>
      </w:pPr>
      <w:r>
        <w:rPr>
          <w:rFonts w:hint="eastAsia" w:ascii="楷体_GB2312" w:eastAsia="楷体_GB2312"/>
          <w:b/>
          <w:color w:val="auto"/>
          <w:sz w:val="44"/>
        </w:rPr>
        <w:t>二、投标人资格证明文件</w:t>
      </w:r>
    </w:p>
    <w:p>
      <w:pPr>
        <w:spacing w:line="560" w:lineRule="exact"/>
        <w:jc w:val="center"/>
        <w:rPr>
          <w:rFonts w:ascii="楷体_GB2312" w:eastAsia="楷体_GB2312"/>
          <w:color w:val="auto"/>
          <w:sz w:val="24"/>
        </w:rPr>
      </w:pPr>
      <w:r>
        <w:rPr>
          <w:rFonts w:hint="eastAsia" w:ascii="黑体" w:eastAsia="黑体"/>
          <w:color w:val="auto"/>
          <w:sz w:val="36"/>
        </w:rPr>
        <w:t>1.投标人概况</w:t>
      </w:r>
    </w:p>
    <w:p>
      <w:pPr>
        <w:spacing w:line="560" w:lineRule="exact"/>
        <w:rPr>
          <w:rFonts w:ascii="宋体" w:hAnsi="宋体"/>
          <w:color w:val="auto"/>
        </w:rPr>
      </w:pPr>
      <w:r>
        <w:rPr>
          <w:rFonts w:hint="eastAsia" w:ascii="宋体" w:hAnsi="宋体"/>
          <w:color w:val="auto"/>
        </w:rPr>
        <w:t>（注：投标人简要历史、生产的主要产品或经营业务范围；组织机构、所属集（财）团等）</w:t>
      </w:r>
    </w:p>
    <w:p>
      <w:pPr>
        <w:spacing w:line="560" w:lineRule="exact"/>
        <w:rPr>
          <w:rFonts w:ascii="楷体_GB2312" w:eastAsia="楷体_GB2312"/>
          <w:color w:val="auto"/>
          <w:sz w:val="24"/>
        </w:rPr>
      </w:pPr>
    </w:p>
    <w:p>
      <w:pPr>
        <w:spacing w:line="560" w:lineRule="exact"/>
        <w:jc w:val="center"/>
        <w:rPr>
          <w:rFonts w:ascii="黑体" w:eastAsia="黑体"/>
          <w:color w:val="auto"/>
          <w:sz w:val="36"/>
        </w:rPr>
      </w:pPr>
      <w:r>
        <w:rPr>
          <w:rFonts w:hint="eastAsia" w:ascii="黑体" w:eastAsia="黑体"/>
          <w:color w:val="auto"/>
          <w:sz w:val="36"/>
        </w:rPr>
        <w:t>2.投标人技术能力</w:t>
      </w:r>
    </w:p>
    <w:p>
      <w:pPr>
        <w:spacing w:line="560" w:lineRule="exact"/>
        <w:jc w:val="center"/>
        <w:rPr>
          <w:rFonts w:ascii="宋体" w:hAnsi="宋体"/>
          <w:color w:val="auto"/>
        </w:rPr>
      </w:pPr>
      <w:r>
        <w:rPr>
          <w:rFonts w:hint="eastAsia" w:ascii="宋体" w:hAnsi="宋体"/>
          <w:color w:val="auto"/>
        </w:rPr>
        <w:t>（注：简要介绍投标人的生产水平、技术力量、装备水平及生产能力等）</w:t>
      </w:r>
    </w:p>
    <w:p>
      <w:pPr>
        <w:spacing w:line="560" w:lineRule="exact"/>
        <w:rPr>
          <w:rFonts w:ascii="楷体_GB2312" w:eastAsia="楷体_GB2312"/>
          <w:color w:val="auto"/>
          <w:sz w:val="24"/>
        </w:rPr>
      </w:pPr>
    </w:p>
    <w:p>
      <w:pPr>
        <w:spacing w:line="560" w:lineRule="exact"/>
        <w:rPr>
          <w:rFonts w:ascii="楷体_GB2312" w:eastAsia="楷体_GB2312"/>
          <w:color w:val="auto"/>
          <w:sz w:val="24"/>
        </w:rPr>
      </w:pPr>
    </w:p>
    <w:p>
      <w:pPr>
        <w:spacing w:line="560" w:lineRule="exact"/>
        <w:jc w:val="center"/>
        <w:rPr>
          <w:rFonts w:ascii="黑体" w:eastAsia="黑体"/>
          <w:color w:val="auto"/>
          <w:sz w:val="36"/>
        </w:rPr>
      </w:pPr>
      <w:r>
        <w:rPr>
          <w:rFonts w:hint="eastAsia" w:ascii="黑体" w:eastAsia="黑体"/>
          <w:color w:val="auto"/>
          <w:sz w:val="36"/>
        </w:rPr>
        <w:t>3.投标人财务状况</w:t>
      </w:r>
    </w:p>
    <w:p>
      <w:pPr>
        <w:spacing w:line="400" w:lineRule="exact"/>
        <w:rPr>
          <w:rFonts w:ascii="宋体" w:hAnsi="宋体"/>
          <w:color w:val="auto"/>
        </w:rPr>
      </w:pPr>
      <w:r>
        <w:rPr>
          <w:rFonts w:hint="eastAsia" w:ascii="宋体" w:hAnsi="宋体"/>
          <w:color w:val="auto"/>
        </w:rPr>
        <w:t>（注：请提供开户行名称及由其开具的资信证明；固定资产原值、净值、流动资金、最近三年年产值、销售额或贸易额和利润额）</w:t>
      </w:r>
    </w:p>
    <w:p>
      <w:pPr>
        <w:spacing w:line="400" w:lineRule="exact"/>
        <w:rPr>
          <w:rFonts w:ascii="宋体" w:hAnsi="宋体"/>
          <w:color w:val="auto"/>
        </w:rPr>
      </w:pPr>
    </w:p>
    <w:p>
      <w:pPr>
        <w:spacing w:line="400" w:lineRule="exact"/>
        <w:rPr>
          <w:rFonts w:ascii="宋体" w:hAnsi="宋体"/>
          <w:color w:val="auto"/>
        </w:rPr>
      </w:pPr>
    </w:p>
    <w:p>
      <w:pPr>
        <w:spacing w:line="560" w:lineRule="exact"/>
        <w:jc w:val="center"/>
        <w:rPr>
          <w:rFonts w:ascii="黑体" w:eastAsia="黑体"/>
          <w:color w:val="auto"/>
          <w:sz w:val="36"/>
        </w:rPr>
      </w:pPr>
      <w:r>
        <w:rPr>
          <w:rFonts w:hint="eastAsia" w:ascii="黑体" w:eastAsia="黑体"/>
          <w:color w:val="auto"/>
          <w:sz w:val="36"/>
        </w:rPr>
        <w:t>4.营业执照副本</w:t>
      </w:r>
    </w:p>
    <w:p>
      <w:pPr>
        <w:spacing w:line="560" w:lineRule="exact"/>
        <w:rPr>
          <w:rFonts w:ascii="楷体_GB2312" w:eastAsia="楷体_GB2312"/>
          <w:color w:val="auto"/>
          <w:sz w:val="24"/>
        </w:rPr>
      </w:pPr>
    </w:p>
    <w:p>
      <w:pPr>
        <w:spacing w:line="560" w:lineRule="exact"/>
        <w:jc w:val="center"/>
        <w:rPr>
          <w:rFonts w:ascii="黑体" w:eastAsia="黑体"/>
          <w:color w:val="auto"/>
          <w:sz w:val="36"/>
        </w:rPr>
      </w:pPr>
    </w:p>
    <w:p>
      <w:pPr>
        <w:spacing w:line="560" w:lineRule="exact"/>
        <w:jc w:val="center"/>
        <w:rPr>
          <w:rFonts w:ascii="黑体" w:eastAsia="黑体"/>
          <w:color w:val="auto"/>
          <w:sz w:val="36"/>
        </w:rPr>
      </w:pPr>
    </w:p>
    <w:p>
      <w:pPr>
        <w:spacing w:line="560" w:lineRule="exact"/>
        <w:jc w:val="center"/>
        <w:rPr>
          <w:rFonts w:ascii="黑体" w:eastAsia="黑体"/>
          <w:color w:val="auto"/>
          <w:sz w:val="36"/>
        </w:rPr>
      </w:pPr>
    </w:p>
    <w:p>
      <w:pPr>
        <w:spacing w:line="560" w:lineRule="exact"/>
        <w:jc w:val="center"/>
        <w:rPr>
          <w:rFonts w:ascii="黑体" w:eastAsia="黑体"/>
          <w:color w:val="auto"/>
          <w:sz w:val="36"/>
        </w:rPr>
      </w:pPr>
    </w:p>
    <w:p>
      <w:pPr>
        <w:spacing w:line="560" w:lineRule="exact"/>
        <w:jc w:val="center"/>
        <w:rPr>
          <w:rFonts w:ascii="黑体" w:eastAsia="黑体"/>
          <w:color w:val="auto"/>
          <w:sz w:val="36"/>
        </w:rPr>
      </w:pPr>
    </w:p>
    <w:p>
      <w:pPr>
        <w:spacing w:line="560" w:lineRule="exact"/>
        <w:jc w:val="center"/>
        <w:rPr>
          <w:rFonts w:ascii="黑体" w:eastAsia="黑体"/>
          <w:color w:val="auto"/>
          <w:sz w:val="36"/>
        </w:rPr>
      </w:pPr>
    </w:p>
    <w:p>
      <w:pPr>
        <w:spacing w:line="560" w:lineRule="exact"/>
        <w:jc w:val="center"/>
        <w:rPr>
          <w:rFonts w:ascii="黑体" w:eastAsia="黑体"/>
          <w:color w:val="auto"/>
          <w:sz w:val="36"/>
        </w:rPr>
      </w:pPr>
    </w:p>
    <w:p>
      <w:pPr>
        <w:spacing w:line="560" w:lineRule="exact"/>
        <w:jc w:val="center"/>
        <w:rPr>
          <w:rFonts w:ascii="黑体" w:eastAsia="黑体"/>
          <w:color w:val="auto"/>
          <w:sz w:val="36"/>
        </w:rPr>
      </w:pPr>
    </w:p>
    <w:p>
      <w:pPr>
        <w:spacing w:line="560" w:lineRule="exact"/>
        <w:jc w:val="center"/>
        <w:rPr>
          <w:rFonts w:ascii="黑体" w:eastAsia="黑体"/>
          <w:color w:val="auto"/>
          <w:sz w:val="36"/>
        </w:rPr>
      </w:pPr>
    </w:p>
    <w:p>
      <w:pPr>
        <w:spacing w:line="560" w:lineRule="exact"/>
        <w:jc w:val="center"/>
        <w:rPr>
          <w:rFonts w:ascii="黑体" w:eastAsia="黑体"/>
          <w:color w:val="auto"/>
          <w:sz w:val="36"/>
        </w:rPr>
      </w:pPr>
    </w:p>
    <w:p>
      <w:pPr>
        <w:spacing w:line="560" w:lineRule="exact"/>
        <w:jc w:val="center"/>
        <w:rPr>
          <w:rFonts w:ascii="黑体" w:eastAsia="黑体"/>
          <w:color w:val="auto"/>
          <w:sz w:val="36"/>
        </w:rPr>
      </w:pPr>
    </w:p>
    <w:p>
      <w:pPr>
        <w:spacing w:line="560" w:lineRule="exact"/>
        <w:jc w:val="center"/>
        <w:rPr>
          <w:rFonts w:ascii="黑体" w:eastAsia="黑体"/>
          <w:color w:val="auto"/>
          <w:sz w:val="36"/>
        </w:rPr>
      </w:pPr>
      <w:r>
        <w:rPr>
          <w:rFonts w:hint="eastAsia" w:ascii="黑体" w:eastAsia="黑体"/>
          <w:color w:val="auto"/>
          <w:sz w:val="36"/>
        </w:rPr>
        <w:t>5.授权委托书(如有)</w:t>
      </w:r>
    </w:p>
    <w:p>
      <w:pPr>
        <w:spacing w:line="560" w:lineRule="exact"/>
        <w:rPr>
          <w:rFonts w:ascii="楷体_GB2312" w:eastAsia="楷体_GB2312"/>
          <w:color w:val="auto"/>
          <w:sz w:val="24"/>
        </w:rPr>
      </w:pPr>
    </w:p>
    <w:p>
      <w:pPr>
        <w:spacing w:after="240" w:line="360" w:lineRule="auto"/>
        <w:jc w:val="center"/>
        <w:rPr>
          <w:rFonts w:ascii="宋体" w:hAnsi="宋体"/>
          <w:b/>
          <w:color w:val="auto"/>
          <w:sz w:val="32"/>
        </w:rPr>
      </w:pPr>
      <w:r>
        <w:rPr>
          <w:rFonts w:hint="eastAsia" w:ascii="宋体" w:hAnsi="宋体"/>
          <w:b/>
          <w:color w:val="auto"/>
          <w:sz w:val="32"/>
        </w:rPr>
        <w:t>授 权 委 托 书</w:t>
      </w:r>
    </w:p>
    <w:p>
      <w:pPr>
        <w:topLinePunct/>
        <w:spacing w:line="360" w:lineRule="auto"/>
        <w:ind w:firstLine="480" w:firstLineChars="200"/>
        <w:rPr>
          <w:color w:val="auto"/>
          <w:sz w:val="24"/>
          <w:u w:val="single"/>
        </w:rPr>
      </w:pPr>
      <w:r>
        <w:rPr>
          <w:rFonts w:hint="eastAsia"/>
          <w:color w:val="auto"/>
          <w:sz w:val="24"/>
        </w:rPr>
        <w:t>本人</w:t>
      </w:r>
      <w:r>
        <w:rPr>
          <w:color w:val="auto"/>
          <w:sz w:val="24"/>
          <w:u w:val="single"/>
        </w:rPr>
        <w:t xml:space="preserve">       </w:t>
      </w:r>
      <w:r>
        <w:rPr>
          <w:rFonts w:hint="eastAsia"/>
          <w:color w:val="auto"/>
          <w:sz w:val="24"/>
        </w:rPr>
        <w:t>（姓名）系</w:t>
      </w:r>
      <w:r>
        <w:rPr>
          <w:color w:val="auto"/>
          <w:sz w:val="24"/>
          <w:u w:val="single"/>
        </w:rPr>
        <w:t xml:space="preserve">        </w:t>
      </w:r>
      <w:r>
        <w:rPr>
          <w:rFonts w:hint="eastAsia"/>
          <w:color w:val="auto"/>
          <w:sz w:val="24"/>
        </w:rPr>
        <w:t>（投标人名称）的法定代表人，现委托</w:t>
      </w:r>
      <w:r>
        <w:rPr>
          <w:color w:val="auto"/>
          <w:sz w:val="24"/>
          <w:u w:val="single"/>
        </w:rPr>
        <w:t xml:space="preserve">         </w:t>
      </w:r>
    </w:p>
    <w:p>
      <w:pPr>
        <w:topLinePunct/>
        <w:spacing w:line="360" w:lineRule="auto"/>
        <w:rPr>
          <w:color w:val="auto"/>
          <w:sz w:val="24"/>
        </w:rPr>
      </w:pPr>
      <w:r>
        <w:rPr>
          <w:rFonts w:hint="eastAsia"/>
          <w:color w:val="auto"/>
          <w:sz w:val="24"/>
        </w:rPr>
        <w:t>（姓名）为我方代理人。代理人根据授权，以我方名义签署、澄清、说明、补正、递交、撤回、修改</w:t>
      </w:r>
      <w:r>
        <w:rPr>
          <w:color w:val="auto"/>
          <w:sz w:val="24"/>
          <w:u w:val="single"/>
        </w:rPr>
        <w:t xml:space="preserve">           </w:t>
      </w:r>
      <w:r>
        <w:rPr>
          <w:rFonts w:hint="eastAsia" w:ascii="宋体" w:hAnsi="宋体"/>
          <w:color w:val="auto"/>
          <w:sz w:val="24"/>
        </w:rPr>
        <w:t>项目（项目名称）</w:t>
      </w:r>
      <w:r>
        <w:rPr>
          <w:rFonts w:hint="eastAsia"/>
          <w:color w:val="auto"/>
          <w:sz w:val="24"/>
        </w:rPr>
        <w:t>投标文件、签订合同和处理有关事宜，其法律后果由我方承担。</w:t>
      </w:r>
    </w:p>
    <w:p>
      <w:pPr>
        <w:spacing w:line="360" w:lineRule="auto"/>
        <w:rPr>
          <w:color w:val="auto"/>
          <w:sz w:val="24"/>
        </w:rPr>
      </w:pPr>
      <w:r>
        <w:rPr>
          <w:color w:val="auto"/>
          <w:sz w:val="24"/>
        </w:rPr>
        <w:t xml:space="preserve">    </w:t>
      </w:r>
      <w:r>
        <w:rPr>
          <w:rFonts w:hint="eastAsia"/>
          <w:color w:val="auto"/>
          <w:sz w:val="24"/>
        </w:rPr>
        <w:t>代理人无转委托权。</w:t>
      </w:r>
    </w:p>
    <w:p>
      <w:pPr>
        <w:spacing w:line="360" w:lineRule="auto"/>
        <w:rPr>
          <w:color w:val="auto"/>
          <w:sz w:val="24"/>
        </w:rPr>
      </w:pPr>
    </w:p>
    <w:p>
      <w:pPr>
        <w:spacing w:line="440" w:lineRule="exact"/>
        <w:rPr>
          <w:color w:val="auto"/>
          <w:sz w:val="24"/>
        </w:rPr>
      </w:pPr>
      <w:r>
        <w:rPr>
          <w:rFonts w:hint="eastAsia"/>
          <w:color w:val="auto"/>
          <w:sz w:val="24"/>
        </w:rPr>
        <w:t>投标人：</w:t>
      </w:r>
      <w:r>
        <w:rPr>
          <w:color w:val="auto"/>
          <w:sz w:val="24"/>
          <w:u w:val="single"/>
        </w:rPr>
        <w:t xml:space="preserve">                               </w:t>
      </w:r>
      <w:r>
        <w:rPr>
          <w:rFonts w:hint="eastAsia"/>
          <w:color w:val="auto"/>
          <w:sz w:val="24"/>
        </w:rPr>
        <w:t>（盖单位章）</w:t>
      </w:r>
    </w:p>
    <w:p>
      <w:pPr>
        <w:spacing w:line="440" w:lineRule="exact"/>
        <w:rPr>
          <w:color w:val="auto"/>
          <w:sz w:val="24"/>
        </w:rPr>
      </w:pPr>
    </w:p>
    <w:p>
      <w:pPr>
        <w:spacing w:line="440" w:lineRule="exact"/>
        <w:rPr>
          <w:color w:val="auto"/>
          <w:sz w:val="24"/>
        </w:rPr>
      </w:pPr>
      <w:r>
        <w:rPr>
          <w:rFonts w:hint="eastAsia"/>
          <w:color w:val="auto"/>
          <w:sz w:val="24"/>
        </w:rPr>
        <w:t>法定代表人：</w:t>
      </w:r>
      <w:r>
        <w:rPr>
          <w:color w:val="auto"/>
          <w:sz w:val="24"/>
          <w:u w:val="single"/>
        </w:rPr>
        <w:t xml:space="preserve">                               </w:t>
      </w:r>
      <w:r>
        <w:rPr>
          <w:rFonts w:hint="eastAsia"/>
          <w:color w:val="auto"/>
          <w:sz w:val="24"/>
        </w:rPr>
        <w:t>（签字）</w:t>
      </w:r>
    </w:p>
    <w:p>
      <w:pPr>
        <w:spacing w:line="440" w:lineRule="exact"/>
        <w:rPr>
          <w:color w:val="auto"/>
          <w:sz w:val="24"/>
        </w:rPr>
      </w:pPr>
    </w:p>
    <w:p>
      <w:pPr>
        <w:spacing w:line="440" w:lineRule="exact"/>
        <w:rPr>
          <w:color w:val="auto"/>
          <w:sz w:val="24"/>
        </w:rPr>
      </w:pPr>
      <w:r>
        <w:rPr>
          <w:rFonts w:hint="eastAsia"/>
          <w:color w:val="auto"/>
          <w:sz w:val="24"/>
        </w:rPr>
        <w:t>身份证号码：</w:t>
      </w:r>
      <w:r>
        <w:rPr>
          <w:color w:val="auto"/>
          <w:sz w:val="24"/>
          <w:u w:val="single"/>
        </w:rPr>
        <w:t xml:space="preserve">                                     </w:t>
      </w:r>
    </w:p>
    <w:p>
      <w:pPr>
        <w:spacing w:line="440" w:lineRule="exact"/>
        <w:rPr>
          <w:color w:val="auto"/>
          <w:sz w:val="24"/>
        </w:rPr>
      </w:pPr>
    </w:p>
    <w:p>
      <w:pPr>
        <w:spacing w:line="440" w:lineRule="exact"/>
        <w:rPr>
          <w:color w:val="auto"/>
          <w:sz w:val="24"/>
        </w:rPr>
      </w:pPr>
      <w:r>
        <w:rPr>
          <w:rFonts w:hint="eastAsia"/>
          <w:color w:val="auto"/>
          <w:sz w:val="24"/>
        </w:rPr>
        <w:t>委托代理人：</w:t>
      </w:r>
      <w:r>
        <w:rPr>
          <w:color w:val="auto"/>
          <w:sz w:val="24"/>
          <w:u w:val="single"/>
        </w:rPr>
        <w:t xml:space="preserve">                                   </w:t>
      </w:r>
      <w:r>
        <w:rPr>
          <w:rFonts w:hint="eastAsia"/>
          <w:color w:val="auto"/>
          <w:sz w:val="24"/>
        </w:rPr>
        <w:t>（签字）</w:t>
      </w:r>
      <w:r>
        <w:rPr>
          <w:color w:val="auto"/>
          <w:sz w:val="24"/>
        </w:rPr>
        <w:t xml:space="preserve"> </w:t>
      </w:r>
    </w:p>
    <w:p>
      <w:pPr>
        <w:spacing w:line="440" w:lineRule="exact"/>
        <w:rPr>
          <w:color w:val="auto"/>
          <w:sz w:val="24"/>
        </w:rPr>
      </w:pPr>
    </w:p>
    <w:p>
      <w:pPr>
        <w:spacing w:line="440" w:lineRule="exact"/>
        <w:rPr>
          <w:color w:val="auto"/>
          <w:sz w:val="24"/>
        </w:rPr>
      </w:pPr>
      <w:r>
        <w:rPr>
          <w:rFonts w:hint="eastAsia"/>
          <w:color w:val="auto"/>
          <w:sz w:val="24"/>
        </w:rPr>
        <w:t>身份证号码：</w:t>
      </w:r>
      <w:r>
        <w:rPr>
          <w:color w:val="auto"/>
          <w:sz w:val="24"/>
          <w:u w:val="single"/>
        </w:rPr>
        <w:t xml:space="preserve">                            </w:t>
      </w:r>
      <w:r>
        <w:rPr>
          <w:rFonts w:hint="eastAsia"/>
          <w:color w:val="auto"/>
          <w:sz w:val="24"/>
        </w:rPr>
        <w:t>附身份证复印件</w:t>
      </w:r>
    </w:p>
    <w:p>
      <w:pPr>
        <w:spacing w:line="440" w:lineRule="exact"/>
        <w:rPr>
          <w:color w:val="auto"/>
          <w:sz w:val="24"/>
        </w:rPr>
      </w:pPr>
    </w:p>
    <w:p>
      <w:pPr>
        <w:spacing w:line="440" w:lineRule="exact"/>
        <w:rPr>
          <w:color w:val="auto"/>
          <w:sz w:val="24"/>
        </w:rPr>
      </w:pPr>
    </w:p>
    <w:p>
      <w:pPr>
        <w:spacing w:line="560" w:lineRule="exact"/>
        <w:rPr>
          <w:rFonts w:ascii="楷体_GB2312" w:eastAsia="楷体_GB2312"/>
          <w:color w:val="auto"/>
          <w:sz w:val="24"/>
        </w:rPr>
      </w:pPr>
      <w:r>
        <w:rPr>
          <w:color w:val="auto"/>
          <w:sz w:val="24"/>
          <w:u w:val="single"/>
        </w:rPr>
        <w:t xml:space="preserve">       </w:t>
      </w:r>
      <w:r>
        <w:rPr>
          <w:rFonts w:hint="eastAsia"/>
          <w:color w:val="auto"/>
          <w:sz w:val="24"/>
        </w:rPr>
        <w:t>年</w:t>
      </w:r>
      <w:r>
        <w:rPr>
          <w:color w:val="auto"/>
          <w:sz w:val="24"/>
          <w:u w:val="single"/>
        </w:rPr>
        <w:t xml:space="preserve">       </w:t>
      </w:r>
      <w:r>
        <w:rPr>
          <w:rFonts w:hint="eastAsia"/>
          <w:color w:val="auto"/>
          <w:sz w:val="24"/>
        </w:rPr>
        <w:t>月</w:t>
      </w:r>
      <w:r>
        <w:rPr>
          <w:color w:val="auto"/>
          <w:sz w:val="24"/>
          <w:u w:val="single"/>
        </w:rPr>
        <w:t xml:space="preserve">       </w:t>
      </w:r>
      <w:r>
        <w:rPr>
          <w:rFonts w:hint="eastAsia"/>
          <w:color w:val="auto"/>
          <w:sz w:val="24"/>
        </w:rPr>
        <w:t>日</w:t>
      </w:r>
    </w:p>
    <w:p>
      <w:pPr>
        <w:spacing w:line="560" w:lineRule="exact"/>
        <w:rPr>
          <w:rFonts w:ascii="楷体_GB2312" w:eastAsia="楷体_GB2312"/>
          <w:color w:val="auto"/>
          <w:sz w:val="24"/>
        </w:rPr>
      </w:pPr>
    </w:p>
    <w:p>
      <w:pPr>
        <w:spacing w:line="560" w:lineRule="exact"/>
        <w:rPr>
          <w:rFonts w:ascii="楷体_GB2312" w:eastAsia="楷体_GB2312"/>
          <w:color w:val="auto"/>
          <w:sz w:val="24"/>
        </w:rPr>
      </w:pPr>
    </w:p>
    <w:p>
      <w:pPr>
        <w:spacing w:line="560" w:lineRule="exact"/>
        <w:rPr>
          <w:rFonts w:ascii="楷体_GB2312" w:eastAsia="楷体_GB2312"/>
          <w:color w:val="auto"/>
          <w:sz w:val="24"/>
        </w:rPr>
      </w:pPr>
    </w:p>
    <w:p>
      <w:pPr>
        <w:spacing w:line="560" w:lineRule="exact"/>
        <w:rPr>
          <w:rFonts w:ascii="楷体_GB2312" w:eastAsia="楷体_GB2312"/>
          <w:color w:val="auto"/>
          <w:sz w:val="24"/>
        </w:rPr>
      </w:pPr>
    </w:p>
    <w:p>
      <w:pPr>
        <w:spacing w:line="560" w:lineRule="exact"/>
        <w:rPr>
          <w:rFonts w:ascii="楷体_GB2312" w:eastAsia="楷体_GB2312"/>
          <w:color w:val="auto"/>
          <w:sz w:val="24"/>
        </w:rPr>
      </w:pPr>
    </w:p>
    <w:p>
      <w:pPr>
        <w:spacing w:line="560" w:lineRule="exact"/>
        <w:rPr>
          <w:rFonts w:ascii="楷体_GB2312" w:eastAsia="楷体_GB2312"/>
          <w:color w:val="auto"/>
          <w:sz w:val="24"/>
        </w:rPr>
      </w:pPr>
    </w:p>
    <w:p>
      <w:pPr>
        <w:spacing w:line="560" w:lineRule="exact"/>
        <w:rPr>
          <w:rFonts w:ascii="楷体_GB2312" w:eastAsia="楷体_GB2312"/>
          <w:color w:val="auto"/>
          <w:sz w:val="24"/>
        </w:rPr>
      </w:pPr>
    </w:p>
    <w:p>
      <w:pPr>
        <w:spacing w:line="560" w:lineRule="exact"/>
        <w:jc w:val="center"/>
        <w:rPr>
          <w:rFonts w:ascii="楷体_GB2312" w:eastAsia="楷体_GB2312"/>
          <w:color w:val="auto"/>
          <w:sz w:val="24"/>
        </w:rPr>
      </w:pPr>
    </w:p>
    <w:p>
      <w:pPr>
        <w:spacing w:line="560" w:lineRule="exact"/>
        <w:jc w:val="center"/>
        <w:rPr>
          <w:rFonts w:ascii="楷体_GB2312" w:eastAsia="楷体_GB2312"/>
          <w:color w:val="auto"/>
          <w:sz w:val="24"/>
        </w:rPr>
      </w:pPr>
    </w:p>
    <w:p>
      <w:pPr>
        <w:spacing w:line="560" w:lineRule="exact"/>
        <w:rPr>
          <w:rFonts w:ascii="楷体_GB2312" w:eastAsia="楷体_GB2312"/>
          <w:b/>
          <w:color w:val="auto"/>
          <w:sz w:val="36"/>
        </w:rPr>
      </w:pPr>
      <w:r>
        <w:rPr>
          <w:rFonts w:hint="eastAsia" w:ascii="楷体_GB2312" w:eastAsia="楷体_GB2312"/>
          <w:b/>
          <w:color w:val="auto"/>
          <w:sz w:val="36"/>
        </w:rPr>
        <w:t>三、证明货物的合格性和符合招标文件规定的文件</w:t>
      </w:r>
    </w:p>
    <w:p>
      <w:pPr>
        <w:spacing w:line="560" w:lineRule="exact"/>
        <w:rPr>
          <w:rFonts w:ascii="楷体_GB2312" w:eastAsia="楷体_GB2312"/>
          <w:color w:val="auto"/>
          <w:sz w:val="24"/>
        </w:rPr>
      </w:pPr>
    </w:p>
    <w:p>
      <w:pPr>
        <w:numPr>
          <w:ilvl w:val="0"/>
          <w:numId w:val="36"/>
        </w:numPr>
        <w:spacing w:line="560" w:lineRule="exact"/>
        <w:jc w:val="center"/>
        <w:rPr>
          <w:rFonts w:ascii="黑体" w:eastAsia="黑体"/>
          <w:color w:val="auto"/>
          <w:sz w:val="36"/>
        </w:rPr>
      </w:pPr>
      <w:r>
        <w:rPr>
          <w:rFonts w:hint="eastAsia" w:ascii="黑体" w:eastAsia="黑体"/>
          <w:color w:val="auto"/>
          <w:sz w:val="36"/>
        </w:rPr>
        <w:t>质量保证书</w:t>
      </w:r>
    </w:p>
    <w:p>
      <w:pPr>
        <w:spacing w:line="560" w:lineRule="exact"/>
        <w:rPr>
          <w:rFonts w:ascii="楷体_GB2312" w:eastAsia="楷体_GB2312"/>
          <w:color w:val="auto"/>
          <w:sz w:val="24"/>
        </w:rPr>
      </w:pPr>
    </w:p>
    <w:p>
      <w:pPr>
        <w:numPr>
          <w:ilvl w:val="0"/>
          <w:numId w:val="36"/>
        </w:numPr>
        <w:spacing w:line="560" w:lineRule="exact"/>
        <w:jc w:val="center"/>
        <w:rPr>
          <w:rFonts w:ascii="黑体" w:eastAsia="黑体"/>
          <w:color w:val="auto"/>
          <w:sz w:val="36"/>
        </w:rPr>
      </w:pPr>
      <w:r>
        <w:rPr>
          <w:rFonts w:hint="eastAsia" w:ascii="黑体" w:eastAsia="黑体"/>
          <w:color w:val="auto"/>
          <w:sz w:val="36"/>
        </w:rPr>
        <w:t>有关部门的检测报告</w:t>
      </w:r>
    </w:p>
    <w:p>
      <w:pPr>
        <w:spacing w:line="560" w:lineRule="exact"/>
        <w:jc w:val="center"/>
        <w:rPr>
          <w:rFonts w:ascii="黑体" w:eastAsia="黑体"/>
          <w:color w:val="auto"/>
          <w:sz w:val="36"/>
        </w:rPr>
      </w:pPr>
    </w:p>
    <w:p>
      <w:pPr>
        <w:numPr>
          <w:ilvl w:val="0"/>
          <w:numId w:val="37"/>
        </w:numPr>
        <w:spacing w:line="560" w:lineRule="exact"/>
        <w:ind w:firstLine="3060" w:firstLineChars="850"/>
        <w:rPr>
          <w:rFonts w:ascii="宋体" w:hAnsi="宋体"/>
          <w:b/>
          <w:color w:val="auto"/>
          <w:sz w:val="32"/>
          <w:szCs w:val="32"/>
        </w:rPr>
      </w:pPr>
      <w:r>
        <w:rPr>
          <w:rFonts w:hint="eastAsia" w:ascii="黑体" w:eastAsia="黑体"/>
          <w:color w:val="auto"/>
          <w:sz w:val="36"/>
        </w:rPr>
        <w:t>生产资质证书</w:t>
      </w:r>
    </w:p>
    <w:p>
      <w:pPr>
        <w:spacing w:line="560" w:lineRule="exact"/>
        <w:rPr>
          <w:rFonts w:ascii="宋体" w:hAnsi="宋体"/>
          <w:b/>
          <w:color w:val="auto"/>
          <w:sz w:val="32"/>
          <w:szCs w:val="32"/>
        </w:rPr>
      </w:pPr>
    </w:p>
    <w:p>
      <w:pPr>
        <w:spacing w:line="560" w:lineRule="exact"/>
        <w:rPr>
          <w:rFonts w:ascii="宋体" w:hAnsi="宋体"/>
          <w:b/>
          <w:color w:val="auto"/>
          <w:sz w:val="32"/>
          <w:szCs w:val="32"/>
        </w:rPr>
      </w:pPr>
    </w:p>
    <w:p>
      <w:pPr>
        <w:spacing w:line="560" w:lineRule="exact"/>
        <w:rPr>
          <w:rFonts w:ascii="宋体" w:hAnsi="宋体"/>
          <w:b/>
          <w:color w:val="auto"/>
          <w:sz w:val="32"/>
          <w:szCs w:val="32"/>
        </w:rPr>
      </w:pPr>
    </w:p>
    <w:p>
      <w:pPr>
        <w:spacing w:line="560" w:lineRule="exact"/>
        <w:rPr>
          <w:rFonts w:ascii="宋体" w:hAnsi="宋体"/>
          <w:b/>
          <w:color w:val="auto"/>
          <w:sz w:val="32"/>
          <w:szCs w:val="32"/>
        </w:rPr>
      </w:pPr>
    </w:p>
    <w:p>
      <w:pPr>
        <w:spacing w:line="560" w:lineRule="exact"/>
        <w:rPr>
          <w:rFonts w:ascii="宋体" w:hAnsi="宋体"/>
          <w:b/>
          <w:color w:val="auto"/>
          <w:sz w:val="32"/>
          <w:szCs w:val="32"/>
        </w:rPr>
      </w:pPr>
    </w:p>
    <w:p>
      <w:pPr>
        <w:spacing w:line="560" w:lineRule="exact"/>
        <w:rPr>
          <w:rFonts w:ascii="宋体" w:hAnsi="宋体"/>
          <w:b/>
          <w:color w:val="auto"/>
          <w:sz w:val="32"/>
          <w:szCs w:val="32"/>
        </w:rPr>
      </w:pPr>
    </w:p>
    <w:p>
      <w:pPr>
        <w:spacing w:line="560" w:lineRule="exact"/>
        <w:rPr>
          <w:rFonts w:ascii="宋体" w:hAnsi="宋体"/>
          <w:b/>
          <w:color w:val="auto"/>
          <w:sz w:val="32"/>
          <w:szCs w:val="32"/>
        </w:rPr>
      </w:pPr>
    </w:p>
    <w:p>
      <w:pPr>
        <w:spacing w:line="560" w:lineRule="exact"/>
        <w:rPr>
          <w:rFonts w:ascii="宋体" w:hAnsi="宋体"/>
          <w:b/>
          <w:color w:val="auto"/>
          <w:sz w:val="32"/>
          <w:szCs w:val="32"/>
        </w:rPr>
      </w:pPr>
    </w:p>
    <w:p>
      <w:pPr>
        <w:spacing w:line="560" w:lineRule="exact"/>
        <w:rPr>
          <w:rFonts w:ascii="宋体" w:hAnsi="宋体"/>
          <w:b/>
          <w:color w:val="auto"/>
          <w:sz w:val="32"/>
          <w:szCs w:val="32"/>
        </w:rPr>
      </w:pPr>
    </w:p>
    <w:p>
      <w:pPr>
        <w:spacing w:line="560" w:lineRule="exact"/>
        <w:rPr>
          <w:rFonts w:ascii="宋体" w:hAnsi="宋体"/>
          <w:b/>
          <w:color w:val="auto"/>
          <w:sz w:val="32"/>
          <w:szCs w:val="32"/>
        </w:rPr>
      </w:pPr>
    </w:p>
    <w:p>
      <w:pPr>
        <w:spacing w:line="560" w:lineRule="exact"/>
        <w:rPr>
          <w:rFonts w:ascii="宋体" w:hAnsi="宋体"/>
          <w:b/>
          <w:color w:val="auto"/>
          <w:sz w:val="32"/>
          <w:szCs w:val="32"/>
        </w:rPr>
      </w:pPr>
    </w:p>
    <w:p>
      <w:pPr>
        <w:spacing w:line="560" w:lineRule="exact"/>
        <w:rPr>
          <w:rFonts w:ascii="宋体" w:hAnsi="宋体"/>
          <w:b/>
          <w:color w:val="auto"/>
          <w:sz w:val="32"/>
          <w:szCs w:val="32"/>
        </w:rPr>
      </w:pPr>
    </w:p>
    <w:p>
      <w:pPr>
        <w:spacing w:line="560" w:lineRule="exact"/>
        <w:rPr>
          <w:rFonts w:ascii="宋体" w:hAnsi="宋体"/>
          <w:b/>
          <w:color w:val="auto"/>
          <w:sz w:val="32"/>
          <w:szCs w:val="32"/>
        </w:rPr>
      </w:pPr>
    </w:p>
    <w:p>
      <w:pPr>
        <w:spacing w:line="560" w:lineRule="exact"/>
        <w:rPr>
          <w:rFonts w:ascii="宋体" w:hAnsi="宋体"/>
          <w:b/>
          <w:color w:val="auto"/>
          <w:sz w:val="32"/>
          <w:szCs w:val="32"/>
        </w:rPr>
      </w:pPr>
    </w:p>
    <w:p>
      <w:pPr>
        <w:spacing w:line="560" w:lineRule="exact"/>
        <w:rPr>
          <w:rFonts w:ascii="宋体" w:hAnsi="宋体"/>
          <w:b/>
          <w:color w:val="auto"/>
          <w:sz w:val="32"/>
          <w:szCs w:val="32"/>
        </w:rPr>
      </w:pPr>
    </w:p>
    <w:p>
      <w:pPr>
        <w:spacing w:line="560" w:lineRule="exact"/>
        <w:rPr>
          <w:rFonts w:ascii="宋体" w:hAnsi="宋体"/>
          <w:b/>
          <w:color w:val="auto"/>
          <w:sz w:val="32"/>
          <w:szCs w:val="32"/>
        </w:rPr>
      </w:pPr>
    </w:p>
    <w:p>
      <w:pPr>
        <w:spacing w:line="560" w:lineRule="exact"/>
        <w:rPr>
          <w:rFonts w:ascii="宋体" w:hAnsi="宋体"/>
          <w:b/>
          <w:color w:val="auto"/>
          <w:sz w:val="32"/>
          <w:szCs w:val="32"/>
        </w:rPr>
      </w:pPr>
    </w:p>
    <w:p>
      <w:pPr>
        <w:spacing w:line="560" w:lineRule="exact"/>
        <w:rPr>
          <w:rFonts w:ascii="宋体" w:hAnsi="宋体"/>
          <w:b/>
          <w:color w:val="auto"/>
          <w:sz w:val="32"/>
          <w:szCs w:val="32"/>
        </w:rPr>
      </w:pPr>
    </w:p>
    <w:p>
      <w:pPr>
        <w:numPr>
          <w:ilvl w:val="0"/>
          <w:numId w:val="37"/>
        </w:numPr>
        <w:spacing w:line="560" w:lineRule="exact"/>
        <w:ind w:firstLine="3060" w:firstLineChars="850"/>
        <w:rPr>
          <w:rFonts w:ascii="黑体" w:eastAsia="黑体"/>
          <w:color w:val="auto"/>
          <w:sz w:val="36"/>
        </w:rPr>
      </w:pPr>
      <w:r>
        <w:rPr>
          <w:rFonts w:hint="eastAsia" w:ascii="黑体" w:eastAsia="黑体"/>
          <w:color w:val="auto"/>
          <w:sz w:val="36"/>
        </w:rPr>
        <w:t>制造商授权书</w:t>
      </w:r>
    </w:p>
    <w:p>
      <w:pPr>
        <w:spacing w:line="720" w:lineRule="exact"/>
        <w:jc w:val="center"/>
        <w:rPr>
          <w:rFonts w:ascii="宋体" w:hAnsi="宋体"/>
          <w:b/>
          <w:color w:val="auto"/>
          <w:sz w:val="24"/>
        </w:rPr>
      </w:pPr>
    </w:p>
    <w:p>
      <w:pPr>
        <w:spacing w:line="560" w:lineRule="exact"/>
        <w:rPr>
          <w:rFonts w:ascii="宋体" w:hAnsi="宋体"/>
          <w:color w:val="auto"/>
          <w:sz w:val="24"/>
        </w:rPr>
      </w:pPr>
      <w:r>
        <w:rPr>
          <w:rFonts w:hint="eastAsia" w:ascii="宋体" w:hAnsi="宋体"/>
          <w:color w:val="auto"/>
          <w:sz w:val="24"/>
          <w:u w:val="single"/>
        </w:rPr>
        <w:t>江苏长江水务股份有限公司</w:t>
      </w:r>
      <w:r>
        <w:rPr>
          <w:rFonts w:hint="eastAsia" w:ascii="宋体" w:hAnsi="宋体"/>
          <w:color w:val="auto"/>
          <w:sz w:val="24"/>
        </w:rPr>
        <w:t>：</w:t>
      </w:r>
    </w:p>
    <w:p>
      <w:pPr>
        <w:spacing w:line="560" w:lineRule="exact"/>
        <w:rPr>
          <w:rFonts w:ascii="宋体" w:hAnsi="宋体"/>
          <w:color w:val="auto"/>
          <w:sz w:val="24"/>
        </w:rPr>
      </w:pPr>
    </w:p>
    <w:p>
      <w:pPr>
        <w:rPr>
          <w:rFonts w:ascii="宋体" w:hAnsi="宋体"/>
          <w:color w:val="auto"/>
          <w:sz w:val="24"/>
        </w:rPr>
      </w:pPr>
      <w:r>
        <w:rPr>
          <w:rFonts w:hint="eastAsia" w:ascii="宋体" w:hAnsi="宋体"/>
          <w:color w:val="auto"/>
          <w:sz w:val="24"/>
        </w:rPr>
        <w:t xml:space="preserve">    位于</w:t>
      </w:r>
      <w:r>
        <w:rPr>
          <w:rFonts w:hint="eastAsia" w:ascii="宋体" w:hAnsi="宋体"/>
          <w:color w:val="auto"/>
          <w:sz w:val="24"/>
          <w:u w:val="single"/>
        </w:rPr>
        <w:t>（制造厂家地址）</w:t>
      </w:r>
      <w:r>
        <w:rPr>
          <w:rFonts w:hint="eastAsia" w:ascii="宋体" w:hAnsi="宋体"/>
          <w:color w:val="auto"/>
          <w:sz w:val="24"/>
        </w:rPr>
        <w:t>的</w:t>
      </w:r>
      <w:r>
        <w:rPr>
          <w:rFonts w:hint="eastAsia" w:ascii="宋体" w:hAnsi="宋体"/>
          <w:color w:val="auto"/>
          <w:sz w:val="24"/>
          <w:u w:val="single"/>
        </w:rPr>
        <w:t>（制造厂家名称）</w:t>
      </w:r>
      <w:r>
        <w:rPr>
          <w:rFonts w:hint="eastAsia" w:ascii="宋体" w:hAnsi="宋体"/>
          <w:color w:val="auto"/>
          <w:sz w:val="24"/>
        </w:rPr>
        <w:t>是有声望的制造（货物名称和描述）的制造者，在此</w:t>
      </w:r>
      <w:r>
        <w:rPr>
          <w:rFonts w:hint="eastAsia" w:ascii="宋体" w:hAnsi="宋体"/>
          <w:color w:val="auto"/>
          <w:sz w:val="24"/>
          <w:u w:val="single"/>
        </w:rPr>
        <w:t>（投标公司名称及地址）</w:t>
      </w:r>
      <w:r>
        <w:rPr>
          <w:rFonts w:hint="eastAsia" w:ascii="宋体" w:hAnsi="宋体"/>
          <w:color w:val="auto"/>
          <w:sz w:val="24"/>
        </w:rPr>
        <w:t>用我厂制造的货物递交投标文件，并与买方进行后续合同谈判和签订合同。</w:t>
      </w:r>
    </w:p>
    <w:p>
      <w:pPr>
        <w:spacing w:line="560" w:lineRule="exact"/>
        <w:rPr>
          <w:rFonts w:ascii="宋体" w:hAnsi="宋体"/>
          <w:color w:val="auto"/>
          <w:sz w:val="24"/>
        </w:rPr>
      </w:pPr>
      <w:r>
        <w:rPr>
          <w:rFonts w:hint="eastAsia" w:ascii="宋体" w:hAnsi="宋体"/>
          <w:color w:val="auto"/>
          <w:sz w:val="24"/>
        </w:rPr>
        <w:t xml:space="preserve">    我方在此保证为上述公司响应本次招标</w:t>
      </w:r>
      <w:r>
        <w:rPr>
          <w:rFonts w:hint="eastAsia" w:ascii="宋体" w:hAnsi="宋体"/>
          <w:color w:val="auto"/>
          <w:sz w:val="24"/>
          <w:u w:val="single"/>
          <w:lang w:val="en-US" w:eastAsia="zh-CN"/>
        </w:rPr>
        <w:t xml:space="preserve">      </w:t>
      </w:r>
      <w:r>
        <w:rPr>
          <w:rFonts w:hint="eastAsia" w:ascii="宋体" w:hAnsi="宋体"/>
          <w:color w:val="auto"/>
          <w:sz w:val="24"/>
        </w:rPr>
        <w:t>项目提供的货物提供质量保证。</w:t>
      </w:r>
    </w:p>
    <w:p>
      <w:pPr>
        <w:spacing w:line="560" w:lineRule="exact"/>
        <w:rPr>
          <w:rFonts w:ascii="宋体" w:hAnsi="宋体"/>
          <w:color w:val="auto"/>
          <w:sz w:val="24"/>
        </w:rPr>
      </w:pPr>
      <w:r>
        <w:rPr>
          <w:rFonts w:hint="eastAsia" w:ascii="宋体" w:hAnsi="宋体"/>
          <w:color w:val="auto"/>
          <w:sz w:val="24"/>
        </w:rPr>
        <w:t xml:space="preserve">    </w:t>
      </w:r>
      <w:r>
        <w:rPr>
          <w:rFonts w:ascii="Arial" w:hAnsi="Arial" w:cs="Arial"/>
          <w:color w:val="auto"/>
          <w:sz w:val="22"/>
          <w:szCs w:val="22"/>
        </w:rPr>
        <w:t>本授权书于</w:t>
      </w:r>
      <w:r>
        <w:rPr>
          <w:rFonts w:ascii="Arial" w:hAnsi="Arial" w:cs="Arial"/>
          <w:color w:val="auto"/>
          <w:sz w:val="22"/>
          <w:szCs w:val="22"/>
          <w:u w:val="single"/>
        </w:rPr>
        <w:t>20</w:t>
      </w:r>
      <w:r>
        <w:rPr>
          <w:rFonts w:hint="eastAsia" w:ascii="Arial" w:hAnsi="Arial" w:cs="Arial"/>
          <w:color w:val="auto"/>
          <w:sz w:val="22"/>
          <w:szCs w:val="22"/>
          <w:u w:val="single"/>
        </w:rPr>
        <w:t>2</w:t>
      </w:r>
      <w:r>
        <w:rPr>
          <w:rFonts w:hint="eastAsia" w:ascii="Arial" w:hAnsi="Arial" w:cs="Arial"/>
          <w:color w:val="auto"/>
          <w:sz w:val="22"/>
          <w:szCs w:val="22"/>
          <w:u w:val="single"/>
          <w:lang w:val="en-US" w:eastAsia="zh-CN"/>
        </w:rPr>
        <w:t>1</w:t>
      </w:r>
      <w:r>
        <w:rPr>
          <w:rFonts w:ascii="Arial" w:hAnsi="Arial" w:cs="Arial"/>
          <w:color w:val="auto"/>
          <w:sz w:val="22"/>
          <w:szCs w:val="22"/>
        </w:rPr>
        <w:t>年</w:t>
      </w:r>
      <w:r>
        <w:rPr>
          <w:rFonts w:hint="eastAsia" w:ascii="Arial" w:hAnsi="Arial" w:cs="Arial"/>
          <w:color w:val="auto"/>
          <w:sz w:val="22"/>
          <w:szCs w:val="22"/>
          <w:u w:val="single"/>
        </w:rPr>
        <w:t xml:space="preserve">  </w:t>
      </w:r>
      <w:r>
        <w:rPr>
          <w:rFonts w:ascii="Arial" w:hAnsi="Arial" w:cs="Arial"/>
          <w:color w:val="auto"/>
          <w:sz w:val="22"/>
          <w:szCs w:val="22"/>
        </w:rPr>
        <w:t>月</w:t>
      </w:r>
      <w:r>
        <w:rPr>
          <w:rFonts w:hint="eastAsia" w:ascii="Arial" w:hAnsi="Arial" w:cs="Arial"/>
          <w:color w:val="auto"/>
          <w:sz w:val="22"/>
          <w:szCs w:val="22"/>
          <w:u w:val="single"/>
        </w:rPr>
        <w:t xml:space="preserve">  </w:t>
      </w:r>
      <w:r>
        <w:rPr>
          <w:rFonts w:ascii="Arial" w:hAnsi="Arial" w:cs="Arial"/>
          <w:color w:val="auto"/>
          <w:sz w:val="22"/>
          <w:szCs w:val="22"/>
        </w:rPr>
        <w:t>日签字生效，特此声明。</w:t>
      </w:r>
    </w:p>
    <w:p>
      <w:pPr>
        <w:spacing w:line="560" w:lineRule="exact"/>
        <w:rPr>
          <w:rFonts w:ascii="宋体" w:hAnsi="宋体"/>
          <w:color w:val="auto"/>
          <w:sz w:val="24"/>
        </w:rPr>
      </w:pPr>
    </w:p>
    <w:p>
      <w:pPr>
        <w:spacing w:line="560" w:lineRule="exact"/>
        <w:rPr>
          <w:rFonts w:ascii="宋体" w:hAnsi="宋体"/>
          <w:color w:val="auto"/>
          <w:sz w:val="24"/>
        </w:rPr>
      </w:pPr>
    </w:p>
    <w:p>
      <w:pPr>
        <w:spacing w:line="560" w:lineRule="exact"/>
        <w:rPr>
          <w:rFonts w:ascii="宋体" w:hAnsi="宋体"/>
          <w:color w:val="auto"/>
          <w:sz w:val="24"/>
        </w:rPr>
      </w:pPr>
      <w:r>
        <w:rPr>
          <w:rFonts w:hint="eastAsia" w:ascii="宋体" w:hAnsi="宋体"/>
          <w:color w:val="auto"/>
          <w:sz w:val="24"/>
        </w:rPr>
        <w:t xml:space="preserve">                                         制造厂家：</w:t>
      </w:r>
    </w:p>
    <w:p>
      <w:pPr>
        <w:spacing w:line="560" w:lineRule="exact"/>
        <w:rPr>
          <w:rFonts w:ascii="宋体" w:hAnsi="宋体"/>
          <w:color w:val="auto"/>
          <w:sz w:val="24"/>
        </w:rPr>
      </w:pPr>
      <w:r>
        <w:rPr>
          <w:rFonts w:hint="eastAsia" w:ascii="宋体" w:hAnsi="宋体"/>
          <w:color w:val="auto"/>
          <w:sz w:val="24"/>
        </w:rPr>
        <w:t xml:space="preserve">                                     授权代表签字：</w:t>
      </w:r>
    </w:p>
    <w:p>
      <w:pPr>
        <w:spacing w:line="560" w:lineRule="exact"/>
        <w:rPr>
          <w:rFonts w:ascii="宋体" w:hAnsi="宋体"/>
          <w:color w:val="auto"/>
          <w:sz w:val="24"/>
        </w:rPr>
      </w:pPr>
      <w:r>
        <w:rPr>
          <w:rFonts w:hint="eastAsia" w:ascii="宋体" w:hAnsi="宋体"/>
          <w:color w:val="auto"/>
          <w:sz w:val="24"/>
        </w:rPr>
        <w:t xml:space="preserve">                                             职务：</w:t>
      </w:r>
    </w:p>
    <w:p>
      <w:pPr>
        <w:spacing w:line="560" w:lineRule="exact"/>
        <w:jc w:val="center"/>
        <w:rPr>
          <w:rFonts w:ascii="宋体" w:hAnsi="宋体"/>
          <w:color w:val="auto"/>
          <w:sz w:val="24"/>
        </w:rPr>
      </w:pPr>
      <w:r>
        <w:rPr>
          <w:rFonts w:hint="eastAsia" w:ascii="宋体" w:hAnsi="宋体"/>
          <w:color w:val="auto"/>
          <w:sz w:val="24"/>
        </w:rPr>
        <w:t xml:space="preserve">                日期：</w:t>
      </w:r>
    </w:p>
    <w:p>
      <w:pPr>
        <w:rPr>
          <w:color w:val="auto"/>
        </w:rPr>
      </w:pPr>
    </w:p>
    <w:p>
      <w:pPr>
        <w:spacing w:line="460" w:lineRule="exact"/>
        <w:ind w:right="964"/>
        <w:jc w:val="center"/>
        <w:rPr>
          <w:rFonts w:ascii="宋体" w:hAnsi="宋体"/>
          <w:b/>
          <w:bCs/>
          <w:color w:val="auto"/>
          <w:sz w:val="24"/>
        </w:rPr>
      </w:pPr>
    </w:p>
    <w:p>
      <w:pPr>
        <w:spacing w:line="560" w:lineRule="exact"/>
        <w:rPr>
          <w:rFonts w:ascii="黑体" w:eastAsia="黑体"/>
          <w:color w:val="auto"/>
          <w:sz w:val="36"/>
        </w:rPr>
      </w:pPr>
      <w:r>
        <w:rPr>
          <w:rFonts w:hint="eastAsia" w:ascii="黑体" w:eastAsia="黑体"/>
          <w:color w:val="auto"/>
          <w:sz w:val="36"/>
        </w:rPr>
        <w:br w:type="page"/>
      </w:r>
      <w:r>
        <w:rPr>
          <w:rFonts w:hint="eastAsia" w:ascii="黑体" w:eastAsia="黑体"/>
          <w:color w:val="auto"/>
          <w:sz w:val="36"/>
        </w:rPr>
        <w:t xml:space="preserve">             5.投标货物规格响应表格式</w:t>
      </w:r>
    </w:p>
    <w:p>
      <w:pPr>
        <w:spacing w:line="560" w:lineRule="exact"/>
        <w:jc w:val="center"/>
        <w:rPr>
          <w:rFonts w:ascii="宋体" w:hAnsi="宋体"/>
          <w:color w:val="auto"/>
          <w:sz w:val="24"/>
        </w:rPr>
      </w:pPr>
      <w:r>
        <w:rPr>
          <w:rFonts w:hint="eastAsia" w:ascii="宋体" w:hAnsi="宋体"/>
          <w:color w:val="auto"/>
          <w:sz w:val="24"/>
        </w:rPr>
        <w:t>投标货物技术规格响应表</w:t>
      </w:r>
    </w:p>
    <w:p>
      <w:pPr>
        <w:spacing w:line="560" w:lineRule="exact"/>
        <w:rPr>
          <w:rFonts w:ascii="宋体" w:hAnsi="宋体"/>
          <w:color w:val="auto"/>
          <w:sz w:val="24"/>
          <w:u w:val="single"/>
        </w:rPr>
      </w:pPr>
      <w:r>
        <w:rPr>
          <w:rFonts w:hint="eastAsia" w:ascii="宋体" w:hAnsi="宋体"/>
          <w:color w:val="auto"/>
          <w:sz w:val="24"/>
        </w:rPr>
        <w:t>投标人名称：</w:t>
      </w:r>
      <w:r>
        <w:rPr>
          <w:rFonts w:hint="eastAsia" w:ascii="宋体" w:hAnsi="宋体"/>
          <w:color w:val="auto"/>
          <w:sz w:val="24"/>
          <w:u w:val="single"/>
        </w:rPr>
        <w:t xml:space="preserve">              </w:t>
      </w:r>
      <w:r>
        <w:rPr>
          <w:rFonts w:hint="eastAsia" w:ascii="宋体" w:hAnsi="宋体"/>
          <w:color w:val="auto"/>
          <w:sz w:val="24"/>
        </w:rPr>
        <w:t xml:space="preserve">   招标编号：</w:t>
      </w:r>
      <w:r>
        <w:rPr>
          <w:rFonts w:hint="eastAsia" w:ascii="宋体" w:hAnsi="宋体"/>
          <w:color w:val="auto"/>
          <w:sz w:val="24"/>
          <w:u w:val="single"/>
        </w:rPr>
        <w:t xml:space="preserve">              </w:t>
      </w:r>
      <w:r>
        <w:rPr>
          <w:rFonts w:hint="eastAsia" w:ascii="宋体" w:hAnsi="宋体"/>
          <w:color w:val="auto"/>
          <w:sz w:val="24"/>
        </w:rPr>
        <w:t xml:space="preserve"> 标段号：</w:t>
      </w:r>
      <w:r>
        <w:rPr>
          <w:rFonts w:hint="eastAsia" w:ascii="宋体" w:hAnsi="宋体"/>
          <w:color w:val="auto"/>
          <w:sz w:val="24"/>
          <w:u w:val="single"/>
        </w:rPr>
        <w:t xml:space="preserve">             </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890"/>
        <w:gridCol w:w="1890"/>
        <w:gridCol w:w="1605"/>
        <w:gridCol w:w="2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olor w:val="auto"/>
                <w:sz w:val="24"/>
              </w:rPr>
            </w:pPr>
            <w:r>
              <w:rPr>
                <w:rFonts w:hint="eastAsia" w:ascii="宋体" w:hAnsi="宋体"/>
                <w:color w:val="auto"/>
                <w:sz w:val="24"/>
              </w:rPr>
              <w:t>序号</w:t>
            </w:r>
          </w:p>
        </w:tc>
        <w:tc>
          <w:tcPr>
            <w:tcW w:w="189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olor w:val="auto"/>
                <w:sz w:val="24"/>
              </w:rPr>
            </w:pPr>
            <w:r>
              <w:rPr>
                <w:rFonts w:hint="eastAsia" w:ascii="宋体" w:hAnsi="宋体"/>
                <w:color w:val="auto"/>
                <w:sz w:val="24"/>
              </w:rPr>
              <w:t>标书规格</w:t>
            </w:r>
          </w:p>
        </w:tc>
        <w:tc>
          <w:tcPr>
            <w:tcW w:w="189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olor w:val="auto"/>
                <w:sz w:val="24"/>
              </w:rPr>
            </w:pPr>
            <w:r>
              <w:rPr>
                <w:rFonts w:hint="eastAsia" w:ascii="宋体" w:hAnsi="宋体"/>
                <w:color w:val="auto"/>
                <w:sz w:val="24"/>
              </w:rPr>
              <w:t>投标规格</w:t>
            </w:r>
          </w:p>
        </w:tc>
        <w:tc>
          <w:tcPr>
            <w:tcW w:w="16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olor w:val="auto"/>
                <w:sz w:val="24"/>
              </w:rPr>
            </w:pPr>
            <w:r>
              <w:rPr>
                <w:rFonts w:hint="eastAsia" w:ascii="宋体" w:hAnsi="宋体"/>
                <w:color w:val="auto"/>
                <w:sz w:val="24"/>
              </w:rPr>
              <w:t>偏离与否</w:t>
            </w:r>
          </w:p>
        </w:tc>
        <w:tc>
          <w:tcPr>
            <w:tcW w:w="230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olor w:val="auto"/>
                <w:sz w:val="24"/>
              </w:rPr>
            </w:pPr>
            <w:r>
              <w:rPr>
                <w:rFonts w:hint="eastAsia" w:ascii="宋体" w:hAnsi="宋体"/>
                <w:color w:val="auto"/>
                <w:sz w:val="24"/>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24"/>
              </w:rPr>
            </w:pPr>
          </w:p>
        </w:tc>
        <w:tc>
          <w:tcPr>
            <w:tcW w:w="1890"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24"/>
              </w:rPr>
            </w:pPr>
          </w:p>
        </w:tc>
        <w:tc>
          <w:tcPr>
            <w:tcW w:w="1890"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24"/>
              </w:rPr>
            </w:pPr>
          </w:p>
        </w:tc>
        <w:tc>
          <w:tcPr>
            <w:tcW w:w="16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24"/>
              </w:rPr>
            </w:pPr>
          </w:p>
          <w:p>
            <w:pPr>
              <w:spacing w:line="560" w:lineRule="exact"/>
              <w:rPr>
                <w:rFonts w:ascii="宋体" w:hAnsi="宋体"/>
                <w:color w:val="auto"/>
                <w:sz w:val="24"/>
              </w:rPr>
            </w:pPr>
          </w:p>
          <w:p>
            <w:pPr>
              <w:spacing w:line="560" w:lineRule="exact"/>
              <w:rPr>
                <w:rFonts w:ascii="宋体" w:hAnsi="宋体"/>
                <w:color w:val="auto"/>
                <w:sz w:val="24"/>
              </w:rPr>
            </w:pPr>
          </w:p>
          <w:p>
            <w:pPr>
              <w:spacing w:line="560" w:lineRule="exact"/>
              <w:rPr>
                <w:rFonts w:ascii="宋体" w:hAnsi="宋体"/>
                <w:color w:val="auto"/>
                <w:sz w:val="24"/>
              </w:rPr>
            </w:pPr>
          </w:p>
          <w:p>
            <w:pPr>
              <w:spacing w:line="560" w:lineRule="exact"/>
              <w:rPr>
                <w:rFonts w:ascii="宋体" w:hAnsi="宋体"/>
                <w:color w:val="auto"/>
                <w:sz w:val="24"/>
              </w:rPr>
            </w:pPr>
          </w:p>
          <w:p>
            <w:pPr>
              <w:spacing w:line="560" w:lineRule="exact"/>
              <w:rPr>
                <w:rFonts w:ascii="宋体" w:hAnsi="宋体"/>
                <w:color w:val="auto"/>
                <w:sz w:val="24"/>
              </w:rPr>
            </w:pPr>
          </w:p>
          <w:p>
            <w:pPr>
              <w:spacing w:line="560" w:lineRule="exact"/>
              <w:rPr>
                <w:rFonts w:ascii="宋体" w:hAnsi="宋体"/>
                <w:color w:val="auto"/>
                <w:sz w:val="24"/>
              </w:rPr>
            </w:pPr>
          </w:p>
          <w:p>
            <w:pPr>
              <w:spacing w:line="560" w:lineRule="exact"/>
              <w:rPr>
                <w:rFonts w:ascii="宋体" w:hAnsi="宋体"/>
                <w:color w:val="auto"/>
                <w:sz w:val="24"/>
              </w:rPr>
            </w:pPr>
          </w:p>
          <w:p>
            <w:pPr>
              <w:spacing w:line="560" w:lineRule="exact"/>
              <w:rPr>
                <w:rFonts w:ascii="宋体" w:hAnsi="宋体"/>
                <w:color w:val="auto"/>
                <w:sz w:val="24"/>
              </w:rPr>
            </w:pPr>
          </w:p>
          <w:p>
            <w:pPr>
              <w:spacing w:line="560" w:lineRule="exact"/>
              <w:rPr>
                <w:rFonts w:ascii="宋体" w:hAnsi="宋体"/>
                <w:color w:val="auto"/>
                <w:sz w:val="24"/>
              </w:rPr>
            </w:pPr>
          </w:p>
          <w:p>
            <w:pPr>
              <w:spacing w:line="560" w:lineRule="exact"/>
              <w:rPr>
                <w:rFonts w:ascii="宋体" w:hAnsi="宋体"/>
                <w:color w:val="auto"/>
                <w:sz w:val="24"/>
              </w:rPr>
            </w:pPr>
          </w:p>
          <w:p>
            <w:pPr>
              <w:spacing w:line="560" w:lineRule="exact"/>
              <w:rPr>
                <w:rFonts w:ascii="宋体" w:hAnsi="宋体"/>
                <w:color w:val="auto"/>
                <w:sz w:val="24"/>
              </w:rPr>
            </w:pPr>
          </w:p>
          <w:p>
            <w:pPr>
              <w:spacing w:line="560" w:lineRule="exact"/>
              <w:rPr>
                <w:rFonts w:ascii="宋体" w:hAnsi="宋体"/>
                <w:color w:val="auto"/>
                <w:sz w:val="24"/>
              </w:rPr>
            </w:pPr>
          </w:p>
          <w:p>
            <w:pPr>
              <w:spacing w:line="560" w:lineRule="exact"/>
              <w:rPr>
                <w:rFonts w:ascii="宋体" w:hAnsi="宋体"/>
                <w:color w:val="auto"/>
                <w:sz w:val="24"/>
              </w:rPr>
            </w:pPr>
          </w:p>
          <w:p>
            <w:pPr>
              <w:spacing w:line="560" w:lineRule="exact"/>
              <w:rPr>
                <w:rFonts w:ascii="宋体" w:hAnsi="宋体"/>
                <w:color w:val="auto"/>
                <w:sz w:val="24"/>
              </w:rPr>
            </w:pPr>
          </w:p>
          <w:p>
            <w:pPr>
              <w:spacing w:line="560" w:lineRule="exact"/>
              <w:rPr>
                <w:rFonts w:ascii="宋体" w:hAnsi="宋体"/>
                <w:color w:val="auto"/>
                <w:sz w:val="24"/>
              </w:rPr>
            </w:pPr>
          </w:p>
          <w:p>
            <w:pPr>
              <w:spacing w:line="560" w:lineRule="exact"/>
              <w:rPr>
                <w:rFonts w:ascii="宋体" w:hAnsi="宋体"/>
                <w:color w:val="auto"/>
                <w:sz w:val="24"/>
              </w:rPr>
            </w:pPr>
          </w:p>
        </w:tc>
        <w:tc>
          <w:tcPr>
            <w:tcW w:w="2300" w:type="dxa"/>
            <w:tcBorders>
              <w:top w:val="single" w:color="auto" w:sz="4" w:space="0"/>
              <w:left w:val="single" w:color="auto" w:sz="4" w:space="0"/>
              <w:bottom w:val="single" w:color="auto" w:sz="4" w:space="0"/>
              <w:right w:val="single" w:color="auto" w:sz="4" w:space="0"/>
            </w:tcBorders>
          </w:tcPr>
          <w:p>
            <w:pPr>
              <w:widowControl/>
              <w:jc w:val="left"/>
              <w:rPr>
                <w:rFonts w:ascii="宋体" w:hAnsi="宋体"/>
                <w:color w:val="auto"/>
                <w:sz w:val="24"/>
              </w:rPr>
            </w:pPr>
          </w:p>
          <w:p>
            <w:pPr>
              <w:widowControl/>
              <w:jc w:val="left"/>
              <w:rPr>
                <w:rFonts w:ascii="宋体" w:hAnsi="宋体"/>
                <w:color w:val="auto"/>
                <w:sz w:val="24"/>
              </w:rPr>
            </w:pPr>
          </w:p>
          <w:p>
            <w:pPr>
              <w:widowControl/>
              <w:jc w:val="left"/>
              <w:rPr>
                <w:rFonts w:ascii="宋体" w:hAnsi="宋体"/>
                <w:color w:val="auto"/>
                <w:sz w:val="24"/>
              </w:rPr>
            </w:pPr>
          </w:p>
          <w:p>
            <w:pPr>
              <w:widowControl/>
              <w:jc w:val="left"/>
              <w:rPr>
                <w:rFonts w:ascii="宋体" w:hAnsi="宋体"/>
                <w:color w:val="auto"/>
                <w:sz w:val="24"/>
              </w:rPr>
            </w:pPr>
          </w:p>
          <w:p>
            <w:pPr>
              <w:widowControl/>
              <w:jc w:val="left"/>
              <w:rPr>
                <w:rFonts w:ascii="宋体" w:hAnsi="宋体"/>
                <w:color w:val="auto"/>
                <w:sz w:val="24"/>
              </w:rPr>
            </w:pPr>
          </w:p>
          <w:p>
            <w:pPr>
              <w:widowControl/>
              <w:jc w:val="left"/>
              <w:rPr>
                <w:rFonts w:ascii="宋体" w:hAnsi="宋体"/>
                <w:color w:val="auto"/>
                <w:sz w:val="24"/>
              </w:rPr>
            </w:pPr>
          </w:p>
          <w:p>
            <w:pPr>
              <w:widowControl/>
              <w:jc w:val="left"/>
              <w:rPr>
                <w:rFonts w:ascii="宋体" w:hAnsi="宋体"/>
                <w:color w:val="auto"/>
                <w:sz w:val="24"/>
              </w:rPr>
            </w:pPr>
          </w:p>
          <w:p>
            <w:pPr>
              <w:widowControl/>
              <w:jc w:val="left"/>
              <w:rPr>
                <w:rFonts w:ascii="宋体" w:hAnsi="宋体"/>
                <w:color w:val="auto"/>
                <w:sz w:val="24"/>
              </w:rPr>
            </w:pPr>
          </w:p>
          <w:p>
            <w:pPr>
              <w:widowControl/>
              <w:jc w:val="left"/>
              <w:rPr>
                <w:rFonts w:ascii="宋体" w:hAnsi="宋体"/>
                <w:color w:val="auto"/>
                <w:sz w:val="24"/>
              </w:rPr>
            </w:pPr>
          </w:p>
          <w:p>
            <w:pPr>
              <w:widowControl/>
              <w:jc w:val="left"/>
              <w:rPr>
                <w:rFonts w:ascii="宋体" w:hAnsi="宋体"/>
                <w:color w:val="auto"/>
                <w:sz w:val="24"/>
              </w:rPr>
            </w:pPr>
          </w:p>
          <w:p>
            <w:pPr>
              <w:widowControl/>
              <w:jc w:val="left"/>
              <w:rPr>
                <w:rFonts w:ascii="宋体" w:hAnsi="宋体"/>
                <w:color w:val="auto"/>
                <w:sz w:val="24"/>
              </w:rPr>
            </w:pPr>
          </w:p>
          <w:p>
            <w:pPr>
              <w:widowControl/>
              <w:jc w:val="left"/>
              <w:rPr>
                <w:rFonts w:ascii="宋体" w:hAnsi="宋体"/>
                <w:color w:val="auto"/>
                <w:sz w:val="24"/>
              </w:rPr>
            </w:pPr>
          </w:p>
          <w:p>
            <w:pPr>
              <w:widowControl/>
              <w:jc w:val="left"/>
              <w:rPr>
                <w:rFonts w:ascii="宋体" w:hAnsi="宋体"/>
                <w:color w:val="auto"/>
                <w:sz w:val="24"/>
              </w:rPr>
            </w:pPr>
          </w:p>
          <w:p>
            <w:pPr>
              <w:widowControl/>
              <w:jc w:val="left"/>
              <w:rPr>
                <w:rFonts w:ascii="宋体" w:hAnsi="宋体"/>
                <w:color w:val="auto"/>
                <w:sz w:val="24"/>
              </w:rPr>
            </w:pPr>
          </w:p>
          <w:p>
            <w:pPr>
              <w:widowControl/>
              <w:jc w:val="left"/>
              <w:rPr>
                <w:rFonts w:ascii="宋体" w:hAnsi="宋体"/>
                <w:color w:val="auto"/>
                <w:sz w:val="24"/>
              </w:rPr>
            </w:pPr>
          </w:p>
          <w:p>
            <w:pPr>
              <w:widowControl/>
              <w:jc w:val="left"/>
              <w:rPr>
                <w:rFonts w:ascii="宋体" w:hAnsi="宋体"/>
                <w:color w:val="auto"/>
                <w:sz w:val="24"/>
              </w:rPr>
            </w:pPr>
          </w:p>
          <w:p>
            <w:pPr>
              <w:widowControl/>
              <w:jc w:val="left"/>
              <w:rPr>
                <w:rFonts w:ascii="宋体" w:hAnsi="宋体"/>
                <w:color w:val="auto"/>
                <w:sz w:val="24"/>
              </w:rPr>
            </w:pPr>
          </w:p>
          <w:p>
            <w:pPr>
              <w:widowControl/>
              <w:jc w:val="left"/>
              <w:rPr>
                <w:rFonts w:ascii="宋体" w:hAnsi="宋体"/>
                <w:color w:val="auto"/>
                <w:sz w:val="24"/>
              </w:rPr>
            </w:pPr>
          </w:p>
          <w:p>
            <w:pPr>
              <w:widowControl/>
              <w:jc w:val="left"/>
              <w:rPr>
                <w:rFonts w:ascii="宋体" w:hAnsi="宋体"/>
                <w:color w:val="auto"/>
                <w:sz w:val="24"/>
              </w:rPr>
            </w:pPr>
          </w:p>
          <w:p>
            <w:pPr>
              <w:spacing w:line="560" w:lineRule="exact"/>
              <w:rPr>
                <w:rFonts w:ascii="宋体" w:hAnsi="宋体"/>
                <w:color w:val="auto"/>
                <w:sz w:val="24"/>
              </w:rPr>
            </w:pPr>
          </w:p>
        </w:tc>
      </w:tr>
    </w:tbl>
    <w:p>
      <w:pPr>
        <w:spacing w:line="560" w:lineRule="exact"/>
        <w:jc w:val="center"/>
        <w:rPr>
          <w:rFonts w:ascii="宋体" w:hAnsi="宋体"/>
          <w:color w:val="auto"/>
          <w:sz w:val="36"/>
        </w:rPr>
      </w:pPr>
    </w:p>
    <w:p>
      <w:pPr>
        <w:spacing w:line="560" w:lineRule="exact"/>
        <w:rPr>
          <w:rFonts w:ascii="楷体_GB2312" w:eastAsia="楷体_GB2312"/>
          <w:color w:val="auto"/>
          <w:sz w:val="24"/>
          <w:u w:val="single"/>
        </w:rPr>
      </w:pPr>
      <w:r>
        <w:rPr>
          <w:rFonts w:hint="eastAsia" w:ascii="宋体" w:hAnsi="宋体"/>
          <w:color w:val="auto"/>
          <w:sz w:val="24"/>
        </w:rPr>
        <w:t>投标人代表签字：</w:t>
      </w:r>
      <w:r>
        <w:rPr>
          <w:rFonts w:hint="eastAsia" w:ascii="宋体" w:hAnsi="宋体"/>
          <w:color w:val="auto"/>
          <w:sz w:val="24"/>
          <w:u w:val="single"/>
        </w:rPr>
        <w:t xml:space="preserve">                               </w:t>
      </w:r>
    </w:p>
    <w:p>
      <w:pPr>
        <w:spacing w:line="560" w:lineRule="exact"/>
        <w:rPr>
          <w:rFonts w:ascii="黑体" w:eastAsia="黑体"/>
          <w:color w:val="auto"/>
          <w:sz w:val="36"/>
        </w:rPr>
      </w:pPr>
    </w:p>
    <w:p>
      <w:pPr>
        <w:spacing w:line="560" w:lineRule="exact"/>
        <w:rPr>
          <w:rFonts w:ascii="黑体" w:eastAsia="黑体"/>
          <w:color w:val="auto"/>
          <w:sz w:val="36"/>
        </w:rPr>
      </w:pPr>
    </w:p>
    <w:p>
      <w:pPr>
        <w:numPr>
          <w:ilvl w:val="0"/>
          <w:numId w:val="37"/>
        </w:numPr>
        <w:spacing w:line="560" w:lineRule="exact"/>
        <w:ind w:firstLine="3060" w:firstLineChars="850"/>
        <w:rPr>
          <w:rFonts w:ascii="黑体" w:eastAsia="黑体"/>
          <w:color w:val="auto"/>
          <w:sz w:val="36"/>
        </w:rPr>
      </w:pPr>
      <w:r>
        <w:rPr>
          <w:rFonts w:hint="eastAsia" w:ascii="黑体" w:eastAsia="黑体"/>
          <w:color w:val="auto"/>
          <w:sz w:val="36"/>
        </w:rPr>
        <w:t>商务条款偏离表</w:t>
      </w:r>
    </w:p>
    <w:p>
      <w:pPr>
        <w:spacing w:line="560" w:lineRule="exact"/>
        <w:rPr>
          <w:rFonts w:ascii="宋体" w:hAnsi="宋体"/>
          <w:color w:val="auto"/>
          <w:sz w:val="24"/>
          <w:u w:val="single"/>
        </w:rPr>
      </w:pPr>
      <w:r>
        <w:rPr>
          <w:rFonts w:hint="eastAsia" w:ascii="宋体" w:hAnsi="宋体"/>
          <w:color w:val="auto"/>
          <w:sz w:val="24"/>
        </w:rPr>
        <w:t>投标人名称：</w:t>
      </w:r>
      <w:r>
        <w:rPr>
          <w:rFonts w:hint="eastAsia" w:ascii="宋体" w:hAnsi="宋体"/>
          <w:color w:val="auto"/>
          <w:sz w:val="24"/>
          <w:u w:val="single"/>
        </w:rPr>
        <w:t xml:space="preserve">            </w:t>
      </w:r>
      <w:r>
        <w:rPr>
          <w:rFonts w:hint="eastAsia" w:ascii="宋体" w:hAnsi="宋体"/>
          <w:color w:val="auto"/>
          <w:sz w:val="24"/>
        </w:rPr>
        <w:t xml:space="preserve">   招标编号：</w:t>
      </w:r>
      <w:r>
        <w:rPr>
          <w:rFonts w:hint="eastAsia" w:ascii="宋体" w:hAnsi="宋体"/>
          <w:color w:val="auto"/>
          <w:sz w:val="24"/>
          <w:u w:val="single"/>
        </w:rPr>
        <w:t xml:space="preserve">           </w:t>
      </w:r>
      <w:r>
        <w:rPr>
          <w:rFonts w:hint="eastAsia" w:ascii="宋体" w:hAnsi="宋体"/>
          <w:color w:val="auto"/>
          <w:sz w:val="24"/>
        </w:rPr>
        <w:t xml:space="preserve">   标度号：</w:t>
      </w:r>
      <w:r>
        <w:rPr>
          <w:rFonts w:hint="eastAsia" w:ascii="宋体" w:hAnsi="宋体"/>
          <w:color w:val="auto"/>
          <w:sz w:val="24"/>
          <w:u w:val="single"/>
        </w:rPr>
        <w:t xml:space="preserve">        </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705"/>
        <w:gridCol w:w="1705"/>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olor w:val="auto"/>
                <w:sz w:val="24"/>
              </w:rPr>
            </w:pPr>
            <w:r>
              <w:rPr>
                <w:rFonts w:hint="eastAsia" w:ascii="宋体" w:hAnsi="宋体"/>
                <w:color w:val="auto"/>
                <w:sz w:val="24"/>
              </w:rPr>
              <w:t>序  号</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olor w:val="auto"/>
                <w:sz w:val="24"/>
              </w:rPr>
            </w:pPr>
            <w:r>
              <w:rPr>
                <w:rFonts w:hint="eastAsia" w:ascii="宋体" w:hAnsi="宋体"/>
                <w:color w:val="auto"/>
                <w:sz w:val="24"/>
              </w:rPr>
              <w:t>标书要求的商务条款</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olor w:val="auto"/>
                <w:sz w:val="24"/>
              </w:rPr>
            </w:pPr>
            <w:r>
              <w:rPr>
                <w:rFonts w:hint="eastAsia" w:ascii="宋体" w:hAnsi="宋体"/>
                <w:color w:val="auto"/>
                <w:sz w:val="24"/>
              </w:rPr>
              <w:t>投标文件的商务条款</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olor w:val="auto"/>
                <w:sz w:val="24"/>
              </w:rPr>
            </w:pPr>
            <w:r>
              <w:rPr>
                <w:rFonts w:hint="eastAsia" w:ascii="宋体" w:hAnsi="宋体"/>
                <w:color w:val="auto"/>
                <w:sz w:val="24"/>
              </w:rPr>
              <w:t>偏离与否</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olor w:val="auto"/>
                <w:sz w:val="24"/>
              </w:rPr>
            </w:pPr>
            <w:r>
              <w:rPr>
                <w:rFonts w:hint="eastAsia" w:ascii="宋体" w:hAnsi="宋体"/>
                <w:color w:val="auto"/>
                <w:sz w:val="24"/>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r>
    </w:tbl>
    <w:p>
      <w:pPr>
        <w:pStyle w:val="4"/>
        <w:rPr>
          <w:rFonts w:ascii="黑体" w:eastAsia="黑体"/>
          <w:color w:val="auto"/>
          <w:sz w:val="36"/>
        </w:rPr>
      </w:pPr>
      <w:r>
        <w:rPr>
          <w:rFonts w:hint="eastAsia" w:ascii="宋体" w:hAnsi="宋体" w:eastAsia="宋体"/>
          <w:color w:val="auto"/>
        </w:rPr>
        <w:t>投标人名称：</w:t>
      </w:r>
      <w:r>
        <w:rPr>
          <w:rFonts w:hint="eastAsia" w:ascii="宋体" w:hAnsi="宋体" w:eastAsia="宋体"/>
          <w:color w:val="auto"/>
          <w:u w:val="single"/>
        </w:rPr>
        <w:t xml:space="preserve">                     </w:t>
      </w:r>
      <w:r>
        <w:rPr>
          <w:color w:val="auto"/>
        </w:rPr>
        <w:t xml:space="preserve">                      </w:t>
      </w:r>
      <w:r>
        <w:rPr>
          <w:rFonts w:hint="eastAsia" w:ascii="黑体" w:eastAsia="黑体"/>
          <w:color w:val="auto"/>
          <w:sz w:val="36"/>
        </w:rPr>
        <w:br w:type="page"/>
      </w:r>
    </w:p>
    <w:p>
      <w:pPr>
        <w:numPr>
          <w:ilvl w:val="0"/>
          <w:numId w:val="37"/>
        </w:numPr>
        <w:spacing w:line="560" w:lineRule="exact"/>
        <w:ind w:firstLine="3060" w:firstLineChars="850"/>
        <w:rPr>
          <w:rFonts w:ascii="黑体" w:eastAsia="黑体"/>
          <w:color w:val="auto"/>
          <w:sz w:val="36"/>
        </w:rPr>
      </w:pPr>
      <w:r>
        <w:rPr>
          <w:rFonts w:hint="eastAsia" w:ascii="黑体" w:eastAsia="黑体"/>
          <w:color w:val="auto"/>
          <w:sz w:val="36"/>
        </w:rPr>
        <w:t>服  务</w:t>
      </w:r>
    </w:p>
    <w:p>
      <w:pPr>
        <w:spacing w:line="560" w:lineRule="exact"/>
        <w:rPr>
          <w:rFonts w:ascii="宋体" w:hAnsi="宋体"/>
          <w:color w:val="auto"/>
          <w:sz w:val="24"/>
        </w:rPr>
      </w:pPr>
      <w:r>
        <w:rPr>
          <w:rFonts w:hint="eastAsia" w:ascii="宋体" w:hAnsi="宋体"/>
          <w:color w:val="auto"/>
          <w:sz w:val="24"/>
        </w:rPr>
        <w:t>注：1、投标人可提供的培训、售后服务等技术服务情况。</w:t>
      </w:r>
    </w:p>
    <w:p>
      <w:pPr>
        <w:spacing w:line="560" w:lineRule="exact"/>
        <w:rPr>
          <w:rFonts w:ascii="宋体" w:hAnsi="宋体"/>
          <w:color w:val="auto"/>
          <w:sz w:val="24"/>
        </w:rPr>
      </w:pPr>
      <w:r>
        <w:rPr>
          <w:rFonts w:hint="eastAsia" w:ascii="宋体" w:hAnsi="宋体"/>
          <w:color w:val="auto"/>
          <w:sz w:val="24"/>
        </w:rPr>
        <w:t xml:space="preserve">    2、须提供培训、售后服务等详细计划，包括时间、人员等安排，及须买方预先做的准备工作等（如有）。</w:t>
      </w:r>
    </w:p>
    <w:p>
      <w:pPr>
        <w:spacing w:line="440" w:lineRule="exact"/>
        <w:rPr>
          <w:rFonts w:ascii="仿宋_GB2312" w:hAnsi="宋体" w:eastAsia="仿宋_GB2312"/>
          <w:b/>
          <w:color w:val="auto"/>
          <w:sz w:val="36"/>
          <w:szCs w:val="36"/>
        </w:rPr>
      </w:pPr>
    </w:p>
    <w:p>
      <w:pPr>
        <w:spacing w:line="440" w:lineRule="exact"/>
        <w:ind w:firstLine="723" w:firstLineChars="200"/>
        <w:jc w:val="center"/>
        <w:rPr>
          <w:rFonts w:ascii="仿宋_GB2312" w:hAnsi="宋体" w:eastAsia="仿宋_GB2312"/>
          <w:b/>
          <w:color w:val="auto"/>
          <w:sz w:val="36"/>
          <w:szCs w:val="36"/>
        </w:rPr>
      </w:pPr>
    </w:p>
    <w:p>
      <w:pPr>
        <w:spacing w:line="440" w:lineRule="exact"/>
        <w:ind w:firstLine="723" w:firstLineChars="200"/>
        <w:jc w:val="center"/>
        <w:rPr>
          <w:rFonts w:ascii="仿宋_GB2312" w:hAnsi="宋体" w:eastAsia="仿宋_GB2312"/>
          <w:b/>
          <w:color w:val="auto"/>
          <w:sz w:val="36"/>
          <w:szCs w:val="36"/>
        </w:rPr>
      </w:pPr>
    </w:p>
    <w:p>
      <w:pPr>
        <w:autoSpaceDE w:val="0"/>
        <w:autoSpaceDN w:val="0"/>
        <w:adjustRightInd w:val="0"/>
        <w:snapToGrid w:val="0"/>
        <w:spacing w:line="360" w:lineRule="auto"/>
        <w:rPr>
          <w:rFonts w:ascii="宋体" w:hAnsi="宋体"/>
          <w:b/>
          <w:color w:val="auto"/>
          <w:sz w:val="36"/>
          <w:szCs w:val="36"/>
        </w:rPr>
      </w:pPr>
      <w:r>
        <w:rPr>
          <w:rFonts w:hint="eastAsia" w:ascii="宋体" w:hAnsi="宋体"/>
          <w:b/>
          <w:color w:val="auto"/>
          <w:sz w:val="36"/>
          <w:szCs w:val="36"/>
        </w:rPr>
        <w:t>其他附件：设备清单</w:t>
      </w:r>
    </w:p>
    <w:tbl>
      <w:tblPr>
        <w:tblStyle w:val="10"/>
        <w:tblW w:w="5000" w:type="pct"/>
        <w:tblInd w:w="0" w:type="dxa"/>
        <w:shd w:val="clear" w:color="auto" w:fill="auto"/>
        <w:tblLayout w:type="autofit"/>
        <w:tblCellMar>
          <w:top w:w="0" w:type="dxa"/>
          <w:left w:w="108" w:type="dxa"/>
          <w:bottom w:w="0" w:type="dxa"/>
          <w:right w:w="108" w:type="dxa"/>
        </w:tblCellMar>
      </w:tblPr>
      <w:tblGrid>
        <w:gridCol w:w="550"/>
        <w:gridCol w:w="550"/>
        <w:gridCol w:w="655"/>
        <w:gridCol w:w="2122"/>
        <w:gridCol w:w="655"/>
        <w:gridCol w:w="550"/>
        <w:gridCol w:w="550"/>
        <w:gridCol w:w="717"/>
        <w:gridCol w:w="801"/>
        <w:gridCol w:w="46"/>
        <w:gridCol w:w="495"/>
        <w:gridCol w:w="831"/>
      </w:tblGrid>
      <w:tr>
        <w:tblPrEx>
          <w:shd w:val="clear" w:color="auto" w:fill="auto"/>
          <w:tblCellMar>
            <w:top w:w="0" w:type="dxa"/>
            <w:left w:w="108" w:type="dxa"/>
            <w:bottom w:w="0" w:type="dxa"/>
            <w:right w:w="108" w:type="dxa"/>
          </w:tblCellMar>
        </w:tblPrEx>
        <w:trPr>
          <w:trHeight w:val="630" w:hRule="atLeast"/>
        </w:trPr>
        <w:tc>
          <w:tcPr>
            <w:tcW w:w="5000" w:type="pct"/>
            <w:gridSpan w:val="1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auto"/>
                <w:sz w:val="36"/>
                <w:szCs w:val="36"/>
                <w:u w:val="none"/>
              </w:rPr>
            </w:pPr>
            <w:r>
              <w:rPr>
                <w:rFonts w:hint="eastAsia" w:ascii="宋体" w:hAnsi="宋体" w:eastAsia="宋体" w:cs="宋体"/>
                <w:b/>
                <w:bCs/>
                <w:i w:val="0"/>
                <w:iCs w:val="0"/>
                <w:color w:val="auto"/>
                <w:kern w:val="0"/>
                <w:sz w:val="36"/>
                <w:szCs w:val="36"/>
                <w:u w:val="none"/>
                <w:lang w:val="en-US" w:eastAsia="zh-CN" w:bidi="ar"/>
              </w:rPr>
              <w:t xml:space="preserve">            一厂“智慧安防”系统配置方案 </w:t>
            </w:r>
          </w:p>
        </w:tc>
      </w:tr>
      <w:tr>
        <w:tblPrEx>
          <w:shd w:val="clear" w:color="auto" w:fill="auto"/>
          <w:tblCellMar>
            <w:top w:w="0" w:type="dxa"/>
            <w:left w:w="108" w:type="dxa"/>
            <w:bottom w:w="0" w:type="dxa"/>
            <w:right w:w="108" w:type="dxa"/>
          </w:tblCellMar>
        </w:tblPrEx>
        <w:trPr>
          <w:trHeight w:val="420" w:hRule="atLeast"/>
        </w:trPr>
        <w:tc>
          <w:tcPr>
            <w:tcW w:w="5000" w:type="pct"/>
            <w:gridSpan w:val="1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36"/>
                <w:szCs w:val="36"/>
                <w:u w:val="none"/>
              </w:rPr>
            </w:pPr>
          </w:p>
        </w:tc>
      </w:tr>
      <w:tr>
        <w:tblPrEx>
          <w:shd w:val="clear" w:color="auto" w:fill="auto"/>
          <w:tblCellMar>
            <w:top w:w="0" w:type="dxa"/>
            <w:left w:w="108" w:type="dxa"/>
            <w:bottom w:w="0" w:type="dxa"/>
            <w:right w:w="108" w:type="dxa"/>
          </w:tblCellMar>
        </w:tblPrEx>
        <w:trPr>
          <w:trHeight w:val="450" w:hRule="atLeast"/>
        </w:trPr>
        <w:tc>
          <w:tcPr>
            <w:tcW w:w="288" w:type="pct"/>
            <w:tcBorders>
              <w:top w:val="single" w:color="000000" w:sz="4" w:space="0"/>
              <w:left w:val="single" w:color="000000" w:sz="4" w:space="0"/>
              <w:bottom w:val="single" w:color="000000" w:sz="4" w:space="0"/>
              <w:right w:val="single" w:color="000000" w:sz="4" w:space="0"/>
            </w:tcBorders>
            <w:shd w:val="clear" w:color="auto" w:fill="99CCFF"/>
            <w:noWrap/>
            <w:vAlign w:val="center"/>
          </w:tcPr>
          <w:p>
            <w:pPr>
              <w:keepNext w:val="0"/>
              <w:keepLines w:val="0"/>
              <w:widowControl/>
              <w:suppressLineNumbers w:val="0"/>
              <w:jc w:val="center"/>
              <w:textAlignment w:val="center"/>
              <w:rPr>
                <w:rFonts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序号</w:t>
            </w:r>
          </w:p>
        </w:tc>
        <w:tc>
          <w:tcPr>
            <w:tcW w:w="288" w:type="pct"/>
            <w:tcBorders>
              <w:top w:val="single" w:color="000000" w:sz="4" w:space="0"/>
              <w:left w:val="single" w:color="000000" w:sz="4" w:space="0"/>
              <w:bottom w:val="single" w:color="000000" w:sz="4" w:space="0"/>
              <w:right w:val="single" w:color="000000" w:sz="4" w:space="0"/>
            </w:tcBorders>
            <w:shd w:val="clear" w:color="auto" w:fill="99CC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图片</w:t>
            </w:r>
          </w:p>
        </w:tc>
        <w:tc>
          <w:tcPr>
            <w:tcW w:w="349" w:type="pct"/>
            <w:tcBorders>
              <w:top w:val="single" w:color="000000" w:sz="4" w:space="0"/>
              <w:left w:val="single" w:color="000000" w:sz="4" w:space="0"/>
              <w:bottom w:val="single" w:color="000000" w:sz="4" w:space="0"/>
              <w:right w:val="single" w:color="000000" w:sz="4" w:space="0"/>
            </w:tcBorders>
            <w:shd w:val="clear" w:color="auto" w:fill="99CC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名称</w:t>
            </w:r>
          </w:p>
        </w:tc>
        <w:tc>
          <w:tcPr>
            <w:tcW w:w="503" w:type="pct"/>
            <w:tcBorders>
              <w:top w:val="single" w:color="000000" w:sz="4" w:space="0"/>
              <w:left w:val="single" w:color="000000" w:sz="4" w:space="0"/>
              <w:bottom w:val="single" w:color="000000" w:sz="4" w:space="0"/>
              <w:right w:val="single" w:color="000000" w:sz="4" w:space="0"/>
            </w:tcBorders>
            <w:shd w:val="clear" w:color="auto" w:fill="99CC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型号</w:t>
            </w:r>
          </w:p>
        </w:tc>
        <w:tc>
          <w:tcPr>
            <w:tcW w:w="278" w:type="pct"/>
            <w:tcBorders>
              <w:top w:val="single" w:color="000000" w:sz="4" w:space="0"/>
              <w:left w:val="single" w:color="000000" w:sz="4" w:space="0"/>
              <w:bottom w:val="single" w:color="000000" w:sz="4" w:space="0"/>
              <w:right w:val="single" w:color="000000" w:sz="4" w:space="0"/>
            </w:tcBorders>
            <w:shd w:val="clear" w:color="auto" w:fill="99CC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品牌</w:t>
            </w:r>
          </w:p>
        </w:tc>
        <w:tc>
          <w:tcPr>
            <w:tcW w:w="289" w:type="pct"/>
            <w:tcBorders>
              <w:top w:val="single" w:color="000000" w:sz="4" w:space="0"/>
              <w:left w:val="single" w:color="000000" w:sz="4" w:space="0"/>
              <w:bottom w:val="single" w:color="000000" w:sz="4" w:space="0"/>
              <w:right w:val="single" w:color="000000" w:sz="4" w:space="0"/>
            </w:tcBorders>
            <w:shd w:val="clear" w:color="auto" w:fill="99CC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单位</w:t>
            </w:r>
          </w:p>
        </w:tc>
        <w:tc>
          <w:tcPr>
            <w:tcW w:w="247" w:type="pct"/>
            <w:tcBorders>
              <w:top w:val="single" w:color="000000" w:sz="4" w:space="0"/>
              <w:left w:val="single" w:color="000000" w:sz="4" w:space="0"/>
              <w:bottom w:val="single" w:color="000000" w:sz="4" w:space="0"/>
              <w:right w:val="single" w:color="000000" w:sz="4" w:space="0"/>
            </w:tcBorders>
            <w:shd w:val="clear" w:color="auto" w:fill="99CC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数量</w:t>
            </w:r>
          </w:p>
        </w:tc>
        <w:tc>
          <w:tcPr>
            <w:tcW w:w="339" w:type="pct"/>
            <w:tcBorders>
              <w:top w:val="single" w:color="000000" w:sz="4" w:space="0"/>
              <w:left w:val="single" w:color="000000" w:sz="4" w:space="0"/>
              <w:bottom w:val="single" w:color="000000" w:sz="4" w:space="0"/>
              <w:right w:val="single" w:color="000000" w:sz="4" w:space="0"/>
            </w:tcBorders>
            <w:shd w:val="clear" w:color="auto" w:fill="99CC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单  价</w:t>
            </w:r>
          </w:p>
        </w:tc>
        <w:tc>
          <w:tcPr>
            <w:tcW w:w="278" w:type="pct"/>
            <w:tcBorders>
              <w:top w:val="single" w:color="000000" w:sz="4" w:space="0"/>
              <w:left w:val="single" w:color="000000" w:sz="4" w:space="0"/>
              <w:bottom w:val="single" w:color="000000" w:sz="4" w:space="0"/>
              <w:right w:val="single" w:color="000000" w:sz="4" w:space="0"/>
            </w:tcBorders>
            <w:shd w:val="clear" w:color="auto" w:fill="99CC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合   计</w:t>
            </w:r>
          </w:p>
        </w:tc>
        <w:tc>
          <w:tcPr>
            <w:tcW w:w="2138" w:type="pct"/>
            <w:gridSpan w:val="3"/>
            <w:tcBorders>
              <w:top w:val="single" w:color="000000" w:sz="4" w:space="0"/>
              <w:left w:val="single" w:color="000000" w:sz="4" w:space="0"/>
              <w:bottom w:val="single" w:color="000000" w:sz="4" w:space="0"/>
              <w:right w:val="single" w:color="000000" w:sz="4" w:space="0"/>
            </w:tcBorders>
            <w:shd w:val="clear" w:color="auto" w:fill="99CCFF"/>
            <w:noWrap/>
            <w:vAlign w:val="center"/>
          </w:tcPr>
          <w:p>
            <w:pPr>
              <w:jc w:val="center"/>
              <w:rPr>
                <w:rFonts w:hint="eastAsia" w:ascii="黑体" w:hAnsi="宋体" w:eastAsia="黑体" w:cs="黑体"/>
                <w:i w:val="0"/>
                <w:iCs w:val="0"/>
                <w:color w:val="auto"/>
                <w:sz w:val="24"/>
                <w:szCs w:val="24"/>
                <w:u w:val="none"/>
              </w:rPr>
            </w:pPr>
          </w:p>
        </w:tc>
      </w:tr>
      <w:tr>
        <w:tblPrEx>
          <w:shd w:val="clear" w:color="auto" w:fill="auto"/>
          <w:tblCellMar>
            <w:top w:w="0" w:type="dxa"/>
            <w:left w:w="108" w:type="dxa"/>
            <w:bottom w:w="0" w:type="dxa"/>
            <w:right w:w="108" w:type="dxa"/>
          </w:tblCellMar>
        </w:tblPrEx>
        <w:trPr>
          <w:trHeight w:val="1040" w:hRule="atLeast"/>
        </w:trPr>
        <w:tc>
          <w:tcPr>
            <w:tcW w:w="2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1</w:t>
            </w:r>
          </w:p>
        </w:tc>
        <w:tc>
          <w:tcPr>
            <w:tcW w:w="2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bdr w:val="single" w:color="000000" w:sz="4" w:space="0"/>
                <w:shd w:val="clear" w:fill="FFFFFF"/>
                <w:lang w:val="en-US" w:eastAsia="zh-CN" w:bidi="ar"/>
              </w:rPr>
              <w:drawing>
                <wp:anchor distT="0" distB="0" distL="114300" distR="114300" simplePos="0" relativeHeight="251659264" behindDoc="0" locked="0" layoutInCell="1" allowOverlap="1">
                  <wp:simplePos x="0" y="0"/>
                  <wp:positionH relativeFrom="column">
                    <wp:posOffset>38100</wp:posOffset>
                  </wp:positionH>
                  <wp:positionV relativeFrom="paragraph">
                    <wp:posOffset>77470</wp:posOffset>
                  </wp:positionV>
                  <wp:extent cx="330835" cy="321945"/>
                  <wp:effectExtent l="0" t="0" r="12065" b="1905"/>
                  <wp:wrapNone/>
                  <wp:docPr id="43" name="Picture_1"/>
                  <wp:cNvGraphicFramePr/>
                  <a:graphic xmlns:a="http://schemas.openxmlformats.org/drawingml/2006/main">
                    <a:graphicData uri="http://schemas.openxmlformats.org/drawingml/2006/picture">
                      <pic:pic xmlns:pic="http://schemas.openxmlformats.org/drawingml/2006/picture">
                        <pic:nvPicPr>
                          <pic:cNvPr id="43" name="Picture_1"/>
                          <pic:cNvPicPr/>
                        </pic:nvPicPr>
                        <pic:blipFill>
                          <a:blip r:embed="rId6"/>
                          <a:stretch>
                            <a:fillRect/>
                          </a:stretch>
                        </pic:blipFill>
                        <pic:spPr>
                          <a:xfrm>
                            <a:off x="0" y="0"/>
                            <a:ext cx="330835" cy="321945"/>
                          </a:xfrm>
                          <a:prstGeom prst="rect">
                            <a:avLst/>
                          </a:prstGeom>
                          <a:noFill/>
                          <a:ln>
                            <a:noFill/>
                          </a:ln>
                        </pic:spPr>
                      </pic:pic>
                    </a:graphicData>
                  </a:graphic>
                </wp:anchor>
              </w:drawing>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微软雅黑" w:hAnsi="微软雅黑" w:eastAsia="微软雅黑" w:cs="微软雅黑"/>
                <w:i w:val="0"/>
                <w:iCs w:val="0"/>
                <w:color w:val="auto"/>
                <w:sz w:val="16"/>
                <w:szCs w:val="16"/>
                <w:u w:val="none"/>
              </w:rPr>
            </w:pPr>
            <w:r>
              <w:rPr>
                <w:rFonts w:hint="eastAsia" w:ascii="微软雅黑" w:hAnsi="微软雅黑" w:eastAsia="微软雅黑" w:cs="微软雅黑"/>
                <w:i w:val="0"/>
                <w:iCs w:val="0"/>
                <w:color w:val="auto"/>
                <w:kern w:val="0"/>
                <w:sz w:val="16"/>
                <w:szCs w:val="16"/>
                <w:u w:val="none"/>
                <w:lang w:val="en-US" w:eastAsia="zh-CN" w:bidi="ar"/>
              </w:rPr>
              <w:t>访客自助产品</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auto"/>
                <w:sz w:val="16"/>
                <w:szCs w:val="16"/>
                <w:u w:val="none"/>
              </w:rPr>
            </w:pPr>
            <w:r>
              <w:rPr>
                <w:rFonts w:hint="eastAsia" w:ascii="微软雅黑" w:hAnsi="微软雅黑" w:eastAsia="微软雅黑" w:cs="微软雅黑"/>
                <w:i w:val="0"/>
                <w:iCs w:val="0"/>
                <w:color w:val="auto"/>
                <w:kern w:val="0"/>
                <w:sz w:val="16"/>
                <w:szCs w:val="16"/>
                <w:u w:val="none"/>
                <w:lang w:val="en-US" w:eastAsia="zh-CN" w:bidi="ar"/>
              </w:rPr>
              <w:t>DS-K5032</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海康</w:t>
            </w:r>
          </w:p>
        </w:tc>
        <w:tc>
          <w:tcPr>
            <w:tcW w:w="2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c>
          <w:tcPr>
            <w:tcW w:w="24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1</w:t>
            </w:r>
          </w:p>
        </w:tc>
        <w:tc>
          <w:tcPr>
            <w:tcW w:w="3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黑体" w:hAnsi="宋体" w:eastAsia="黑体" w:cs="黑体"/>
                <w:i w:val="0"/>
                <w:iCs w:val="0"/>
                <w:color w:val="auto"/>
                <w:sz w:val="18"/>
                <w:szCs w:val="18"/>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黑体" w:hAnsi="宋体" w:eastAsia="黑体" w:cs="黑体"/>
                <w:i w:val="0"/>
                <w:iCs w:val="0"/>
                <w:color w:val="auto"/>
                <w:sz w:val="18"/>
                <w:szCs w:val="18"/>
                <w:u w:val="none"/>
              </w:rPr>
            </w:pPr>
          </w:p>
        </w:tc>
        <w:tc>
          <w:tcPr>
            <w:tcW w:w="2138"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黑体" w:hAnsi="宋体" w:eastAsia="黑体" w:cs="黑体"/>
                <w:i w:val="0"/>
                <w:iCs w:val="0"/>
                <w:color w:val="auto"/>
                <w:sz w:val="18"/>
                <w:szCs w:val="18"/>
                <w:u w:val="none"/>
              </w:rPr>
            </w:pPr>
            <w:r>
              <w:rPr>
                <w:rFonts w:hint="eastAsia" w:ascii="黑体" w:hAnsi="宋体" w:eastAsia="黑体" w:cs="黑体"/>
                <w:i w:val="0"/>
                <w:iCs w:val="0"/>
                <w:color w:val="auto"/>
                <w:kern w:val="0"/>
                <w:sz w:val="18"/>
                <w:szCs w:val="18"/>
                <w:u w:val="none"/>
                <w:lang w:val="en-US" w:eastAsia="zh-CN" w:bidi="ar"/>
              </w:rPr>
              <w:t>访客管理系统</w:t>
            </w:r>
          </w:p>
        </w:tc>
      </w:tr>
      <w:tr>
        <w:tblPrEx>
          <w:shd w:val="clear" w:color="auto" w:fill="auto"/>
          <w:tblCellMar>
            <w:top w:w="0" w:type="dxa"/>
            <w:left w:w="108" w:type="dxa"/>
            <w:bottom w:w="0" w:type="dxa"/>
            <w:right w:w="108" w:type="dxa"/>
          </w:tblCellMar>
        </w:tblPrEx>
        <w:trPr>
          <w:trHeight w:val="1080" w:hRule="atLeast"/>
        </w:trPr>
        <w:tc>
          <w:tcPr>
            <w:tcW w:w="2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2</w:t>
            </w:r>
          </w:p>
        </w:tc>
        <w:tc>
          <w:tcPr>
            <w:tcW w:w="2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bdr w:val="single" w:color="000000" w:sz="4" w:space="0"/>
                <w:shd w:val="clear" w:fill="FFFFFF"/>
                <w:lang w:val="en-US" w:eastAsia="zh-CN" w:bidi="ar"/>
              </w:rPr>
              <w:drawing>
                <wp:anchor distT="0" distB="0" distL="114300" distR="114300" simplePos="0" relativeHeight="251659264" behindDoc="0" locked="0" layoutInCell="1" allowOverlap="1">
                  <wp:simplePos x="0" y="0"/>
                  <wp:positionH relativeFrom="column">
                    <wp:posOffset>57150</wp:posOffset>
                  </wp:positionH>
                  <wp:positionV relativeFrom="paragraph">
                    <wp:posOffset>48260</wp:posOffset>
                  </wp:positionV>
                  <wp:extent cx="325120" cy="352425"/>
                  <wp:effectExtent l="0" t="0" r="17780" b="9525"/>
                  <wp:wrapNone/>
                  <wp:docPr id="46" name="Picture_1_SpCnt_1"/>
                  <wp:cNvGraphicFramePr/>
                  <a:graphic xmlns:a="http://schemas.openxmlformats.org/drawingml/2006/main">
                    <a:graphicData uri="http://schemas.openxmlformats.org/drawingml/2006/picture">
                      <pic:pic xmlns:pic="http://schemas.openxmlformats.org/drawingml/2006/picture">
                        <pic:nvPicPr>
                          <pic:cNvPr id="46" name="Picture_1_SpCnt_1"/>
                          <pic:cNvPicPr/>
                        </pic:nvPicPr>
                        <pic:blipFill>
                          <a:blip r:embed="rId7"/>
                          <a:stretch>
                            <a:fillRect/>
                          </a:stretch>
                        </pic:blipFill>
                        <pic:spPr>
                          <a:xfrm>
                            <a:off x="0" y="0"/>
                            <a:ext cx="325120" cy="352425"/>
                          </a:xfrm>
                          <a:prstGeom prst="rect">
                            <a:avLst/>
                          </a:prstGeom>
                          <a:noFill/>
                          <a:ln>
                            <a:noFill/>
                          </a:ln>
                        </pic:spPr>
                      </pic:pic>
                    </a:graphicData>
                  </a:graphic>
                </wp:anchor>
              </w:drawing>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auto"/>
                <w:sz w:val="16"/>
                <w:szCs w:val="16"/>
                <w:u w:val="none"/>
              </w:rPr>
            </w:pPr>
            <w:r>
              <w:rPr>
                <w:rFonts w:hint="eastAsia" w:ascii="微软雅黑" w:hAnsi="微软雅黑" w:eastAsia="微软雅黑" w:cs="微软雅黑"/>
                <w:i w:val="0"/>
                <w:iCs w:val="0"/>
                <w:color w:val="auto"/>
                <w:kern w:val="0"/>
                <w:sz w:val="16"/>
                <w:szCs w:val="16"/>
                <w:u w:val="none"/>
                <w:lang w:val="en-US" w:eastAsia="zh-CN" w:bidi="ar"/>
              </w:rPr>
              <w:t>人体测温双目筒机</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auto"/>
                <w:sz w:val="16"/>
                <w:szCs w:val="16"/>
                <w:u w:val="none"/>
              </w:rPr>
            </w:pPr>
            <w:r>
              <w:rPr>
                <w:rFonts w:hint="eastAsia" w:ascii="微软雅黑" w:hAnsi="微软雅黑" w:eastAsia="微软雅黑" w:cs="微软雅黑"/>
                <w:i w:val="0"/>
                <w:iCs w:val="0"/>
                <w:color w:val="auto"/>
                <w:kern w:val="0"/>
                <w:sz w:val="16"/>
                <w:szCs w:val="16"/>
                <w:u w:val="none"/>
                <w:lang w:val="en-US" w:eastAsia="zh-CN" w:bidi="ar"/>
              </w:rPr>
              <w:t>DS-B2617-6/PA</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海康</w:t>
            </w:r>
          </w:p>
        </w:tc>
        <w:tc>
          <w:tcPr>
            <w:tcW w:w="2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c>
          <w:tcPr>
            <w:tcW w:w="24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1</w:t>
            </w:r>
          </w:p>
        </w:tc>
        <w:tc>
          <w:tcPr>
            <w:tcW w:w="3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黑体" w:hAnsi="宋体" w:eastAsia="黑体" w:cs="黑体"/>
                <w:i w:val="0"/>
                <w:iCs w:val="0"/>
                <w:color w:val="auto"/>
                <w:sz w:val="18"/>
                <w:szCs w:val="18"/>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黑体" w:hAnsi="宋体" w:eastAsia="黑体" w:cs="黑体"/>
                <w:i w:val="0"/>
                <w:iCs w:val="0"/>
                <w:color w:val="auto"/>
                <w:sz w:val="18"/>
                <w:szCs w:val="18"/>
                <w:u w:val="none"/>
              </w:rPr>
            </w:pPr>
          </w:p>
        </w:tc>
        <w:tc>
          <w:tcPr>
            <w:tcW w:w="213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auto"/>
                <w:sz w:val="16"/>
                <w:szCs w:val="16"/>
                <w:u w:val="none"/>
              </w:rPr>
            </w:pPr>
            <w:r>
              <w:rPr>
                <w:rFonts w:hint="eastAsia" w:ascii="微软雅黑" w:hAnsi="微软雅黑" w:eastAsia="微软雅黑" w:cs="微软雅黑"/>
                <w:i w:val="0"/>
                <w:iCs w:val="0"/>
                <w:color w:val="auto"/>
                <w:kern w:val="0"/>
                <w:sz w:val="16"/>
                <w:szCs w:val="16"/>
                <w:u w:val="none"/>
                <w:lang w:val="en-US" w:eastAsia="zh-CN" w:bidi="ar"/>
              </w:rPr>
              <w:t>热成像筒型摄像系统（防疫用）</w:t>
            </w:r>
          </w:p>
        </w:tc>
      </w:tr>
      <w:tr>
        <w:tblPrEx>
          <w:shd w:val="clear" w:color="auto" w:fill="auto"/>
          <w:tblCellMar>
            <w:top w:w="0" w:type="dxa"/>
            <w:left w:w="108" w:type="dxa"/>
            <w:bottom w:w="0" w:type="dxa"/>
            <w:right w:w="108" w:type="dxa"/>
          </w:tblCellMar>
        </w:tblPrEx>
        <w:trPr>
          <w:trHeight w:val="12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3</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58420</wp:posOffset>
                  </wp:positionH>
                  <wp:positionV relativeFrom="paragraph">
                    <wp:posOffset>234950</wp:posOffset>
                  </wp:positionV>
                  <wp:extent cx="227330" cy="241300"/>
                  <wp:effectExtent l="0" t="0" r="1270" b="6350"/>
                  <wp:wrapNone/>
                  <wp:docPr id="47" name="图片_1"/>
                  <wp:cNvGraphicFramePr/>
                  <a:graphic xmlns:a="http://schemas.openxmlformats.org/drawingml/2006/main">
                    <a:graphicData uri="http://schemas.openxmlformats.org/drawingml/2006/picture">
                      <pic:pic xmlns:pic="http://schemas.openxmlformats.org/drawingml/2006/picture">
                        <pic:nvPicPr>
                          <pic:cNvPr id="47" name="图片_1"/>
                          <pic:cNvPicPr/>
                        </pic:nvPicPr>
                        <pic:blipFill>
                          <a:blip r:embed="rId8"/>
                          <a:stretch>
                            <a:fillRect/>
                          </a:stretch>
                        </pic:blipFill>
                        <pic:spPr>
                          <a:xfrm>
                            <a:off x="0" y="0"/>
                            <a:ext cx="227330" cy="241300"/>
                          </a:xfrm>
                          <a:prstGeom prst="rect">
                            <a:avLst/>
                          </a:prstGeom>
                          <a:noFill/>
                          <a:ln>
                            <a:noFill/>
                          </a:ln>
                        </pic:spPr>
                      </pic:pic>
                    </a:graphicData>
                  </a:graphic>
                </wp:anchor>
              </w:drawing>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网络高清400万摄像机</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DS-2CD2T45V2-I3</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海康</w:t>
            </w:r>
          </w:p>
        </w:tc>
        <w:tc>
          <w:tcPr>
            <w:tcW w:w="2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42</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8"/>
                <w:szCs w:val="18"/>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213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400万网络高清枪机</w:t>
            </w:r>
          </w:p>
        </w:tc>
      </w:tr>
      <w:tr>
        <w:tblPrEx>
          <w:shd w:val="clear" w:color="auto" w:fill="auto"/>
          <w:tblCellMar>
            <w:top w:w="0" w:type="dxa"/>
            <w:left w:w="108" w:type="dxa"/>
            <w:bottom w:w="0" w:type="dxa"/>
            <w:right w:w="108" w:type="dxa"/>
          </w:tblCellMar>
        </w:tblPrEx>
        <w:trPr>
          <w:trHeight w:val="12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4</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-22225</wp:posOffset>
                  </wp:positionH>
                  <wp:positionV relativeFrom="paragraph">
                    <wp:posOffset>187960</wp:posOffset>
                  </wp:positionV>
                  <wp:extent cx="319405" cy="396875"/>
                  <wp:effectExtent l="0" t="0" r="4445" b="3175"/>
                  <wp:wrapNone/>
                  <wp:docPr id="48" name="Picture_1_SpCnt_2"/>
                  <wp:cNvGraphicFramePr/>
                  <a:graphic xmlns:a="http://schemas.openxmlformats.org/drawingml/2006/main">
                    <a:graphicData uri="http://schemas.openxmlformats.org/drawingml/2006/picture">
                      <pic:pic xmlns:pic="http://schemas.openxmlformats.org/drawingml/2006/picture">
                        <pic:nvPicPr>
                          <pic:cNvPr id="48" name="Picture_1_SpCnt_2"/>
                          <pic:cNvPicPr/>
                        </pic:nvPicPr>
                        <pic:blipFill>
                          <a:blip r:embed="rId9"/>
                          <a:stretch>
                            <a:fillRect/>
                          </a:stretch>
                        </pic:blipFill>
                        <pic:spPr>
                          <a:xfrm>
                            <a:off x="0" y="0"/>
                            <a:ext cx="319405" cy="396875"/>
                          </a:xfrm>
                          <a:prstGeom prst="rect">
                            <a:avLst/>
                          </a:prstGeom>
                          <a:noFill/>
                          <a:ln>
                            <a:noFill/>
                          </a:ln>
                        </pic:spPr>
                      </pic:pic>
                    </a:graphicData>
                  </a:graphic>
                </wp:anchor>
              </w:drawing>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auto"/>
                <w:sz w:val="16"/>
                <w:szCs w:val="16"/>
                <w:u w:val="none"/>
              </w:rPr>
            </w:pPr>
            <w:r>
              <w:rPr>
                <w:rFonts w:hint="eastAsia" w:ascii="微软雅黑" w:hAnsi="微软雅黑" w:eastAsia="微软雅黑" w:cs="微软雅黑"/>
                <w:i w:val="0"/>
                <w:iCs w:val="0"/>
                <w:color w:val="auto"/>
                <w:kern w:val="0"/>
                <w:sz w:val="16"/>
                <w:szCs w:val="16"/>
                <w:u w:val="none"/>
                <w:lang w:val="en-US" w:eastAsia="zh-CN" w:bidi="ar"/>
              </w:rPr>
              <w:t>2系列轻智能警戒网络摄像机</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auto"/>
                <w:sz w:val="16"/>
                <w:szCs w:val="16"/>
                <w:u w:val="none"/>
              </w:rPr>
            </w:pPr>
            <w:r>
              <w:rPr>
                <w:rFonts w:hint="eastAsia" w:ascii="微软雅黑" w:hAnsi="微软雅黑" w:eastAsia="微软雅黑" w:cs="微软雅黑"/>
                <w:i w:val="0"/>
                <w:iCs w:val="0"/>
                <w:color w:val="auto"/>
                <w:kern w:val="0"/>
                <w:sz w:val="16"/>
                <w:szCs w:val="16"/>
                <w:u w:val="none"/>
                <w:lang w:val="en-US" w:eastAsia="zh-CN" w:bidi="ar"/>
              </w:rPr>
              <w:t>DS-2CD2T46FWDA3-IS</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海康</w:t>
            </w:r>
          </w:p>
        </w:tc>
        <w:tc>
          <w:tcPr>
            <w:tcW w:w="2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8"/>
                <w:szCs w:val="18"/>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8"/>
                <w:szCs w:val="18"/>
                <w:u w:val="none"/>
              </w:rPr>
            </w:pPr>
          </w:p>
        </w:tc>
        <w:tc>
          <w:tcPr>
            <w:tcW w:w="213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围墙周界专用智能报警摄像机</w:t>
            </w:r>
          </w:p>
        </w:tc>
      </w:tr>
      <w:tr>
        <w:tblPrEx>
          <w:shd w:val="clear" w:color="auto" w:fill="auto"/>
          <w:tblCellMar>
            <w:top w:w="0" w:type="dxa"/>
            <w:left w:w="108" w:type="dxa"/>
            <w:bottom w:w="0" w:type="dxa"/>
            <w:right w:w="108" w:type="dxa"/>
          </w:tblCellMar>
        </w:tblPrEx>
        <w:trPr>
          <w:trHeight w:val="12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5</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19050</wp:posOffset>
                  </wp:positionH>
                  <wp:positionV relativeFrom="paragraph">
                    <wp:posOffset>184150</wp:posOffset>
                  </wp:positionV>
                  <wp:extent cx="309245" cy="374650"/>
                  <wp:effectExtent l="0" t="0" r="14605" b="6350"/>
                  <wp:wrapNone/>
                  <wp:docPr id="49" name="Picture_1_SpCnt_3"/>
                  <wp:cNvGraphicFramePr/>
                  <a:graphic xmlns:a="http://schemas.openxmlformats.org/drawingml/2006/main">
                    <a:graphicData uri="http://schemas.openxmlformats.org/drawingml/2006/picture">
                      <pic:pic xmlns:pic="http://schemas.openxmlformats.org/drawingml/2006/picture">
                        <pic:nvPicPr>
                          <pic:cNvPr id="49" name="Picture_1_SpCnt_3"/>
                          <pic:cNvPicPr/>
                        </pic:nvPicPr>
                        <pic:blipFill>
                          <a:blip r:embed="rId10"/>
                          <a:stretch>
                            <a:fillRect/>
                          </a:stretch>
                        </pic:blipFill>
                        <pic:spPr>
                          <a:xfrm>
                            <a:off x="0" y="0"/>
                            <a:ext cx="309245" cy="374650"/>
                          </a:xfrm>
                          <a:prstGeom prst="rect">
                            <a:avLst/>
                          </a:prstGeom>
                          <a:noFill/>
                          <a:ln>
                            <a:noFill/>
                          </a:ln>
                        </pic:spPr>
                      </pic:pic>
                    </a:graphicData>
                  </a:graphic>
                </wp:anchor>
              </w:drawing>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auto"/>
                <w:sz w:val="16"/>
                <w:szCs w:val="16"/>
                <w:u w:val="none"/>
              </w:rPr>
            </w:pPr>
            <w:r>
              <w:rPr>
                <w:rFonts w:hint="eastAsia" w:ascii="微软雅黑" w:hAnsi="微软雅黑" w:eastAsia="微软雅黑" w:cs="微软雅黑"/>
                <w:i w:val="0"/>
                <w:iCs w:val="0"/>
                <w:color w:val="auto"/>
                <w:kern w:val="0"/>
                <w:sz w:val="16"/>
                <w:szCs w:val="16"/>
                <w:u w:val="none"/>
                <w:lang w:val="en-US" w:eastAsia="zh-CN" w:bidi="ar"/>
              </w:rPr>
              <w:t>防爆定焦筒机系列</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auto"/>
                <w:sz w:val="16"/>
                <w:szCs w:val="16"/>
                <w:u w:val="none"/>
              </w:rPr>
            </w:pPr>
            <w:r>
              <w:rPr>
                <w:rFonts w:hint="eastAsia" w:ascii="微软雅黑" w:hAnsi="微软雅黑" w:eastAsia="微软雅黑" w:cs="微软雅黑"/>
                <w:i w:val="0"/>
                <w:iCs w:val="0"/>
                <w:color w:val="auto"/>
                <w:kern w:val="0"/>
                <w:sz w:val="16"/>
                <w:szCs w:val="16"/>
                <w:u w:val="none"/>
                <w:lang w:val="en-US" w:eastAsia="zh-CN" w:bidi="ar"/>
              </w:rPr>
              <w:t>DS-2XE6046FWD-I</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海康</w:t>
            </w:r>
          </w:p>
        </w:tc>
        <w:tc>
          <w:tcPr>
            <w:tcW w:w="2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8"/>
                <w:szCs w:val="18"/>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8"/>
                <w:szCs w:val="18"/>
                <w:u w:val="none"/>
              </w:rPr>
            </w:pPr>
          </w:p>
        </w:tc>
        <w:tc>
          <w:tcPr>
            <w:tcW w:w="213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防爆型枪机</w:t>
            </w:r>
          </w:p>
        </w:tc>
      </w:tr>
      <w:tr>
        <w:tblPrEx>
          <w:shd w:val="clear" w:color="auto" w:fill="auto"/>
          <w:tblCellMar>
            <w:top w:w="0" w:type="dxa"/>
            <w:left w:w="108" w:type="dxa"/>
            <w:bottom w:w="0" w:type="dxa"/>
            <w:right w:w="108" w:type="dxa"/>
          </w:tblCellMar>
        </w:tblPrEx>
        <w:trPr>
          <w:trHeight w:val="12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6</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92075</wp:posOffset>
                  </wp:positionH>
                  <wp:positionV relativeFrom="paragraph">
                    <wp:posOffset>172720</wp:posOffset>
                  </wp:positionV>
                  <wp:extent cx="213995" cy="345440"/>
                  <wp:effectExtent l="0" t="0" r="14605" b="16510"/>
                  <wp:wrapNone/>
                  <wp:docPr id="50" name="图片_1_SpCnt_1"/>
                  <wp:cNvGraphicFramePr/>
                  <a:graphic xmlns:a="http://schemas.openxmlformats.org/drawingml/2006/main">
                    <a:graphicData uri="http://schemas.openxmlformats.org/drawingml/2006/picture">
                      <pic:pic xmlns:pic="http://schemas.openxmlformats.org/drawingml/2006/picture">
                        <pic:nvPicPr>
                          <pic:cNvPr id="50" name="图片_1_SpCnt_1"/>
                          <pic:cNvPicPr/>
                        </pic:nvPicPr>
                        <pic:blipFill>
                          <a:blip r:embed="rId11"/>
                          <a:stretch>
                            <a:fillRect/>
                          </a:stretch>
                        </pic:blipFill>
                        <pic:spPr>
                          <a:xfrm>
                            <a:off x="0" y="0"/>
                            <a:ext cx="213995" cy="345440"/>
                          </a:xfrm>
                          <a:prstGeom prst="rect">
                            <a:avLst/>
                          </a:prstGeom>
                          <a:noFill/>
                          <a:ln>
                            <a:noFill/>
                          </a:ln>
                        </pic:spPr>
                      </pic:pic>
                    </a:graphicData>
                  </a:graphic>
                </wp:anchor>
              </w:drawing>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网络高清400万球机</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DS-2DE7423IW-A(S6)</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海康</w:t>
            </w:r>
          </w:p>
        </w:tc>
        <w:tc>
          <w:tcPr>
            <w:tcW w:w="2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台</w:t>
            </w: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8"/>
                <w:szCs w:val="18"/>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213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400万网络高清球机</w:t>
            </w:r>
          </w:p>
        </w:tc>
      </w:tr>
      <w:tr>
        <w:tblPrEx>
          <w:shd w:val="clear" w:color="auto" w:fill="auto"/>
          <w:tblCellMar>
            <w:top w:w="0" w:type="dxa"/>
            <w:left w:w="108" w:type="dxa"/>
            <w:bottom w:w="0" w:type="dxa"/>
            <w:right w:w="108" w:type="dxa"/>
          </w:tblCellMar>
        </w:tblPrEx>
        <w:trPr>
          <w:trHeight w:val="12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7</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8"/>
                <w:szCs w:val="18"/>
                <w:u w:val="none"/>
              </w:rPr>
            </w:pPr>
            <w:r>
              <w:rPr>
                <w:rFonts w:hint="eastAsia" w:ascii="黑体" w:hAnsi="宋体" w:eastAsia="黑体" w:cs="黑体"/>
                <w:i w:val="0"/>
                <w:iCs w:val="0"/>
                <w:color w:val="auto"/>
                <w:kern w:val="0"/>
                <w:sz w:val="24"/>
                <w:szCs w:val="24"/>
                <w:u w:val="none"/>
                <w:bdr w:val="single" w:color="000000" w:sz="4" w:space="0"/>
                <w:shd w:val="clear" w:fill="FFFFFF"/>
                <w:lang w:val="en-US" w:eastAsia="zh-CN" w:bidi="ar"/>
              </w:rPr>
              <w:drawing>
                <wp:anchor distT="0" distB="0" distL="114300" distR="114300" simplePos="0" relativeHeight="251659264" behindDoc="0" locked="0" layoutInCell="1" allowOverlap="1">
                  <wp:simplePos x="0" y="0"/>
                  <wp:positionH relativeFrom="column">
                    <wp:posOffset>-11430</wp:posOffset>
                  </wp:positionH>
                  <wp:positionV relativeFrom="paragraph">
                    <wp:posOffset>188595</wp:posOffset>
                  </wp:positionV>
                  <wp:extent cx="270510" cy="277495"/>
                  <wp:effectExtent l="0" t="0" r="0" b="8255"/>
                  <wp:wrapNone/>
                  <wp:docPr id="51" name="Picture_1_SpCnt_4"/>
                  <wp:cNvGraphicFramePr/>
                  <a:graphic xmlns:a="http://schemas.openxmlformats.org/drawingml/2006/main">
                    <a:graphicData uri="http://schemas.openxmlformats.org/drawingml/2006/picture">
                      <pic:pic xmlns:pic="http://schemas.openxmlformats.org/drawingml/2006/picture">
                        <pic:nvPicPr>
                          <pic:cNvPr id="51" name="Picture_1_SpCnt_4"/>
                          <pic:cNvPicPr/>
                        </pic:nvPicPr>
                        <pic:blipFill>
                          <a:blip r:embed="rId12"/>
                          <a:stretch>
                            <a:fillRect/>
                          </a:stretch>
                        </pic:blipFill>
                        <pic:spPr>
                          <a:xfrm>
                            <a:off x="0" y="0"/>
                            <a:ext cx="270510" cy="277495"/>
                          </a:xfrm>
                          <a:prstGeom prst="rect">
                            <a:avLst/>
                          </a:prstGeom>
                          <a:noFill/>
                          <a:ln>
                            <a:noFill/>
                          </a:ln>
                        </pic:spPr>
                      </pic:pic>
                    </a:graphicData>
                  </a:graphic>
                </wp:anchor>
              </w:drawing>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auto"/>
                <w:sz w:val="16"/>
                <w:szCs w:val="16"/>
                <w:u w:val="none"/>
              </w:rPr>
            </w:pPr>
            <w:r>
              <w:rPr>
                <w:rFonts w:hint="eastAsia" w:ascii="微软雅黑" w:hAnsi="微软雅黑" w:eastAsia="微软雅黑" w:cs="微软雅黑"/>
                <w:i w:val="0"/>
                <w:iCs w:val="0"/>
                <w:color w:val="auto"/>
                <w:kern w:val="0"/>
                <w:sz w:val="16"/>
                <w:szCs w:val="16"/>
                <w:u w:val="none"/>
                <w:lang w:val="en-US" w:eastAsia="zh-CN" w:bidi="ar"/>
              </w:rPr>
              <w:t>全彩全景枪球智能一体机</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auto"/>
                <w:sz w:val="16"/>
                <w:szCs w:val="16"/>
                <w:u w:val="none"/>
              </w:rPr>
            </w:pPr>
            <w:r>
              <w:rPr>
                <w:rFonts w:hint="eastAsia" w:ascii="微软雅黑" w:hAnsi="微软雅黑" w:eastAsia="微软雅黑" w:cs="微软雅黑"/>
                <w:i w:val="0"/>
                <w:iCs w:val="0"/>
                <w:color w:val="auto"/>
                <w:kern w:val="0"/>
                <w:sz w:val="16"/>
                <w:szCs w:val="16"/>
                <w:u w:val="none"/>
                <w:lang w:val="en-US" w:eastAsia="zh-CN" w:bidi="ar"/>
              </w:rPr>
              <w:t>iDS-2SE7C144MW-D(23X/F1)(S5)(B)</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海康</w:t>
            </w:r>
          </w:p>
        </w:tc>
        <w:tc>
          <w:tcPr>
            <w:tcW w:w="2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台</w:t>
            </w: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8"/>
                <w:szCs w:val="18"/>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213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智能型双镜头球机</w:t>
            </w:r>
          </w:p>
        </w:tc>
      </w:tr>
      <w:tr>
        <w:tblPrEx>
          <w:shd w:val="clear" w:color="auto" w:fill="auto"/>
          <w:tblCellMar>
            <w:top w:w="0" w:type="dxa"/>
            <w:left w:w="108" w:type="dxa"/>
            <w:bottom w:w="0" w:type="dxa"/>
            <w:right w:w="108" w:type="dxa"/>
          </w:tblCellMar>
        </w:tblPrEx>
        <w:trPr>
          <w:trHeight w:val="12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8</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29210</wp:posOffset>
                  </wp:positionH>
                  <wp:positionV relativeFrom="paragraph">
                    <wp:posOffset>148590</wp:posOffset>
                  </wp:positionV>
                  <wp:extent cx="266700" cy="455930"/>
                  <wp:effectExtent l="0" t="0" r="0" b="1270"/>
                  <wp:wrapNone/>
                  <wp:docPr id="52" name="Picture_1_SpCnt_5"/>
                  <wp:cNvGraphicFramePr/>
                  <a:graphic xmlns:a="http://schemas.openxmlformats.org/drawingml/2006/main">
                    <a:graphicData uri="http://schemas.openxmlformats.org/drawingml/2006/picture">
                      <pic:pic xmlns:pic="http://schemas.openxmlformats.org/drawingml/2006/picture">
                        <pic:nvPicPr>
                          <pic:cNvPr id="52" name="Picture_1_SpCnt_5"/>
                          <pic:cNvPicPr/>
                        </pic:nvPicPr>
                        <pic:blipFill>
                          <a:blip r:embed="rId13"/>
                          <a:stretch>
                            <a:fillRect/>
                          </a:stretch>
                        </pic:blipFill>
                        <pic:spPr>
                          <a:xfrm>
                            <a:off x="0" y="0"/>
                            <a:ext cx="266700" cy="455930"/>
                          </a:xfrm>
                          <a:prstGeom prst="rect">
                            <a:avLst/>
                          </a:prstGeom>
                          <a:noFill/>
                          <a:ln>
                            <a:noFill/>
                          </a:ln>
                        </pic:spPr>
                      </pic:pic>
                    </a:graphicData>
                  </a:graphic>
                </wp:anchor>
              </w:drawing>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auto"/>
                <w:sz w:val="16"/>
                <w:szCs w:val="16"/>
                <w:u w:val="none"/>
              </w:rPr>
            </w:pPr>
            <w:r>
              <w:rPr>
                <w:rFonts w:hint="eastAsia" w:ascii="微软雅黑" w:hAnsi="微软雅黑" w:eastAsia="微软雅黑" w:cs="微软雅黑"/>
                <w:i w:val="0"/>
                <w:iCs w:val="0"/>
                <w:color w:val="auto"/>
                <w:kern w:val="0"/>
                <w:sz w:val="16"/>
                <w:szCs w:val="16"/>
                <w:u w:val="none"/>
                <w:lang w:val="en-US" w:eastAsia="zh-CN" w:bidi="ar"/>
              </w:rPr>
              <w:t>intel双路通用服务器</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auto"/>
                <w:sz w:val="16"/>
                <w:szCs w:val="16"/>
                <w:u w:val="none"/>
              </w:rPr>
            </w:pPr>
            <w:r>
              <w:rPr>
                <w:rFonts w:hint="eastAsia" w:ascii="微软雅黑" w:hAnsi="微软雅黑" w:eastAsia="微软雅黑" w:cs="微软雅黑"/>
                <w:i w:val="0"/>
                <w:iCs w:val="0"/>
                <w:color w:val="auto"/>
                <w:kern w:val="0"/>
                <w:sz w:val="16"/>
                <w:szCs w:val="16"/>
                <w:u w:val="none"/>
                <w:lang w:val="en-US" w:eastAsia="zh-CN" w:bidi="ar"/>
              </w:rPr>
              <w:t>DS-VE22S-B(310803609)</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海康</w:t>
            </w:r>
          </w:p>
        </w:tc>
        <w:tc>
          <w:tcPr>
            <w:tcW w:w="2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8"/>
                <w:szCs w:val="18"/>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213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智能视频组网管理服务器</w:t>
            </w:r>
          </w:p>
        </w:tc>
      </w:tr>
      <w:tr>
        <w:tblPrEx>
          <w:shd w:val="clear" w:color="auto" w:fill="auto"/>
          <w:tblCellMar>
            <w:top w:w="0" w:type="dxa"/>
            <w:left w:w="108" w:type="dxa"/>
            <w:bottom w:w="0" w:type="dxa"/>
            <w:right w:w="108" w:type="dxa"/>
          </w:tblCellMar>
        </w:tblPrEx>
        <w:trPr>
          <w:trHeight w:val="12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9</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Calibri" w:hAnsi="Calibri" w:eastAsia="宋体" w:cs="Calibri"/>
                <w:i w:val="0"/>
                <w:iCs w:val="0"/>
                <w:color w:val="auto"/>
                <w:sz w:val="16"/>
                <w:szCs w:val="16"/>
                <w:u w:val="none"/>
              </w:rPr>
            </w:pPr>
            <w:r>
              <w:rPr>
                <w:rFonts w:hint="default" w:ascii="Calibri" w:hAnsi="Calibri" w:eastAsia="宋体" w:cs="Calibri"/>
                <w:i w:val="0"/>
                <w:iCs w:val="0"/>
                <w:color w:val="auto"/>
                <w:kern w:val="0"/>
                <w:sz w:val="16"/>
                <w:szCs w:val="16"/>
                <w:u w:val="none"/>
                <w:lang w:val="en-US" w:eastAsia="zh-CN" w:bidi="ar"/>
              </w:rPr>
              <w:t>iSecure Center综合安防管理平台(DS)</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auto"/>
                <w:sz w:val="16"/>
                <w:szCs w:val="16"/>
                <w:u w:val="none"/>
              </w:rPr>
            </w:pP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auto"/>
                <w:sz w:val="16"/>
                <w:szCs w:val="16"/>
                <w:u w:val="none"/>
              </w:rPr>
            </w:pPr>
            <w:r>
              <w:rPr>
                <w:rFonts w:hint="default" w:ascii="Calibri" w:hAnsi="Calibri" w:eastAsia="宋体" w:cs="Calibri"/>
                <w:i w:val="0"/>
                <w:iCs w:val="0"/>
                <w:color w:val="auto"/>
                <w:kern w:val="0"/>
                <w:sz w:val="16"/>
                <w:szCs w:val="16"/>
                <w:u w:val="none"/>
                <w:lang w:val="en-US" w:eastAsia="zh-CN" w:bidi="ar"/>
              </w:rPr>
              <w:t>iSecure Center-SM</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海康</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auto"/>
                <w:sz w:val="16"/>
                <w:szCs w:val="16"/>
                <w:u w:val="none"/>
              </w:rPr>
            </w:pPr>
            <w:r>
              <w:rPr>
                <w:rFonts w:hint="default" w:ascii="Calibri" w:hAnsi="Calibri" w:eastAsia="宋体" w:cs="Calibri"/>
                <w:i w:val="0"/>
                <w:iCs w:val="0"/>
                <w:color w:val="auto"/>
                <w:kern w:val="0"/>
                <w:sz w:val="16"/>
                <w:szCs w:val="16"/>
                <w:u w:val="none"/>
                <w:lang w:val="en-US" w:eastAsia="zh-CN" w:bidi="ar"/>
              </w:rPr>
              <w:t>套</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auto"/>
                <w:sz w:val="16"/>
                <w:szCs w:val="16"/>
                <w:u w:val="none"/>
              </w:rPr>
            </w:pPr>
            <w:r>
              <w:rPr>
                <w:rFonts w:hint="default" w:ascii="Calibri" w:hAnsi="Calibri" w:eastAsia="宋体" w:cs="Calibri"/>
                <w:i w:val="0"/>
                <w:iCs w:val="0"/>
                <w:color w:val="auto"/>
                <w:kern w:val="0"/>
                <w:sz w:val="16"/>
                <w:szCs w:val="16"/>
                <w:u w:val="none"/>
                <w:lang w:val="en-US" w:eastAsia="zh-CN" w:bidi="ar"/>
              </w:rPr>
              <w:t>1</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auto"/>
                <w:sz w:val="16"/>
                <w:szCs w:val="16"/>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213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服务器管理软件</w:t>
            </w:r>
          </w:p>
        </w:tc>
      </w:tr>
      <w:tr>
        <w:tblPrEx>
          <w:shd w:val="clear" w:color="auto" w:fill="auto"/>
          <w:tblCellMar>
            <w:top w:w="0" w:type="dxa"/>
            <w:left w:w="108" w:type="dxa"/>
            <w:bottom w:w="0" w:type="dxa"/>
            <w:right w:w="108" w:type="dxa"/>
          </w:tblCellMar>
        </w:tblPrEx>
        <w:trPr>
          <w:trHeight w:val="12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10</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auto"/>
                <w:sz w:val="16"/>
                <w:szCs w:val="16"/>
                <w:u w:val="none"/>
              </w:rPr>
            </w:pPr>
            <w:r>
              <w:rPr>
                <w:rFonts w:hint="default" w:ascii="Calibri" w:hAnsi="Calibri" w:eastAsia="宋体" w:cs="Calibri"/>
                <w:i w:val="0"/>
                <w:iCs w:val="0"/>
                <w:color w:val="auto"/>
                <w:kern w:val="0"/>
                <w:sz w:val="16"/>
                <w:szCs w:val="16"/>
                <w:u w:val="none"/>
                <w:lang w:val="en-US" w:eastAsia="zh-CN" w:bidi="ar"/>
              </w:rPr>
              <w:t>iSecure Center综合安防管理平台(DS)</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auto"/>
                <w:sz w:val="16"/>
                <w:szCs w:val="16"/>
                <w:u w:val="none"/>
              </w:rPr>
            </w:pP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auto"/>
                <w:sz w:val="16"/>
                <w:szCs w:val="16"/>
                <w:u w:val="none"/>
              </w:rPr>
            </w:pPr>
            <w:r>
              <w:rPr>
                <w:rFonts w:hint="default" w:ascii="Calibri" w:hAnsi="Calibri" w:eastAsia="宋体" w:cs="Calibri"/>
                <w:i w:val="0"/>
                <w:iCs w:val="0"/>
                <w:color w:val="auto"/>
                <w:kern w:val="0"/>
                <w:sz w:val="16"/>
                <w:szCs w:val="16"/>
                <w:u w:val="none"/>
                <w:lang w:val="en-US" w:eastAsia="zh-CN" w:bidi="ar"/>
              </w:rPr>
              <w:t>iSecure Center-VMS</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海康</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auto"/>
                <w:sz w:val="16"/>
                <w:szCs w:val="16"/>
                <w:u w:val="none"/>
              </w:rPr>
            </w:pPr>
            <w:r>
              <w:rPr>
                <w:rFonts w:hint="default" w:ascii="Calibri" w:hAnsi="Calibri" w:eastAsia="宋体" w:cs="Calibri"/>
                <w:i w:val="0"/>
                <w:iCs w:val="0"/>
                <w:color w:val="auto"/>
                <w:kern w:val="0"/>
                <w:sz w:val="16"/>
                <w:szCs w:val="16"/>
                <w:u w:val="none"/>
                <w:lang w:val="en-US" w:eastAsia="zh-CN" w:bidi="ar"/>
              </w:rPr>
              <w:t>路</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auto"/>
                <w:sz w:val="16"/>
                <w:szCs w:val="16"/>
                <w:u w:val="none"/>
              </w:rPr>
            </w:pPr>
            <w:r>
              <w:rPr>
                <w:rFonts w:hint="default" w:ascii="Calibri" w:hAnsi="Calibri" w:eastAsia="宋体" w:cs="Calibri"/>
                <w:i w:val="0"/>
                <w:iCs w:val="0"/>
                <w:color w:val="auto"/>
                <w:kern w:val="0"/>
                <w:sz w:val="16"/>
                <w:szCs w:val="16"/>
                <w:u w:val="none"/>
                <w:lang w:val="en-US" w:eastAsia="zh-CN" w:bidi="ar"/>
              </w:rPr>
              <w:t>100</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auto"/>
                <w:sz w:val="16"/>
                <w:szCs w:val="16"/>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213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视屏回路数量</w:t>
            </w:r>
          </w:p>
        </w:tc>
      </w:tr>
      <w:tr>
        <w:tblPrEx>
          <w:shd w:val="clear" w:color="auto" w:fill="auto"/>
          <w:tblCellMar>
            <w:top w:w="0" w:type="dxa"/>
            <w:left w:w="108" w:type="dxa"/>
            <w:bottom w:w="0" w:type="dxa"/>
            <w:right w:w="108" w:type="dxa"/>
          </w:tblCellMar>
        </w:tblPrEx>
        <w:trPr>
          <w:trHeight w:val="12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11</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auto"/>
                <w:sz w:val="16"/>
                <w:szCs w:val="16"/>
                <w:u w:val="none"/>
              </w:rPr>
            </w:pPr>
            <w:r>
              <w:rPr>
                <w:rFonts w:hint="default" w:ascii="Calibri" w:hAnsi="Calibri" w:eastAsia="宋体" w:cs="Calibri"/>
                <w:i w:val="0"/>
                <w:iCs w:val="0"/>
                <w:color w:val="auto"/>
                <w:kern w:val="0"/>
                <w:sz w:val="16"/>
                <w:szCs w:val="16"/>
                <w:u w:val="none"/>
                <w:lang w:val="en-US" w:eastAsia="zh-CN" w:bidi="ar"/>
              </w:rPr>
              <w:t>iSecure Center综合安防管理平台(DS)</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auto"/>
                <w:sz w:val="16"/>
                <w:szCs w:val="16"/>
                <w:u w:val="none"/>
              </w:rPr>
            </w:pP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auto"/>
                <w:sz w:val="16"/>
                <w:szCs w:val="16"/>
                <w:u w:val="none"/>
              </w:rPr>
            </w:pPr>
            <w:r>
              <w:rPr>
                <w:rFonts w:hint="default" w:ascii="Calibri" w:hAnsi="Calibri" w:eastAsia="宋体" w:cs="Calibri"/>
                <w:i w:val="0"/>
                <w:iCs w:val="0"/>
                <w:color w:val="auto"/>
                <w:kern w:val="0"/>
                <w:sz w:val="16"/>
                <w:szCs w:val="16"/>
                <w:u w:val="none"/>
                <w:lang w:val="en-US" w:eastAsia="zh-CN" w:bidi="ar"/>
              </w:rPr>
              <w:t>iSecure Center-Visitor</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海康</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auto"/>
                <w:sz w:val="16"/>
                <w:szCs w:val="16"/>
                <w:u w:val="none"/>
              </w:rPr>
            </w:pPr>
            <w:r>
              <w:rPr>
                <w:rFonts w:hint="default" w:ascii="Calibri" w:hAnsi="Calibri" w:eastAsia="宋体" w:cs="Calibri"/>
                <w:i w:val="0"/>
                <w:iCs w:val="0"/>
                <w:color w:val="auto"/>
                <w:kern w:val="0"/>
                <w:sz w:val="16"/>
                <w:szCs w:val="16"/>
                <w:u w:val="none"/>
                <w:lang w:val="en-US" w:eastAsia="zh-CN" w:bidi="ar"/>
              </w:rPr>
              <w:t>套</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auto"/>
                <w:sz w:val="16"/>
                <w:szCs w:val="16"/>
                <w:u w:val="none"/>
              </w:rPr>
            </w:pPr>
            <w:r>
              <w:rPr>
                <w:rFonts w:hint="default" w:ascii="Calibri" w:hAnsi="Calibri" w:eastAsia="宋体" w:cs="Calibri"/>
                <w:i w:val="0"/>
                <w:iCs w:val="0"/>
                <w:color w:val="auto"/>
                <w:kern w:val="0"/>
                <w:sz w:val="16"/>
                <w:szCs w:val="16"/>
                <w:u w:val="none"/>
                <w:lang w:val="en-US" w:eastAsia="zh-CN" w:bidi="ar"/>
              </w:rPr>
              <w:t>1</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auto"/>
                <w:sz w:val="16"/>
                <w:szCs w:val="16"/>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213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访客管理软件</w:t>
            </w:r>
          </w:p>
        </w:tc>
      </w:tr>
      <w:tr>
        <w:tblPrEx>
          <w:shd w:val="clear" w:color="auto" w:fill="auto"/>
          <w:tblCellMar>
            <w:top w:w="0" w:type="dxa"/>
            <w:left w:w="108" w:type="dxa"/>
            <w:bottom w:w="0" w:type="dxa"/>
            <w:right w:w="108" w:type="dxa"/>
          </w:tblCellMar>
        </w:tblPrEx>
        <w:trPr>
          <w:trHeight w:val="12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12</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-9525</wp:posOffset>
                  </wp:positionH>
                  <wp:positionV relativeFrom="paragraph">
                    <wp:posOffset>142875</wp:posOffset>
                  </wp:positionV>
                  <wp:extent cx="330200" cy="405130"/>
                  <wp:effectExtent l="0" t="0" r="12700" b="13970"/>
                  <wp:wrapNone/>
                  <wp:docPr id="53" name="Picture_1_SpCnt_6"/>
                  <wp:cNvGraphicFramePr/>
                  <a:graphic xmlns:a="http://schemas.openxmlformats.org/drawingml/2006/main">
                    <a:graphicData uri="http://schemas.openxmlformats.org/drawingml/2006/picture">
                      <pic:pic xmlns:pic="http://schemas.openxmlformats.org/drawingml/2006/picture">
                        <pic:nvPicPr>
                          <pic:cNvPr id="53" name="Picture_1_SpCnt_6"/>
                          <pic:cNvPicPr/>
                        </pic:nvPicPr>
                        <pic:blipFill>
                          <a:blip r:embed="rId14"/>
                          <a:stretch>
                            <a:fillRect/>
                          </a:stretch>
                        </pic:blipFill>
                        <pic:spPr>
                          <a:xfrm>
                            <a:off x="0" y="0"/>
                            <a:ext cx="330200" cy="405130"/>
                          </a:xfrm>
                          <a:prstGeom prst="rect">
                            <a:avLst/>
                          </a:prstGeom>
                          <a:noFill/>
                          <a:ln>
                            <a:noFill/>
                          </a:ln>
                        </pic:spPr>
                      </pic:pic>
                    </a:graphicData>
                  </a:graphic>
                </wp:anchor>
              </w:drawing>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auto"/>
                <w:sz w:val="16"/>
                <w:szCs w:val="16"/>
                <w:u w:val="none"/>
              </w:rPr>
            </w:pPr>
            <w:r>
              <w:rPr>
                <w:rFonts w:hint="eastAsia" w:ascii="微软雅黑" w:hAnsi="微软雅黑" w:eastAsia="微软雅黑" w:cs="微软雅黑"/>
                <w:i w:val="0"/>
                <w:iCs w:val="0"/>
                <w:color w:val="auto"/>
                <w:kern w:val="0"/>
                <w:sz w:val="16"/>
                <w:szCs w:val="16"/>
                <w:u w:val="none"/>
                <w:lang w:val="en-US" w:eastAsia="zh-CN" w:bidi="ar"/>
              </w:rPr>
              <w:t>IoT-CVR存储</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auto"/>
                <w:sz w:val="16"/>
                <w:szCs w:val="16"/>
                <w:u w:val="none"/>
              </w:rPr>
            </w:pPr>
            <w:r>
              <w:rPr>
                <w:rFonts w:hint="eastAsia" w:ascii="微软雅黑" w:hAnsi="微软雅黑" w:eastAsia="微软雅黑" w:cs="微软雅黑"/>
                <w:i w:val="0"/>
                <w:iCs w:val="0"/>
                <w:color w:val="auto"/>
                <w:kern w:val="0"/>
                <w:sz w:val="16"/>
                <w:szCs w:val="16"/>
                <w:u w:val="none"/>
                <w:lang w:val="en-US" w:eastAsia="zh-CN" w:bidi="ar"/>
              </w:rPr>
              <w:t>DS-A71048R/6T</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海康</w:t>
            </w:r>
          </w:p>
        </w:tc>
        <w:tc>
          <w:tcPr>
            <w:tcW w:w="2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8"/>
                <w:szCs w:val="18"/>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8"/>
                <w:szCs w:val="18"/>
                <w:u w:val="none"/>
              </w:rPr>
            </w:pPr>
          </w:p>
        </w:tc>
        <w:tc>
          <w:tcPr>
            <w:tcW w:w="213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0"/>
                <w:szCs w:val="20"/>
                <w:u w:val="none"/>
              </w:rPr>
            </w:pPr>
          </w:p>
        </w:tc>
      </w:tr>
      <w:tr>
        <w:tblPrEx>
          <w:shd w:val="clear" w:color="auto" w:fill="auto"/>
          <w:tblCellMar>
            <w:top w:w="0" w:type="dxa"/>
            <w:left w:w="108" w:type="dxa"/>
            <w:bottom w:w="0" w:type="dxa"/>
            <w:right w:w="108" w:type="dxa"/>
          </w:tblCellMar>
        </w:tblPrEx>
        <w:trPr>
          <w:trHeight w:val="15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13</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-45720</wp:posOffset>
                  </wp:positionH>
                  <wp:positionV relativeFrom="paragraph">
                    <wp:posOffset>332105</wp:posOffset>
                  </wp:positionV>
                  <wp:extent cx="417195" cy="339725"/>
                  <wp:effectExtent l="0" t="0" r="1905" b="3175"/>
                  <wp:wrapNone/>
                  <wp:docPr id="54" name="图片_2"/>
                  <wp:cNvGraphicFramePr/>
                  <a:graphic xmlns:a="http://schemas.openxmlformats.org/drawingml/2006/main">
                    <a:graphicData uri="http://schemas.openxmlformats.org/drawingml/2006/picture">
                      <pic:pic xmlns:pic="http://schemas.openxmlformats.org/drawingml/2006/picture">
                        <pic:nvPicPr>
                          <pic:cNvPr id="54" name="图片_2"/>
                          <pic:cNvPicPr/>
                        </pic:nvPicPr>
                        <pic:blipFill>
                          <a:blip r:embed="rId15"/>
                          <a:stretch>
                            <a:fillRect/>
                          </a:stretch>
                        </pic:blipFill>
                        <pic:spPr>
                          <a:xfrm>
                            <a:off x="0" y="0"/>
                            <a:ext cx="417195" cy="339725"/>
                          </a:xfrm>
                          <a:prstGeom prst="rect">
                            <a:avLst/>
                          </a:prstGeom>
                          <a:noFill/>
                          <a:ln>
                            <a:noFill/>
                          </a:ln>
                        </pic:spPr>
                      </pic:pic>
                    </a:graphicData>
                  </a:graphic>
                </wp:anchor>
              </w:drawing>
            </w:r>
          </w:p>
        </w:tc>
        <w:tc>
          <w:tcPr>
            <w:tcW w:w="34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企业级别SATA硬盘</w:t>
            </w:r>
          </w:p>
        </w:tc>
        <w:tc>
          <w:tcPr>
            <w:tcW w:w="50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6T</w:t>
            </w:r>
          </w:p>
        </w:tc>
        <w:tc>
          <w:tcPr>
            <w:tcW w:w="27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希捷</w:t>
            </w:r>
          </w:p>
        </w:tc>
        <w:tc>
          <w:tcPr>
            <w:tcW w:w="28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块</w:t>
            </w:r>
          </w:p>
        </w:tc>
        <w:tc>
          <w:tcPr>
            <w:tcW w:w="2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48</w:t>
            </w:r>
          </w:p>
        </w:tc>
        <w:tc>
          <w:tcPr>
            <w:tcW w:w="33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8"/>
                <w:szCs w:val="18"/>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auto"/>
                <w:sz w:val="18"/>
                <w:szCs w:val="18"/>
                <w:u w:val="none"/>
              </w:rPr>
            </w:pPr>
          </w:p>
        </w:tc>
        <w:tc>
          <w:tcPr>
            <w:tcW w:w="2138"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录像三个月</w:t>
            </w:r>
          </w:p>
        </w:tc>
      </w:tr>
      <w:tr>
        <w:tblPrEx>
          <w:shd w:val="clear" w:color="auto" w:fill="auto"/>
          <w:tblCellMar>
            <w:top w:w="0" w:type="dxa"/>
            <w:left w:w="108" w:type="dxa"/>
            <w:bottom w:w="0" w:type="dxa"/>
            <w:right w:w="108" w:type="dxa"/>
          </w:tblCellMar>
        </w:tblPrEx>
        <w:trPr>
          <w:trHeight w:val="15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14</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-66675</wp:posOffset>
                  </wp:positionH>
                  <wp:positionV relativeFrom="paragraph">
                    <wp:posOffset>347345</wp:posOffset>
                  </wp:positionV>
                  <wp:extent cx="422275" cy="295910"/>
                  <wp:effectExtent l="0" t="0" r="15875" b="8890"/>
                  <wp:wrapNone/>
                  <wp:docPr id="55" name="图片_5"/>
                  <wp:cNvGraphicFramePr/>
                  <a:graphic xmlns:a="http://schemas.openxmlformats.org/drawingml/2006/main">
                    <a:graphicData uri="http://schemas.openxmlformats.org/drawingml/2006/picture">
                      <pic:pic xmlns:pic="http://schemas.openxmlformats.org/drawingml/2006/picture">
                        <pic:nvPicPr>
                          <pic:cNvPr id="55" name="图片_5"/>
                          <pic:cNvPicPr/>
                        </pic:nvPicPr>
                        <pic:blipFill>
                          <a:blip r:embed="rId16"/>
                          <a:stretch>
                            <a:fillRect/>
                          </a:stretch>
                        </pic:blipFill>
                        <pic:spPr>
                          <a:xfrm>
                            <a:off x="0" y="0"/>
                            <a:ext cx="422275" cy="295910"/>
                          </a:xfrm>
                          <a:prstGeom prst="rect">
                            <a:avLst/>
                          </a:prstGeom>
                          <a:noFill/>
                          <a:ln>
                            <a:noFill/>
                          </a:ln>
                        </pic:spPr>
                      </pic:pic>
                    </a:graphicData>
                  </a:graphic>
                </wp:anchor>
              </w:drawing>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海康球机支架</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铝合金专用支架</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海康</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只</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9</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8"/>
                <w:szCs w:val="18"/>
                <w:u w:val="none"/>
              </w:rPr>
            </w:pPr>
          </w:p>
        </w:tc>
        <w:tc>
          <w:tcPr>
            <w:tcW w:w="213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0"/>
                <w:szCs w:val="20"/>
                <w:u w:val="none"/>
              </w:rPr>
            </w:pPr>
          </w:p>
        </w:tc>
      </w:tr>
      <w:tr>
        <w:tblPrEx>
          <w:shd w:val="clear" w:color="auto" w:fill="auto"/>
          <w:tblCellMar>
            <w:top w:w="0" w:type="dxa"/>
            <w:left w:w="108" w:type="dxa"/>
            <w:bottom w:w="0" w:type="dxa"/>
            <w:right w:w="108" w:type="dxa"/>
          </w:tblCellMar>
        </w:tblPrEx>
        <w:trPr>
          <w:trHeight w:val="12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15</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1270</wp:posOffset>
                  </wp:positionH>
                  <wp:positionV relativeFrom="paragraph">
                    <wp:posOffset>240665</wp:posOffset>
                  </wp:positionV>
                  <wp:extent cx="368935" cy="297180"/>
                  <wp:effectExtent l="0" t="0" r="12065" b="7620"/>
                  <wp:wrapNone/>
                  <wp:docPr id="56" name="图片_2_SpCnt_1"/>
                  <wp:cNvGraphicFramePr/>
                  <a:graphic xmlns:a="http://schemas.openxmlformats.org/drawingml/2006/main">
                    <a:graphicData uri="http://schemas.openxmlformats.org/drawingml/2006/picture">
                      <pic:pic xmlns:pic="http://schemas.openxmlformats.org/drawingml/2006/picture">
                        <pic:nvPicPr>
                          <pic:cNvPr id="56" name="图片_2_SpCnt_1"/>
                          <pic:cNvPicPr/>
                        </pic:nvPicPr>
                        <pic:blipFill>
                          <a:blip r:embed="rId17"/>
                          <a:stretch>
                            <a:fillRect/>
                          </a:stretch>
                        </pic:blipFill>
                        <pic:spPr>
                          <a:xfrm>
                            <a:off x="0" y="0"/>
                            <a:ext cx="368935" cy="297180"/>
                          </a:xfrm>
                          <a:prstGeom prst="rect">
                            <a:avLst/>
                          </a:prstGeom>
                          <a:noFill/>
                          <a:ln>
                            <a:noFill/>
                          </a:ln>
                        </pic:spPr>
                      </pic:pic>
                    </a:graphicData>
                  </a:graphic>
                </wp:anchor>
              </w:drawing>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网络高清摄像机支架</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铝合金专用支架</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海康</w:t>
            </w:r>
          </w:p>
        </w:tc>
        <w:tc>
          <w:tcPr>
            <w:tcW w:w="2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61</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8"/>
                <w:szCs w:val="18"/>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213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0"/>
                <w:szCs w:val="20"/>
                <w:u w:val="none"/>
              </w:rPr>
            </w:pPr>
          </w:p>
        </w:tc>
      </w:tr>
      <w:tr>
        <w:tblPrEx>
          <w:shd w:val="clear" w:color="auto" w:fill="auto"/>
          <w:tblCellMar>
            <w:top w:w="0" w:type="dxa"/>
            <w:left w:w="108" w:type="dxa"/>
            <w:bottom w:w="0" w:type="dxa"/>
            <w:right w:w="108" w:type="dxa"/>
          </w:tblCellMar>
        </w:tblPrEx>
        <w:trPr>
          <w:trHeight w:val="1279" w:hRule="atLeast"/>
        </w:trPr>
        <w:tc>
          <w:tcPr>
            <w:tcW w:w="2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16</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-63500</wp:posOffset>
                  </wp:positionH>
                  <wp:positionV relativeFrom="paragraph">
                    <wp:posOffset>288290</wp:posOffset>
                  </wp:positionV>
                  <wp:extent cx="354330" cy="393700"/>
                  <wp:effectExtent l="0" t="0" r="7620" b="6350"/>
                  <wp:wrapNone/>
                  <wp:docPr id="57" name="图片_3"/>
                  <wp:cNvGraphicFramePr/>
                  <a:graphic xmlns:a="http://schemas.openxmlformats.org/drawingml/2006/main">
                    <a:graphicData uri="http://schemas.openxmlformats.org/drawingml/2006/picture">
                      <pic:pic xmlns:pic="http://schemas.openxmlformats.org/drawingml/2006/picture">
                        <pic:nvPicPr>
                          <pic:cNvPr id="57" name="图片_3"/>
                          <pic:cNvPicPr/>
                        </pic:nvPicPr>
                        <pic:blipFill>
                          <a:blip r:embed="rId18"/>
                          <a:stretch>
                            <a:fillRect/>
                          </a:stretch>
                        </pic:blipFill>
                        <pic:spPr>
                          <a:xfrm>
                            <a:off x="0" y="0"/>
                            <a:ext cx="354330" cy="393700"/>
                          </a:xfrm>
                          <a:prstGeom prst="rect">
                            <a:avLst/>
                          </a:prstGeom>
                          <a:noFill/>
                          <a:ln>
                            <a:noFill/>
                          </a:ln>
                        </pic:spPr>
                      </pic:pic>
                    </a:graphicData>
                  </a:graphic>
                </wp:anchor>
              </w:drawing>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千兆24口核心交换机(三层核心交换机）</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RG-NBS5710-24GT4SFP-E</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锐捷</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台</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8"/>
                <w:szCs w:val="18"/>
                <w:u w:val="none"/>
              </w:rPr>
            </w:pPr>
          </w:p>
        </w:tc>
        <w:tc>
          <w:tcPr>
            <w:tcW w:w="213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三层管理交换机</w:t>
            </w:r>
          </w:p>
        </w:tc>
      </w:tr>
      <w:tr>
        <w:tblPrEx>
          <w:tblCellMar>
            <w:top w:w="0" w:type="dxa"/>
            <w:left w:w="108" w:type="dxa"/>
            <w:bottom w:w="0" w:type="dxa"/>
            <w:right w:w="108" w:type="dxa"/>
          </w:tblCellMar>
        </w:tblPrEx>
        <w:trPr>
          <w:trHeight w:val="1279" w:hRule="atLeast"/>
        </w:trPr>
        <w:tc>
          <w:tcPr>
            <w:tcW w:w="2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宋体" w:hAnsi="宋体" w:eastAsia="宋体" w:cs="宋体"/>
                <w:i w:val="0"/>
                <w:iCs w:val="0"/>
                <w:color w:val="auto"/>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357505</wp:posOffset>
                  </wp:positionH>
                  <wp:positionV relativeFrom="paragraph">
                    <wp:posOffset>260985</wp:posOffset>
                  </wp:positionV>
                  <wp:extent cx="436880" cy="274320"/>
                  <wp:effectExtent l="0" t="0" r="1270" b="11430"/>
                  <wp:wrapNone/>
                  <wp:docPr id="58" name="图片_3_SpCnt_1"/>
                  <wp:cNvGraphicFramePr/>
                  <a:graphic xmlns:a="http://schemas.openxmlformats.org/drawingml/2006/main">
                    <a:graphicData uri="http://schemas.openxmlformats.org/drawingml/2006/picture">
                      <pic:pic xmlns:pic="http://schemas.openxmlformats.org/drawingml/2006/picture">
                        <pic:nvPicPr>
                          <pic:cNvPr id="58" name="图片_3_SpCnt_1"/>
                          <pic:cNvPicPr/>
                        </pic:nvPicPr>
                        <pic:blipFill>
                          <a:blip r:embed="rId18"/>
                          <a:stretch>
                            <a:fillRect/>
                          </a:stretch>
                        </pic:blipFill>
                        <pic:spPr>
                          <a:xfrm>
                            <a:off x="0" y="0"/>
                            <a:ext cx="436880" cy="274320"/>
                          </a:xfrm>
                          <a:prstGeom prst="rect">
                            <a:avLst/>
                          </a:prstGeom>
                          <a:noFill/>
                          <a:ln>
                            <a:noFill/>
                          </a:ln>
                        </pic:spPr>
                      </pic:pic>
                    </a:graphicData>
                  </a:graphic>
                </wp:anchor>
              </w:drawing>
            </w:r>
            <w:r>
              <w:rPr>
                <w:rFonts w:hint="eastAsia" w:ascii="黑体" w:hAnsi="宋体" w:eastAsia="黑体" w:cs="黑体"/>
                <w:i w:val="0"/>
                <w:iCs w:val="0"/>
                <w:color w:val="auto"/>
                <w:kern w:val="0"/>
                <w:sz w:val="24"/>
                <w:szCs w:val="24"/>
                <w:u w:val="none"/>
                <w:lang w:val="en-US" w:eastAsia="zh-CN" w:bidi="ar"/>
              </w:rPr>
              <w:t>17</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千兆24口交换机</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RG-ES224GC</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锐捷</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台</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8"/>
                <w:szCs w:val="18"/>
                <w:u w:val="none"/>
              </w:rPr>
            </w:pPr>
          </w:p>
        </w:tc>
        <w:tc>
          <w:tcPr>
            <w:tcW w:w="213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0"/>
                <w:szCs w:val="20"/>
                <w:u w:val="none"/>
              </w:rPr>
            </w:pPr>
          </w:p>
        </w:tc>
      </w:tr>
      <w:tr>
        <w:tblPrEx>
          <w:shd w:val="clear" w:color="auto" w:fill="auto"/>
          <w:tblCellMar>
            <w:top w:w="0" w:type="dxa"/>
            <w:left w:w="108" w:type="dxa"/>
            <w:bottom w:w="0" w:type="dxa"/>
            <w:right w:w="108" w:type="dxa"/>
          </w:tblCellMar>
        </w:tblPrEx>
        <w:trPr>
          <w:trHeight w:val="12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宋体" w:hAnsi="宋体" w:eastAsia="宋体" w:cs="宋体"/>
                <w:i w:val="0"/>
                <w:iCs w:val="0"/>
                <w:color w:val="auto"/>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371475</wp:posOffset>
                  </wp:positionH>
                  <wp:positionV relativeFrom="paragraph">
                    <wp:posOffset>233045</wp:posOffset>
                  </wp:positionV>
                  <wp:extent cx="401955" cy="196215"/>
                  <wp:effectExtent l="0" t="0" r="17145" b="13335"/>
                  <wp:wrapNone/>
                  <wp:docPr id="59" name="图片_2_SpCnt_2"/>
                  <wp:cNvGraphicFramePr/>
                  <a:graphic xmlns:a="http://schemas.openxmlformats.org/drawingml/2006/main">
                    <a:graphicData uri="http://schemas.openxmlformats.org/drawingml/2006/picture">
                      <pic:pic xmlns:pic="http://schemas.openxmlformats.org/drawingml/2006/picture">
                        <pic:nvPicPr>
                          <pic:cNvPr id="59" name="图片_2_SpCnt_2"/>
                          <pic:cNvPicPr/>
                        </pic:nvPicPr>
                        <pic:blipFill>
                          <a:blip r:embed="rId19"/>
                          <a:stretch>
                            <a:fillRect/>
                          </a:stretch>
                        </pic:blipFill>
                        <pic:spPr>
                          <a:xfrm>
                            <a:off x="0" y="0"/>
                            <a:ext cx="401955" cy="196215"/>
                          </a:xfrm>
                          <a:prstGeom prst="rect">
                            <a:avLst/>
                          </a:prstGeom>
                          <a:noFill/>
                          <a:ln>
                            <a:noFill/>
                          </a:ln>
                        </pic:spPr>
                      </pic:pic>
                    </a:graphicData>
                  </a:graphic>
                </wp:anchor>
              </w:drawing>
            </w:r>
            <w:r>
              <w:rPr>
                <w:rFonts w:hint="eastAsia" w:ascii="黑体" w:hAnsi="宋体" w:eastAsia="黑体" w:cs="黑体"/>
                <w:i w:val="0"/>
                <w:iCs w:val="0"/>
                <w:color w:val="auto"/>
                <w:kern w:val="0"/>
                <w:sz w:val="24"/>
                <w:szCs w:val="24"/>
                <w:u w:val="none"/>
                <w:lang w:val="en-US" w:eastAsia="zh-CN" w:bidi="ar"/>
              </w:rPr>
              <w:t>18</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千兆8口交换机</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RG-ES108GD</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锐捷</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台</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18</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8"/>
                <w:szCs w:val="18"/>
                <w:u w:val="none"/>
              </w:rPr>
            </w:pPr>
          </w:p>
        </w:tc>
        <w:tc>
          <w:tcPr>
            <w:tcW w:w="213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0"/>
                <w:szCs w:val="20"/>
                <w:u w:val="none"/>
              </w:rPr>
            </w:pPr>
          </w:p>
        </w:tc>
      </w:tr>
      <w:tr>
        <w:tblPrEx>
          <w:shd w:val="clear" w:color="auto" w:fill="auto"/>
          <w:tblCellMar>
            <w:top w:w="0" w:type="dxa"/>
            <w:left w:w="108" w:type="dxa"/>
            <w:bottom w:w="0" w:type="dxa"/>
            <w:right w:w="108" w:type="dxa"/>
          </w:tblCellMar>
        </w:tblPrEx>
        <w:trPr>
          <w:trHeight w:val="1320" w:hRule="atLeast"/>
        </w:trPr>
        <w:tc>
          <w:tcPr>
            <w:tcW w:w="2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19</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-48260</wp:posOffset>
                  </wp:positionH>
                  <wp:positionV relativeFrom="paragraph">
                    <wp:posOffset>338455</wp:posOffset>
                  </wp:positionV>
                  <wp:extent cx="363220" cy="140970"/>
                  <wp:effectExtent l="0" t="0" r="17780" b="11430"/>
                  <wp:wrapNone/>
                  <wp:docPr id="60" name="图片_2_SpCnt_3"/>
                  <wp:cNvGraphicFramePr/>
                  <a:graphic xmlns:a="http://schemas.openxmlformats.org/drawingml/2006/main">
                    <a:graphicData uri="http://schemas.openxmlformats.org/drawingml/2006/picture">
                      <pic:pic xmlns:pic="http://schemas.openxmlformats.org/drawingml/2006/picture">
                        <pic:nvPicPr>
                          <pic:cNvPr id="60" name="图片_2_SpCnt_3"/>
                          <pic:cNvPicPr/>
                        </pic:nvPicPr>
                        <pic:blipFill>
                          <a:blip r:embed="rId20"/>
                          <a:stretch>
                            <a:fillRect/>
                          </a:stretch>
                        </pic:blipFill>
                        <pic:spPr>
                          <a:xfrm>
                            <a:off x="0" y="0"/>
                            <a:ext cx="363220" cy="140970"/>
                          </a:xfrm>
                          <a:prstGeom prst="rect">
                            <a:avLst/>
                          </a:prstGeom>
                          <a:noFill/>
                          <a:ln>
                            <a:noFill/>
                          </a:ln>
                        </pic:spPr>
                      </pic:pic>
                    </a:graphicData>
                  </a:graphic>
                </wp:anchor>
              </w:drawing>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千兆光纤传输器</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TL311AB</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TP-LINK</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对</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18</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8"/>
                <w:szCs w:val="18"/>
                <w:u w:val="none"/>
              </w:rPr>
            </w:pPr>
          </w:p>
        </w:tc>
        <w:tc>
          <w:tcPr>
            <w:tcW w:w="213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0"/>
                <w:szCs w:val="20"/>
                <w:u w:val="none"/>
              </w:rPr>
            </w:pPr>
          </w:p>
        </w:tc>
      </w:tr>
      <w:tr>
        <w:tblPrEx>
          <w:shd w:val="clear" w:color="auto" w:fill="auto"/>
          <w:tblCellMar>
            <w:top w:w="0" w:type="dxa"/>
            <w:left w:w="108" w:type="dxa"/>
            <w:bottom w:w="0" w:type="dxa"/>
            <w:right w:w="108" w:type="dxa"/>
          </w:tblCellMar>
        </w:tblPrEx>
        <w:trPr>
          <w:trHeight w:val="1320" w:hRule="atLeast"/>
        </w:trPr>
        <w:tc>
          <w:tcPr>
            <w:tcW w:w="2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20</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-41275</wp:posOffset>
                  </wp:positionH>
                  <wp:positionV relativeFrom="paragraph">
                    <wp:posOffset>281940</wp:posOffset>
                  </wp:positionV>
                  <wp:extent cx="439420" cy="205105"/>
                  <wp:effectExtent l="0" t="0" r="17780" b="4445"/>
                  <wp:wrapNone/>
                  <wp:docPr id="61" name="图片_4"/>
                  <wp:cNvGraphicFramePr/>
                  <a:graphic xmlns:a="http://schemas.openxmlformats.org/drawingml/2006/main">
                    <a:graphicData uri="http://schemas.openxmlformats.org/drawingml/2006/picture">
                      <pic:pic xmlns:pic="http://schemas.openxmlformats.org/drawingml/2006/picture">
                        <pic:nvPicPr>
                          <pic:cNvPr id="61" name="图片_4"/>
                          <pic:cNvPicPr/>
                        </pic:nvPicPr>
                        <pic:blipFill>
                          <a:blip r:embed="rId21"/>
                          <a:stretch>
                            <a:fillRect/>
                          </a:stretch>
                        </pic:blipFill>
                        <pic:spPr>
                          <a:xfrm>
                            <a:off x="0" y="0"/>
                            <a:ext cx="439420" cy="205105"/>
                          </a:xfrm>
                          <a:prstGeom prst="rect">
                            <a:avLst/>
                          </a:prstGeom>
                          <a:noFill/>
                          <a:ln>
                            <a:noFill/>
                          </a:ln>
                        </pic:spPr>
                      </pic:pic>
                    </a:graphicData>
                  </a:graphic>
                </wp:anchor>
              </w:drawing>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千兆光纤传输器电源机架</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TL-14AB</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TP-LINK</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台</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8"/>
                <w:szCs w:val="18"/>
                <w:u w:val="none"/>
              </w:rPr>
            </w:pPr>
          </w:p>
        </w:tc>
        <w:tc>
          <w:tcPr>
            <w:tcW w:w="213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0"/>
                <w:szCs w:val="20"/>
                <w:u w:val="none"/>
              </w:rPr>
            </w:pPr>
          </w:p>
        </w:tc>
      </w:tr>
      <w:tr>
        <w:tblPrEx>
          <w:tblCellMar>
            <w:top w:w="0" w:type="dxa"/>
            <w:left w:w="108" w:type="dxa"/>
            <w:bottom w:w="0" w:type="dxa"/>
            <w:right w:w="108" w:type="dxa"/>
          </w:tblCellMar>
        </w:tblPrEx>
        <w:trPr>
          <w:trHeight w:val="1320" w:hRule="atLeast"/>
        </w:trPr>
        <w:tc>
          <w:tcPr>
            <w:tcW w:w="2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21</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-66675</wp:posOffset>
                  </wp:positionH>
                  <wp:positionV relativeFrom="paragraph">
                    <wp:posOffset>356870</wp:posOffset>
                  </wp:positionV>
                  <wp:extent cx="428625" cy="333375"/>
                  <wp:effectExtent l="0" t="0" r="9525" b="9525"/>
                  <wp:wrapNone/>
                  <wp:docPr id="62" name="图片_1_SpCnt_2"/>
                  <wp:cNvGraphicFramePr/>
                  <a:graphic xmlns:a="http://schemas.openxmlformats.org/drawingml/2006/main">
                    <a:graphicData uri="http://schemas.openxmlformats.org/drawingml/2006/picture">
                      <pic:pic xmlns:pic="http://schemas.openxmlformats.org/drawingml/2006/picture">
                        <pic:nvPicPr>
                          <pic:cNvPr id="62" name="图片_1_SpCnt_2"/>
                          <pic:cNvPicPr/>
                        </pic:nvPicPr>
                        <pic:blipFill>
                          <a:blip r:embed="rId22"/>
                          <a:stretch>
                            <a:fillRect/>
                          </a:stretch>
                        </pic:blipFill>
                        <pic:spPr>
                          <a:xfrm>
                            <a:off x="0" y="0"/>
                            <a:ext cx="428625" cy="333375"/>
                          </a:xfrm>
                          <a:prstGeom prst="rect">
                            <a:avLst/>
                          </a:prstGeom>
                          <a:noFill/>
                          <a:ln>
                            <a:noFill/>
                          </a:ln>
                        </pic:spPr>
                      </pic:pic>
                    </a:graphicData>
                  </a:graphic>
                </wp:anchor>
              </w:drawing>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监控客户端电脑（需要按实际大屏上墙等单独定制）</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按实际要求定制定制</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联想</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8"/>
                <w:szCs w:val="18"/>
                <w:u w:val="none"/>
              </w:rPr>
            </w:pPr>
          </w:p>
        </w:tc>
        <w:tc>
          <w:tcPr>
            <w:tcW w:w="213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双显卡，配合电子大屏显示，</w:t>
            </w:r>
          </w:p>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单独系统（独立定制）</w:t>
            </w:r>
          </w:p>
        </w:tc>
      </w:tr>
      <w:tr>
        <w:tblPrEx>
          <w:shd w:val="clear" w:color="auto" w:fill="auto"/>
          <w:tblCellMar>
            <w:top w:w="0" w:type="dxa"/>
            <w:left w:w="108" w:type="dxa"/>
            <w:bottom w:w="0" w:type="dxa"/>
            <w:right w:w="108" w:type="dxa"/>
          </w:tblCellMar>
        </w:tblPrEx>
        <w:trPr>
          <w:trHeight w:val="1320" w:hRule="atLeast"/>
        </w:trPr>
        <w:tc>
          <w:tcPr>
            <w:tcW w:w="2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22</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-41910</wp:posOffset>
                  </wp:positionH>
                  <wp:positionV relativeFrom="paragraph">
                    <wp:posOffset>249555</wp:posOffset>
                  </wp:positionV>
                  <wp:extent cx="393065" cy="297815"/>
                  <wp:effectExtent l="0" t="0" r="6985" b="6985"/>
                  <wp:wrapNone/>
                  <wp:docPr id="63" name="图片_1_SpCnt_3"/>
                  <wp:cNvGraphicFramePr/>
                  <a:graphic xmlns:a="http://schemas.openxmlformats.org/drawingml/2006/main">
                    <a:graphicData uri="http://schemas.openxmlformats.org/drawingml/2006/picture">
                      <pic:pic xmlns:pic="http://schemas.openxmlformats.org/drawingml/2006/picture">
                        <pic:nvPicPr>
                          <pic:cNvPr id="63" name="图片_1_SpCnt_3"/>
                          <pic:cNvPicPr/>
                        </pic:nvPicPr>
                        <pic:blipFill>
                          <a:blip r:embed="rId22"/>
                          <a:stretch>
                            <a:fillRect/>
                          </a:stretch>
                        </pic:blipFill>
                        <pic:spPr>
                          <a:xfrm>
                            <a:off x="0" y="0"/>
                            <a:ext cx="393065" cy="297815"/>
                          </a:xfrm>
                          <a:prstGeom prst="rect">
                            <a:avLst/>
                          </a:prstGeom>
                          <a:noFill/>
                          <a:ln>
                            <a:noFill/>
                          </a:ln>
                        </pic:spPr>
                      </pic:pic>
                    </a:graphicData>
                  </a:graphic>
                </wp:anchor>
              </w:drawing>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专用电脑</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按实际要求定制定制</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联想</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8"/>
                <w:szCs w:val="18"/>
                <w:u w:val="none"/>
              </w:rPr>
            </w:pPr>
          </w:p>
        </w:tc>
        <w:tc>
          <w:tcPr>
            <w:tcW w:w="213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门口传达室红外测温系统用电脑</w:t>
            </w:r>
          </w:p>
        </w:tc>
      </w:tr>
      <w:tr>
        <w:tblPrEx>
          <w:tblCellMar>
            <w:top w:w="0" w:type="dxa"/>
            <w:left w:w="108" w:type="dxa"/>
            <w:bottom w:w="0" w:type="dxa"/>
            <w:right w:w="108" w:type="dxa"/>
          </w:tblCellMar>
        </w:tblPrEx>
        <w:trPr>
          <w:trHeight w:val="1320" w:hRule="atLeast"/>
        </w:trPr>
        <w:tc>
          <w:tcPr>
            <w:tcW w:w="2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23</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-4445</wp:posOffset>
                  </wp:positionH>
                  <wp:positionV relativeFrom="paragraph">
                    <wp:posOffset>269240</wp:posOffset>
                  </wp:positionV>
                  <wp:extent cx="365125" cy="248285"/>
                  <wp:effectExtent l="0" t="0" r="15875" b="18415"/>
                  <wp:wrapNone/>
                  <wp:docPr id="45" name="图片_6"/>
                  <wp:cNvGraphicFramePr/>
                  <a:graphic xmlns:a="http://schemas.openxmlformats.org/drawingml/2006/main">
                    <a:graphicData uri="http://schemas.openxmlformats.org/drawingml/2006/picture">
                      <pic:pic xmlns:pic="http://schemas.openxmlformats.org/drawingml/2006/picture">
                        <pic:nvPicPr>
                          <pic:cNvPr id="45" name="图片_6"/>
                          <pic:cNvPicPr/>
                        </pic:nvPicPr>
                        <pic:blipFill>
                          <a:blip r:embed="rId23"/>
                          <a:stretch>
                            <a:fillRect/>
                          </a:stretch>
                        </pic:blipFill>
                        <pic:spPr>
                          <a:xfrm>
                            <a:off x="0" y="0"/>
                            <a:ext cx="365125" cy="248285"/>
                          </a:xfrm>
                          <a:prstGeom prst="rect">
                            <a:avLst/>
                          </a:prstGeom>
                          <a:noFill/>
                          <a:ln>
                            <a:noFill/>
                          </a:ln>
                        </pic:spPr>
                      </pic:pic>
                    </a:graphicData>
                  </a:graphic>
                </wp:anchor>
              </w:drawing>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四芯光纤</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SG04</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GYXTW</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米</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5000</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213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0"/>
                <w:szCs w:val="20"/>
                <w:u w:val="none"/>
              </w:rPr>
            </w:pPr>
          </w:p>
        </w:tc>
      </w:tr>
      <w:tr>
        <w:tblPrEx>
          <w:shd w:val="clear" w:color="auto" w:fill="auto"/>
          <w:tblCellMar>
            <w:top w:w="0" w:type="dxa"/>
            <w:left w:w="108" w:type="dxa"/>
            <w:bottom w:w="0" w:type="dxa"/>
            <w:right w:w="108" w:type="dxa"/>
          </w:tblCellMar>
        </w:tblPrEx>
        <w:trPr>
          <w:trHeight w:val="12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24</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-37465</wp:posOffset>
                  </wp:positionH>
                  <wp:positionV relativeFrom="paragraph">
                    <wp:posOffset>202565</wp:posOffset>
                  </wp:positionV>
                  <wp:extent cx="415925" cy="256540"/>
                  <wp:effectExtent l="0" t="0" r="3175" b="10160"/>
                  <wp:wrapNone/>
                  <wp:docPr id="44" name="图片_3_SpCnt_2"/>
                  <wp:cNvGraphicFramePr/>
                  <a:graphic xmlns:a="http://schemas.openxmlformats.org/drawingml/2006/main">
                    <a:graphicData uri="http://schemas.openxmlformats.org/drawingml/2006/picture">
                      <pic:pic xmlns:pic="http://schemas.openxmlformats.org/drawingml/2006/picture">
                        <pic:nvPicPr>
                          <pic:cNvPr id="44" name="图片_3_SpCnt_2"/>
                          <pic:cNvPicPr/>
                        </pic:nvPicPr>
                        <pic:blipFill>
                          <a:blip r:embed="rId24"/>
                          <a:stretch>
                            <a:fillRect/>
                          </a:stretch>
                        </pic:blipFill>
                        <pic:spPr>
                          <a:xfrm>
                            <a:off x="0" y="0"/>
                            <a:ext cx="415925" cy="256540"/>
                          </a:xfrm>
                          <a:prstGeom prst="rect">
                            <a:avLst/>
                          </a:prstGeom>
                          <a:noFill/>
                          <a:ln>
                            <a:noFill/>
                          </a:ln>
                        </pic:spPr>
                      </pic:pic>
                    </a:graphicData>
                  </a:graphic>
                </wp:anchor>
              </w:drawing>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光纤熔接盒（含尾纤）</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24芯机架式</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海奈</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只</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213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0"/>
                <w:szCs w:val="20"/>
                <w:u w:val="none"/>
              </w:rPr>
            </w:pPr>
          </w:p>
        </w:tc>
      </w:tr>
      <w:tr>
        <w:tblPrEx>
          <w:shd w:val="clear" w:color="auto" w:fill="auto"/>
          <w:tblCellMar>
            <w:top w:w="0" w:type="dxa"/>
            <w:left w:w="108" w:type="dxa"/>
            <w:bottom w:w="0" w:type="dxa"/>
            <w:right w:w="108" w:type="dxa"/>
          </w:tblCellMar>
        </w:tblPrEx>
        <w:trPr>
          <w:trHeight w:val="1410" w:hRule="atLeast"/>
        </w:trPr>
        <w:tc>
          <w:tcPr>
            <w:tcW w:w="2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宋体" w:hAnsi="宋体" w:eastAsia="宋体" w:cs="宋体"/>
                <w:i w:val="0"/>
                <w:iCs w:val="0"/>
                <w:color w:val="auto"/>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320675</wp:posOffset>
                  </wp:positionH>
                  <wp:positionV relativeFrom="paragraph">
                    <wp:posOffset>360045</wp:posOffset>
                  </wp:positionV>
                  <wp:extent cx="494030" cy="153035"/>
                  <wp:effectExtent l="0" t="0" r="1270" b="18415"/>
                  <wp:wrapNone/>
                  <wp:docPr id="64" name="图片_1_SpCnt_4"/>
                  <wp:cNvGraphicFramePr/>
                  <a:graphic xmlns:a="http://schemas.openxmlformats.org/drawingml/2006/main">
                    <a:graphicData uri="http://schemas.openxmlformats.org/drawingml/2006/picture">
                      <pic:pic xmlns:pic="http://schemas.openxmlformats.org/drawingml/2006/picture">
                        <pic:nvPicPr>
                          <pic:cNvPr id="64" name="图片_1_SpCnt_4"/>
                          <pic:cNvPicPr/>
                        </pic:nvPicPr>
                        <pic:blipFill>
                          <a:blip r:embed="rId25"/>
                          <a:stretch>
                            <a:fillRect/>
                          </a:stretch>
                        </pic:blipFill>
                        <pic:spPr>
                          <a:xfrm>
                            <a:off x="0" y="0"/>
                            <a:ext cx="494030" cy="153035"/>
                          </a:xfrm>
                          <a:prstGeom prst="rect">
                            <a:avLst/>
                          </a:prstGeom>
                          <a:noFill/>
                          <a:ln>
                            <a:noFill/>
                          </a:ln>
                        </pic:spPr>
                      </pic:pic>
                    </a:graphicData>
                  </a:graphic>
                </wp:anchor>
              </w:drawing>
            </w:r>
            <w:r>
              <w:rPr>
                <w:rFonts w:hint="eastAsia" w:ascii="黑体" w:hAnsi="宋体" w:eastAsia="黑体" w:cs="黑体"/>
                <w:i w:val="0"/>
                <w:iCs w:val="0"/>
                <w:color w:val="auto"/>
                <w:kern w:val="0"/>
                <w:sz w:val="24"/>
                <w:szCs w:val="24"/>
                <w:u w:val="none"/>
                <w:lang w:val="en-US" w:eastAsia="zh-CN" w:bidi="ar"/>
              </w:rPr>
              <w:t>25</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光纤熔接盒（含尾纤）</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四芯</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海奈</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只</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18</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8"/>
                <w:szCs w:val="18"/>
                <w:u w:val="none"/>
              </w:rPr>
            </w:pPr>
          </w:p>
        </w:tc>
        <w:tc>
          <w:tcPr>
            <w:tcW w:w="213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18"/>
                <w:szCs w:val="18"/>
                <w:u w:val="none"/>
              </w:rPr>
            </w:pPr>
          </w:p>
        </w:tc>
      </w:tr>
      <w:tr>
        <w:tblPrEx>
          <w:shd w:val="clear" w:color="auto" w:fill="auto"/>
          <w:tblCellMar>
            <w:top w:w="0" w:type="dxa"/>
            <w:left w:w="108" w:type="dxa"/>
            <w:bottom w:w="0" w:type="dxa"/>
            <w:right w:w="108" w:type="dxa"/>
          </w:tblCellMar>
        </w:tblPrEx>
        <w:trPr>
          <w:trHeight w:val="1410" w:hRule="atLeast"/>
        </w:trPr>
        <w:tc>
          <w:tcPr>
            <w:tcW w:w="2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26</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-18415</wp:posOffset>
                  </wp:positionH>
                  <wp:positionV relativeFrom="paragraph">
                    <wp:posOffset>285750</wp:posOffset>
                  </wp:positionV>
                  <wp:extent cx="393065" cy="229235"/>
                  <wp:effectExtent l="0" t="0" r="6985" b="18415"/>
                  <wp:wrapNone/>
                  <wp:docPr id="65" name="图片_8"/>
                  <wp:cNvGraphicFramePr/>
                  <a:graphic xmlns:a="http://schemas.openxmlformats.org/drawingml/2006/main">
                    <a:graphicData uri="http://schemas.openxmlformats.org/drawingml/2006/picture">
                      <pic:pic xmlns:pic="http://schemas.openxmlformats.org/drawingml/2006/picture">
                        <pic:nvPicPr>
                          <pic:cNvPr id="65" name="图片_8"/>
                          <pic:cNvPicPr/>
                        </pic:nvPicPr>
                        <pic:blipFill>
                          <a:blip r:embed="rId26"/>
                          <a:stretch>
                            <a:fillRect/>
                          </a:stretch>
                        </pic:blipFill>
                        <pic:spPr>
                          <a:xfrm>
                            <a:off x="0" y="0"/>
                            <a:ext cx="393065" cy="229235"/>
                          </a:xfrm>
                          <a:prstGeom prst="rect">
                            <a:avLst/>
                          </a:prstGeom>
                          <a:noFill/>
                          <a:ln>
                            <a:noFill/>
                          </a:ln>
                        </pic:spPr>
                      </pic:pic>
                    </a:graphicData>
                  </a:graphic>
                </wp:anchor>
              </w:drawing>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光纤熔接（含单芯跳线）</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标准</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标准</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芯</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118</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8"/>
                <w:szCs w:val="18"/>
                <w:u w:val="none"/>
              </w:rPr>
            </w:pPr>
          </w:p>
        </w:tc>
        <w:tc>
          <w:tcPr>
            <w:tcW w:w="213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18"/>
                <w:szCs w:val="18"/>
                <w:u w:val="none"/>
              </w:rPr>
            </w:pPr>
          </w:p>
        </w:tc>
      </w:tr>
      <w:tr>
        <w:tblPrEx>
          <w:shd w:val="clear" w:color="auto" w:fill="auto"/>
          <w:tblCellMar>
            <w:top w:w="0" w:type="dxa"/>
            <w:left w:w="108" w:type="dxa"/>
            <w:bottom w:w="0" w:type="dxa"/>
            <w:right w:w="108" w:type="dxa"/>
          </w:tblCellMar>
        </w:tblPrEx>
        <w:trPr>
          <w:trHeight w:val="1410" w:hRule="atLeast"/>
        </w:trPr>
        <w:tc>
          <w:tcPr>
            <w:tcW w:w="2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27</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-55880</wp:posOffset>
                  </wp:positionH>
                  <wp:positionV relativeFrom="paragraph">
                    <wp:posOffset>344805</wp:posOffset>
                  </wp:positionV>
                  <wp:extent cx="395605" cy="323850"/>
                  <wp:effectExtent l="0" t="0" r="4445" b="0"/>
                  <wp:wrapNone/>
                  <wp:docPr id="66" name="图片_5_SpCnt_1"/>
                  <wp:cNvGraphicFramePr/>
                  <a:graphic xmlns:a="http://schemas.openxmlformats.org/drawingml/2006/main">
                    <a:graphicData uri="http://schemas.openxmlformats.org/drawingml/2006/picture">
                      <pic:pic xmlns:pic="http://schemas.openxmlformats.org/drawingml/2006/picture">
                        <pic:nvPicPr>
                          <pic:cNvPr id="66" name="图片_5_SpCnt_1"/>
                          <pic:cNvPicPr/>
                        </pic:nvPicPr>
                        <pic:blipFill>
                          <a:blip r:embed="rId27"/>
                          <a:stretch>
                            <a:fillRect/>
                          </a:stretch>
                        </pic:blipFill>
                        <pic:spPr>
                          <a:xfrm>
                            <a:off x="0" y="0"/>
                            <a:ext cx="395605" cy="323850"/>
                          </a:xfrm>
                          <a:prstGeom prst="rect">
                            <a:avLst/>
                          </a:prstGeom>
                          <a:noFill/>
                          <a:ln>
                            <a:noFill/>
                          </a:ln>
                        </pic:spPr>
                      </pic:pic>
                    </a:graphicData>
                  </a:graphic>
                </wp:anchor>
              </w:drawing>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机柜内多路电源模块一套（10路）</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标准</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正泰</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8"/>
                <w:szCs w:val="18"/>
                <w:u w:val="none"/>
              </w:rPr>
            </w:pPr>
          </w:p>
        </w:tc>
        <w:tc>
          <w:tcPr>
            <w:tcW w:w="213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机房集中管理供电</w:t>
            </w:r>
          </w:p>
        </w:tc>
      </w:tr>
      <w:tr>
        <w:tblPrEx>
          <w:shd w:val="clear" w:color="auto" w:fill="auto"/>
          <w:tblCellMar>
            <w:top w:w="0" w:type="dxa"/>
            <w:left w:w="108" w:type="dxa"/>
            <w:bottom w:w="0" w:type="dxa"/>
            <w:right w:w="108" w:type="dxa"/>
          </w:tblCellMar>
        </w:tblPrEx>
        <w:trPr>
          <w:trHeight w:val="1362" w:hRule="atLeast"/>
        </w:trPr>
        <w:tc>
          <w:tcPr>
            <w:tcW w:w="2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28</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-9525</wp:posOffset>
                  </wp:positionH>
                  <wp:positionV relativeFrom="paragraph">
                    <wp:posOffset>281305</wp:posOffset>
                  </wp:positionV>
                  <wp:extent cx="394335" cy="243205"/>
                  <wp:effectExtent l="0" t="0" r="5715" b="4445"/>
                  <wp:wrapNone/>
                  <wp:docPr id="67" name="图片_4_SpCnt_1"/>
                  <wp:cNvGraphicFramePr/>
                  <a:graphic xmlns:a="http://schemas.openxmlformats.org/drawingml/2006/main">
                    <a:graphicData uri="http://schemas.openxmlformats.org/drawingml/2006/picture">
                      <pic:pic xmlns:pic="http://schemas.openxmlformats.org/drawingml/2006/picture">
                        <pic:nvPicPr>
                          <pic:cNvPr id="67" name="图片_4_SpCnt_1"/>
                          <pic:cNvPicPr/>
                        </pic:nvPicPr>
                        <pic:blipFill>
                          <a:blip r:embed="rId28"/>
                          <a:stretch>
                            <a:fillRect/>
                          </a:stretch>
                        </pic:blipFill>
                        <pic:spPr>
                          <a:xfrm>
                            <a:off x="0" y="0"/>
                            <a:ext cx="394335" cy="243205"/>
                          </a:xfrm>
                          <a:prstGeom prst="rect">
                            <a:avLst/>
                          </a:prstGeom>
                          <a:noFill/>
                          <a:ln>
                            <a:noFill/>
                          </a:ln>
                        </pic:spPr>
                      </pic:pic>
                    </a:graphicData>
                  </a:graphic>
                </wp:anchor>
              </w:drawing>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电源</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12V5A-12V20A</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德力西</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lang w:val="en-US" w:eastAsia="zh-CN"/>
              </w:rPr>
            </w:pPr>
            <w:r>
              <w:rPr>
                <w:rFonts w:hint="eastAsia" w:ascii="宋体" w:hAnsi="宋体" w:cs="宋体"/>
                <w:i w:val="0"/>
                <w:iCs w:val="0"/>
                <w:color w:val="auto"/>
                <w:sz w:val="18"/>
                <w:szCs w:val="18"/>
                <w:u w:val="none"/>
                <w:lang w:val="en-US" w:eastAsia="zh-CN"/>
              </w:rPr>
              <w:t>块</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cs="宋体"/>
                <w:i w:val="0"/>
                <w:iCs w:val="0"/>
                <w:color w:val="auto"/>
                <w:kern w:val="0"/>
                <w:sz w:val="18"/>
                <w:szCs w:val="18"/>
                <w:u w:val="none"/>
                <w:lang w:val="en-US" w:eastAsia="zh-CN" w:bidi="ar"/>
              </w:rPr>
              <w:t>7</w:t>
            </w:r>
            <w:r>
              <w:rPr>
                <w:rFonts w:hint="eastAsia" w:ascii="宋体" w:hAnsi="宋体" w:eastAsia="宋体" w:cs="宋体"/>
                <w:i w:val="0"/>
                <w:iCs w:val="0"/>
                <w:color w:val="auto"/>
                <w:kern w:val="0"/>
                <w:sz w:val="18"/>
                <w:szCs w:val="18"/>
                <w:u w:val="none"/>
                <w:lang w:val="en-US" w:eastAsia="zh-CN" w:bidi="ar"/>
              </w:rPr>
              <w:t>1</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8"/>
                <w:szCs w:val="18"/>
                <w:u w:val="none"/>
              </w:rPr>
            </w:pPr>
          </w:p>
        </w:tc>
        <w:tc>
          <w:tcPr>
            <w:tcW w:w="213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根据现场具体</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核定数量</w:t>
            </w:r>
          </w:p>
        </w:tc>
      </w:tr>
      <w:tr>
        <w:tblPrEx>
          <w:shd w:val="clear" w:color="auto" w:fill="auto"/>
          <w:tblCellMar>
            <w:top w:w="0" w:type="dxa"/>
            <w:left w:w="108" w:type="dxa"/>
            <w:bottom w:w="0" w:type="dxa"/>
            <w:right w:w="108" w:type="dxa"/>
          </w:tblCellMar>
        </w:tblPrEx>
        <w:trPr>
          <w:trHeight w:val="1362" w:hRule="atLeast"/>
        </w:trPr>
        <w:tc>
          <w:tcPr>
            <w:tcW w:w="2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29</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5080</wp:posOffset>
                  </wp:positionH>
                  <wp:positionV relativeFrom="paragraph">
                    <wp:posOffset>266700</wp:posOffset>
                  </wp:positionV>
                  <wp:extent cx="339090" cy="321310"/>
                  <wp:effectExtent l="0" t="0" r="3810" b="2540"/>
                  <wp:wrapNone/>
                  <wp:docPr id="68" name="图片_1_SpCnt_5"/>
                  <wp:cNvGraphicFramePr/>
                  <a:graphic xmlns:a="http://schemas.openxmlformats.org/drawingml/2006/main">
                    <a:graphicData uri="http://schemas.openxmlformats.org/drawingml/2006/picture">
                      <pic:pic xmlns:pic="http://schemas.openxmlformats.org/drawingml/2006/picture">
                        <pic:nvPicPr>
                          <pic:cNvPr id="68" name="图片_1_SpCnt_5"/>
                          <pic:cNvPicPr/>
                        </pic:nvPicPr>
                        <pic:blipFill>
                          <a:blip r:embed="rId29"/>
                          <a:stretch>
                            <a:fillRect/>
                          </a:stretch>
                        </pic:blipFill>
                        <pic:spPr>
                          <a:xfrm>
                            <a:off x="0" y="0"/>
                            <a:ext cx="339090" cy="321310"/>
                          </a:xfrm>
                          <a:prstGeom prst="rect">
                            <a:avLst/>
                          </a:prstGeom>
                          <a:noFill/>
                          <a:ln>
                            <a:noFill/>
                          </a:ln>
                        </pic:spPr>
                      </pic:pic>
                    </a:graphicData>
                  </a:graphic>
                </wp:anchor>
              </w:drawing>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室外监控不锈钢防水箱</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500*600*200</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定制</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个</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8"/>
                <w:szCs w:val="18"/>
                <w:u w:val="none"/>
              </w:rPr>
            </w:pPr>
          </w:p>
        </w:tc>
        <w:tc>
          <w:tcPr>
            <w:tcW w:w="213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0"/>
                <w:szCs w:val="20"/>
                <w:u w:val="none"/>
              </w:rPr>
            </w:pPr>
          </w:p>
        </w:tc>
      </w:tr>
      <w:tr>
        <w:tblPrEx>
          <w:shd w:val="clear" w:color="auto" w:fill="auto"/>
          <w:tblCellMar>
            <w:top w:w="0" w:type="dxa"/>
            <w:left w:w="108" w:type="dxa"/>
            <w:bottom w:w="0" w:type="dxa"/>
            <w:right w:w="108" w:type="dxa"/>
          </w:tblCellMar>
        </w:tblPrEx>
        <w:trPr>
          <w:trHeight w:val="1422" w:hRule="atLeast"/>
        </w:trPr>
        <w:tc>
          <w:tcPr>
            <w:tcW w:w="2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30</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-28575</wp:posOffset>
                  </wp:positionH>
                  <wp:positionV relativeFrom="paragraph">
                    <wp:posOffset>255270</wp:posOffset>
                  </wp:positionV>
                  <wp:extent cx="375285" cy="333375"/>
                  <wp:effectExtent l="0" t="0" r="5715" b="9525"/>
                  <wp:wrapNone/>
                  <wp:docPr id="69" name="图片_1_SpCnt_6"/>
                  <wp:cNvGraphicFramePr/>
                  <a:graphic xmlns:a="http://schemas.openxmlformats.org/drawingml/2006/main">
                    <a:graphicData uri="http://schemas.openxmlformats.org/drawingml/2006/picture">
                      <pic:pic xmlns:pic="http://schemas.openxmlformats.org/drawingml/2006/picture">
                        <pic:nvPicPr>
                          <pic:cNvPr id="69" name="图片_1_SpCnt_6"/>
                          <pic:cNvPicPr/>
                        </pic:nvPicPr>
                        <pic:blipFill>
                          <a:blip r:embed="rId29"/>
                          <a:stretch>
                            <a:fillRect/>
                          </a:stretch>
                        </pic:blipFill>
                        <pic:spPr>
                          <a:xfrm>
                            <a:off x="0" y="0"/>
                            <a:ext cx="375285" cy="333375"/>
                          </a:xfrm>
                          <a:prstGeom prst="rect">
                            <a:avLst/>
                          </a:prstGeom>
                          <a:noFill/>
                          <a:ln>
                            <a:noFill/>
                          </a:ln>
                        </pic:spPr>
                      </pic:pic>
                    </a:graphicData>
                  </a:graphic>
                </wp:anchor>
              </w:drawing>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室外监控不锈钢防水箱</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300*400*180</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定制</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个</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8"/>
                <w:szCs w:val="18"/>
                <w:u w:val="none"/>
              </w:rPr>
            </w:pPr>
          </w:p>
        </w:tc>
        <w:tc>
          <w:tcPr>
            <w:tcW w:w="213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0"/>
                <w:szCs w:val="20"/>
                <w:u w:val="none"/>
              </w:rPr>
            </w:pPr>
          </w:p>
        </w:tc>
      </w:tr>
      <w:tr>
        <w:tblPrEx>
          <w:shd w:val="clear" w:color="auto" w:fill="auto"/>
          <w:tblCellMar>
            <w:top w:w="0" w:type="dxa"/>
            <w:left w:w="108" w:type="dxa"/>
            <w:bottom w:w="0" w:type="dxa"/>
            <w:right w:w="108" w:type="dxa"/>
          </w:tblCellMar>
        </w:tblPrEx>
        <w:trPr>
          <w:trHeight w:val="1422" w:hRule="atLeast"/>
        </w:trPr>
        <w:tc>
          <w:tcPr>
            <w:tcW w:w="2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31</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53975</wp:posOffset>
                  </wp:positionH>
                  <wp:positionV relativeFrom="paragraph">
                    <wp:posOffset>353695</wp:posOffset>
                  </wp:positionV>
                  <wp:extent cx="184150" cy="565785"/>
                  <wp:effectExtent l="0" t="0" r="6350" b="5715"/>
                  <wp:wrapNone/>
                  <wp:docPr id="70" name="图片_1_SpCnt_7"/>
                  <wp:cNvGraphicFramePr/>
                  <a:graphic xmlns:a="http://schemas.openxmlformats.org/drawingml/2006/main">
                    <a:graphicData uri="http://schemas.openxmlformats.org/drawingml/2006/picture">
                      <pic:pic xmlns:pic="http://schemas.openxmlformats.org/drawingml/2006/picture">
                        <pic:nvPicPr>
                          <pic:cNvPr id="70" name="图片_1_SpCnt_7"/>
                          <pic:cNvPicPr/>
                        </pic:nvPicPr>
                        <pic:blipFill>
                          <a:blip r:embed="rId30"/>
                          <a:stretch>
                            <a:fillRect/>
                          </a:stretch>
                        </pic:blipFill>
                        <pic:spPr>
                          <a:xfrm>
                            <a:off x="0" y="0"/>
                            <a:ext cx="184150" cy="565785"/>
                          </a:xfrm>
                          <a:prstGeom prst="rect">
                            <a:avLst/>
                          </a:prstGeom>
                          <a:noFill/>
                          <a:ln>
                            <a:noFill/>
                          </a:ln>
                        </pic:spPr>
                      </pic:pic>
                    </a:graphicData>
                  </a:graphic>
                </wp:anchor>
              </w:drawing>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室外监控不锈钢杆（包括地笼、运输、地基等）</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4米</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定制</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根</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16</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8"/>
                <w:szCs w:val="18"/>
                <w:u w:val="none"/>
              </w:rPr>
            </w:pPr>
          </w:p>
        </w:tc>
        <w:tc>
          <w:tcPr>
            <w:tcW w:w="213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0"/>
                <w:szCs w:val="20"/>
                <w:u w:val="none"/>
              </w:rPr>
            </w:pPr>
          </w:p>
        </w:tc>
      </w:tr>
      <w:tr>
        <w:tblPrEx>
          <w:shd w:val="clear" w:color="auto" w:fill="auto"/>
          <w:tblCellMar>
            <w:top w:w="0" w:type="dxa"/>
            <w:left w:w="108" w:type="dxa"/>
            <w:bottom w:w="0" w:type="dxa"/>
            <w:right w:w="108" w:type="dxa"/>
          </w:tblCellMar>
        </w:tblPrEx>
        <w:trPr>
          <w:trHeight w:val="12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32</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85090</wp:posOffset>
                  </wp:positionH>
                  <wp:positionV relativeFrom="paragraph">
                    <wp:posOffset>196850</wp:posOffset>
                  </wp:positionV>
                  <wp:extent cx="210820" cy="420370"/>
                  <wp:effectExtent l="0" t="0" r="17780" b="17780"/>
                  <wp:wrapNone/>
                  <wp:docPr id="71" name="图片_3_SpCnt_3"/>
                  <wp:cNvGraphicFramePr/>
                  <a:graphic xmlns:a="http://schemas.openxmlformats.org/drawingml/2006/main">
                    <a:graphicData uri="http://schemas.openxmlformats.org/drawingml/2006/picture">
                      <pic:pic xmlns:pic="http://schemas.openxmlformats.org/drawingml/2006/picture">
                        <pic:nvPicPr>
                          <pic:cNvPr id="71" name="图片_3_SpCnt_3"/>
                          <pic:cNvPicPr/>
                        </pic:nvPicPr>
                        <pic:blipFill>
                          <a:blip r:embed="rId31"/>
                          <a:stretch>
                            <a:fillRect/>
                          </a:stretch>
                        </pic:blipFill>
                        <pic:spPr>
                          <a:xfrm>
                            <a:off x="0" y="0"/>
                            <a:ext cx="210820" cy="420370"/>
                          </a:xfrm>
                          <a:prstGeom prst="rect">
                            <a:avLst/>
                          </a:prstGeom>
                          <a:noFill/>
                          <a:ln>
                            <a:noFill/>
                          </a:ln>
                        </pic:spPr>
                      </pic:pic>
                    </a:graphicData>
                  </a:graphic>
                </wp:anchor>
              </w:drawing>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室内服务器2米标准机柜</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600*1000*2000</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国产</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个</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8"/>
                <w:szCs w:val="18"/>
                <w:u w:val="none"/>
              </w:rPr>
            </w:pPr>
          </w:p>
        </w:tc>
        <w:tc>
          <w:tcPr>
            <w:tcW w:w="213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u w:val="none"/>
              </w:rPr>
            </w:pPr>
          </w:p>
        </w:tc>
      </w:tr>
      <w:tr>
        <w:tblPrEx>
          <w:shd w:val="clear" w:color="auto" w:fill="auto"/>
          <w:tblCellMar>
            <w:top w:w="0" w:type="dxa"/>
            <w:left w:w="108" w:type="dxa"/>
            <w:bottom w:w="0" w:type="dxa"/>
            <w:right w:w="108" w:type="dxa"/>
          </w:tblCellMar>
        </w:tblPrEx>
        <w:trPr>
          <w:trHeight w:val="1260" w:hRule="atLeast"/>
        </w:trPr>
        <w:tc>
          <w:tcPr>
            <w:tcW w:w="2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33</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-20320</wp:posOffset>
                  </wp:positionH>
                  <wp:positionV relativeFrom="paragraph">
                    <wp:posOffset>214630</wp:posOffset>
                  </wp:positionV>
                  <wp:extent cx="297815" cy="222885"/>
                  <wp:effectExtent l="0" t="0" r="6985" b="5715"/>
                  <wp:wrapNone/>
                  <wp:docPr id="72" name="图片_12"/>
                  <wp:cNvGraphicFramePr/>
                  <a:graphic xmlns:a="http://schemas.openxmlformats.org/drawingml/2006/main">
                    <a:graphicData uri="http://schemas.openxmlformats.org/drawingml/2006/picture">
                      <pic:pic xmlns:pic="http://schemas.openxmlformats.org/drawingml/2006/picture">
                        <pic:nvPicPr>
                          <pic:cNvPr id="72" name="图片_12"/>
                          <pic:cNvPicPr/>
                        </pic:nvPicPr>
                        <pic:blipFill>
                          <a:blip r:embed="rId32"/>
                          <a:stretch>
                            <a:fillRect/>
                          </a:stretch>
                        </pic:blipFill>
                        <pic:spPr>
                          <a:xfrm>
                            <a:off x="0" y="0"/>
                            <a:ext cx="297815" cy="222885"/>
                          </a:xfrm>
                          <a:prstGeom prst="rect">
                            <a:avLst/>
                          </a:prstGeom>
                          <a:noFill/>
                          <a:ln>
                            <a:noFill/>
                          </a:ln>
                        </pic:spPr>
                      </pic:pic>
                    </a:graphicData>
                  </a:graphic>
                </wp:anchor>
              </w:drawing>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室外监控信号线（防水网线）</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无氧UTP5</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海康/明鑫</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箱</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24</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213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标准无氧铜检控</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专用信号线</w:t>
            </w:r>
          </w:p>
        </w:tc>
      </w:tr>
      <w:tr>
        <w:tblPrEx>
          <w:shd w:val="clear" w:color="auto" w:fill="auto"/>
          <w:tblCellMar>
            <w:top w:w="0" w:type="dxa"/>
            <w:left w:w="108" w:type="dxa"/>
            <w:bottom w:w="0" w:type="dxa"/>
            <w:right w:w="108" w:type="dxa"/>
          </w:tblCellMar>
        </w:tblPrEx>
        <w:trPr>
          <w:trHeight w:val="1260" w:hRule="atLeast"/>
        </w:trPr>
        <w:tc>
          <w:tcPr>
            <w:tcW w:w="2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宋体" w:hAnsi="宋体" w:eastAsia="宋体" w:cs="宋体"/>
                <w:i w:val="0"/>
                <w:iCs w:val="0"/>
                <w:color w:val="auto"/>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232410</wp:posOffset>
                  </wp:positionH>
                  <wp:positionV relativeFrom="paragraph">
                    <wp:posOffset>230505</wp:posOffset>
                  </wp:positionV>
                  <wp:extent cx="389255" cy="422275"/>
                  <wp:effectExtent l="0" t="0" r="10795" b="15875"/>
                  <wp:wrapNone/>
                  <wp:docPr id="73" name="Picture_41"/>
                  <wp:cNvGraphicFramePr/>
                  <a:graphic xmlns:a="http://schemas.openxmlformats.org/drawingml/2006/main">
                    <a:graphicData uri="http://schemas.openxmlformats.org/drawingml/2006/picture">
                      <pic:pic xmlns:pic="http://schemas.openxmlformats.org/drawingml/2006/picture">
                        <pic:nvPicPr>
                          <pic:cNvPr id="73" name="Picture_41"/>
                          <pic:cNvPicPr/>
                        </pic:nvPicPr>
                        <pic:blipFill>
                          <a:blip r:embed="rId33"/>
                          <a:stretch>
                            <a:fillRect/>
                          </a:stretch>
                        </pic:blipFill>
                        <pic:spPr>
                          <a:xfrm>
                            <a:off x="0" y="0"/>
                            <a:ext cx="389255" cy="422275"/>
                          </a:xfrm>
                          <a:prstGeom prst="rect">
                            <a:avLst/>
                          </a:prstGeom>
                          <a:noFill/>
                          <a:ln>
                            <a:noFill/>
                          </a:ln>
                        </pic:spPr>
                      </pic:pic>
                    </a:graphicData>
                  </a:graphic>
                </wp:anchor>
              </w:drawing>
            </w:r>
            <w:r>
              <w:rPr>
                <w:rFonts w:hint="eastAsia" w:ascii="黑体" w:hAnsi="宋体" w:eastAsia="黑体" w:cs="黑体"/>
                <w:i w:val="0"/>
                <w:iCs w:val="0"/>
                <w:color w:val="auto"/>
                <w:kern w:val="0"/>
                <w:sz w:val="24"/>
                <w:szCs w:val="24"/>
                <w:u w:val="none"/>
                <w:lang w:val="en-US" w:eastAsia="zh-CN" w:bidi="ar"/>
              </w:rPr>
              <w:t>34</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监控220V主电源线</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RVV3*2.5</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明鑫</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米</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5000</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213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机房集中管理供电</w:t>
            </w:r>
          </w:p>
        </w:tc>
      </w:tr>
      <w:tr>
        <w:tblPrEx>
          <w:shd w:val="clear" w:color="auto" w:fill="auto"/>
          <w:tblCellMar>
            <w:top w:w="0" w:type="dxa"/>
            <w:left w:w="108" w:type="dxa"/>
            <w:bottom w:w="0" w:type="dxa"/>
            <w:right w:w="108" w:type="dxa"/>
          </w:tblCellMar>
        </w:tblPrEx>
        <w:trPr>
          <w:trHeight w:val="1290" w:hRule="atLeast"/>
        </w:trPr>
        <w:tc>
          <w:tcPr>
            <w:tcW w:w="2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宋体" w:hAnsi="宋体" w:eastAsia="宋体" w:cs="宋体"/>
                <w:i w:val="0"/>
                <w:iCs w:val="0"/>
                <w:color w:val="auto"/>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219710</wp:posOffset>
                  </wp:positionH>
                  <wp:positionV relativeFrom="paragraph">
                    <wp:posOffset>122555</wp:posOffset>
                  </wp:positionV>
                  <wp:extent cx="397510" cy="463550"/>
                  <wp:effectExtent l="0" t="0" r="2540" b="12700"/>
                  <wp:wrapNone/>
                  <wp:docPr id="74" name="Picture_41_SpCnt_1"/>
                  <wp:cNvGraphicFramePr/>
                  <a:graphic xmlns:a="http://schemas.openxmlformats.org/drawingml/2006/main">
                    <a:graphicData uri="http://schemas.openxmlformats.org/drawingml/2006/picture">
                      <pic:pic xmlns:pic="http://schemas.openxmlformats.org/drawingml/2006/picture">
                        <pic:nvPicPr>
                          <pic:cNvPr id="74" name="Picture_41_SpCnt_1"/>
                          <pic:cNvPicPr/>
                        </pic:nvPicPr>
                        <pic:blipFill>
                          <a:blip r:embed="rId34"/>
                          <a:stretch>
                            <a:fillRect/>
                          </a:stretch>
                        </pic:blipFill>
                        <pic:spPr>
                          <a:xfrm>
                            <a:off x="0" y="0"/>
                            <a:ext cx="397510" cy="463550"/>
                          </a:xfrm>
                          <a:prstGeom prst="rect">
                            <a:avLst/>
                          </a:prstGeom>
                          <a:noFill/>
                          <a:ln>
                            <a:noFill/>
                          </a:ln>
                        </pic:spPr>
                      </pic:pic>
                    </a:graphicData>
                  </a:graphic>
                </wp:anchor>
              </w:drawing>
            </w:r>
            <w:r>
              <w:rPr>
                <w:rFonts w:hint="eastAsia" w:ascii="黑体" w:hAnsi="宋体" w:eastAsia="黑体" w:cs="黑体"/>
                <w:i w:val="0"/>
                <w:iCs w:val="0"/>
                <w:color w:val="auto"/>
                <w:kern w:val="0"/>
                <w:sz w:val="24"/>
                <w:szCs w:val="24"/>
                <w:u w:val="none"/>
                <w:lang w:val="en-US" w:eastAsia="zh-CN" w:bidi="ar"/>
              </w:rPr>
              <w:t>35</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监控电源线</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RVV2*1.5</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明鑫</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米</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7000</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213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r>
      <w:tr>
        <w:tblPrEx>
          <w:shd w:val="clear" w:color="auto" w:fill="auto"/>
          <w:tblCellMar>
            <w:top w:w="0" w:type="dxa"/>
            <w:left w:w="108" w:type="dxa"/>
            <w:bottom w:w="0" w:type="dxa"/>
            <w:right w:w="108" w:type="dxa"/>
          </w:tblCellMar>
        </w:tblPrEx>
        <w:trPr>
          <w:trHeight w:val="1290" w:hRule="atLeast"/>
        </w:trPr>
        <w:tc>
          <w:tcPr>
            <w:tcW w:w="2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宋体" w:hAnsi="宋体" w:eastAsia="宋体" w:cs="宋体"/>
                <w:i w:val="0"/>
                <w:iCs w:val="0"/>
                <w:color w:val="auto"/>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204470</wp:posOffset>
                  </wp:positionH>
                  <wp:positionV relativeFrom="paragraph">
                    <wp:posOffset>262255</wp:posOffset>
                  </wp:positionV>
                  <wp:extent cx="393065" cy="466090"/>
                  <wp:effectExtent l="0" t="0" r="6985" b="10160"/>
                  <wp:wrapNone/>
                  <wp:docPr id="75" name="图片_6_SpCnt_1"/>
                  <wp:cNvGraphicFramePr/>
                  <a:graphic xmlns:a="http://schemas.openxmlformats.org/drawingml/2006/main">
                    <a:graphicData uri="http://schemas.openxmlformats.org/drawingml/2006/picture">
                      <pic:pic xmlns:pic="http://schemas.openxmlformats.org/drawingml/2006/picture">
                        <pic:nvPicPr>
                          <pic:cNvPr id="75" name="图片_6_SpCnt_1"/>
                          <pic:cNvPicPr/>
                        </pic:nvPicPr>
                        <pic:blipFill>
                          <a:blip r:embed="rId35"/>
                          <a:stretch>
                            <a:fillRect/>
                          </a:stretch>
                        </pic:blipFill>
                        <pic:spPr>
                          <a:xfrm>
                            <a:off x="0" y="0"/>
                            <a:ext cx="393065" cy="466090"/>
                          </a:xfrm>
                          <a:prstGeom prst="rect">
                            <a:avLst/>
                          </a:prstGeom>
                          <a:noFill/>
                          <a:ln>
                            <a:noFill/>
                          </a:ln>
                        </pic:spPr>
                      </pic:pic>
                    </a:graphicData>
                  </a:graphic>
                </wp:anchor>
              </w:drawing>
            </w:r>
            <w:r>
              <w:rPr>
                <w:rFonts w:hint="eastAsia" w:ascii="黑体" w:hAnsi="宋体" w:eastAsia="黑体" w:cs="黑体"/>
                <w:i w:val="0"/>
                <w:iCs w:val="0"/>
                <w:color w:val="auto"/>
                <w:kern w:val="0"/>
                <w:sz w:val="24"/>
                <w:szCs w:val="24"/>
                <w:u w:val="none"/>
                <w:lang w:val="en-US" w:eastAsia="zh-CN" w:bidi="ar"/>
              </w:rPr>
              <w:t>36</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PVC管(含配件）</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直径16-20</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公元</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米</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6000</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213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r>
      <w:tr>
        <w:tblPrEx>
          <w:shd w:val="clear" w:color="auto" w:fill="auto"/>
          <w:tblCellMar>
            <w:top w:w="0" w:type="dxa"/>
            <w:left w:w="108" w:type="dxa"/>
            <w:bottom w:w="0" w:type="dxa"/>
            <w:right w:w="108" w:type="dxa"/>
          </w:tblCellMar>
        </w:tblPrEx>
        <w:trPr>
          <w:trHeight w:val="1740" w:hRule="atLeast"/>
        </w:trPr>
        <w:tc>
          <w:tcPr>
            <w:tcW w:w="2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37</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8"/>
                <w:szCs w:val="18"/>
                <w:u w:val="none"/>
              </w:rPr>
            </w:pP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辅材（电源头，，水晶头，管卡，镙丝，机械，打孔，PVC室内电源箱，等）</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批</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213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r>
      <w:tr>
        <w:tblPrEx>
          <w:shd w:val="clear" w:color="auto" w:fill="auto"/>
          <w:tblCellMar>
            <w:top w:w="0" w:type="dxa"/>
            <w:left w:w="108" w:type="dxa"/>
            <w:bottom w:w="0" w:type="dxa"/>
            <w:right w:w="108" w:type="dxa"/>
          </w:tblCellMar>
        </w:tblPrEx>
        <w:trPr>
          <w:trHeight w:val="585" w:hRule="atLeast"/>
        </w:trPr>
        <w:tc>
          <w:tcPr>
            <w:tcW w:w="2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38</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8"/>
                <w:szCs w:val="18"/>
                <w:u w:val="none"/>
              </w:rPr>
            </w:pP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2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941" w:type="pct"/>
            <w:gridSpan w:val="4"/>
            <w:tcBorders>
              <w:top w:val="single" w:color="000000" w:sz="4" w:space="0"/>
              <w:left w:val="single" w:color="000000" w:sz="4" w:space="0"/>
              <w:bottom w:val="single" w:color="000000" w:sz="4" w:space="0"/>
              <w:right w:val="single" w:color="000000" w:sz="4" w:space="0"/>
            </w:tcBorders>
            <w:shd w:val="clear" w:color="auto" w:fill="FFFF99"/>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A:设备合计：</w:t>
            </w:r>
          </w:p>
        </w:tc>
        <w:tc>
          <w:tcPr>
            <w:tcW w:w="608" w:type="pct"/>
            <w:tcBorders>
              <w:top w:val="single" w:color="000000" w:sz="4" w:space="0"/>
              <w:left w:val="single" w:color="000000" w:sz="4" w:space="0"/>
              <w:bottom w:val="single" w:color="000000" w:sz="4" w:space="0"/>
              <w:right w:val="single" w:color="000000" w:sz="4" w:space="0"/>
            </w:tcBorders>
            <w:shd w:val="clear" w:color="auto" w:fill="FFFF99"/>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0.00 </w:t>
            </w:r>
          </w:p>
        </w:tc>
        <w:tc>
          <w:tcPr>
            <w:tcW w:w="1453" w:type="pct"/>
            <w:tcBorders>
              <w:top w:val="single" w:color="000000" w:sz="4" w:space="0"/>
              <w:left w:val="single" w:color="000000" w:sz="4" w:space="0"/>
              <w:bottom w:val="single" w:color="000000" w:sz="4" w:space="0"/>
              <w:right w:val="single" w:color="000000" w:sz="4" w:space="0"/>
            </w:tcBorders>
            <w:shd w:val="clear" w:color="auto" w:fill="FFFF99"/>
            <w:noWrap/>
            <w:vAlign w:val="center"/>
          </w:tcPr>
          <w:p>
            <w:pPr>
              <w:jc w:val="center"/>
              <w:rPr>
                <w:rFonts w:hint="eastAsia" w:ascii="宋体" w:hAnsi="宋体" w:eastAsia="宋体" w:cs="宋体"/>
                <w:i w:val="0"/>
                <w:iCs w:val="0"/>
                <w:color w:val="auto"/>
                <w:sz w:val="20"/>
                <w:szCs w:val="20"/>
                <w:u w:val="none"/>
              </w:rPr>
            </w:pPr>
          </w:p>
        </w:tc>
      </w:tr>
      <w:tr>
        <w:tblPrEx>
          <w:shd w:val="clear" w:color="auto" w:fill="auto"/>
          <w:tblCellMar>
            <w:top w:w="0" w:type="dxa"/>
            <w:left w:w="108" w:type="dxa"/>
            <w:bottom w:w="0" w:type="dxa"/>
            <w:right w:w="108" w:type="dxa"/>
          </w:tblCellMar>
        </w:tblPrEx>
        <w:trPr>
          <w:trHeight w:val="570" w:hRule="atLeast"/>
        </w:trPr>
        <w:tc>
          <w:tcPr>
            <w:tcW w:w="2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40</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8"/>
                <w:szCs w:val="18"/>
                <w:u w:val="none"/>
              </w:rPr>
            </w:pP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2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941" w:type="pct"/>
            <w:gridSpan w:val="4"/>
            <w:tcBorders>
              <w:top w:val="single" w:color="000000" w:sz="4" w:space="0"/>
              <w:left w:val="single" w:color="000000" w:sz="4" w:space="0"/>
              <w:bottom w:val="single" w:color="000000" w:sz="4" w:space="0"/>
              <w:right w:val="single" w:color="000000" w:sz="4" w:space="0"/>
            </w:tcBorders>
            <w:shd w:val="clear" w:color="auto" w:fill="FFFF99"/>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税金[A*13%]:</w:t>
            </w:r>
          </w:p>
        </w:tc>
        <w:tc>
          <w:tcPr>
            <w:tcW w:w="608" w:type="pct"/>
            <w:tcBorders>
              <w:top w:val="single" w:color="000000" w:sz="4" w:space="0"/>
              <w:left w:val="single" w:color="000000" w:sz="4" w:space="0"/>
              <w:bottom w:val="single" w:color="000000" w:sz="4" w:space="0"/>
              <w:right w:val="single" w:color="000000" w:sz="4" w:space="0"/>
            </w:tcBorders>
            <w:shd w:val="clear" w:color="auto" w:fill="FFFF99"/>
            <w:noWrap/>
            <w:vAlign w:val="center"/>
          </w:tcPr>
          <w:p>
            <w:pPr>
              <w:jc w:val="center"/>
              <w:rPr>
                <w:rFonts w:hint="eastAsia" w:ascii="宋体" w:hAnsi="宋体" w:eastAsia="宋体" w:cs="宋体"/>
                <w:i w:val="0"/>
                <w:iCs w:val="0"/>
                <w:color w:val="auto"/>
                <w:sz w:val="20"/>
                <w:szCs w:val="20"/>
                <w:u w:val="none"/>
              </w:rPr>
            </w:pPr>
          </w:p>
        </w:tc>
        <w:tc>
          <w:tcPr>
            <w:tcW w:w="1453" w:type="pct"/>
            <w:tcBorders>
              <w:top w:val="single" w:color="000000" w:sz="4" w:space="0"/>
              <w:left w:val="single" w:color="000000" w:sz="4" w:space="0"/>
              <w:bottom w:val="single" w:color="000000" w:sz="4" w:space="0"/>
              <w:right w:val="single" w:color="000000" w:sz="4" w:space="0"/>
            </w:tcBorders>
            <w:shd w:val="clear" w:color="auto" w:fill="FFFF99"/>
            <w:noWrap/>
            <w:vAlign w:val="center"/>
          </w:tcPr>
          <w:p>
            <w:pPr>
              <w:jc w:val="center"/>
              <w:rPr>
                <w:rFonts w:hint="eastAsia" w:ascii="宋体" w:hAnsi="宋体" w:eastAsia="宋体" w:cs="宋体"/>
                <w:i w:val="0"/>
                <w:iCs w:val="0"/>
                <w:color w:val="auto"/>
                <w:sz w:val="20"/>
                <w:szCs w:val="20"/>
                <w:u w:val="none"/>
              </w:rPr>
            </w:pPr>
          </w:p>
        </w:tc>
      </w:tr>
      <w:tr>
        <w:tblPrEx>
          <w:shd w:val="clear" w:color="auto" w:fill="auto"/>
          <w:tblCellMar>
            <w:top w:w="0" w:type="dxa"/>
            <w:left w:w="108" w:type="dxa"/>
            <w:bottom w:w="0" w:type="dxa"/>
            <w:right w:w="108" w:type="dxa"/>
          </w:tblCellMar>
        </w:tblPrEx>
        <w:trPr>
          <w:trHeight w:val="540" w:hRule="atLeast"/>
        </w:trPr>
        <w:tc>
          <w:tcPr>
            <w:tcW w:w="2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4"/>
                <w:szCs w:val="24"/>
                <w:u w:val="none"/>
              </w:rPr>
            </w:pPr>
            <w:r>
              <w:rPr>
                <w:rFonts w:hint="eastAsia" w:ascii="黑体" w:hAnsi="宋体" w:eastAsia="黑体" w:cs="黑体"/>
                <w:i w:val="0"/>
                <w:iCs w:val="0"/>
                <w:color w:val="auto"/>
                <w:kern w:val="0"/>
                <w:sz w:val="24"/>
                <w:szCs w:val="24"/>
                <w:u w:val="none"/>
                <w:lang w:val="en-US" w:eastAsia="zh-CN" w:bidi="ar"/>
              </w:rPr>
              <w:t>41</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18"/>
                <w:szCs w:val="18"/>
                <w:u w:val="none"/>
              </w:rPr>
            </w:pP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0"/>
                <w:szCs w:val="20"/>
                <w:u w:val="none"/>
              </w:rPr>
            </w:pPr>
          </w:p>
        </w:tc>
        <w:tc>
          <w:tcPr>
            <w:tcW w:w="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0"/>
                <w:szCs w:val="20"/>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0"/>
                <w:szCs w:val="20"/>
                <w:u w:val="none"/>
              </w:rPr>
            </w:pPr>
          </w:p>
        </w:tc>
        <w:tc>
          <w:tcPr>
            <w:tcW w:w="2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0"/>
                <w:szCs w:val="20"/>
                <w:u w:val="none"/>
              </w:rPr>
            </w:pPr>
          </w:p>
        </w:tc>
        <w:tc>
          <w:tcPr>
            <w:tcW w:w="941" w:type="pct"/>
            <w:gridSpan w:val="4"/>
            <w:tcBorders>
              <w:top w:val="single" w:color="000000" w:sz="4" w:space="0"/>
              <w:left w:val="single" w:color="000000" w:sz="4" w:space="0"/>
              <w:bottom w:val="single" w:color="000000" w:sz="4" w:space="0"/>
              <w:right w:val="single" w:color="000000" w:sz="4" w:space="0"/>
            </w:tcBorders>
            <w:shd w:val="clear" w:color="auto" w:fill="FFFF99"/>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小计：</w:t>
            </w:r>
          </w:p>
        </w:tc>
        <w:tc>
          <w:tcPr>
            <w:tcW w:w="608" w:type="pct"/>
            <w:tcBorders>
              <w:top w:val="single" w:color="000000" w:sz="4" w:space="0"/>
              <w:left w:val="single" w:color="000000" w:sz="4" w:space="0"/>
              <w:bottom w:val="single" w:color="000000" w:sz="4" w:space="0"/>
              <w:right w:val="single" w:color="000000" w:sz="4" w:space="0"/>
            </w:tcBorders>
            <w:shd w:val="clear" w:color="auto" w:fill="FFFF99"/>
            <w:noWrap/>
            <w:vAlign w:val="center"/>
          </w:tcPr>
          <w:p>
            <w:pPr>
              <w:jc w:val="center"/>
              <w:rPr>
                <w:rFonts w:hint="eastAsia" w:ascii="宋体" w:hAnsi="宋体" w:eastAsia="宋体" w:cs="宋体"/>
                <w:b/>
                <w:bCs/>
                <w:i w:val="0"/>
                <w:iCs w:val="0"/>
                <w:color w:val="auto"/>
                <w:sz w:val="20"/>
                <w:szCs w:val="20"/>
                <w:u w:val="none"/>
              </w:rPr>
            </w:pPr>
          </w:p>
        </w:tc>
        <w:tc>
          <w:tcPr>
            <w:tcW w:w="1453" w:type="pct"/>
            <w:tcBorders>
              <w:top w:val="single" w:color="000000" w:sz="4" w:space="0"/>
              <w:left w:val="single" w:color="000000" w:sz="4" w:space="0"/>
              <w:bottom w:val="single" w:color="000000" w:sz="4" w:space="0"/>
              <w:right w:val="single" w:color="000000" w:sz="4" w:space="0"/>
            </w:tcBorders>
            <w:shd w:val="clear" w:color="auto" w:fill="FFFF99"/>
            <w:noWrap/>
            <w:vAlign w:val="center"/>
          </w:tcPr>
          <w:p>
            <w:pPr>
              <w:jc w:val="center"/>
              <w:rPr>
                <w:rFonts w:hint="eastAsia" w:ascii="宋体" w:hAnsi="宋体" w:eastAsia="宋体" w:cs="宋体"/>
                <w:b/>
                <w:bCs/>
                <w:i w:val="0"/>
                <w:iCs w:val="0"/>
                <w:color w:val="auto"/>
                <w:sz w:val="20"/>
                <w:szCs w:val="20"/>
                <w:u w:val="none"/>
              </w:rPr>
            </w:pPr>
          </w:p>
        </w:tc>
      </w:tr>
    </w:tbl>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0490" cy="26289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0490" cy="262890"/>
                      </a:xfrm>
                      <a:prstGeom prst="rect">
                        <a:avLst/>
                      </a:prstGeom>
                      <a:noFill/>
                      <a:ln>
                        <a:noFill/>
                      </a:ln>
                      <a:effectLst/>
                    </wps:spPr>
                    <wps:txbx>
                      <w:txbxContent>
                        <w:p>
                          <w:pPr>
                            <w:pStyle w:val="6"/>
                          </w:pPr>
                          <w:r>
                            <w:fldChar w:fldCharType="begin"/>
                          </w:r>
                          <w:r>
                            <w:instrText xml:space="preserve"> PAGE  \* MERGEFORMAT </w:instrText>
                          </w:r>
                          <w:r>
                            <w:fldChar w:fldCharType="separate"/>
                          </w:r>
                          <w:r>
                            <w:t>15</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20.7pt;width:8.7pt;mso-position-horizontal:center;mso-position-horizontal-relative:margin;mso-wrap-style:none;z-index:251660288;mso-width-relative:page;mso-height-relative:page;" filled="f" stroked="f" coordsize="21600,21600" o:gfxdata="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VNhl/0QAAAAMBAAAPAAAAAAAAAAEAIAAAACIAAABkcnMv&#10;ZG93bnJldi54bWxQSwECFAAUAAAACACHTuJAj+fKsNEBAAClAwAADgAAAAAAAAABACAAAAAgAQAA&#10;ZHJzL2Uyb0RvYy54bWxQSwUGAAAAAAYABgBZAQAAYwU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15</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328E01C"/>
    <w:multiLevelType w:val="singleLevel"/>
    <w:tmpl w:val="B328E01C"/>
    <w:lvl w:ilvl="0" w:tentative="0">
      <w:start w:val="1"/>
      <w:numFmt w:val="bullet"/>
      <w:pStyle w:val="5"/>
      <w:lvlText w:val=""/>
      <w:lvlJc w:val="left"/>
      <w:pPr>
        <w:tabs>
          <w:tab w:val="left" w:pos="780"/>
        </w:tabs>
        <w:ind w:left="780" w:hanging="360"/>
      </w:pPr>
      <w:rPr>
        <w:rFonts w:hint="default" w:ascii="Wingdings" w:hAnsi="Wingdings"/>
      </w:rPr>
    </w:lvl>
  </w:abstractNum>
  <w:abstractNum w:abstractNumId="1">
    <w:nsid w:val="DD98AD17"/>
    <w:multiLevelType w:val="singleLevel"/>
    <w:tmpl w:val="DD98AD17"/>
    <w:lvl w:ilvl="0" w:tentative="0">
      <w:start w:val="6"/>
      <w:numFmt w:val="decimal"/>
      <w:suff w:val="nothing"/>
      <w:lvlText w:val="%1）"/>
      <w:lvlJc w:val="left"/>
    </w:lvl>
  </w:abstractNum>
  <w:abstractNum w:abstractNumId="2">
    <w:nsid w:val="0000000B"/>
    <w:multiLevelType w:val="multilevel"/>
    <w:tmpl w:val="0000000B"/>
    <w:lvl w:ilvl="0" w:tentative="0">
      <w:start w:val="1"/>
      <w:numFmt w:val="decimal"/>
      <w:lvlText w:val="19.%1"/>
      <w:lvlJc w:val="left"/>
      <w:pPr>
        <w:tabs>
          <w:tab w:val="left" w:pos="1080"/>
        </w:tabs>
        <w:ind w:left="1080" w:hanging="360"/>
      </w:pPr>
      <w:rPr>
        <w:rFonts w:hint="eastAsia" w:ascii="宋体" w:hAnsi="宋体" w:eastAsia="宋体"/>
        <w:b w:val="0"/>
        <w:i w:val="0"/>
        <w:sz w:val="24"/>
        <w:szCs w:val="24"/>
      </w:rPr>
    </w:lvl>
    <w:lvl w:ilvl="1" w:tentative="0">
      <w:start w:val="1"/>
      <w:numFmt w:val="lowerLetter"/>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0000000C"/>
    <w:multiLevelType w:val="multilevel"/>
    <w:tmpl w:val="0000000C"/>
    <w:lvl w:ilvl="0" w:tentative="0">
      <w:start w:val="1"/>
      <w:numFmt w:val="decimal"/>
      <w:lvlText w:val="15.1.%1"/>
      <w:lvlJc w:val="left"/>
      <w:pPr>
        <w:tabs>
          <w:tab w:val="left" w:pos="1080"/>
        </w:tabs>
        <w:ind w:left="1080" w:hanging="360"/>
      </w:pPr>
      <w:rPr>
        <w:rFonts w:hint="eastAsia" w:ascii="宋体" w:hAnsi="宋体" w:eastAsia="宋体"/>
        <w:b w:val="0"/>
        <w:i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0000000D"/>
    <w:multiLevelType w:val="multilevel"/>
    <w:tmpl w:val="0000000D"/>
    <w:lvl w:ilvl="0" w:tentative="0">
      <w:start w:val="1"/>
      <w:numFmt w:val="decimal"/>
      <w:lvlText w:val="7.%1"/>
      <w:lvlJc w:val="left"/>
      <w:pPr>
        <w:tabs>
          <w:tab w:val="left" w:pos="1080"/>
        </w:tabs>
        <w:ind w:left="1080" w:hanging="360"/>
      </w:pPr>
      <w:rPr>
        <w:rFonts w:hint="eastAsia" w:ascii="宋体" w:hAnsi="宋体" w:eastAsia="宋体"/>
        <w:b w:val="0"/>
        <w:i w:val="0"/>
      </w:rPr>
    </w:lvl>
    <w:lvl w:ilvl="1" w:tentative="0">
      <w:start w:val="1"/>
      <w:numFmt w:val="lowerLetter"/>
      <w:lvlText w:val="%2)"/>
      <w:lvlJc w:val="left"/>
      <w:pPr>
        <w:tabs>
          <w:tab w:val="left" w:pos="780"/>
        </w:tabs>
        <w:ind w:left="78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00000011"/>
    <w:multiLevelType w:val="multilevel"/>
    <w:tmpl w:val="00000011"/>
    <w:lvl w:ilvl="0" w:tentative="0">
      <w:start w:val="1"/>
      <w:numFmt w:val="decimal"/>
      <w:lvlText w:val="10.%1"/>
      <w:lvlJc w:val="left"/>
      <w:pPr>
        <w:tabs>
          <w:tab w:val="left" w:pos="900"/>
        </w:tabs>
        <w:ind w:left="900" w:hanging="360"/>
      </w:pPr>
      <w:rPr>
        <w:rFonts w:hint="eastAsia" w:ascii="宋体" w:hAnsi="宋体" w:eastAsia="宋体"/>
        <w:b w:val="0"/>
        <w:i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0000012"/>
    <w:multiLevelType w:val="multilevel"/>
    <w:tmpl w:val="00000012"/>
    <w:lvl w:ilvl="0" w:tentative="0">
      <w:start w:val="1"/>
      <w:numFmt w:val="decimal"/>
      <w:lvlText w:val="8.%1"/>
      <w:lvlJc w:val="left"/>
      <w:pPr>
        <w:tabs>
          <w:tab w:val="left" w:pos="900"/>
        </w:tabs>
        <w:ind w:left="900" w:hanging="360"/>
      </w:pPr>
      <w:rPr>
        <w:rFonts w:hint="eastAsia" w:ascii="宋体" w:hAnsi="宋体" w:eastAsia="宋体"/>
        <w:b w:val="0"/>
        <w:i w:val="0"/>
        <w:sz w:val="24"/>
        <w:szCs w:val="24"/>
      </w:rPr>
    </w:lvl>
    <w:lvl w:ilvl="1" w:tentative="0">
      <w:start w:val="1"/>
      <w:numFmt w:val="lowerLetter"/>
      <w:lvlText w:val="%2)"/>
      <w:lvlJc w:val="left"/>
      <w:pPr>
        <w:tabs>
          <w:tab w:val="left" w:pos="660"/>
        </w:tabs>
        <w:ind w:left="660" w:hanging="420"/>
      </w:pPr>
    </w:lvl>
    <w:lvl w:ilvl="2" w:tentative="0">
      <w:start w:val="1"/>
      <w:numFmt w:val="lowerRoman"/>
      <w:lvlText w:val="%3."/>
      <w:lvlJc w:val="right"/>
      <w:pPr>
        <w:tabs>
          <w:tab w:val="left" w:pos="1080"/>
        </w:tabs>
        <w:ind w:left="1080" w:hanging="420"/>
      </w:pPr>
    </w:lvl>
    <w:lvl w:ilvl="3" w:tentative="0">
      <w:start w:val="1"/>
      <w:numFmt w:val="decimal"/>
      <w:lvlText w:val="%4."/>
      <w:lvlJc w:val="left"/>
      <w:pPr>
        <w:tabs>
          <w:tab w:val="left" w:pos="1500"/>
        </w:tabs>
        <w:ind w:left="1500" w:hanging="420"/>
      </w:pPr>
    </w:lvl>
    <w:lvl w:ilvl="4" w:tentative="0">
      <w:start w:val="1"/>
      <w:numFmt w:val="lowerLetter"/>
      <w:lvlText w:val="%5)"/>
      <w:lvlJc w:val="left"/>
      <w:pPr>
        <w:tabs>
          <w:tab w:val="left" w:pos="1920"/>
        </w:tabs>
        <w:ind w:left="1920" w:hanging="420"/>
      </w:pPr>
    </w:lvl>
    <w:lvl w:ilvl="5" w:tentative="0">
      <w:start w:val="1"/>
      <w:numFmt w:val="lowerRoman"/>
      <w:lvlText w:val="%6."/>
      <w:lvlJc w:val="right"/>
      <w:pPr>
        <w:tabs>
          <w:tab w:val="left" w:pos="2340"/>
        </w:tabs>
        <w:ind w:left="2340" w:hanging="420"/>
      </w:pPr>
    </w:lvl>
    <w:lvl w:ilvl="6" w:tentative="0">
      <w:start w:val="1"/>
      <w:numFmt w:val="decimal"/>
      <w:lvlText w:val="%7."/>
      <w:lvlJc w:val="left"/>
      <w:pPr>
        <w:tabs>
          <w:tab w:val="left" w:pos="2760"/>
        </w:tabs>
        <w:ind w:left="2760" w:hanging="420"/>
      </w:pPr>
    </w:lvl>
    <w:lvl w:ilvl="7" w:tentative="0">
      <w:start w:val="1"/>
      <w:numFmt w:val="lowerLetter"/>
      <w:lvlText w:val="%8)"/>
      <w:lvlJc w:val="left"/>
      <w:pPr>
        <w:tabs>
          <w:tab w:val="left" w:pos="3180"/>
        </w:tabs>
        <w:ind w:left="3180" w:hanging="420"/>
      </w:pPr>
    </w:lvl>
    <w:lvl w:ilvl="8" w:tentative="0">
      <w:start w:val="1"/>
      <w:numFmt w:val="lowerRoman"/>
      <w:lvlText w:val="%9."/>
      <w:lvlJc w:val="right"/>
      <w:pPr>
        <w:tabs>
          <w:tab w:val="left" w:pos="3600"/>
        </w:tabs>
        <w:ind w:left="3600" w:hanging="420"/>
      </w:pPr>
    </w:lvl>
  </w:abstractNum>
  <w:abstractNum w:abstractNumId="7">
    <w:nsid w:val="00000015"/>
    <w:multiLevelType w:val="multilevel"/>
    <w:tmpl w:val="00000015"/>
    <w:lvl w:ilvl="0" w:tentative="0">
      <w:start w:val="1"/>
      <w:numFmt w:val="decimal"/>
      <w:lvlText w:val="18.%1"/>
      <w:lvlJc w:val="left"/>
      <w:pPr>
        <w:tabs>
          <w:tab w:val="left" w:pos="1080"/>
        </w:tabs>
        <w:ind w:left="1080" w:hanging="360"/>
      </w:pPr>
      <w:rPr>
        <w:rFonts w:hint="eastAsia" w:ascii="宋体" w:hAnsi="宋体" w:eastAsia="宋体"/>
        <w:b w:val="0"/>
        <w:i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00000016"/>
    <w:multiLevelType w:val="multilevel"/>
    <w:tmpl w:val="00000016"/>
    <w:lvl w:ilvl="0" w:tentative="0">
      <w:start w:val="1"/>
      <w:numFmt w:val="decimal"/>
      <w:lvlText w:val="%1."/>
      <w:lvlJc w:val="left"/>
      <w:pPr>
        <w:tabs>
          <w:tab w:val="left" w:pos="1380"/>
        </w:tabs>
        <w:ind w:left="1380" w:hanging="420"/>
      </w:pPr>
      <w:rPr>
        <w:rFonts w:hint="eastAsia"/>
      </w:rPr>
    </w:lvl>
    <w:lvl w:ilvl="1" w:tentative="0">
      <w:start w:val="1"/>
      <w:numFmt w:val="lowerLetter"/>
      <w:lvlText w:val="（%2）"/>
      <w:lvlJc w:val="left"/>
      <w:pPr>
        <w:tabs>
          <w:tab w:val="left" w:pos="1320"/>
        </w:tabs>
        <w:ind w:left="1320" w:hanging="420"/>
      </w:pPr>
      <w:rPr>
        <w:rFonts w:hint="eastAsia"/>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9">
    <w:nsid w:val="00000017"/>
    <w:multiLevelType w:val="multilevel"/>
    <w:tmpl w:val="00000017"/>
    <w:lvl w:ilvl="0" w:tentative="0">
      <w:start w:val="1"/>
      <w:numFmt w:val="decimal"/>
      <w:lvlText w:val="17.%1"/>
      <w:lvlJc w:val="left"/>
      <w:pPr>
        <w:tabs>
          <w:tab w:val="left" w:pos="1080"/>
        </w:tabs>
        <w:ind w:left="1080" w:hanging="360"/>
      </w:pPr>
      <w:rPr>
        <w:rFonts w:hint="eastAsia" w:ascii="宋体" w:hAnsi="宋体" w:eastAsia="宋体"/>
        <w:b w:val="0"/>
        <w:i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00000018"/>
    <w:multiLevelType w:val="multilevel"/>
    <w:tmpl w:val="00000018"/>
    <w:lvl w:ilvl="0" w:tentative="0">
      <w:start w:val="1"/>
      <w:numFmt w:val="decimal"/>
      <w:lvlText w:val="%1."/>
      <w:lvlJc w:val="left"/>
      <w:pPr>
        <w:tabs>
          <w:tab w:val="left" w:pos="1380"/>
        </w:tabs>
        <w:ind w:left="1380" w:hanging="420"/>
      </w:pPr>
      <w:rPr>
        <w:rFonts w:hint="eastAsia"/>
      </w:rPr>
    </w:lvl>
    <w:lvl w:ilvl="1" w:tentative="0">
      <w:start w:val="1"/>
      <w:numFmt w:val="decimal"/>
      <w:lvlText w:val="（%2）"/>
      <w:lvlJc w:val="left"/>
      <w:pPr>
        <w:tabs>
          <w:tab w:val="left" w:pos="1320"/>
        </w:tabs>
        <w:ind w:left="1320" w:hanging="420"/>
      </w:pPr>
      <w:rPr>
        <w:rFonts w:hint="eastAsia"/>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11">
    <w:nsid w:val="00000019"/>
    <w:multiLevelType w:val="multilevel"/>
    <w:tmpl w:val="00000019"/>
    <w:lvl w:ilvl="0" w:tentative="0">
      <w:start w:val="1"/>
      <w:numFmt w:val="decimal"/>
      <w:lvlText w:val="25.%1"/>
      <w:lvlJc w:val="left"/>
      <w:pPr>
        <w:tabs>
          <w:tab w:val="left" w:pos="1080"/>
        </w:tabs>
        <w:ind w:left="1080" w:hanging="360"/>
      </w:pPr>
      <w:rPr>
        <w:rFonts w:hint="eastAsia" w:ascii="宋体" w:hAnsi="宋体" w:eastAsia="宋体"/>
        <w:b w:val="0"/>
        <w:i w:val="0"/>
        <w:sz w:val="24"/>
        <w:szCs w:val="24"/>
      </w:rPr>
    </w:lvl>
    <w:lvl w:ilvl="1" w:tentative="0">
      <w:start w:val="5"/>
      <w:numFmt w:val="japaneseCounting"/>
      <w:lvlText w:val="第%2章"/>
      <w:lvlJc w:val="left"/>
      <w:pPr>
        <w:tabs>
          <w:tab w:val="left" w:pos="1860"/>
        </w:tabs>
        <w:ind w:left="1860" w:hanging="144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2">
    <w:nsid w:val="0000001A"/>
    <w:multiLevelType w:val="multilevel"/>
    <w:tmpl w:val="0000001A"/>
    <w:lvl w:ilvl="0" w:tentative="0">
      <w:start w:val="1"/>
      <w:numFmt w:val="decimal"/>
      <w:lvlText w:val="16.%1"/>
      <w:lvlJc w:val="left"/>
      <w:pPr>
        <w:tabs>
          <w:tab w:val="left" w:pos="1080"/>
        </w:tabs>
        <w:ind w:left="1080" w:hanging="360"/>
      </w:pPr>
      <w:rPr>
        <w:rFonts w:hint="eastAsia" w:ascii="宋体" w:hAnsi="宋体" w:eastAsia="宋体"/>
        <w:b w:val="0"/>
        <w:i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3">
    <w:nsid w:val="0000001B"/>
    <w:multiLevelType w:val="multilevel"/>
    <w:tmpl w:val="0000001B"/>
    <w:lvl w:ilvl="0" w:tentative="0">
      <w:start w:val="1"/>
      <w:numFmt w:val="decimal"/>
      <w:lvlText w:val="24.%1"/>
      <w:lvlJc w:val="left"/>
      <w:pPr>
        <w:tabs>
          <w:tab w:val="left" w:pos="1080"/>
        </w:tabs>
        <w:ind w:left="1080" w:hanging="360"/>
      </w:pPr>
      <w:rPr>
        <w:rFonts w:hint="eastAsia" w:ascii="宋体" w:hAnsi="宋体" w:eastAsia="宋体"/>
        <w:b w:val="0"/>
        <w:i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0000001E"/>
    <w:multiLevelType w:val="multilevel"/>
    <w:tmpl w:val="0000001E"/>
    <w:lvl w:ilvl="0" w:tentative="0">
      <w:start w:val="1"/>
      <w:numFmt w:val="decimal"/>
      <w:lvlText w:val="%1."/>
      <w:lvlJc w:val="left"/>
      <w:pPr>
        <w:tabs>
          <w:tab w:val="left" w:pos="1380"/>
        </w:tabs>
        <w:ind w:left="1380" w:hanging="420"/>
      </w:pPr>
      <w:rPr>
        <w:rFonts w:hint="eastAsia"/>
      </w:rPr>
    </w:lvl>
    <w:lvl w:ilvl="1" w:tentative="0">
      <w:start w:val="1"/>
      <w:numFmt w:val="lowerLetter"/>
      <w:lvlText w:val="（%2）"/>
      <w:lvlJc w:val="left"/>
      <w:pPr>
        <w:tabs>
          <w:tab w:val="left" w:pos="1320"/>
        </w:tabs>
        <w:ind w:left="1320" w:hanging="420"/>
      </w:pPr>
      <w:rPr>
        <w:rFonts w:hint="eastAsia"/>
        <w:lang w:val="en-US"/>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15">
    <w:nsid w:val="00000020"/>
    <w:multiLevelType w:val="multilevel"/>
    <w:tmpl w:val="00000020"/>
    <w:lvl w:ilvl="0" w:tentative="0">
      <w:start w:val="1"/>
      <w:numFmt w:val="decimal"/>
      <w:lvlText w:val="13.%1"/>
      <w:lvlJc w:val="left"/>
      <w:pPr>
        <w:tabs>
          <w:tab w:val="left" w:pos="900"/>
        </w:tabs>
        <w:ind w:left="900" w:hanging="360"/>
      </w:pPr>
      <w:rPr>
        <w:rFonts w:hint="eastAsia" w:ascii="宋体" w:hAnsi="宋体" w:eastAsia="宋体"/>
        <w:b w:val="0"/>
        <w:i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6">
    <w:nsid w:val="00000021"/>
    <w:multiLevelType w:val="multilevel"/>
    <w:tmpl w:val="00000021"/>
    <w:lvl w:ilvl="0" w:tentative="0">
      <w:start w:val="1"/>
      <w:numFmt w:val="decimal"/>
      <w:lvlText w:val="4.%1"/>
      <w:lvlJc w:val="left"/>
      <w:pPr>
        <w:tabs>
          <w:tab w:val="left" w:pos="1080"/>
        </w:tabs>
        <w:ind w:left="1080" w:hanging="360"/>
      </w:pPr>
      <w:rPr>
        <w:rFonts w:hint="eastAsia" w:ascii="宋体" w:hAnsi="宋体" w:eastAsia="宋体"/>
        <w:b w:val="0"/>
        <w:i w:val="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7">
    <w:nsid w:val="00000023"/>
    <w:multiLevelType w:val="multilevel"/>
    <w:tmpl w:val="00000023"/>
    <w:lvl w:ilvl="0" w:tentative="0">
      <w:start w:val="1"/>
      <w:numFmt w:val="decimal"/>
      <w:lvlText w:val="%1."/>
      <w:lvlJc w:val="left"/>
      <w:pPr>
        <w:tabs>
          <w:tab w:val="left" w:pos="1380"/>
        </w:tabs>
        <w:ind w:left="1380" w:hanging="420"/>
      </w:pPr>
      <w:rPr>
        <w:rFonts w:hint="eastAsia"/>
      </w:rPr>
    </w:lvl>
    <w:lvl w:ilvl="1" w:tentative="0">
      <w:start w:val="1"/>
      <w:numFmt w:val="decimal"/>
      <w:lvlText w:val="（%2）"/>
      <w:lvlJc w:val="left"/>
      <w:pPr>
        <w:tabs>
          <w:tab w:val="left" w:pos="1320"/>
        </w:tabs>
        <w:ind w:left="1320" w:hanging="420"/>
      </w:pPr>
      <w:rPr>
        <w:rFonts w:hint="eastAsia"/>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18">
    <w:nsid w:val="00000025"/>
    <w:multiLevelType w:val="multilevel"/>
    <w:tmpl w:val="00000025"/>
    <w:lvl w:ilvl="0" w:tentative="0">
      <w:start w:val="1"/>
      <w:numFmt w:val="decimal"/>
      <w:lvlText w:val="%1."/>
      <w:lvlJc w:val="left"/>
      <w:pPr>
        <w:tabs>
          <w:tab w:val="left" w:pos="1380"/>
        </w:tabs>
        <w:ind w:left="1380" w:hanging="420"/>
      </w:pPr>
      <w:rPr>
        <w:rFonts w:hint="eastAsia"/>
      </w:rPr>
    </w:lvl>
    <w:lvl w:ilvl="1" w:tentative="0">
      <w:start w:val="1"/>
      <w:numFmt w:val="lowerLetter"/>
      <w:lvlText w:val="%2)"/>
      <w:lvlJc w:val="left"/>
      <w:pPr>
        <w:tabs>
          <w:tab w:val="left" w:pos="1320"/>
        </w:tabs>
        <w:ind w:left="1320" w:hanging="420"/>
      </w:pPr>
      <w:rPr>
        <w:rFonts w:hint="eastAsia"/>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19">
    <w:nsid w:val="00000028"/>
    <w:multiLevelType w:val="multilevel"/>
    <w:tmpl w:val="00000028"/>
    <w:lvl w:ilvl="0" w:tentative="0">
      <w:start w:val="1"/>
      <w:numFmt w:val="decimal"/>
      <w:lvlText w:val="14.%1"/>
      <w:lvlJc w:val="left"/>
      <w:pPr>
        <w:tabs>
          <w:tab w:val="left" w:pos="1080"/>
        </w:tabs>
        <w:ind w:left="1080" w:hanging="360"/>
      </w:pPr>
      <w:rPr>
        <w:rFonts w:hint="eastAsia" w:ascii="宋体" w:hAnsi="宋体" w:eastAsia="宋体"/>
        <w:b w:val="0"/>
        <w:i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00000029"/>
    <w:multiLevelType w:val="multilevel"/>
    <w:tmpl w:val="00000029"/>
    <w:lvl w:ilvl="0" w:tentative="0">
      <w:start w:val="1"/>
      <w:numFmt w:val="decimal"/>
      <w:lvlText w:val="27.%1"/>
      <w:lvlJc w:val="left"/>
      <w:pPr>
        <w:tabs>
          <w:tab w:val="left" w:pos="1080"/>
        </w:tabs>
        <w:ind w:left="1080" w:hanging="360"/>
      </w:pPr>
      <w:rPr>
        <w:rFonts w:hint="eastAsia" w:ascii="宋体" w:hAnsi="宋体" w:eastAsia="宋体"/>
        <w:b w:val="0"/>
        <w:i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0000002A"/>
    <w:multiLevelType w:val="multilevel"/>
    <w:tmpl w:val="0000002A"/>
    <w:lvl w:ilvl="0" w:tentative="0">
      <w:start w:val="1"/>
      <w:numFmt w:val="decimal"/>
      <w:lvlText w:val="%1."/>
      <w:lvlJc w:val="left"/>
      <w:pPr>
        <w:tabs>
          <w:tab w:val="left" w:pos="1380"/>
        </w:tabs>
        <w:ind w:left="1380" w:hanging="420"/>
      </w:pPr>
      <w:rPr>
        <w:rFonts w:hint="eastAsia"/>
      </w:rPr>
    </w:lvl>
    <w:lvl w:ilvl="1" w:tentative="0">
      <w:start w:val="1"/>
      <w:numFmt w:val="decimal"/>
      <w:lvlText w:val="（%2）"/>
      <w:lvlJc w:val="left"/>
      <w:pPr>
        <w:tabs>
          <w:tab w:val="left" w:pos="1320"/>
        </w:tabs>
        <w:ind w:left="1320" w:hanging="420"/>
      </w:pPr>
      <w:rPr>
        <w:rFonts w:hint="eastAsia"/>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22">
    <w:nsid w:val="0000002E"/>
    <w:multiLevelType w:val="multilevel"/>
    <w:tmpl w:val="0000002E"/>
    <w:lvl w:ilvl="0" w:tentative="0">
      <w:start w:val="1"/>
      <w:numFmt w:val="decimal"/>
      <w:lvlText w:val="（%1）"/>
      <w:lvlJc w:val="left"/>
      <w:pPr>
        <w:tabs>
          <w:tab w:val="left" w:pos="1140"/>
        </w:tabs>
        <w:ind w:left="11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3">
    <w:nsid w:val="0000002F"/>
    <w:multiLevelType w:val="multilevel"/>
    <w:tmpl w:val="0000002F"/>
    <w:lvl w:ilvl="0" w:tentative="0">
      <w:start w:val="1"/>
      <w:numFmt w:val="decimal"/>
      <w:lvlText w:val="11.%1"/>
      <w:lvlJc w:val="left"/>
      <w:pPr>
        <w:tabs>
          <w:tab w:val="left" w:pos="900"/>
        </w:tabs>
        <w:ind w:left="900" w:hanging="360"/>
      </w:pPr>
      <w:rPr>
        <w:rFonts w:hint="eastAsia" w:ascii="宋体" w:hAnsi="宋体" w:eastAsia="宋体"/>
        <w:b w:val="0"/>
        <w:i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4">
    <w:nsid w:val="00000030"/>
    <w:multiLevelType w:val="multilevel"/>
    <w:tmpl w:val="00000030"/>
    <w:lvl w:ilvl="0" w:tentative="0">
      <w:start w:val="1"/>
      <w:numFmt w:val="decimal"/>
      <w:lvlText w:val="（%1）"/>
      <w:lvlJc w:val="left"/>
      <w:pPr>
        <w:tabs>
          <w:tab w:val="left" w:pos="1140"/>
        </w:tabs>
        <w:ind w:left="11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5">
    <w:nsid w:val="00000031"/>
    <w:multiLevelType w:val="multilevel"/>
    <w:tmpl w:val="00000031"/>
    <w:lvl w:ilvl="0" w:tentative="0">
      <w:start w:val="1"/>
      <w:numFmt w:val="decimal"/>
      <w:lvlText w:val="%1."/>
      <w:lvlJc w:val="left"/>
      <w:pPr>
        <w:tabs>
          <w:tab w:val="left" w:pos="1380"/>
        </w:tabs>
        <w:ind w:left="1380" w:hanging="420"/>
      </w:pPr>
      <w:rPr>
        <w:rFonts w:hint="eastAsia"/>
      </w:rPr>
    </w:lvl>
    <w:lvl w:ilvl="1" w:tentative="0">
      <w:start w:val="1"/>
      <w:numFmt w:val="decimal"/>
      <w:lvlText w:val="（%2）"/>
      <w:lvlJc w:val="left"/>
      <w:pPr>
        <w:tabs>
          <w:tab w:val="left" w:pos="1320"/>
        </w:tabs>
        <w:ind w:left="1320" w:hanging="420"/>
      </w:pPr>
      <w:rPr>
        <w:rFonts w:hint="eastAsia"/>
        <w:lang w:val="en-US"/>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26">
    <w:nsid w:val="00000032"/>
    <w:multiLevelType w:val="multilevel"/>
    <w:tmpl w:val="00000032"/>
    <w:lvl w:ilvl="0" w:tentative="0">
      <w:start w:val="1"/>
      <w:numFmt w:val="decimal"/>
      <w:lvlText w:val="20.%1"/>
      <w:lvlJc w:val="left"/>
      <w:pPr>
        <w:tabs>
          <w:tab w:val="left" w:pos="1080"/>
        </w:tabs>
        <w:ind w:left="1080" w:hanging="360"/>
      </w:pPr>
      <w:rPr>
        <w:rFonts w:hint="eastAsia" w:ascii="宋体" w:hAnsi="宋体" w:eastAsia="宋体"/>
        <w:b w:val="0"/>
        <w:i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00000034"/>
    <w:multiLevelType w:val="multilevel"/>
    <w:tmpl w:val="00000034"/>
    <w:lvl w:ilvl="0" w:tentative="0">
      <w:start w:val="1"/>
      <w:numFmt w:val="decimal"/>
      <w:lvlText w:val="15.%1"/>
      <w:lvlJc w:val="left"/>
      <w:pPr>
        <w:tabs>
          <w:tab w:val="left" w:pos="1080"/>
        </w:tabs>
        <w:ind w:left="1080" w:hanging="360"/>
      </w:pPr>
      <w:rPr>
        <w:rFonts w:hint="eastAsia" w:ascii="宋体" w:hAnsi="宋体" w:eastAsia="宋体"/>
        <w:b w:val="0"/>
        <w:i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00000035"/>
    <w:multiLevelType w:val="multilevel"/>
    <w:tmpl w:val="00000035"/>
    <w:lvl w:ilvl="0" w:tentative="0">
      <w:start w:val="1"/>
      <w:numFmt w:val="decimal"/>
      <w:lvlText w:val="%1."/>
      <w:lvlJc w:val="left"/>
      <w:pPr>
        <w:tabs>
          <w:tab w:val="left" w:pos="1380"/>
        </w:tabs>
        <w:ind w:left="1380" w:hanging="420"/>
      </w:pPr>
      <w:rPr>
        <w:rFonts w:hint="eastAsia"/>
      </w:rPr>
    </w:lvl>
    <w:lvl w:ilvl="1" w:tentative="0">
      <w:start w:val="1"/>
      <w:numFmt w:val="decimal"/>
      <w:lvlText w:val="（%2）"/>
      <w:lvlJc w:val="left"/>
      <w:pPr>
        <w:tabs>
          <w:tab w:val="left" w:pos="1320"/>
        </w:tabs>
        <w:ind w:left="1320" w:hanging="420"/>
      </w:pPr>
      <w:rPr>
        <w:rFonts w:hint="eastAsia"/>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29">
    <w:nsid w:val="00000036"/>
    <w:multiLevelType w:val="multilevel"/>
    <w:tmpl w:val="00000036"/>
    <w:lvl w:ilvl="0" w:tentative="0">
      <w:start w:val="1"/>
      <w:numFmt w:val="decimal"/>
      <w:lvlText w:val="（%1）"/>
      <w:lvlJc w:val="left"/>
      <w:pPr>
        <w:tabs>
          <w:tab w:val="left" w:pos="960"/>
        </w:tabs>
        <w:ind w:left="960" w:hanging="420"/>
      </w:pPr>
      <w:rPr>
        <w:rFonts w:hint="eastAsia"/>
      </w:rPr>
    </w:lvl>
    <w:lvl w:ilvl="1" w:tentative="0">
      <w:start w:val="1"/>
      <w:numFmt w:val="lowerLetter"/>
      <w:lvlText w:val="%2)"/>
      <w:lvlJc w:val="left"/>
      <w:pPr>
        <w:tabs>
          <w:tab w:val="left" w:pos="679"/>
        </w:tabs>
        <w:ind w:left="679" w:hanging="420"/>
      </w:pPr>
    </w:lvl>
    <w:lvl w:ilvl="2" w:tentative="0">
      <w:start w:val="1"/>
      <w:numFmt w:val="lowerRoman"/>
      <w:lvlText w:val="%3."/>
      <w:lvlJc w:val="right"/>
      <w:pPr>
        <w:tabs>
          <w:tab w:val="left" w:pos="1099"/>
        </w:tabs>
        <w:ind w:left="1099" w:hanging="420"/>
      </w:pPr>
    </w:lvl>
    <w:lvl w:ilvl="3" w:tentative="0">
      <w:start w:val="1"/>
      <w:numFmt w:val="decimal"/>
      <w:lvlText w:val="%4."/>
      <w:lvlJc w:val="left"/>
      <w:pPr>
        <w:tabs>
          <w:tab w:val="left" w:pos="1519"/>
        </w:tabs>
        <w:ind w:left="1519" w:hanging="420"/>
      </w:pPr>
    </w:lvl>
    <w:lvl w:ilvl="4" w:tentative="0">
      <w:start w:val="1"/>
      <w:numFmt w:val="lowerLetter"/>
      <w:lvlText w:val="%5)"/>
      <w:lvlJc w:val="left"/>
      <w:pPr>
        <w:tabs>
          <w:tab w:val="left" w:pos="1939"/>
        </w:tabs>
        <w:ind w:left="1939" w:hanging="420"/>
      </w:pPr>
    </w:lvl>
    <w:lvl w:ilvl="5" w:tentative="0">
      <w:start w:val="1"/>
      <w:numFmt w:val="lowerRoman"/>
      <w:lvlText w:val="%6."/>
      <w:lvlJc w:val="right"/>
      <w:pPr>
        <w:tabs>
          <w:tab w:val="left" w:pos="2359"/>
        </w:tabs>
        <w:ind w:left="2359" w:hanging="420"/>
      </w:pPr>
    </w:lvl>
    <w:lvl w:ilvl="6" w:tentative="0">
      <w:start w:val="1"/>
      <w:numFmt w:val="decimal"/>
      <w:lvlText w:val="%7."/>
      <w:lvlJc w:val="left"/>
      <w:pPr>
        <w:tabs>
          <w:tab w:val="left" w:pos="2779"/>
        </w:tabs>
        <w:ind w:left="2779" w:hanging="420"/>
      </w:pPr>
    </w:lvl>
    <w:lvl w:ilvl="7" w:tentative="0">
      <w:start w:val="1"/>
      <w:numFmt w:val="lowerLetter"/>
      <w:lvlText w:val="%8)"/>
      <w:lvlJc w:val="left"/>
      <w:pPr>
        <w:tabs>
          <w:tab w:val="left" w:pos="3199"/>
        </w:tabs>
        <w:ind w:left="3199" w:hanging="420"/>
      </w:pPr>
    </w:lvl>
    <w:lvl w:ilvl="8" w:tentative="0">
      <w:start w:val="1"/>
      <w:numFmt w:val="lowerRoman"/>
      <w:lvlText w:val="%9."/>
      <w:lvlJc w:val="right"/>
      <w:pPr>
        <w:tabs>
          <w:tab w:val="left" w:pos="3619"/>
        </w:tabs>
        <w:ind w:left="3619" w:hanging="420"/>
      </w:pPr>
    </w:lvl>
  </w:abstractNum>
  <w:abstractNum w:abstractNumId="30">
    <w:nsid w:val="00000037"/>
    <w:multiLevelType w:val="multilevel"/>
    <w:tmpl w:val="00000037"/>
    <w:lvl w:ilvl="0" w:tentative="0">
      <w:start w:val="1"/>
      <w:numFmt w:val="decimal"/>
      <w:lvlText w:val="6.%1"/>
      <w:lvlJc w:val="left"/>
      <w:pPr>
        <w:tabs>
          <w:tab w:val="left" w:pos="900"/>
        </w:tabs>
        <w:ind w:left="900" w:hanging="360"/>
      </w:pPr>
      <w:rPr>
        <w:rFonts w:hint="eastAsia" w:ascii="宋体" w:hAnsi="宋体" w:eastAsia="宋体"/>
        <w:b w:val="0"/>
        <w:i w:val="0"/>
      </w:rPr>
    </w:lvl>
    <w:lvl w:ilvl="1" w:tentative="0">
      <w:start w:val="1"/>
      <w:numFmt w:val="lowerLetter"/>
      <w:lvlText w:val="%2)"/>
      <w:lvlJc w:val="left"/>
      <w:pPr>
        <w:tabs>
          <w:tab w:val="left" w:pos="660"/>
        </w:tabs>
        <w:ind w:left="660" w:hanging="420"/>
      </w:pPr>
    </w:lvl>
    <w:lvl w:ilvl="2" w:tentative="0">
      <w:start w:val="1"/>
      <w:numFmt w:val="lowerRoman"/>
      <w:lvlText w:val="%3."/>
      <w:lvlJc w:val="right"/>
      <w:pPr>
        <w:tabs>
          <w:tab w:val="left" w:pos="1080"/>
        </w:tabs>
        <w:ind w:left="1080" w:hanging="420"/>
      </w:pPr>
    </w:lvl>
    <w:lvl w:ilvl="3" w:tentative="0">
      <w:start w:val="1"/>
      <w:numFmt w:val="decimal"/>
      <w:lvlText w:val="%4."/>
      <w:lvlJc w:val="left"/>
      <w:pPr>
        <w:tabs>
          <w:tab w:val="left" w:pos="1500"/>
        </w:tabs>
        <w:ind w:left="1500" w:hanging="420"/>
      </w:pPr>
    </w:lvl>
    <w:lvl w:ilvl="4" w:tentative="0">
      <w:start w:val="1"/>
      <w:numFmt w:val="lowerLetter"/>
      <w:lvlText w:val="%5)"/>
      <w:lvlJc w:val="left"/>
      <w:pPr>
        <w:tabs>
          <w:tab w:val="left" w:pos="1920"/>
        </w:tabs>
        <w:ind w:left="1920" w:hanging="420"/>
      </w:pPr>
    </w:lvl>
    <w:lvl w:ilvl="5" w:tentative="0">
      <w:start w:val="1"/>
      <w:numFmt w:val="lowerRoman"/>
      <w:lvlText w:val="%6."/>
      <w:lvlJc w:val="right"/>
      <w:pPr>
        <w:tabs>
          <w:tab w:val="left" w:pos="2340"/>
        </w:tabs>
        <w:ind w:left="2340" w:hanging="420"/>
      </w:pPr>
    </w:lvl>
    <w:lvl w:ilvl="6" w:tentative="0">
      <w:start w:val="1"/>
      <w:numFmt w:val="decimal"/>
      <w:lvlText w:val="%7."/>
      <w:lvlJc w:val="left"/>
      <w:pPr>
        <w:tabs>
          <w:tab w:val="left" w:pos="2760"/>
        </w:tabs>
        <w:ind w:left="2760" w:hanging="420"/>
      </w:pPr>
    </w:lvl>
    <w:lvl w:ilvl="7" w:tentative="0">
      <w:start w:val="1"/>
      <w:numFmt w:val="lowerLetter"/>
      <w:lvlText w:val="%8)"/>
      <w:lvlJc w:val="left"/>
      <w:pPr>
        <w:tabs>
          <w:tab w:val="left" w:pos="3180"/>
        </w:tabs>
        <w:ind w:left="3180" w:hanging="420"/>
      </w:pPr>
    </w:lvl>
    <w:lvl w:ilvl="8" w:tentative="0">
      <w:start w:val="1"/>
      <w:numFmt w:val="lowerRoman"/>
      <w:lvlText w:val="%9."/>
      <w:lvlJc w:val="right"/>
      <w:pPr>
        <w:tabs>
          <w:tab w:val="left" w:pos="3600"/>
        </w:tabs>
        <w:ind w:left="3600" w:hanging="420"/>
      </w:pPr>
    </w:lvl>
  </w:abstractNum>
  <w:abstractNum w:abstractNumId="31">
    <w:nsid w:val="0000003A"/>
    <w:multiLevelType w:val="multilevel"/>
    <w:tmpl w:val="0000003A"/>
    <w:lvl w:ilvl="0" w:tentative="0">
      <w:start w:val="1"/>
      <w:numFmt w:val="decimal"/>
      <w:lvlText w:val="16.6.%1"/>
      <w:lvlJc w:val="left"/>
      <w:pPr>
        <w:tabs>
          <w:tab w:val="left" w:pos="1080"/>
        </w:tabs>
        <w:ind w:left="1080" w:hanging="360"/>
      </w:pPr>
      <w:rPr>
        <w:rFonts w:hint="eastAsia" w:ascii="宋体" w:hAnsi="宋体" w:eastAsia="宋体"/>
        <w:b w:val="0"/>
        <w:i w:val="0"/>
        <w:sz w:val="24"/>
        <w:szCs w:val="24"/>
      </w:rPr>
    </w:lvl>
    <w:lvl w:ilvl="1" w:tentative="0">
      <w:start w:val="1"/>
      <w:numFmt w:val="decimal"/>
      <w:lvlText w:val="(%2)"/>
      <w:lvlJc w:val="left"/>
      <w:pPr>
        <w:tabs>
          <w:tab w:val="left" w:pos="780"/>
        </w:tabs>
        <w:ind w:left="78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2">
    <w:nsid w:val="090252B8"/>
    <w:multiLevelType w:val="multilevel"/>
    <w:tmpl w:val="090252B8"/>
    <w:lvl w:ilvl="0" w:tentative="0">
      <w:start w:val="2"/>
      <w:numFmt w:val="decimal"/>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33">
    <w:nsid w:val="2B5F13CB"/>
    <w:multiLevelType w:val="singleLevel"/>
    <w:tmpl w:val="2B5F13CB"/>
    <w:lvl w:ilvl="0" w:tentative="0">
      <w:start w:val="1"/>
      <w:numFmt w:val="decimal"/>
      <w:lvlText w:val="%1．"/>
      <w:lvlJc w:val="left"/>
      <w:pPr>
        <w:tabs>
          <w:tab w:val="left" w:pos="1080"/>
        </w:tabs>
        <w:ind w:left="1080" w:hanging="360"/>
      </w:pPr>
    </w:lvl>
  </w:abstractNum>
  <w:abstractNum w:abstractNumId="34">
    <w:nsid w:val="59D51A89"/>
    <w:multiLevelType w:val="multilevel"/>
    <w:tmpl w:val="59D51A89"/>
    <w:lvl w:ilvl="0" w:tentative="0">
      <w:start w:val="1"/>
      <w:numFmt w:val="decimal"/>
      <w:lvlText w:val="%1."/>
      <w:lvlJc w:val="left"/>
      <w:pPr>
        <w:tabs>
          <w:tab w:val="left" w:pos="240"/>
        </w:tabs>
        <w:ind w:left="240" w:hanging="240"/>
      </w:pPr>
    </w:lvl>
    <w:lvl w:ilvl="1" w:tentative="0">
      <w:start w:val="1"/>
      <w:numFmt w:val="decimal"/>
      <w:isLgl/>
      <w:lvlText w:val="%1.%2."/>
      <w:lvlJc w:val="left"/>
      <w:pPr>
        <w:tabs>
          <w:tab w:val="left" w:pos="1020"/>
        </w:tabs>
        <w:ind w:left="1020" w:hanging="720"/>
      </w:pPr>
    </w:lvl>
    <w:lvl w:ilvl="2" w:tentative="0">
      <w:start w:val="4"/>
      <w:numFmt w:val="decimal"/>
      <w:isLgl/>
      <w:lvlText w:val="%1.%2.%3."/>
      <w:lvlJc w:val="left"/>
      <w:pPr>
        <w:tabs>
          <w:tab w:val="left" w:pos="1320"/>
        </w:tabs>
        <w:ind w:left="1320" w:hanging="720"/>
      </w:pPr>
    </w:lvl>
    <w:lvl w:ilvl="3" w:tentative="0">
      <w:start w:val="1"/>
      <w:numFmt w:val="decimal"/>
      <w:isLgl/>
      <w:lvlText w:val="%1.%2.%3.%4."/>
      <w:lvlJc w:val="left"/>
      <w:pPr>
        <w:tabs>
          <w:tab w:val="left" w:pos="1980"/>
        </w:tabs>
        <w:ind w:left="1980" w:hanging="1080"/>
      </w:pPr>
    </w:lvl>
    <w:lvl w:ilvl="4" w:tentative="0">
      <w:start w:val="1"/>
      <w:numFmt w:val="decimal"/>
      <w:isLgl/>
      <w:lvlText w:val="%1.%2.%3.%4.%5."/>
      <w:lvlJc w:val="left"/>
      <w:pPr>
        <w:tabs>
          <w:tab w:val="left" w:pos="2640"/>
        </w:tabs>
        <w:ind w:left="2640" w:hanging="1440"/>
      </w:pPr>
    </w:lvl>
    <w:lvl w:ilvl="5" w:tentative="0">
      <w:start w:val="1"/>
      <w:numFmt w:val="decimal"/>
      <w:isLgl/>
      <w:lvlText w:val="%1.%2.%3.%4.%5.%6."/>
      <w:lvlJc w:val="left"/>
      <w:pPr>
        <w:tabs>
          <w:tab w:val="left" w:pos="2940"/>
        </w:tabs>
        <w:ind w:left="2940" w:hanging="1440"/>
      </w:pPr>
    </w:lvl>
    <w:lvl w:ilvl="6" w:tentative="0">
      <w:start w:val="1"/>
      <w:numFmt w:val="decimal"/>
      <w:isLgl/>
      <w:lvlText w:val="%1.%2.%3.%4.%5.%6.%7."/>
      <w:lvlJc w:val="left"/>
      <w:pPr>
        <w:tabs>
          <w:tab w:val="left" w:pos="3600"/>
        </w:tabs>
        <w:ind w:left="3600" w:hanging="1800"/>
      </w:pPr>
    </w:lvl>
    <w:lvl w:ilvl="7" w:tentative="0">
      <w:start w:val="1"/>
      <w:numFmt w:val="decimal"/>
      <w:isLgl/>
      <w:lvlText w:val="%1.%2.%3.%4.%5.%6.%7.%8."/>
      <w:lvlJc w:val="left"/>
      <w:pPr>
        <w:tabs>
          <w:tab w:val="left" w:pos="4260"/>
        </w:tabs>
        <w:ind w:left="4260" w:hanging="2160"/>
      </w:pPr>
    </w:lvl>
    <w:lvl w:ilvl="8" w:tentative="0">
      <w:start w:val="1"/>
      <w:numFmt w:val="decimal"/>
      <w:isLgl/>
      <w:lvlText w:val="%1.%2.%3.%4.%5.%6.%7.%8.%9."/>
      <w:lvlJc w:val="left"/>
      <w:pPr>
        <w:tabs>
          <w:tab w:val="left" w:pos="4560"/>
        </w:tabs>
        <w:ind w:left="4560" w:hanging="2160"/>
      </w:pPr>
    </w:lvl>
  </w:abstractNum>
  <w:abstractNum w:abstractNumId="35">
    <w:nsid w:val="5CDC1658"/>
    <w:multiLevelType w:val="singleLevel"/>
    <w:tmpl w:val="5CDC1658"/>
    <w:lvl w:ilvl="0" w:tentative="0">
      <w:start w:val="3"/>
      <w:numFmt w:val="decimal"/>
      <w:suff w:val="nothing"/>
      <w:lvlText w:val="%1．"/>
      <w:lvlJc w:val="left"/>
    </w:lvl>
  </w:abstractNum>
  <w:abstractNum w:abstractNumId="36">
    <w:nsid w:val="63B44138"/>
    <w:multiLevelType w:val="multilevel"/>
    <w:tmpl w:val="63B4413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36"/>
  </w:num>
  <w:num w:numId="3">
    <w:abstractNumId w:val="1"/>
  </w:num>
  <w:num w:numId="4">
    <w:abstractNumId w:val="32"/>
  </w:num>
  <w:num w:numId="5">
    <w:abstractNumId w:val="29"/>
  </w:num>
  <w:num w:numId="6">
    <w:abstractNumId w:val="22"/>
  </w:num>
  <w:num w:numId="7">
    <w:abstractNumId w:val="16"/>
  </w:num>
  <w:num w:numId="8">
    <w:abstractNumId w:val="30"/>
  </w:num>
  <w:num w:numId="9">
    <w:abstractNumId w:val="24"/>
  </w:num>
  <w:num w:numId="10">
    <w:abstractNumId w:val="4"/>
  </w:num>
  <w:num w:numId="11">
    <w:abstractNumId w:val="18"/>
  </w:num>
  <w:num w:numId="12">
    <w:abstractNumId w:val="6"/>
  </w:num>
  <w:num w:numId="13">
    <w:abstractNumId w:val="5"/>
  </w:num>
  <w:num w:numId="14">
    <w:abstractNumId w:val="23"/>
  </w:num>
  <w:num w:numId="15">
    <w:abstractNumId w:val="15"/>
  </w:num>
  <w:num w:numId="16">
    <w:abstractNumId w:val="19"/>
  </w:num>
  <w:num w:numId="17">
    <w:abstractNumId w:val="27"/>
  </w:num>
  <w:num w:numId="18">
    <w:abstractNumId w:val="3"/>
  </w:num>
  <w:num w:numId="19">
    <w:abstractNumId w:val="12"/>
  </w:num>
  <w:num w:numId="20">
    <w:abstractNumId w:val="31"/>
  </w:num>
  <w:num w:numId="21">
    <w:abstractNumId w:val="25"/>
  </w:num>
  <w:num w:numId="22">
    <w:abstractNumId w:val="28"/>
  </w:num>
  <w:num w:numId="23">
    <w:abstractNumId w:val="9"/>
  </w:num>
  <w:num w:numId="24">
    <w:abstractNumId w:val="10"/>
  </w:num>
  <w:num w:numId="25">
    <w:abstractNumId w:val="17"/>
  </w:num>
  <w:num w:numId="26">
    <w:abstractNumId w:val="21"/>
  </w:num>
  <w:num w:numId="27">
    <w:abstractNumId w:val="7"/>
  </w:num>
  <w:num w:numId="28">
    <w:abstractNumId w:val="2"/>
  </w:num>
  <w:num w:numId="29">
    <w:abstractNumId w:val="8"/>
  </w:num>
  <w:num w:numId="30">
    <w:abstractNumId w:val="26"/>
  </w:num>
  <w:num w:numId="31">
    <w:abstractNumId w:val="14"/>
  </w:num>
  <w:num w:numId="32">
    <w:abstractNumId w:val="13"/>
  </w:num>
  <w:num w:numId="33">
    <w:abstractNumId w:val="11"/>
  </w:num>
  <w:num w:numId="34">
    <w:abstractNumId w:val="20"/>
  </w:num>
  <w:num w:numId="35">
    <w:abstractNumId w:val="33"/>
    <w:lvlOverride w:ilvl="0">
      <w:startOverride w:val="1"/>
    </w:lvlOverride>
  </w:num>
  <w:num w:numId="36">
    <w:abstractNumId w:val="34"/>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F2F"/>
    <w:rsid w:val="00030DF2"/>
    <w:rsid w:val="000D58C6"/>
    <w:rsid w:val="00160A39"/>
    <w:rsid w:val="00192C87"/>
    <w:rsid w:val="001B30CB"/>
    <w:rsid w:val="001E2F66"/>
    <w:rsid w:val="0024168C"/>
    <w:rsid w:val="002C5D58"/>
    <w:rsid w:val="0030258E"/>
    <w:rsid w:val="00350501"/>
    <w:rsid w:val="0038480D"/>
    <w:rsid w:val="0043585B"/>
    <w:rsid w:val="004413A4"/>
    <w:rsid w:val="00494DC0"/>
    <w:rsid w:val="004B0C73"/>
    <w:rsid w:val="005266E1"/>
    <w:rsid w:val="00553EEE"/>
    <w:rsid w:val="00582EF6"/>
    <w:rsid w:val="00585C3B"/>
    <w:rsid w:val="00595F76"/>
    <w:rsid w:val="005D4832"/>
    <w:rsid w:val="006F2864"/>
    <w:rsid w:val="00725249"/>
    <w:rsid w:val="008243C5"/>
    <w:rsid w:val="00832260"/>
    <w:rsid w:val="00857829"/>
    <w:rsid w:val="00870F48"/>
    <w:rsid w:val="008A153D"/>
    <w:rsid w:val="00A00D46"/>
    <w:rsid w:val="00A63E9D"/>
    <w:rsid w:val="00A83C29"/>
    <w:rsid w:val="00AC2B2E"/>
    <w:rsid w:val="00B147C8"/>
    <w:rsid w:val="00B34758"/>
    <w:rsid w:val="00B65F93"/>
    <w:rsid w:val="00BD06B0"/>
    <w:rsid w:val="00C46BC1"/>
    <w:rsid w:val="00C94A98"/>
    <w:rsid w:val="00CF13D7"/>
    <w:rsid w:val="00CF2F2F"/>
    <w:rsid w:val="00CF5DB0"/>
    <w:rsid w:val="00D25D1E"/>
    <w:rsid w:val="00D30352"/>
    <w:rsid w:val="00DC1C99"/>
    <w:rsid w:val="00DD4140"/>
    <w:rsid w:val="00E44189"/>
    <w:rsid w:val="00ED5D55"/>
    <w:rsid w:val="00F120FB"/>
    <w:rsid w:val="00F41761"/>
    <w:rsid w:val="00FC0A56"/>
    <w:rsid w:val="00FD593F"/>
    <w:rsid w:val="00FF5269"/>
    <w:rsid w:val="02CE7ECD"/>
    <w:rsid w:val="03914556"/>
    <w:rsid w:val="047C7939"/>
    <w:rsid w:val="05560B8C"/>
    <w:rsid w:val="06047FBA"/>
    <w:rsid w:val="07072087"/>
    <w:rsid w:val="075A327A"/>
    <w:rsid w:val="08110C1F"/>
    <w:rsid w:val="09612A9B"/>
    <w:rsid w:val="0A1118CC"/>
    <w:rsid w:val="0A7D39B2"/>
    <w:rsid w:val="0AD9534F"/>
    <w:rsid w:val="0D8353B8"/>
    <w:rsid w:val="0E56211C"/>
    <w:rsid w:val="10BD3684"/>
    <w:rsid w:val="146A416B"/>
    <w:rsid w:val="15FB5720"/>
    <w:rsid w:val="165C3A30"/>
    <w:rsid w:val="172B577A"/>
    <w:rsid w:val="17EC6258"/>
    <w:rsid w:val="187129E5"/>
    <w:rsid w:val="1A740E7F"/>
    <w:rsid w:val="1AAB787A"/>
    <w:rsid w:val="1ABB27A4"/>
    <w:rsid w:val="1BB44801"/>
    <w:rsid w:val="1BC211D1"/>
    <w:rsid w:val="1DD46FB4"/>
    <w:rsid w:val="1EFB0A0E"/>
    <w:rsid w:val="1F6D22B2"/>
    <w:rsid w:val="21CB29C6"/>
    <w:rsid w:val="231440D1"/>
    <w:rsid w:val="23447FC6"/>
    <w:rsid w:val="25320252"/>
    <w:rsid w:val="25E767AF"/>
    <w:rsid w:val="26AF0000"/>
    <w:rsid w:val="27A20177"/>
    <w:rsid w:val="27A942F2"/>
    <w:rsid w:val="27D0202B"/>
    <w:rsid w:val="299E6DAF"/>
    <w:rsid w:val="2A4117AA"/>
    <w:rsid w:val="2AC96030"/>
    <w:rsid w:val="2AD943A0"/>
    <w:rsid w:val="2B4475CD"/>
    <w:rsid w:val="2BE31A97"/>
    <w:rsid w:val="2C365F52"/>
    <w:rsid w:val="2C690238"/>
    <w:rsid w:val="2D527F7D"/>
    <w:rsid w:val="2E01269C"/>
    <w:rsid w:val="2FE343BC"/>
    <w:rsid w:val="3146763F"/>
    <w:rsid w:val="31C063B2"/>
    <w:rsid w:val="346F1D0A"/>
    <w:rsid w:val="350A0F1E"/>
    <w:rsid w:val="37207F16"/>
    <w:rsid w:val="372B5FB9"/>
    <w:rsid w:val="377726FB"/>
    <w:rsid w:val="394352FA"/>
    <w:rsid w:val="39E80AA5"/>
    <w:rsid w:val="3A097971"/>
    <w:rsid w:val="3A984E63"/>
    <w:rsid w:val="3D916A73"/>
    <w:rsid w:val="3DD256BB"/>
    <w:rsid w:val="3E4F5E9F"/>
    <w:rsid w:val="3EB759B7"/>
    <w:rsid w:val="3F8B034A"/>
    <w:rsid w:val="409E769D"/>
    <w:rsid w:val="41B85DD7"/>
    <w:rsid w:val="425B4AEC"/>
    <w:rsid w:val="42B330FA"/>
    <w:rsid w:val="42BA43F1"/>
    <w:rsid w:val="42C01235"/>
    <w:rsid w:val="43762B8D"/>
    <w:rsid w:val="447858FD"/>
    <w:rsid w:val="47197118"/>
    <w:rsid w:val="48B93655"/>
    <w:rsid w:val="4A7B7A2B"/>
    <w:rsid w:val="4B1E1BF3"/>
    <w:rsid w:val="4B7F1B08"/>
    <w:rsid w:val="4CC87EE5"/>
    <w:rsid w:val="4E1A501F"/>
    <w:rsid w:val="4ECF73FB"/>
    <w:rsid w:val="50275749"/>
    <w:rsid w:val="50443729"/>
    <w:rsid w:val="510C4925"/>
    <w:rsid w:val="52A337BB"/>
    <w:rsid w:val="52A94E87"/>
    <w:rsid w:val="52EA2BB9"/>
    <w:rsid w:val="53043842"/>
    <w:rsid w:val="55C96F48"/>
    <w:rsid w:val="576F575D"/>
    <w:rsid w:val="58866295"/>
    <w:rsid w:val="58CD5A27"/>
    <w:rsid w:val="5A16111B"/>
    <w:rsid w:val="5A510E52"/>
    <w:rsid w:val="5C763789"/>
    <w:rsid w:val="5D707CE9"/>
    <w:rsid w:val="5E57008E"/>
    <w:rsid w:val="5F890A6B"/>
    <w:rsid w:val="607C17CD"/>
    <w:rsid w:val="60EC6EBF"/>
    <w:rsid w:val="613430E7"/>
    <w:rsid w:val="63652C94"/>
    <w:rsid w:val="63BD489C"/>
    <w:rsid w:val="63DB5407"/>
    <w:rsid w:val="65F800FF"/>
    <w:rsid w:val="668227CE"/>
    <w:rsid w:val="669D3E60"/>
    <w:rsid w:val="671303F0"/>
    <w:rsid w:val="672D7560"/>
    <w:rsid w:val="6891083B"/>
    <w:rsid w:val="6B2C7FF8"/>
    <w:rsid w:val="6B324A12"/>
    <w:rsid w:val="6D0A046F"/>
    <w:rsid w:val="6F052A6D"/>
    <w:rsid w:val="74D05171"/>
    <w:rsid w:val="78476866"/>
    <w:rsid w:val="78B65EE7"/>
    <w:rsid w:val="7B43688C"/>
    <w:rsid w:val="7BE05FE5"/>
    <w:rsid w:val="7DCC6A54"/>
    <w:rsid w:val="7E6302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qFormat="1"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customStyle="1" w:styleId="2">
    <w:name w:val="首行缩进"/>
    <w:basedOn w:val="1"/>
    <w:qFormat/>
    <w:uiPriority w:val="99"/>
    <w:pPr>
      <w:spacing w:line="360" w:lineRule="auto"/>
      <w:ind w:firstLine="480"/>
      <w:jc w:val="left"/>
    </w:pPr>
    <w:rPr>
      <w:rFonts w:ascii="宋体" w:hAnsi="宋体"/>
      <w:sz w:val="24"/>
    </w:rPr>
  </w:style>
  <w:style w:type="paragraph" w:styleId="3">
    <w:name w:val="annotation text"/>
    <w:basedOn w:val="1"/>
    <w:qFormat/>
    <w:uiPriority w:val="0"/>
    <w:pPr>
      <w:jc w:val="left"/>
    </w:pPr>
  </w:style>
  <w:style w:type="paragraph" w:styleId="4">
    <w:name w:val="Body Text"/>
    <w:basedOn w:val="1"/>
    <w:qFormat/>
    <w:uiPriority w:val="0"/>
    <w:rPr>
      <w:rFonts w:eastAsia="仿宋_GB2312"/>
      <w:sz w:val="30"/>
    </w:rPr>
  </w:style>
  <w:style w:type="paragraph" w:styleId="5">
    <w:name w:val="List Bullet 2"/>
    <w:basedOn w:val="1"/>
    <w:qFormat/>
    <w:uiPriority w:val="0"/>
    <w:pPr>
      <w:numPr>
        <w:ilvl w:val="0"/>
        <w:numId w:val="1"/>
      </w:numPr>
    </w:pPr>
  </w:style>
  <w:style w:type="paragraph" w:styleId="6">
    <w:name w:val="footer"/>
    <w:basedOn w:val="1"/>
    <w:link w:val="17"/>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qFormat/>
    <w:uiPriority w:val="0"/>
    <w:pPr>
      <w:jc w:val="center"/>
    </w:pPr>
    <w:rPr>
      <w:rFonts w:eastAsia="黑体"/>
      <w:sz w:val="24"/>
    </w:rPr>
  </w:style>
  <w:style w:type="paragraph" w:styleId="9">
    <w:name w:val="Body Text 2"/>
    <w:basedOn w:val="1"/>
    <w:qFormat/>
    <w:uiPriority w:val="0"/>
    <w:pPr>
      <w:spacing w:after="120" w:line="480" w:lineRule="auto"/>
    </w:pPr>
  </w:style>
  <w:style w:type="paragraph" w:customStyle="1" w:styleId="12">
    <w:name w:val="正文（缩进）"/>
    <w:basedOn w:val="1"/>
    <w:qFormat/>
    <w:uiPriority w:val="99"/>
    <w:pPr>
      <w:ind w:firstLine="480"/>
    </w:pPr>
  </w:style>
  <w:style w:type="paragraph" w:customStyle="1" w:styleId="13">
    <w:name w:val="标题 3_0_0"/>
    <w:basedOn w:val="14"/>
    <w:next w:val="14"/>
    <w:qFormat/>
    <w:uiPriority w:val="0"/>
    <w:pPr>
      <w:keepNext/>
      <w:keepLines/>
      <w:spacing w:before="260" w:after="260" w:line="413" w:lineRule="auto"/>
      <w:outlineLvl w:val="2"/>
    </w:pPr>
    <w:rPr>
      <w:rFonts w:ascii="Times New Roman" w:hAnsi="Times New Roman"/>
      <w:b/>
      <w:kern w:val="0"/>
      <w:sz w:val="32"/>
      <w:szCs w:val="20"/>
    </w:rPr>
  </w:style>
  <w:style w:type="paragraph" w:customStyle="1" w:styleId="14">
    <w:name w:val="正文_0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标题 4_0_0"/>
    <w:basedOn w:val="14"/>
    <w:next w:val="14"/>
    <w:qFormat/>
    <w:uiPriority w:val="0"/>
    <w:pPr>
      <w:keepNext/>
      <w:keepLines/>
      <w:spacing w:before="280" w:after="290" w:line="372" w:lineRule="auto"/>
      <w:outlineLvl w:val="3"/>
    </w:pPr>
    <w:rPr>
      <w:rFonts w:ascii="Cambria" w:hAnsi="Cambria"/>
      <w:b/>
      <w:kern w:val="0"/>
      <w:sz w:val="28"/>
      <w:szCs w:val="20"/>
    </w:rPr>
  </w:style>
  <w:style w:type="paragraph" w:customStyle="1" w:styleId="16">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 w:type="character" w:customStyle="1" w:styleId="17">
    <w:name w:val="页脚 Char"/>
    <w:basedOn w:val="11"/>
    <w:link w:val="6"/>
    <w:qFormat/>
    <w:uiPriority w:val="99"/>
    <w:rPr>
      <w:kern w:val="2"/>
      <w:sz w:val="18"/>
      <w:szCs w:val="18"/>
    </w:rPr>
  </w:style>
  <w:style w:type="paragraph" w:styleId="1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8" Type="http://schemas.openxmlformats.org/officeDocument/2006/relationships/fontTable" Target="fontTable.xml"/><Relationship Id="rId37" Type="http://schemas.openxmlformats.org/officeDocument/2006/relationships/numbering" Target="numbering.xml"/><Relationship Id="rId36" Type="http://schemas.openxmlformats.org/officeDocument/2006/relationships/customXml" Target="../customXml/item1.xml"/><Relationship Id="rId35" Type="http://schemas.openxmlformats.org/officeDocument/2006/relationships/image" Target="media/image30.png"/><Relationship Id="rId34" Type="http://schemas.openxmlformats.org/officeDocument/2006/relationships/image" Target="media/image29.png"/><Relationship Id="rId33" Type="http://schemas.openxmlformats.org/officeDocument/2006/relationships/image" Target="media/image28.png"/><Relationship Id="rId32" Type="http://schemas.openxmlformats.org/officeDocument/2006/relationships/image" Target="media/image27.png"/><Relationship Id="rId31" Type="http://schemas.openxmlformats.org/officeDocument/2006/relationships/image" Target="media/image26.png"/><Relationship Id="rId30" Type="http://schemas.openxmlformats.org/officeDocument/2006/relationships/image" Target="media/image25.png"/><Relationship Id="rId3" Type="http://schemas.openxmlformats.org/officeDocument/2006/relationships/header" Target="header1.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29</Pages>
  <Words>2952</Words>
  <Characters>16829</Characters>
  <Lines>140</Lines>
  <Paragraphs>39</Paragraphs>
  <TotalTime>5</TotalTime>
  <ScaleCrop>false</ScaleCrop>
  <LinksUpToDate>false</LinksUpToDate>
  <CharactersWithSpaces>19742</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2021-05-16T08:38:00Z</dcterms:created>
  <dc:creator>联想</dc:creator>
  <cp:lastModifiedBy>Lenovo</cp:lastModifiedBy>
  <cp:lastPrinted>2021-05-24T06:08:00Z</cp:lastPrinted>
  <dcterms:modified xsi:type="dcterms:W3CDTF">2021-07-14T03:01:17Z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86B5995532E2486AAFA8CF1045C92CD4</vt:lpwstr>
  </property>
</Properties>
</file>