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1C04A">
      <w:pPr>
        <w:adjustRightInd w:val="0"/>
        <w:snapToGrid w:val="0"/>
        <w:spacing w:line="1100" w:lineRule="exact"/>
        <w:jc w:val="center"/>
        <w:rPr>
          <w:rFonts w:ascii="宋体" w:hAnsi="宋体"/>
          <w:b/>
          <w:spacing w:val="28"/>
          <w:sz w:val="32"/>
          <w:szCs w:val="32"/>
        </w:rPr>
      </w:pPr>
      <w:r>
        <w:rPr>
          <w:rFonts w:hint="eastAsia" w:ascii="宋体" w:hAnsi="宋体"/>
          <w:b/>
          <w:spacing w:val="28"/>
          <w:sz w:val="32"/>
          <w:szCs w:val="32"/>
        </w:rPr>
        <w:t xml:space="preserve">               【2025】071</w:t>
      </w:r>
    </w:p>
    <w:p w14:paraId="22A7E72A">
      <w:pPr>
        <w:adjustRightInd w:val="0"/>
        <w:snapToGrid w:val="0"/>
        <w:spacing w:line="1100" w:lineRule="exact"/>
        <w:jc w:val="center"/>
        <w:rPr>
          <w:rFonts w:ascii="仿宋_GB2312" w:hAnsi="宋体" w:eastAsia="仿宋_GB2312"/>
          <w:b/>
          <w:color w:val="000000"/>
          <w:spacing w:val="28"/>
          <w:sz w:val="52"/>
          <w:szCs w:val="48"/>
        </w:rPr>
      </w:pPr>
      <w:r>
        <w:rPr>
          <w:rFonts w:ascii="仿宋_GB2312" w:hAnsi="宋体" w:eastAsia="仿宋_GB2312"/>
          <w:b/>
          <w:color w:val="000000"/>
          <w:spacing w:val="28"/>
          <w:sz w:val="52"/>
          <w:szCs w:val="48"/>
        </w:rPr>
        <w:t>江苏长江水务股份有限公司</w:t>
      </w:r>
    </w:p>
    <w:p w14:paraId="5BF2B248">
      <w:pPr>
        <w:adjustRightInd w:val="0"/>
        <w:snapToGrid w:val="0"/>
        <w:spacing w:line="1100" w:lineRule="exact"/>
        <w:jc w:val="center"/>
        <w:rPr>
          <w:rFonts w:ascii="仿宋_GB2312" w:hAnsi="宋体" w:eastAsia="仿宋_GB2312"/>
          <w:b/>
          <w:color w:val="000000"/>
          <w:spacing w:val="-2"/>
          <w:sz w:val="52"/>
          <w:szCs w:val="48"/>
        </w:rPr>
      </w:pPr>
      <w:r>
        <w:rPr>
          <w:rFonts w:hint="eastAsia" w:ascii="仿宋_GB2312" w:hAnsi="宋体" w:eastAsia="仿宋_GB2312"/>
          <w:b/>
          <w:color w:val="000000"/>
          <w:spacing w:val="-2"/>
          <w:sz w:val="52"/>
          <w:szCs w:val="48"/>
        </w:rPr>
        <w:t>气相色谱仪</w:t>
      </w:r>
    </w:p>
    <w:p w14:paraId="03D1279E">
      <w:pPr>
        <w:adjustRightInd w:val="0"/>
        <w:snapToGrid w:val="0"/>
        <w:spacing w:line="1100" w:lineRule="exact"/>
        <w:rPr>
          <w:rFonts w:ascii="仿宋_GB2312" w:hAnsi="宋体" w:eastAsia="仿宋_GB2312"/>
          <w:b/>
          <w:color w:val="000000"/>
          <w:spacing w:val="28"/>
          <w:sz w:val="52"/>
          <w:szCs w:val="48"/>
        </w:rPr>
      </w:pPr>
    </w:p>
    <w:p w14:paraId="18693A7B">
      <w:pPr>
        <w:adjustRightInd w:val="0"/>
        <w:snapToGrid w:val="0"/>
        <w:spacing w:line="1100" w:lineRule="exact"/>
        <w:jc w:val="center"/>
        <w:rPr>
          <w:rFonts w:ascii="仿宋_GB2312" w:hAnsi="宋体" w:eastAsia="仿宋_GB2312"/>
          <w:b/>
          <w:snapToGrid w:val="0"/>
          <w:color w:val="000000"/>
          <w:sz w:val="52"/>
          <w:szCs w:val="52"/>
        </w:rPr>
      </w:pPr>
      <w:r>
        <w:rPr>
          <w:rFonts w:hint="eastAsia" w:ascii="仿宋_GB2312" w:hAnsi="宋体" w:eastAsia="仿宋_GB2312"/>
          <w:b/>
          <w:color w:val="000000"/>
          <w:spacing w:val="28"/>
          <w:sz w:val="52"/>
          <w:szCs w:val="48"/>
        </w:rPr>
        <w:t>招标文件</w:t>
      </w:r>
    </w:p>
    <w:p w14:paraId="3734DCBD">
      <w:pPr>
        <w:adjustRightInd w:val="0"/>
        <w:snapToGrid w:val="0"/>
        <w:spacing w:line="360" w:lineRule="auto"/>
        <w:ind w:firstLine="1446" w:firstLineChars="200"/>
        <w:jc w:val="center"/>
        <w:rPr>
          <w:rFonts w:ascii="仿宋_GB2312" w:hAnsi="宋体" w:eastAsia="仿宋_GB2312"/>
          <w:b/>
          <w:snapToGrid w:val="0"/>
          <w:color w:val="000000"/>
          <w:sz w:val="72"/>
        </w:rPr>
      </w:pPr>
    </w:p>
    <w:p w14:paraId="6C35E90B">
      <w:pPr>
        <w:adjustRightInd w:val="0"/>
        <w:snapToGrid w:val="0"/>
        <w:spacing w:line="360" w:lineRule="auto"/>
        <w:ind w:firstLine="1446" w:firstLineChars="200"/>
        <w:jc w:val="center"/>
        <w:rPr>
          <w:rFonts w:ascii="仿宋_GB2312" w:hAnsi="宋体" w:eastAsia="仿宋_GB2312"/>
          <w:b/>
          <w:snapToGrid w:val="0"/>
          <w:color w:val="000000"/>
          <w:sz w:val="72"/>
        </w:rPr>
      </w:pPr>
    </w:p>
    <w:p w14:paraId="37980C3C">
      <w:pPr>
        <w:adjustRightInd w:val="0"/>
        <w:snapToGrid w:val="0"/>
        <w:spacing w:line="360" w:lineRule="auto"/>
        <w:ind w:firstLine="1446" w:firstLineChars="200"/>
        <w:jc w:val="center"/>
        <w:rPr>
          <w:rFonts w:ascii="仿宋_GB2312" w:hAnsi="宋体" w:eastAsia="仿宋_GB2312"/>
          <w:b/>
          <w:snapToGrid w:val="0"/>
          <w:color w:val="000000"/>
          <w:sz w:val="72"/>
        </w:rPr>
      </w:pPr>
    </w:p>
    <w:p w14:paraId="1778A016">
      <w:pPr>
        <w:adjustRightInd w:val="0"/>
        <w:snapToGrid w:val="0"/>
        <w:spacing w:line="480" w:lineRule="auto"/>
        <w:ind w:firstLine="1193" w:firstLineChars="396"/>
        <w:rPr>
          <w:rFonts w:ascii="仿宋_GB2312" w:hAnsi="宋体" w:eastAsia="仿宋_GB2312"/>
          <w:b/>
          <w:bCs/>
          <w:snapToGrid w:val="0"/>
          <w:color w:val="000000"/>
          <w:sz w:val="30"/>
        </w:rPr>
      </w:pPr>
    </w:p>
    <w:p w14:paraId="08747E36">
      <w:pPr>
        <w:adjustRightInd w:val="0"/>
        <w:snapToGrid w:val="0"/>
        <w:spacing w:line="480" w:lineRule="auto"/>
        <w:ind w:firstLine="1193" w:firstLineChars="396"/>
        <w:rPr>
          <w:rFonts w:ascii="仿宋_GB2312" w:hAnsi="宋体" w:eastAsia="仿宋_GB2312"/>
          <w:b/>
          <w:bCs/>
          <w:snapToGrid w:val="0"/>
          <w:color w:val="000000"/>
          <w:sz w:val="30"/>
        </w:rPr>
      </w:pPr>
    </w:p>
    <w:p w14:paraId="0DA88C6C">
      <w:pPr>
        <w:adjustRightInd w:val="0"/>
        <w:snapToGrid w:val="0"/>
        <w:spacing w:line="480" w:lineRule="auto"/>
        <w:ind w:firstLine="1193" w:firstLineChars="396"/>
        <w:rPr>
          <w:rFonts w:ascii="仿宋_GB2312" w:hAnsi="宋体" w:eastAsia="仿宋_GB2312"/>
          <w:b/>
          <w:bCs/>
          <w:snapToGrid w:val="0"/>
          <w:color w:val="000000"/>
          <w:sz w:val="28"/>
        </w:rPr>
      </w:pPr>
      <w:r>
        <w:rPr>
          <w:rFonts w:hint="eastAsia" w:ascii="仿宋_GB2312" w:hAnsi="宋体" w:eastAsia="仿宋_GB2312"/>
          <w:b/>
          <w:bCs/>
          <w:snapToGrid w:val="0"/>
          <w:color w:val="000000"/>
          <w:sz w:val="30"/>
        </w:rPr>
        <w:t>招     标      人：江苏长江水务股份有限公司</w:t>
      </w:r>
    </w:p>
    <w:p w14:paraId="0473E133">
      <w:pPr>
        <w:spacing w:line="460" w:lineRule="exact"/>
        <w:jc w:val="center"/>
        <w:rPr>
          <w:rFonts w:ascii="仿宋_GB2312" w:hAnsi="宋体" w:eastAsia="仿宋_GB2312"/>
          <w:b/>
          <w:bCs/>
          <w:snapToGrid w:val="0"/>
          <w:color w:val="000000"/>
          <w:sz w:val="30"/>
        </w:rPr>
      </w:pPr>
      <w:r>
        <w:rPr>
          <w:rFonts w:hint="eastAsia" w:ascii="仿宋_GB2312" w:hAnsi="宋体" w:eastAsia="仿宋_GB2312"/>
          <w:b/>
          <w:bCs/>
          <w:snapToGrid w:val="0"/>
          <w:color w:val="000000"/>
          <w:sz w:val="30"/>
        </w:rPr>
        <w:t xml:space="preserve">发    放    日   期： </w:t>
      </w:r>
      <w:r>
        <w:rPr>
          <w:rFonts w:hint="eastAsia" w:ascii="仿宋_GB2312" w:hAnsi="宋体" w:eastAsia="仿宋_GB2312"/>
          <w:b/>
          <w:bCs/>
          <w:snapToGrid w:val="0"/>
          <w:color w:val="000000"/>
          <w:sz w:val="30"/>
          <w:u w:val="single"/>
        </w:rPr>
        <w:t xml:space="preserve"> 2025</w:t>
      </w:r>
      <w:r>
        <w:rPr>
          <w:rFonts w:hint="eastAsia" w:ascii="仿宋_GB2312" w:hAnsi="宋体" w:eastAsia="仿宋_GB2312"/>
          <w:b/>
          <w:bCs/>
          <w:snapToGrid w:val="0"/>
          <w:color w:val="000000"/>
          <w:sz w:val="30"/>
        </w:rPr>
        <w:t>年</w:t>
      </w:r>
      <w:r>
        <w:rPr>
          <w:rFonts w:hint="eastAsia" w:ascii="仿宋_GB2312" w:hAnsi="宋体" w:eastAsia="仿宋_GB2312"/>
          <w:b/>
          <w:bCs/>
          <w:snapToGrid w:val="0"/>
          <w:color w:val="000000"/>
          <w:sz w:val="30"/>
          <w:u w:val="single"/>
          <w:lang w:val="en-US" w:eastAsia="zh-CN"/>
        </w:rPr>
        <w:t>4</w:t>
      </w:r>
      <w:r>
        <w:rPr>
          <w:rFonts w:hint="eastAsia" w:ascii="仿宋_GB2312" w:hAnsi="宋体" w:eastAsia="仿宋_GB2312"/>
          <w:b/>
          <w:bCs/>
          <w:snapToGrid w:val="0"/>
          <w:color w:val="000000"/>
          <w:sz w:val="30"/>
        </w:rPr>
        <w:t>月</w:t>
      </w:r>
      <w:r>
        <w:rPr>
          <w:rFonts w:hint="eastAsia" w:ascii="仿宋_GB2312" w:hAnsi="宋体" w:eastAsia="仿宋_GB2312"/>
          <w:b/>
          <w:bCs/>
          <w:snapToGrid w:val="0"/>
          <w:color w:val="000000"/>
          <w:sz w:val="30"/>
          <w:u w:val="single"/>
          <w:lang w:val="en-US" w:eastAsia="zh-CN"/>
        </w:rPr>
        <w:t>8</w:t>
      </w:r>
      <w:r>
        <w:rPr>
          <w:rFonts w:hint="eastAsia" w:ascii="仿宋_GB2312" w:hAnsi="宋体" w:eastAsia="仿宋_GB2312"/>
          <w:b/>
          <w:bCs/>
          <w:snapToGrid w:val="0"/>
          <w:color w:val="000000"/>
          <w:sz w:val="30"/>
        </w:rPr>
        <w:t>日</w:t>
      </w:r>
    </w:p>
    <w:p w14:paraId="5E54B50F">
      <w:pPr>
        <w:rPr>
          <w:rFonts w:ascii="仿宋_GB2312" w:hAnsi="宋体" w:eastAsia="仿宋_GB2312"/>
          <w:b/>
          <w:bCs/>
          <w:snapToGrid w:val="0"/>
          <w:color w:val="000000"/>
          <w:sz w:val="30"/>
        </w:rPr>
      </w:pPr>
      <w:r>
        <w:rPr>
          <w:rFonts w:hint="eastAsia" w:ascii="仿宋_GB2312" w:hAnsi="宋体" w:eastAsia="仿宋_GB2312"/>
          <w:b/>
          <w:bCs/>
          <w:snapToGrid w:val="0"/>
          <w:color w:val="000000"/>
          <w:sz w:val="30"/>
        </w:rPr>
        <w:br w:type="page"/>
      </w:r>
    </w:p>
    <w:p w14:paraId="2F707D08">
      <w:pPr>
        <w:pStyle w:val="17"/>
        <w:rPr>
          <w:color w:val="000000"/>
        </w:rPr>
      </w:pPr>
    </w:p>
    <w:p w14:paraId="4018C831">
      <w:pPr>
        <w:spacing w:line="360" w:lineRule="auto"/>
        <w:jc w:val="center"/>
        <w:outlineLvl w:val="0"/>
        <w:rPr>
          <w:rFonts w:ascii="宋体" w:hAnsi="宋体"/>
          <w:b/>
          <w:color w:val="000000"/>
          <w:sz w:val="36"/>
          <w:szCs w:val="36"/>
        </w:rPr>
      </w:pPr>
      <w:r>
        <w:rPr>
          <w:rFonts w:hint="eastAsia" w:ascii="宋体" w:hAnsi="宋体"/>
          <w:b/>
          <w:color w:val="000000"/>
          <w:sz w:val="36"/>
          <w:szCs w:val="36"/>
        </w:rPr>
        <w:t>前  附  表</w:t>
      </w:r>
    </w:p>
    <w:tbl>
      <w:tblPr>
        <w:tblStyle w:val="14"/>
        <w:tblW w:w="5391" w:type="pct"/>
        <w:tblInd w:w="-3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759"/>
        <w:gridCol w:w="869"/>
        <w:gridCol w:w="2659"/>
        <w:gridCol w:w="820"/>
        <w:gridCol w:w="2415"/>
      </w:tblGrid>
      <w:tr w14:paraId="36832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69196940">
            <w:pPr>
              <w:spacing w:line="360" w:lineRule="auto"/>
              <w:jc w:val="center"/>
              <w:rPr>
                <w:rFonts w:ascii="宋体" w:hAnsi="宋体"/>
                <w:color w:val="auto"/>
                <w:szCs w:val="21"/>
              </w:rPr>
            </w:pPr>
            <w:r>
              <w:rPr>
                <w:rFonts w:hint="eastAsia" w:ascii="宋体" w:hAnsi="宋体"/>
                <w:color w:val="auto"/>
                <w:szCs w:val="21"/>
              </w:rPr>
              <w:t>序号</w:t>
            </w:r>
          </w:p>
        </w:tc>
        <w:tc>
          <w:tcPr>
            <w:tcW w:w="957" w:type="pct"/>
            <w:tcBorders>
              <w:top w:val="single" w:color="auto" w:sz="4" w:space="0"/>
              <w:left w:val="single" w:color="auto" w:sz="4" w:space="0"/>
              <w:bottom w:val="single" w:color="auto" w:sz="4" w:space="0"/>
              <w:right w:val="single" w:color="auto" w:sz="4" w:space="0"/>
            </w:tcBorders>
            <w:noWrap/>
            <w:vAlign w:val="center"/>
          </w:tcPr>
          <w:p w14:paraId="3615C83A">
            <w:pPr>
              <w:spacing w:line="360" w:lineRule="auto"/>
              <w:jc w:val="center"/>
              <w:rPr>
                <w:rFonts w:ascii="宋体" w:hAnsi="宋体"/>
                <w:color w:val="auto"/>
                <w:szCs w:val="21"/>
              </w:rPr>
            </w:pPr>
            <w:r>
              <w:rPr>
                <w:rFonts w:hint="eastAsia" w:ascii="宋体" w:hAnsi="宋体"/>
                <w:color w:val="auto"/>
                <w:szCs w:val="21"/>
              </w:rPr>
              <w:t>项    目</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32B5C92A">
            <w:pPr>
              <w:spacing w:line="360" w:lineRule="auto"/>
              <w:ind w:firstLine="2415" w:firstLineChars="1150"/>
              <w:rPr>
                <w:rFonts w:ascii="宋体" w:hAnsi="宋体"/>
                <w:color w:val="auto"/>
                <w:szCs w:val="21"/>
              </w:rPr>
            </w:pPr>
            <w:r>
              <w:rPr>
                <w:rFonts w:hint="eastAsia" w:ascii="宋体" w:hAnsi="宋体"/>
                <w:color w:val="auto"/>
                <w:szCs w:val="21"/>
              </w:rPr>
              <w:t>内    容</w:t>
            </w:r>
          </w:p>
        </w:tc>
      </w:tr>
      <w:tr w14:paraId="7691D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5F058E6D">
            <w:pPr>
              <w:spacing w:line="360" w:lineRule="auto"/>
              <w:jc w:val="center"/>
              <w:rPr>
                <w:rFonts w:ascii="宋体" w:hAnsi="宋体"/>
                <w:color w:val="auto"/>
                <w:szCs w:val="21"/>
              </w:rPr>
            </w:pPr>
            <w:r>
              <w:rPr>
                <w:rFonts w:hint="eastAsia" w:ascii="宋体" w:hAnsi="宋体"/>
                <w:color w:val="auto"/>
                <w:szCs w:val="21"/>
              </w:rPr>
              <w:t>1</w:t>
            </w:r>
          </w:p>
        </w:tc>
        <w:tc>
          <w:tcPr>
            <w:tcW w:w="957" w:type="pct"/>
            <w:tcBorders>
              <w:top w:val="single" w:color="auto" w:sz="4" w:space="0"/>
              <w:left w:val="single" w:color="auto" w:sz="4" w:space="0"/>
              <w:bottom w:val="single" w:color="auto" w:sz="4" w:space="0"/>
              <w:right w:val="single" w:color="auto" w:sz="4" w:space="0"/>
            </w:tcBorders>
            <w:noWrap/>
            <w:vAlign w:val="center"/>
          </w:tcPr>
          <w:p w14:paraId="271A6F75">
            <w:pPr>
              <w:spacing w:line="360" w:lineRule="auto"/>
              <w:jc w:val="center"/>
              <w:rPr>
                <w:rFonts w:ascii="宋体" w:hAnsi="宋体"/>
                <w:color w:val="auto"/>
                <w:szCs w:val="21"/>
              </w:rPr>
            </w:pPr>
            <w:r>
              <w:rPr>
                <w:rFonts w:hint="eastAsia" w:ascii="宋体" w:hAnsi="宋体"/>
                <w:color w:val="auto"/>
                <w:szCs w:val="21"/>
              </w:rPr>
              <w:t>项目名称</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3E6D67DE">
            <w:pPr>
              <w:adjustRightInd w:val="0"/>
              <w:snapToGrid w:val="0"/>
              <w:rPr>
                <w:rFonts w:ascii="宋体" w:hAnsi="宋体"/>
                <w:color w:val="auto"/>
                <w:szCs w:val="21"/>
              </w:rPr>
            </w:pPr>
            <w:r>
              <w:rPr>
                <w:rFonts w:hint="eastAsia" w:ascii="宋体" w:hAnsi="宋体"/>
                <w:color w:val="auto"/>
                <w:szCs w:val="21"/>
              </w:rPr>
              <w:t>江苏长江水务股份有限公</w:t>
            </w:r>
            <w:r>
              <w:rPr>
                <w:rFonts w:hint="eastAsia" w:ascii="宋体" w:hAnsi="宋体" w:cs="宋体"/>
                <w:color w:val="auto"/>
                <w:szCs w:val="21"/>
              </w:rPr>
              <w:t>司</w:t>
            </w:r>
            <w:r>
              <w:rPr>
                <w:rFonts w:hint="eastAsia" w:ascii="宋体" w:hAnsi="宋体" w:cs="宋体"/>
                <w:bCs/>
                <w:color w:val="auto"/>
                <w:spacing w:val="-2"/>
                <w:szCs w:val="21"/>
              </w:rPr>
              <w:t>气相色谱仪采购</w:t>
            </w:r>
          </w:p>
        </w:tc>
      </w:tr>
      <w:tr w14:paraId="7F12F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4DD7E970">
            <w:pPr>
              <w:spacing w:line="360" w:lineRule="auto"/>
              <w:jc w:val="center"/>
              <w:rPr>
                <w:rFonts w:ascii="宋体" w:hAnsi="宋体"/>
                <w:color w:val="auto"/>
                <w:szCs w:val="21"/>
              </w:rPr>
            </w:pPr>
            <w:r>
              <w:rPr>
                <w:rFonts w:hint="eastAsia" w:ascii="宋体" w:hAnsi="宋体"/>
                <w:color w:val="auto"/>
                <w:szCs w:val="21"/>
              </w:rPr>
              <w:t>2</w:t>
            </w:r>
          </w:p>
        </w:tc>
        <w:tc>
          <w:tcPr>
            <w:tcW w:w="957" w:type="pct"/>
            <w:tcBorders>
              <w:top w:val="single" w:color="auto" w:sz="4" w:space="0"/>
              <w:left w:val="single" w:color="auto" w:sz="4" w:space="0"/>
              <w:bottom w:val="single" w:color="auto" w:sz="4" w:space="0"/>
              <w:right w:val="single" w:color="auto" w:sz="4" w:space="0"/>
            </w:tcBorders>
            <w:noWrap/>
            <w:vAlign w:val="center"/>
          </w:tcPr>
          <w:p w14:paraId="494807AF">
            <w:pPr>
              <w:spacing w:line="360" w:lineRule="auto"/>
              <w:jc w:val="center"/>
              <w:rPr>
                <w:rFonts w:ascii="宋体" w:hAnsi="宋体"/>
                <w:color w:val="auto"/>
                <w:szCs w:val="21"/>
              </w:rPr>
            </w:pPr>
            <w:r>
              <w:rPr>
                <w:rFonts w:hint="eastAsia" w:ascii="宋体" w:hAnsi="宋体"/>
                <w:color w:val="auto"/>
                <w:szCs w:val="21"/>
              </w:rPr>
              <w:t>招标方式</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406CAF4A">
            <w:pPr>
              <w:spacing w:line="288" w:lineRule="auto"/>
              <w:rPr>
                <w:rFonts w:ascii="宋体" w:hAnsi="宋体"/>
                <w:color w:val="auto"/>
                <w:szCs w:val="21"/>
              </w:rPr>
            </w:pPr>
            <w:r>
              <w:rPr>
                <w:rFonts w:hint="eastAsia" w:ascii="宋体" w:hAnsi="宋体"/>
                <w:color w:val="auto"/>
                <w:szCs w:val="21"/>
              </w:rPr>
              <w:t>公开招标</w:t>
            </w:r>
          </w:p>
        </w:tc>
      </w:tr>
      <w:tr w14:paraId="67300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346A40C7">
            <w:pPr>
              <w:spacing w:line="360" w:lineRule="auto"/>
              <w:jc w:val="center"/>
              <w:rPr>
                <w:rFonts w:ascii="宋体" w:hAnsi="宋体"/>
                <w:color w:val="auto"/>
                <w:szCs w:val="21"/>
              </w:rPr>
            </w:pPr>
            <w:r>
              <w:rPr>
                <w:rFonts w:hint="eastAsia" w:ascii="宋体" w:hAnsi="宋体"/>
                <w:color w:val="auto"/>
                <w:szCs w:val="21"/>
              </w:rPr>
              <w:t>3</w:t>
            </w:r>
          </w:p>
        </w:tc>
        <w:tc>
          <w:tcPr>
            <w:tcW w:w="957" w:type="pct"/>
            <w:tcBorders>
              <w:top w:val="single" w:color="auto" w:sz="4" w:space="0"/>
              <w:left w:val="single" w:color="auto" w:sz="4" w:space="0"/>
              <w:bottom w:val="single" w:color="auto" w:sz="4" w:space="0"/>
              <w:right w:val="single" w:color="auto" w:sz="4" w:space="0"/>
            </w:tcBorders>
            <w:noWrap/>
            <w:vAlign w:val="center"/>
          </w:tcPr>
          <w:p w14:paraId="4D6E4950">
            <w:pPr>
              <w:spacing w:line="360" w:lineRule="auto"/>
              <w:jc w:val="center"/>
              <w:rPr>
                <w:rFonts w:ascii="宋体" w:hAnsi="宋体"/>
                <w:color w:val="auto"/>
                <w:szCs w:val="21"/>
              </w:rPr>
            </w:pPr>
            <w:r>
              <w:rPr>
                <w:rFonts w:hint="eastAsia" w:ascii="宋体" w:hAnsi="宋体"/>
                <w:color w:val="auto"/>
                <w:szCs w:val="21"/>
              </w:rPr>
              <w:t>招标内容</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3B33F4B5">
            <w:pPr>
              <w:spacing w:line="288" w:lineRule="auto"/>
              <w:rPr>
                <w:rFonts w:ascii="宋体" w:hAnsi="宋体"/>
                <w:color w:val="auto"/>
                <w:spacing w:val="-12"/>
                <w:szCs w:val="21"/>
              </w:rPr>
            </w:pPr>
            <w:r>
              <w:rPr>
                <w:rFonts w:hint="eastAsia" w:ascii="宋体" w:hAnsi="宋体" w:cs="宋体"/>
                <w:bCs/>
                <w:color w:val="auto"/>
                <w:spacing w:val="-2"/>
                <w:szCs w:val="21"/>
              </w:rPr>
              <w:t>气相色谱仪采购</w:t>
            </w:r>
          </w:p>
        </w:tc>
      </w:tr>
      <w:tr w14:paraId="325FB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3D8D3035">
            <w:pPr>
              <w:spacing w:line="360" w:lineRule="auto"/>
              <w:jc w:val="center"/>
              <w:rPr>
                <w:rFonts w:ascii="宋体" w:hAnsi="宋体"/>
                <w:color w:val="auto"/>
                <w:szCs w:val="21"/>
              </w:rPr>
            </w:pPr>
            <w:r>
              <w:rPr>
                <w:rFonts w:hint="eastAsia" w:ascii="宋体" w:hAnsi="宋体"/>
                <w:color w:val="auto"/>
                <w:szCs w:val="21"/>
              </w:rPr>
              <w:t>4</w:t>
            </w:r>
          </w:p>
        </w:tc>
        <w:tc>
          <w:tcPr>
            <w:tcW w:w="957" w:type="pct"/>
            <w:tcBorders>
              <w:top w:val="single" w:color="auto" w:sz="4" w:space="0"/>
              <w:left w:val="single" w:color="auto" w:sz="4" w:space="0"/>
              <w:bottom w:val="single" w:color="auto" w:sz="4" w:space="0"/>
              <w:right w:val="single" w:color="auto" w:sz="4" w:space="0"/>
            </w:tcBorders>
            <w:noWrap/>
            <w:vAlign w:val="center"/>
          </w:tcPr>
          <w:p w14:paraId="4A9AFC87">
            <w:pPr>
              <w:spacing w:line="360" w:lineRule="auto"/>
              <w:jc w:val="center"/>
              <w:rPr>
                <w:rFonts w:ascii="宋体" w:hAnsi="宋体"/>
                <w:color w:val="auto"/>
                <w:szCs w:val="21"/>
              </w:rPr>
            </w:pPr>
            <w:r>
              <w:rPr>
                <w:rFonts w:hint="eastAsia" w:ascii="宋体" w:hAnsi="宋体"/>
                <w:color w:val="auto"/>
                <w:szCs w:val="21"/>
              </w:rPr>
              <w:t>质保期与付款方式</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50959375">
            <w:pPr>
              <w:spacing w:line="288" w:lineRule="auto"/>
              <w:rPr>
                <w:rFonts w:ascii="宋体" w:hAnsi="宋体"/>
                <w:color w:val="auto"/>
                <w:spacing w:val="-8"/>
                <w:szCs w:val="21"/>
              </w:rPr>
            </w:pPr>
            <w:r>
              <w:rPr>
                <w:rFonts w:hint="eastAsia" w:ascii="宋体" w:hAnsi="宋体"/>
                <w:bCs/>
                <w:iCs/>
                <w:color w:val="auto"/>
                <w:spacing w:val="-8"/>
                <w:szCs w:val="21"/>
              </w:rPr>
              <w:t>质保期不低于1年（以中标方质保期为准）。无预付款。验收合格后，连续30天试运行无故障且各项技术指标达到合同要求后开全额发票，买受人自收讫发票之日起三个月内</w:t>
            </w:r>
            <w:r>
              <w:rPr>
                <w:rFonts w:hint="eastAsia" w:ascii="宋体" w:hAnsi="宋体"/>
                <w:color w:val="auto"/>
                <w:szCs w:val="21"/>
              </w:rPr>
              <w:t>支付至合同总价的95%，余款5%作为质保金，在质保期满且无质量问题后无息付清。</w:t>
            </w:r>
          </w:p>
        </w:tc>
      </w:tr>
      <w:tr w14:paraId="0DE7D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0CC447DD">
            <w:pPr>
              <w:spacing w:line="360" w:lineRule="auto"/>
              <w:jc w:val="center"/>
              <w:rPr>
                <w:rFonts w:ascii="宋体" w:hAnsi="宋体"/>
                <w:color w:val="auto"/>
                <w:szCs w:val="21"/>
              </w:rPr>
            </w:pPr>
            <w:r>
              <w:rPr>
                <w:rFonts w:hint="eastAsia" w:ascii="宋体" w:hAnsi="宋体"/>
                <w:color w:val="auto"/>
                <w:szCs w:val="21"/>
              </w:rPr>
              <w:t>5</w:t>
            </w:r>
          </w:p>
        </w:tc>
        <w:tc>
          <w:tcPr>
            <w:tcW w:w="957" w:type="pct"/>
            <w:tcBorders>
              <w:top w:val="single" w:color="auto" w:sz="4" w:space="0"/>
              <w:left w:val="single" w:color="auto" w:sz="4" w:space="0"/>
              <w:bottom w:val="single" w:color="auto" w:sz="4" w:space="0"/>
              <w:right w:val="single" w:color="auto" w:sz="4" w:space="0"/>
            </w:tcBorders>
            <w:noWrap/>
            <w:vAlign w:val="center"/>
          </w:tcPr>
          <w:p w14:paraId="79BE2A88">
            <w:pPr>
              <w:spacing w:line="360" w:lineRule="auto"/>
              <w:jc w:val="center"/>
              <w:rPr>
                <w:rFonts w:ascii="宋体" w:hAnsi="宋体"/>
                <w:color w:val="auto"/>
                <w:szCs w:val="21"/>
              </w:rPr>
            </w:pPr>
            <w:r>
              <w:rPr>
                <w:rFonts w:hint="eastAsia" w:ascii="宋体" w:hAnsi="宋体"/>
                <w:color w:val="auto"/>
                <w:szCs w:val="21"/>
              </w:rPr>
              <w:t>最高限价</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6ABA22F6">
            <w:pPr>
              <w:spacing w:line="360" w:lineRule="auto"/>
              <w:rPr>
                <w:rFonts w:ascii="宋体" w:hAnsi="宋体"/>
                <w:b/>
                <w:color w:val="auto"/>
                <w:szCs w:val="21"/>
              </w:rPr>
            </w:pPr>
            <w:r>
              <w:rPr>
                <w:rFonts w:hint="eastAsia" w:ascii="宋体" w:hAnsi="宋体"/>
                <w:b/>
                <w:color w:val="auto"/>
                <w:szCs w:val="21"/>
              </w:rPr>
              <w:t>48万元</w:t>
            </w:r>
          </w:p>
        </w:tc>
      </w:tr>
      <w:tr w14:paraId="7ABB9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37F19F6B">
            <w:pPr>
              <w:spacing w:line="360" w:lineRule="auto"/>
              <w:jc w:val="center"/>
              <w:rPr>
                <w:rFonts w:ascii="宋体" w:hAnsi="宋体"/>
                <w:color w:val="auto"/>
                <w:szCs w:val="21"/>
              </w:rPr>
            </w:pPr>
            <w:r>
              <w:rPr>
                <w:rFonts w:hint="eastAsia" w:ascii="宋体" w:hAnsi="宋体"/>
                <w:color w:val="auto"/>
                <w:szCs w:val="21"/>
              </w:rPr>
              <w:t>6</w:t>
            </w:r>
          </w:p>
        </w:tc>
        <w:tc>
          <w:tcPr>
            <w:tcW w:w="957" w:type="pct"/>
            <w:tcBorders>
              <w:top w:val="single" w:color="auto" w:sz="4" w:space="0"/>
              <w:left w:val="single" w:color="auto" w:sz="4" w:space="0"/>
              <w:bottom w:val="single" w:color="auto" w:sz="4" w:space="0"/>
              <w:right w:val="single" w:color="auto" w:sz="4" w:space="0"/>
            </w:tcBorders>
            <w:noWrap/>
            <w:vAlign w:val="center"/>
          </w:tcPr>
          <w:p w14:paraId="588220F6">
            <w:pPr>
              <w:spacing w:line="360" w:lineRule="auto"/>
              <w:jc w:val="center"/>
              <w:rPr>
                <w:rFonts w:ascii="宋体" w:hAnsi="宋体"/>
                <w:color w:val="auto"/>
                <w:szCs w:val="21"/>
              </w:rPr>
            </w:pPr>
            <w:r>
              <w:rPr>
                <w:rFonts w:hint="eastAsia" w:ascii="宋体" w:hAnsi="宋体"/>
                <w:color w:val="auto"/>
                <w:szCs w:val="21"/>
              </w:rPr>
              <w:t>交货期/供货期</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534CA472">
            <w:pPr>
              <w:spacing w:line="360" w:lineRule="auto"/>
              <w:rPr>
                <w:rFonts w:ascii="宋体" w:hAnsi="宋体"/>
                <w:b/>
                <w:color w:val="auto"/>
                <w:szCs w:val="21"/>
              </w:rPr>
            </w:pPr>
            <w:r>
              <w:rPr>
                <w:rFonts w:hint="eastAsia" w:ascii="宋体" w:hAnsi="宋体"/>
                <w:color w:val="auto"/>
                <w:szCs w:val="21"/>
              </w:rPr>
              <w:t>中标签订合同生效后30日之内货到采购方指定地点。</w:t>
            </w:r>
          </w:p>
        </w:tc>
      </w:tr>
      <w:tr w14:paraId="41A36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128D831A">
            <w:pPr>
              <w:spacing w:line="360" w:lineRule="auto"/>
              <w:jc w:val="center"/>
              <w:rPr>
                <w:rFonts w:ascii="宋体" w:hAnsi="宋体"/>
                <w:color w:val="auto"/>
                <w:szCs w:val="21"/>
              </w:rPr>
            </w:pPr>
            <w:r>
              <w:rPr>
                <w:rFonts w:hint="eastAsia" w:ascii="宋体" w:hAnsi="宋体"/>
                <w:color w:val="auto"/>
                <w:szCs w:val="21"/>
              </w:rPr>
              <w:t>7</w:t>
            </w:r>
          </w:p>
        </w:tc>
        <w:tc>
          <w:tcPr>
            <w:tcW w:w="957" w:type="pct"/>
            <w:tcBorders>
              <w:top w:val="single" w:color="auto" w:sz="4" w:space="0"/>
              <w:left w:val="single" w:color="auto" w:sz="4" w:space="0"/>
              <w:bottom w:val="single" w:color="auto" w:sz="4" w:space="0"/>
              <w:right w:val="single" w:color="auto" w:sz="4" w:space="0"/>
            </w:tcBorders>
            <w:noWrap/>
            <w:vAlign w:val="center"/>
          </w:tcPr>
          <w:p w14:paraId="64F74C87">
            <w:pPr>
              <w:spacing w:line="360" w:lineRule="auto"/>
              <w:jc w:val="center"/>
              <w:rPr>
                <w:rFonts w:ascii="宋体" w:hAnsi="宋体"/>
                <w:color w:val="auto"/>
                <w:szCs w:val="21"/>
              </w:rPr>
            </w:pPr>
            <w:r>
              <w:rPr>
                <w:rFonts w:hint="eastAsia" w:ascii="宋体" w:hAnsi="宋体"/>
                <w:color w:val="auto"/>
                <w:szCs w:val="21"/>
              </w:rPr>
              <w:t>目的地</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2D48AB7B">
            <w:pPr>
              <w:spacing w:line="360" w:lineRule="auto"/>
              <w:rPr>
                <w:rFonts w:ascii="宋体" w:hAnsi="宋体"/>
                <w:color w:val="auto"/>
                <w:szCs w:val="21"/>
              </w:rPr>
            </w:pPr>
            <w:r>
              <w:rPr>
                <w:rFonts w:hint="eastAsia" w:ascii="宋体" w:hAnsi="宋体"/>
                <w:color w:val="auto"/>
                <w:szCs w:val="21"/>
              </w:rPr>
              <w:t>招标方指定的地点</w:t>
            </w:r>
          </w:p>
        </w:tc>
      </w:tr>
      <w:tr w14:paraId="2527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533157CA">
            <w:pPr>
              <w:spacing w:line="360" w:lineRule="auto"/>
              <w:jc w:val="center"/>
              <w:rPr>
                <w:rFonts w:ascii="宋体" w:hAnsi="宋体"/>
                <w:color w:val="auto"/>
                <w:szCs w:val="21"/>
              </w:rPr>
            </w:pPr>
            <w:r>
              <w:rPr>
                <w:rFonts w:hint="eastAsia" w:ascii="宋体" w:hAnsi="宋体"/>
                <w:color w:val="auto"/>
                <w:szCs w:val="21"/>
              </w:rPr>
              <w:t>8</w:t>
            </w:r>
          </w:p>
        </w:tc>
        <w:tc>
          <w:tcPr>
            <w:tcW w:w="957" w:type="pct"/>
            <w:tcBorders>
              <w:top w:val="single" w:color="auto" w:sz="4" w:space="0"/>
              <w:left w:val="single" w:color="auto" w:sz="4" w:space="0"/>
              <w:bottom w:val="single" w:color="auto" w:sz="4" w:space="0"/>
              <w:right w:val="single" w:color="auto" w:sz="4" w:space="0"/>
            </w:tcBorders>
            <w:noWrap/>
            <w:vAlign w:val="center"/>
          </w:tcPr>
          <w:p w14:paraId="07508C46">
            <w:pPr>
              <w:spacing w:line="360" w:lineRule="auto"/>
              <w:jc w:val="center"/>
              <w:rPr>
                <w:rFonts w:ascii="宋体" w:hAnsi="宋体"/>
                <w:color w:val="auto"/>
                <w:szCs w:val="21"/>
              </w:rPr>
            </w:pPr>
            <w:r>
              <w:rPr>
                <w:rFonts w:hint="eastAsia" w:ascii="宋体" w:hAnsi="宋体"/>
                <w:color w:val="auto"/>
                <w:szCs w:val="21"/>
              </w:rPr>
              <w:t>采购单位</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5A496674">
            <w:pPr>
              <w:spacing w:line="360" w:lineRule="auto"/>
              <w:rPr>
                <w:rFonts w:ascii="宋体" w:hAnsi="宋体"/>
                <w:color w:val="auto"/>
                <w:szCs w:val="21"/>
              </w:rPr>
            </w:pPr>
            <w:r>
              <w:rPr>
                <w:rFonts w:hint="eastAsia" w:ascii="宋体" w:hAnsi="宋体"/>
                <w:color w:val="auto"/>
                <w:szCs w:val="21"/>
              </w:rPr>
              <w:t>江苏长江水务股份有限公司</w:t>
            </w:r>
          </w:p>
        </w:tc>
      </w:tr>
      <w:tr w14:paraId="6A652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24F73EEF">
            <w:pPr>
              <w:spacing w:line="360" w:lineRule="auto"/>
              <w:jc w:val="center"/>
              <w:rPr>
                <w:rFonts w:ascii="宋体" w:hAnsi="宋体"/>
                <w:color w:val="auto"/>
                <w:szCs w:val="21"/>
              </w:rPr>
            </w:pPr>
            <w:r>
              <w:rPr>
                <w:rFonts w:hint="eastAsia" w:ascii="宋体" w:hAnsi="宋体"/>
                <w:color w:val="auto"/>
                <w:szCs w:val="21"/>
              </w:rPr>
              <w:t>9</w:t>
            </w:r>
          </w:p>
        </w:tc>
        <w:tc>
          <w:tcPr>
            <w:tcW w:w="957" w:type="pct"/>
            <w:tcBorders>
              <w:top w:val="single" w:color="auto" w:sz="4" w:space="0"/>
              <w:left w:val="single" w:color="auto" w:sz="4" w:space="0"/>
              <w:bottom w:val="single" w:color="auto" w:sz="4" w:space="0"/>
              <w:right w:val="single" w:color="auto" w:sz="4" w:space="0"/>
            </w:tcBorders>
            <w:noWrap/>
            <w:vAlign w:val="center"/>
          </w:tcPr>
          <w:p w14:paraId="7F441D42">
            <w:pPr>
              <w:spacing w:line="360" w:lineRule="auto"/>
              <w:jc w:val="center"/>
              <w:rPr>
                <w:rFonts w:ascii="宋体" w:hAnsi="宋体"/>
                <w:color w:val="auto"/>
                <w:szCs w:val="21"/>
              </w:rPr>
            </w:pPr>
            <w:r>
              <w:rPr>
                <w:rFonts w:hint="eastAsia" w:ascii="宋体" w:hAnsi="宋体"/>
                <w:color w:val="auto"/>
                <w:szCs w:val="21"/>
              </w:rPr>
              <w:t>投标文件份数</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22B7D15B">
            <w:pPr>
              <w:spacing w:line="360" w:lineRule="auto"/>
              <w:rPr>
                <w:rFonts w:ascii="宋体" w:hAnsi="宋体"/>
                <w:color w:val="auto"/>
                <w:szCs w:val="21"/>
              </w:rPr>
            </w:pPr>
            <w:r>
              <w:rPr>
                <w:rFonts w:hint="eastAsia" w:ascii="宋体" w:hAnsi="宋体"/>
                <w:color w:val="auto"/>
                <w:szCs w:val="21"/>
              </w:rPr>
              <w:t>正本一份，副本一份</w:t>
            </w:r>
          </w:p>
        </w:tc>
      </w:tr>
      <w:tr w14:paraId="74939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555307E3">
            <w:pPr>
              <w:spacing w:line="360" w:lineRule="auto"/>
              <w:jc w:val="center"/>
              <w:rPr>
                <w:rFonts w:ascii="宋体" w:hAnsi="宋体"/>
                <w:color w:val="auto"/>
                <w:szCs w:val="21"/>
              </w:rPr>
            </w:pPr>
            <w:r>
              <w:rPr>
                <w:rFonts w:hint="eastAsia" w:ascii="宋体" w:hAnsi="宋体"/>
                <w:color w:val="auto"/>
                <w:szCs w:val="21"/>
              </w:rPr>
              <w:t>10</w:t>
            </w:r>
          </w:p>
        </w:tc>
        <w:tc>
          <w:tcPr>
            <w:tcW w:w="957" w:type="pct"/>
            <w:tcBorders>
              <w:top w:val="single" w:color="auto" w:sz="4" w:space="0"/>
              <w:left w:val="single" w:color="auto" w:sz="4" w:space="0"/>
              <w:bottom w:val="single" w:color="auto" w:sz="4" w:space="0"/>
              <w:right w:val="single" w:color="auto" w:sz="4" w:space="0"/>
            </w:tcBorders>
            <w:noWrap/>
            <w:vAlign w:val="center"/>
          </w:tcPr>
          <w:p w14:paraId="3645589B">
            <w:pPr>
              <w:spacing w:line="360" w:lineRule="auto"/>
              <w:jc w:val="center"/>
              <w:rPr>
                <w:rFonts w:ascii="宋体" w:hAnsi="宋体"/>
                <w:color w:val="auto"/>
                <w:szCs w:val="21"/>
              </w:rPr>
            </w:pPr>
            <w:r>
              <w:rPr>
                <w:rFonts w:hint="eastAsia" w:ascii="宋体" w:hAnsi="宋体"/>
                <w:color w:val="auto"/>
                <w:szCs w:val="21"/>
              </w:rPr>
              <w:t>投标有效期</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0B3EB2C6">
            <w:pPr>
              <w:spacing w:line="360" w:lineRule="auto"/>
              <w:jc w:val="left"/>
              <w:rPr>
                <w:rFonts w:ascii="宋体" w:hAnsi="宋体"/>
                <w:color w:val="auto"/>
                <w:szCs w:val="21"/>
              </w:rPr>
            </w:pPr>
            <w:r>
              <w:rPr>
                <w:rFonts w:hint="eastAsia" w:ascii="宋体" w:hAnsi="宋体"/>
                <w:color w:val="auto"/>
                <w:szCs w:val="21"/>
              </w:rPr>
              <w:t>从投标截止日起90天内有效，如中标有效期延止合同终止。</w:t>
            </w:r>
          </w:p>
        </w:tc>
      </w:tr>
      <w:tr w14:paraId="2170C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0808F96B">
            <w:pPr>
              <w:spacing w:line="340" w:lineRule="exact"/>
              <w:jc w:val="center"/>
              <w:rPr>
                <w:rFonts w:ascii="宋体" w:hAnsi="宋体"/>
                <w:color w:val="auto"/>
                <w:szCs w:val="21"/>
              </w:rPr>
            </w:pPr>
            <w:r>
              <w:rPr>
                <w:rFonts w:hint="eastAsia" w:ascii="宋体" w:hAnsi="宋体"/>
                <w:color w:val="auto"/>
                <w:szCs w:val="21"/>
              </w:rPr>
              <w:t>11</w:t>
            </w:r>
          </w:p>
        </w:tc>
        <w:tc>
          <w:tcPr>
            <w:tcW w:w="957" w:type="pct"/>
            <w:tcBorders>
              <w:top w:val="single" w:color="auto" w:sz="4" w:space="0"/>
              <w:left w:val="single" w:color="auto" w:sz="4" w:space="0"/>
              <w:bottom w:val="single" w:color="auto" w:sz="4" w:space="0"/>
              <w:right w:val="single" w:color="auto" w:sz="4" w:space="0"/>
            </w:tcBorders>
            <w:noWrap/>
            <w:vAlign w:val="center"/>
          </w:tcPr>
          <w:p w14:paraId="27B6D64C">
            <w:pPr>
              <w:spacing w:line="320" w:lineRule="exact"/>
              <w:jc w:val="center"/>
              <w:rPr>
                <w:rFonts w:ascii="宋体" w:hAnsi="宋体"/>
                <w:color w:val="auto"/>
                <w:szCs w:val="21"/>
              </w:rPr>
            </w:pPr>
            <w:r>
              <w:rPr>
                <w:rFonts w:hint="eastAsia" w:ascii="宋体" w:hAnsi="宋体"/>
                <w:color w:val="auto"/>
                <w:szCs w:val="21"/>
              </w:rPr>
              <w:t>答疑时间</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77587827">
            <w:pPr>
              <w:spacing w:line="320" w:lineRule="exact"/>
              <w:rPr>
                <w:rFonts w:ascii="宋体" w:hAnsi="宋体"/>
                <w:color w:val="auto"/>
                <w:szCs w:val="21"/>
              </w:rPr>
            </w:pPr>
            <w:r>
              <w:rPr>
                <w:rFonts w:hint="eastAsia" w:ascii="宋体" w:hAnsi="宋体"/>
                <w:color w:val="auto"/>
                <w:szCs w:val="21"/>
              </w:rPr>
              <w:t>投标截止日前三天</w:t>
            </w:r>
            <w:bookmarkStart w:id="2" w:name="_GoBack"/>
            <w:bookmarkEnd w:id="2"/>
          </w:p>
        </w:tc>
      </w:tr>
      <w:tr w14:paraId="635C0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3D835BD3">
            <w:pPr>
              <w:spacing w:line="360" w:lineRule="auto"/>
              <w:jc w:val="center"/>
              <w:rPr>
                <w:rFonts w:ascii="宋体" w:hAnsi="宋体"/>
                <w:color w:val="auto"/>
                <w:szCs w:val="21"/>
              </w:rPr>
            </w:pPr>
            <w:r>
              <w:rPr>
                <w:rFonts w:hint="eastAsia" w:ascii="宋体" w:hAnsi="宋体"/>
                <w:color w:val="auto"/>
                <w:szCs w:val="21"/>
              </w:rPr>
              <w:t>12</w:t>
            </w:r>
          </w:p>
        </w:tc>
        <w:tc>
          <w:tcPr>
            <w:tcW w:w="957" w:type="pct"/>
            <w:tcBorders>
              <w:top w:val="single" w:color="auto" w:sz="4" w:space="0"/>
              <w:left w:val="single" w:color="auto" w:sz="4" w:space="0"/>
              <w:bottom w:val="single" w:color="auto" w:sz="4" w:space="0"/>
              <w:right w:val="single" w:color="auto" w:sz="4" w:space="0"/>
            </w:tcBorders>
            <w:noWrap/>
            <w:vAlign w:val="center"/>
          </w:tcPr>
          <w:p w14:paraId="15ED60B5">
            <w:pPr>
              <w:spacing w:line="360" w:lineRule="auto"/>
              <w:jc w:val="center"/>
              <w:rPr>
                <w:rFonts w:ascii="宋体" w:hAnsi="宋体"/>
                <w:color w:val="auto"/>
                <w:szCs w:val="21"/>
              </w:rPr>
            </w:pPr>
            <w:r>
              <w:rPr>
                <w:rFonts w:hint="eastAsia" w:ascii="宋体" w:hAnsi="宋体"/>
                <w:color w:val="auto"/>
                <w:szCs w:val="21"/>
              </w:rPr>
              <w:t>投标截止时间</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2B70B97F">
            <w:pPr>
              <w:spacing w:line="360" w:lineRule="auto"/>
              <w:rPr>
                <w:rFonts w:ascii="宋体" w:hAnsi="宋体"/>
                <w:color w:val="auto"/>
                <w:szCs w:val="21"/>
              </w:rPr>
            </w:pPr>
            <w:r>
              <w:rPr>
                <w:rFonts w:hint="eastAsia" w:ascii="宋体" w:hAnsi="宋体"/>
                <w:color w:val="auto"/>
                <w:szCs w:val="21"/>
              </w:rPr>
              <w:t>2025年</w:t>
            </w:r>
            <w:r>
              <w:rPr>
                <w:rFonts w:hint="eastAsia" w:ascii="宋体" w:hAnsi="宋体"/>
                <w:color w:val="auto"/>
                <w:szCs w:val="21"/>
                <w:lang w:val="en-US" w:eastAsia="zh-CN"/>
              </w:rPr>
              <w:t>4</w:t>
            </w:r>
            <w:r>
              <w:rPr>
                <w:rFonts w:hint="eastAsia" w:ascii="宋体" w:hAnsi="宋体"/>
                <w:color w:val="auto"/>
                <w:szCs w:val="21"/>
              </w:rPr>
              <w:t>月</w:t>
            </w:r>
            <w:r>
              <w:rPr>
                <w:rFonts w:hint="eastAsia" w:ascii="宋体" w:hAnsi="宋体"/>
                <w:color w:val="auto"/>
                <w:szCs w:val="21"/>
                <w:lang w:val="en-US" w:eastAsia="zh-CN"/>
              </w:rPr>
              <w:t>16</w:t>
            </w:r>
            <w:r>
              <w:rPr>
                <w:rFonts w:hint="eastAsia" w:ascii="宋体" w:hAnsi="宋体"/>
                <w:color w:val="auto"/>
                <w:szCs w:val="21"/>
              </w:rPr>
              <w:t xml:space="preserve">日上午 9:00  </w:t>
            </w:r>
            <w:r>
              <w:rPr>
                <w:rFonts w:hint="eastAsia" w:ascii="宋体" w:hAnsi="宋体" w:cs="宋体"/>
                <w:color w:val="auto"/>
                <w:kern w:val="0"/>
                <w:szCs w:val="21"/>
              </w:rPr>
              <w:t>（北京时间）</w:t>
            </w:r>
          </w:p>
        </w:tc>
      </w:tr>
      <w:tr w14:paraId="3C9153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62" w:type="pct"/>
            <w:tcBorders>
              <w:top w:val="single" w:color="auto" w:sz="4" w:space="0"/>
              <w:left w:val="single" w:color="auto" w:sz="8" w:space="0"/>
              <w:bottom w:val="single" w:color="auto" w:sz="4" w:space="0"/>
              <w:right w:val="single" w:color="auto" w:sz="4" w:space="0"/>
            </w:tcBorders>
            <w:noWrap/>
            <w:vAlign w:val="center"/>
          </w:tcPr>
          <w:p w14:paraId="51545C7A">
            <w:pPr>
              <w:spacing w:line="360" w:lineRule="auto"/>
              <w:jc w:val="center"/>
              <w:rPr>
                <w:rFonts w:ascii="宋体" w:hAnsi="宋体"/>
                <w:color w:val="auto"/>
                <w:szCs w:val="21"/>
              </w:rPr>
            </w:pPr>
            <w:r>
              <w:rPr>
                <w:rFonts w:hint="eastAsia" w:ascii="宋体" w:hAnsi="宋体"/>
                <w:color w:val="auto"/>
                <w:szCs w:val="21"/>
              </w:rPr>
              <w:t>13</w:t>
            </w:r>
          </w:p>
        </w:tc>
        <w:tc>
          <w:tcPr>
            <w:tcW w:w="957" w:type="pct"/>
            <w:tcBorders>
              <w:top w:val="single" w:color="auto" w:sz="4" w:space="0"/>
              <w:left w:val="single" w:color="auto" w:sz="8" w:space="0"/>
              <w:bottom w:val="single" w:color="auto" w:sz="4" w:space="0"/>
              <w:right w:val="single" w:color="auto" w:sz="4" w:space="0"/>
            </w:tcBorders>
            <w:noWrap/>
            <w:vAlign w:val="center"/>
          </w:tcPr>
          <w:p w14:paraId="3B1470ED">
            <w:pPr>
              <w:spacing w:line="360" w:lineRule="auto"/>
              <w:jc w:val="center"/>
              <w:rPr>
                <w:rFonts w:ascii="宋体" w:hAnsi="宋体"/>
                <w:color w:val="auto"/>
                <w:szCs w:val="21"/>
              </w:rPr>
            </w:pPr>
            <w:r>
              <w:rPr>
                <w:rFonts w:hint="eastAsia" w:ascii="宋体" w:hAnsi="宋体"/>
                <w:color w:val="auto"/>
                <w:szCs w:val="21"/>
              </w:rPr>
              <w:t>投标文件递交</w:t>
            </w:r>
          </w:p>
        </w:tc>
        <w:tc>
          <w:tcPr>
            <w:tcW w:w="3680" w:type="pct"/>
            <w:gridSpan w:val="4"/>
            <w:tcBorders>
              <w:top w:val="single" w:color="auto" w:sz="4" w:space="0"/>
              <w:left w:val="single" w:color="auto" w:sz="4" w:space="0"/>
              <w:bottom w:val="single" w:color="auto" w:sz="4" w:space="0"/>
              <w:right w:val="single" w:color="auto" w:sz="8" w:space="0"/>
            </w:tcBorders>
            <w:noWrap/>
            <w:vAlign w:val="center"/>
          </w:tcPr>
          <w:p w14:paraId="07D4B11A">
            <w:pPr>
              <w:spacing w:line="360" w:lineRule="auto"/>
              <w:rPr>
                <w:rFonts w:ascii="宋体" w:hAnsi="宋体"/>
                <w:color w:val="auto"/>
                <w:szCs w:val="21"/>
              </w:rPr>
            </w:pPr>
            <w:r>
              <w:rPr>
                <w:rFonts w:hint="eastAsia" w:ascii="宋体" w:hAnsi="宋体"/>
                <w:color w:val="auto"/>
                <w:szCs w:val="21"/>
              </w:rPr>
              <w:t>扬州市文汇东路249号 江苏长江水务股份有限公司物资供应处</w:t>
            </w:r>
          </w:p>
        </w:tc>
      </w:tr>
      <w:tr w14:paraId="503808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62" w:type="pct"/>
            <w:tcBorders>
              <w:top w:val="single" w:color="auto" w:sz="4" w:space="0"/>
              <w:left w:val="single" w:color="auto" w:sz="8" w:space="0"/>
              <w:bottom w:val="single" w:color="auto" w:sz="4" w:space="0"/>
              <w:right w:val="single" w:color="auto" w:sz="4" w:space="0"/>
            </w:tcBorders>
            <w:noWrap/>
            <w:vAlign w:val="center"/>
          </w:tcPr>
          <w:p w14:paraId="14E9D40B">
            <w:pPr>
              <w:jc w:val="center"/>
              <w:rPr>
                <w:rFonts w:ascii="宋体" w:hAnsi="宋体"/>
                <w:color w:val="auto"/>
                <w:szCs w:val="21"/>
              </w:rPr>
            </w:pPr>
            <w:r>
              <w:rPr>
                <w:rFonts w:hint="eastAsia" w:ascii="宋体" w:hAnsi="宋体"/>
                <w:color w:val="auto"/>
                <w:szCs w:val="21"/>
              </w:rPr>
              <w:t>14</w:t>
            </w:r>
          </w:p>
        </w:tc>
        <w:tc>
          <w:tcPr>
            <w:tcW w:w="957" w:type="pct"/>
            <w:tcBorders>
              <w:top w:val="single" w:color="auto" w:sz="4" w:space="0"/>
              <w:left w:val="single" w:color="auto" w:sz="8" w:space="0"/>
              <w:bottom w:val="single" w:color="auto" w:sz="4" w:space="0"/>
              <w:right w:val="single" w:color="auto" w:sz="4" w:space="0"/>
            </w:tcBorders>
            <w:noWrap/>
            <w:vAlign w:val="center"/>
          </w:tcPr>
          <w:p w14:paraId="64412190">
            <w:pPr>
              <w:jc w:val="center"/>
              <w:rPr>
                <w:rFonts w:ascii="宋体" w:hAnsi="宋体"/>
                <w:color w:val="auto"/>
                <w:szCs w:val="21"/>
              </w:rPr>
            </w:pPr>
            <w:r>
              <w:rPr>
                <w:rFonts w:hint="eastAsia" w:ascii="宋体" w:hAnsi="宋体"/>
                <w:color w:val="auto"/>
                <w:szCs w:val="21"/>
              </w:rPr>
              <w:t>开标时间</w:t>
            </w:r>
          </w:p>
        </w:tc>
        <w:tc>
          <w:tcPr>
            <w:tcW w:w="473" w:type="pct"/>
            <w:tcBorders>
              <w:top w:val="single" w:color="auto" w:sz="4" w:space="0"/>
              <w:left w:val="single" w:color="auto" w:sz="4" w:space="0"/>
              <w:bottom w:val="single" w:color="auto" w:sz="4" w:space="0"/>
              <w:right w:val="single" w:color="auto" w:sz="4" w:space="0"/>
            </w:tcBorders>
            <w:noWrap/>
            <w:vAlign w:val="center"/>
          </w:tcPr>
          <w:p w14:paraId="2C28B454">
            <w:pPr>
              <w:jc w:val="center"/>
              <w:rPr>
                <w:rFonts w:ascii="宋体" w:hAnsi="宋体"/>
                <w:color w:val="auto"/>
                <w:szCs w:val="21"/>
              </w:rPr>
            </w:pPr>
            <w:r>
              <w:rPr>
                <w:rFonts w:hint="eastAsia" w:ascii="宋体" w:hAnsi="宋体"/>
                <w:color w:val="auto"/>
                <w:szCs w:val="21"/>
              </w:rPr>
              <w:t>时间</w:t>
            </w:r>
          </w:p>
        </w:tc>
        <w:tc>
          <w:tcPr>
            <w:tcW w:w="1447" w:type="pct"/>
            <w:tcBorders>
              <w:top w:val="single" w:color="auto" w:sz="4" w:space="0"/>
              <w:left w:val="single" w:color="auto" w:sz="4" w:space="0"/>
              <w:bottom w:val="single" w:color="auto" w:sz="4" w:space="0"/>
              <w:right w:val="single" w:color="auto" w:sz="4" w:space="0"/>
            </w:tcBorders>
            <w:noWrap/>
            <w:vAlign w:val="center"/>
          </w:tcPr>
          <w:p w14:paraId="0CE89D5F">
            <w:pPr>
              <w:rPr>
                <w:rFonts w:ascii="宋体" w:hAnsi="宋体"/>
                <w:color w:val="auto"/>
                <w:szCs w:val="21"/>
              </w:rPr>
            </w:pPr>
            <w:r>
              <w:rPr>
                <w:rFonts w:ascii="宋体" w:hAnsi="宋体"/>
                <w:color w:val="auto"/>
                <w:szCs w:val="21"/>
              </w:rPr>
              <w:t>20</w:t>
            </w:r>
            <w:r>
              <w:rPr>
                <w:rFonts w:hint="eastAsia" w:ascii="宋体" w:hAnsi="宋体"/>
                <w:color w:val="auto"/>
                <w:szCs w:val="21"/>
              </w:rPr>
              <w:t>25年</w:t>
            </w:r>
            <w:r>
              <w:rPr>
                <w:rFonts w:hint="eastAsia" w:ascii="宋体" w:hAnsi="宋体"/>
                <w:color w:val="auto"/>
                <w:szCs w:val="21"/>
                <w:lang w:val="en-US" w:eastAsia="zh-CN"/>
              </w:rPr>
              <w:t>4</w:t>
            </w:r>
            <w:r>
              <w:rPr>
                <w:rFonts w:hint="eastAsia" w:ascii="宋体" w:hAnsi="宋体"/>
                <w:color w:val="auto"/>
                <w:szCs w:val="21"/>
              </w:rPr>
              <w:t>月</w:t>
            </w:r>
            <w:r>
              <w:rPr>
                <w:rFonts w:hint="eastAsia" w:ascii="宋体" w:hAnsi="宋体"/>
                <w:color w:val="auto"/>
                <w:szCs w:val="21"/>
                <w:lang w:val="en-US" w:eastAsia="zh-CN"/>
              </w:rPr>
              <w:t>16</w:t>
            </w:r>
            <w:r>
              <w:rPr>
                <w:rFonts w:hint="eastAsia" w:ascii="宋体" w:hAnsi="宋体"/>
                <w:color w:val="auto"/>
                <w:szCs w:val="21"/>
              </w:rPr>
              <w:t>日上午9</w:t>
            </w:r>
            <w:r>
              <w:rPr>
                <w:rFonts w:ascii="宋体" w:hAnsi="宋体"/>
                <w:color w:val="auto"/>
                <w:szCs w:val="21"/>
              </w:rPr>
              <w:t>:</w:t>
            </w:r>
            <w:r>
              <w:rPr>
                <w:rFonts w:hint="eastAsia" w:ascii="宋体" w:hAnsi="宋体"/>
                <w:color w:val="auto"/>
                <w:szCs w:val="21"/>
              </w:rPr>
              <w:t>3</w:t>
            </w:r>
            <w:r>
              <w:rPr>
                <w:rFonts w:ascii="宋体" w:hAnsi="宋体"/>
                <w:color w:val="auto"/>
                <w:szCs w:val="21"/>
              </w:rPr>
              <w:t>0</w:t>
            </w:r>
            <w:r>
              <w:rPr>
                <w:rFonts w:hint="eastAsia" w:ascii="宋体" w:hAnsi="宋体" w:cs="宋体"/>
                <w:color w:val="auto"/>
                <w:kern w:val="0"/>
                <w:szCs w:val="21"/>
              </w:rPr>
              <w:t>（北京时间）</w:t>
            </w:r>
          </w:p>
        </w:tc>
        <w:tc>
          <w:tcPr>
            <w:tcW w:w="446" w:type="pct"/>
            <w:tcBorders>
              <w:top w:val="single" w:color="auto" w:sz="4" w:space="0"/>
              <w:left w:val="single" w:color="auto" w:sz="4" w:space="0"/>
              <w:bottom w:val="single" w:color="auto" w:sz="4" w:space="0"/>
              <w:right w:val="single" w:color="auto" w:sz="4" w:space="0"/>
            </w:tcBorders>
            <w:noWrap/>
            <w:vAlign w:val="center"/>
          </w:tcPr>
          <w:p w14:paraId="19F63BDD">
            <w:pPr>
              <w:jc w:val="center"/>
              <w:rPr>
                <w:rFonts w:ascii="宋体" w:hAnsi="宋体"/>
                <w:color w:val="auto"/>
                <w:szCs w:val="21"/>
              </w:rPr>
            </w:pPr>
            <w:r>
              <w:rPr>
                <w:rFonts w:hint="eastAsia" w:ascii="宋体" w:hAnsi="宋体"/>
                <w:color w:val="auto"/>
                <w:szCs w:val="21"/>
              </w:rPr>
              <w:t>地址</w:t>
            </w:r>
          </w:p>
        </w:tc>
        <w:tc>
          <w:tcPr>
            <w:tcW w:w="1312" w:type="pct"/>
            <w:tcBorders>
              <w:top w:val="single" w:color="auto" w:sz="4" w:space="0"/>
              <w:left w:val="single" w:color="auto" w:sz="4" w:space="0"/>
              <w:bottom w:val="single" w:color="auto" w:sz="4" w:space="0"/>
              <w:right w:val="single" w:color="auto" w:sz="8" w:space="0"/>
            </w:tcBorders>
            <w:noWrap/>
            <w:vAlign w:val="center"/>
          </w:tcPr>
          <w:p w14:paraId="40C82943">
            <w:pPr>
              <w:rPr>
                <w:rFonts w:ascii="宋体" w:hAnsi="宋体"/>
                <w:color w:val="auto"/>
                <w:szCs w:val="21"/>
              </w:rPr>
            </w:pPr>
            <w:r>
              <w:rPr>
                <w:rFonts w:hint="eastAsia" w:ascii="宋体" w:hAnsi="宋体"/>
                <w:color w:val="auto"/>
                <w:szCs w:val="21"/>
              </w:rPr>
              <w:t>江苏长江水务股份有限公司东大楼三楼会议室</w:t>
            </w:r>
          </w:p>
        </w:tc>
      </w:tr>
      <w:tr w14:paraId="6F1E5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7EB7575F">
            <w:pPr>
              <w:spacing w:line="360" w:lineRule="auto"/>
              <w:jc w:val="center"/>
              <w:rPr>
                <w:rFonts w:ascii="宋体" w:hAnsi="宋体"/>
                <w:color w:val="auto"/>
                <w:szCs w:val="21"/>
              </w:rPr>
            </w:pPr>
            <w:r>
              <w:rPr>
                <w:rFonts w:hint="eastAsia" w:ascii="宋体" w:hAnsi="宋体"/>
                <w:color w:val="auto"/>
                <w:szCs w:val="21"/>
              </w:rPr>
              <w:t>15</w:t>
            </w:r>
          </w:p>
        </w:tc>
        <w:tc>
          <w:tcPr>
            <w:tcW w:w="957" w:type="pct"/>
            <w:tcBorders>
              <w:top w:val="single" w:color="auto" w:sz="4" w:space="0"/>
              <w:left w:val="single" w:color="auto" w:sz="4" w:space="0"/>
              <w:bottom w:val="single" w:color="auto" w:sz="4" w:space="0"/>
              <w:right w:val="single" w:color="auto" w:sz="4" w:space="0"/>
            </w:tcBorders>
            <w:noWrap/>
            <w:vAlign w:val="center"/>
          </w:tcPr>
          <w:p w14:paraId="4D49F02C">
            <w:pPr>
              <w:spacing w:line="360" w:lineRule="auto"/>
              <w:jc w:val="center"/>
              <w:rPr>
                <w:rFonts w:ascii="宋体" w:hAnsi="宋体"/>
                <w:color w:val="auto"/>
                <w:szCs w:val="21"/>
              </w:rPr>
            </w:pPr>
            <w:r>
              <w:rPr>
                <w:rFonts w:hint="eastAsia" w:ascii="宋体" w:hAnsi="宋体"/>
                <w:color w:val="auto"/>
                <w:szCs w:val="21"/>
              </w:rPr>
              <w:t>标书装订及密封要求</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2B7EA656">
            <w:pPr>
              <w:spacing w:line="288" w:lineRule="auto"/>
              <w:rPr>
                <w:rFonts w:ascii="宋体" w:hAnsi="宋体"/>
                <w:color w:val="auto"/>
                <w:szCs w:val="21"/>
              </w:rPr>
            </w:pPr>
            <w:r>
              <w:rPr>
                <w:rFonts w:hint="eastAsia" w:ascii="宋体" w:hAnsi="宋体"/>
                <w:color w:val="auto"/>
                <w:szCs w:val="21"/>
              </w:rPr>
              <w:t>所有封袋上应写明招标人名称、工程名称和标段及投标人的名称。</w:t>
            </w:r>
          </w:p>
          <w:p w14:paraId="27D1B4D3">
            <w:pPr>
              <w:spacing w:line="288" w:lineRule="auto"/>
              <w:rPr>
                <w:rFonts w:ascii="宋体" w:hAnsi="宋体"/>
                <w:color w:val="auto"/>
                <w:szCs w:val="21"/>
              </w:rPr>
            </w:pPr>
            <w:r>
              <w:rPr>
                <w:rFonts w:hint="eastAsia" w:ascii="宋体" w:hAnsi="宋体"/>
                <w:color w:val="auto"/>
                <w:szCs w:val="21"/>
              </w:rPr>
              <w:t>所有投标文件都必须在封袋加盖投标单位法人公章及其法定代表人或授权委托人印鉴 。</w:t>
            </w:r>
          </w:p>
        </w:tc>
      </w:tr>
      <w:tr w14:paraId="7F46C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28E494D1">
            <w:pPr>
              <w:spacing w:line="360" w:lineRule="auto"/>
              <w:jc w:val="center"/>
              <w:rPr>
                <w:rFonts w:ascii="宋体" w:hAnsi="宋体"/>
                <w:color w:val="auto"/>
                <w:szCs w:val="21"/>
              </w:rPr>
            </w:pPr>
            <w:r>
              <w:rPr>
                <w:rFonts w:hint="eastAsia" w:ascii="宋体" w:hAnsi="宋体"/>
                <w:color w:val="auto"/>
                <w:szCs w:val="21"/>
              </w:rPr>
              <w:t>16</w:t>
            </w:r>
          </w:p>
        </w:tc>
        <w:tc>
          <w:tcPr>
            <w:tcW w:w="957" w:type="pct"/>
            <w:tcBorders>
              <w:top w:val="single" w:color="auto" w:sz="4" w:space="0"/>
              <w:left w:val="single" w:color="auto" w:sz="4" w:space="0"/>
              <w:bottom w:val="single" w:color="auto" w:sz="4" w:space="0"/>
              <w:right w:val="single" w:color="auto" w:sz="4" w:space="0"/>
            </w:tcBorders>
            <w:noWrap/>
            <w:vAlign w:val="center"/>
          </w:tcPr>
          <w:p w14:paraId="78E2F0D5">
            <w:pPr>
              <w:spacing w:line="360" w:lineRule="auto"/>
              <w:jc w:val="center"/>
              <w:rPr>
                <w:rFonts w:ascii="宋体" w:hAnsi="宋体"/>
                <w:color w:val="auto"/>
                <w:szCs w:val="21"/>
              </w:rPr>
            </w:pPr>
            <w:r>
              <w:rPr>
                <w:rFonts w:hint="eastAsia" w:ascii="宋体" w:hAnsi="宋体"/>
                <w:color w:val="auto"/>
                <w:szCs w:val="21"/>
              </w:rPr>
              <w:t>其他</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77C6855F">
            <w:pPr>
              <w:numPr>
                <w:ilvl w:val="0"/>
                <w:numId w:val="1"/>
              </w:numPr>
              <w:spacing w:line="288" w:lineRule="auto"/>
              <w:rPr>
                <w:rFonts w:ascii="宋体" w:hAnsi="宋体"/>
                <w:color w:val="auto"/>
                <w:szCs w:val="21"/>
              </w:rPr>
            </w:pPr>
            <w:r>
              <w:rPr>
                <w:rFonts w:hint="eastAsia" w:ascii="宋体" w:hAnsi="宋体"/>
                <w:color w:val="auto"/>
                <w:szCs w:val="21"/>
              </w:rPr>
              <w:t>下文中与“前附表”内容不一致的，以“前附表”为准；</w:t>
            </w:r>
          </w:p>
          <w:p w14:paraId="074650E5">
            <w:pPr>
              <w:numPr>
                <w:ilvl w:val="0"/>
                <w:numId w:val="1"/>
              </w:numPr>
              <w:spacing w:line="288" w:lineRule="auto"/>
              <w:rPr>
                <w:rFonts w:ascii="宋体" w:hAnsi="宋体"/>
                <w:color w:val="auto"/>
                <w:szCs w:val="21"/>
              </w:rPr>
            </w:pPr>
            <w:r>
              <w:rPr>
                <w:rFonts w:hint="eastAsia" w:ascii="宋体" w:hAnsi="宋体"/>
                <w:color w:val="auto"/>
                <w:szCs w:val="21"/>
              </w:rPr>
              <w:t>本招标文件的解释权属于江苏长江水务股份有限公司</w:t>
            </w:r>
          </w:p>
        </w:tc>
      </w:tr>
      <w:tr w14:paraId="152E6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362" w:type="pct"/>
            <w:tcBorders>
              <w:top w:val="single" w:color="auto" w:sz="4" w:space="0"/>
              <w:left w:val="single" w:color="auto" w:sz="4" w:space="0"/>
              <w:bottom w:val="single" w:color="auto" w:sz="4" w:space="0"/>
              <w:right w:val="single" w:color="auto" w:sz="4" w:space="0"/>
            </w:tcBorders>
            <w:noWrap/>
            <w:vAlign w:val="center"/>
          </w:tcPr>
          <w:p w14:paraId="2143DC2A">
            <w:pPr>
              <w:spacing w:line="360" w:lineRule="auto"/>
              <w:jc w:val="center"/>
              <w:rPr>
                <w:rFonts w:ascii="宋体" w:hAnsi="宋体"/>
                <w:color w:val="auto"/>
                <w:szCs w:val="21"/>
              </w:rPr>
            </w:pPr>
            <w:r>
              <w:rPr>
                <w:rFonts w:hint="eastAsia" w:ascii="宋体" w:hAnsi="宋体"/>
                <w:color w:val="auto"/>
                <w:szCs w:val="21"/>
              </w:rPr>
              <w:t>17</w:t>
            </w:r>
          </w:p>
        </w:tc>
        <w:tc>
          <w:tcPr>
            <w:tcW w:w="957" w:type="pct"/>
            <w:tcBorders>
              <w:top w:val="single" w:color="auto" w:sz="4" w:space="0"/>
              <w:left w:val="single" w:color="auto" w:sz="4" w:space="0"/>
              <w:bottom w:val="single" w:color="auto" w:sz="4" w:space="0"/>
              <w:right w:val="single" w:color="auto" w:sz="4" w:space="0"/>
            </w:tcBorders>
            <w:noWrap/>
            <w:vAlign w:val="center"/>
          </w:tcPr>
          <w:p w14:paraId="33C64CD6">
            <w:pPr>
              <w:spacing w:line="360" w:lineRule="auto"/>
              <w:jc w:val="center"/>
              <w:rPr>
                <w:rFonts w:ascii="宋体" w:hAnsi="宋体"/>
                <w:color w:val="auto"/>
                <w:szCs w:val="21"/>
              </w:rPr>
            </w:pPr>
            <w:r>
              <w:rPr>
                <w:rFonts w:hint="eastAsia" w:ascii="宋体" w:hAnsi="宋体"/>
                <w:color w:val="auto"/>
                <w:szCs w:val="21"/>
              </w:rPr>
              <w:t>联系方式</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14:paraId="197B1AE3">
            <w:pPr>
              <w:adjustRightInd w:val="0"/>
              <w:spacing w:line="288" w:lineRule="auto"/>
              <w:rPr>
                <w:rFonts w:ascii="宋体" w:hAnsi="宋体"/>
                <w:color w:val="auto"/>
                <w:szCs w:val="21"/>
              </w:rPr>
            </w:pPr>
            <w:r>
              <w:rPr>
                <w:rFonts w:hint="eastAsia" w:ascii="宋体" w:hAnsi="宋体"/>
                <w:color w:val="auto"/>
                <w:szCs w:val="21"/>
              </w:rPr>
              <w:t xml:space="preserve">招标人：江苏长江水务股份有限公司 </w:t>
            </w:r>
          </w:p>
          <w:p w14:paraId="6AD51531">
            <w:pPr>
              <w:adjustRightInd w:val="0"/>
              <w:spacing w:line="288" w:lineRule="auto"/>
              <w:rPr>
                <w:rFonts w:ascii="宋体" w:hAnsi="宋体"/>
                <w:color w:val="auto"/>
                <w:szCs w:val="21"/>
              </w:rPr>
            </w:pPr>
            <w:r>
              <w:rPr>
                <w:rFonts w:hint="eastAsia" w:ascii="宋体" w:hAnsi="宋体"/>
                <w:color w:val="auto"/>
                <w:szCs w:val="21"/>
              </w:rPr>
              <w:t xml:space="preserve"> 地  址：扬州市文汇东路249号</w:t>
            </w:r>
          </w:p>
          <w:p w14:paraId="73E56D41">
            <w:pPr>
              <w:adjustRightInd w:val="0"/>
              <w:spacing w:line="288" w:lineRule="auto"/>
              <w:rPr>
                <w:rFonts w:ascii="宋体" w:hAnsi="宋体"/>
                <w:color w:val="auto"/>
                <w:szCs w:val="21"/>
              </w:rPr>
            </w:pPr>
            <w:r>
              <w:rPr>
                <w:rFonts w:hint="eastAsia" w:ascii="宋体" w:hAnsi="宋体"/>
                <w:color w:val="auto"/>
                <w:szCs w:val="21"/>
              </w:rPr>
              <w:t xml:space="preserve">电  话：0514-82980012  </w:t>
            </w:r>
          </w:p>
          <w:p w14:paraId="798FF296">
            <w:pPr>
              <w:adjustRightInd w:val="0"/>
              <w:spacing w:line="288" w:lineRule="auto"/>
              <w:rPr>
                <w:rFonts w:ascii="宋体" w:hAnsi="宋体"/>
                <w:color w:val="auto"/>
                <w:szCs w:val="21"/>
              </w:rPr>
            </w:pPr>
            <w:r>
              <w:rPr>
                <w:rFonts w:hint="eastAsia" w:ascii="宋体" w:hAnsi="宋体"/>
                <w:color w:val="auto"/>
                <w:szCs w:val="21"/>
              </w:rPr>
              <w:t xml:space="preserve"> 联系人：杨继业</w:t>
            </w:r>
          </w:p>
        </w:tc>
      </w:tr>
    </w:tbl>
    <w:p w14:paraId="4C9647A1">
      <w:pPr>
        <w:autoSpaceDE w:val="0"/>
        <w:autoSpaceDN w:val="0"/>
        <w:adjustRightInd w:val="0"/>
        <w:snapToGrid w:val="0"/>
        <w:spacing w:line="480" w:lineRule="exact"/>
        <w:ind w:firstLine="527" w:firstLineChars="250"/>
        <w:rPr>
          <w:rFonts w:ascii="宋体" w:hAnsi="宋体"/>
          <w:b/>
          <w:color w:val="000000"/>
          <w:szCs w:val="21"/>
        </w:rPr>
      </w:pPr>
      <w:r>
        <w:rPr>
          <w:rFonts w:hint="eastAsia" w:ascii="宋体" w:hAnsi="宋体"/>
          <w:b/>
          <w:color w:val="000000"/>
          <w:szCs w:val="21"/>
        </w:rPr>
        <w:t>一、总    则</w:t>
      </w:r>
    </w:p>
    <w:p w14:paraId="20E61E7F">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1、招标项目概况</w:t>
      </w:r>
    </w:p>
    <w:p w14:paraId="139389C7">
      <w:pPr>
        <w:autoSpaceDE w:val="0"/>
        <w:autoSpaceDN w:val="0"/>
        <w:adjustRightInd w:val="0"/>
        <w:snapToGrid w:val="0"/>
        <w:spacing w:line="480" w:lineRule="exact"/>
        <w:ind w:left="105" w:leftChars="50" w:firstLine="455" w:firstLineChars="217"/>
        <w:rPr>
          <w:rFonts w:ascii="宋体" w:hAnsi="宋体"/>
          <w:b/>
          <w:bCs/>
          <w:color w:val="000000"/>
          <w:szCs w:val="21"/>
        </w:rPr>
      </w:pPr>
      <w:r>
        <w:rPr>
          <w:rFonts w:hint="eastAsia" w:ascii="宋体" w:hAnsi="宋体"/>
          <w:color w:val="000000"/>
          <w:szCs w:val="21"/>
        </w:rPr>
        <w:t>1.1因我公司水质化验需要，需采购</w:t>
      </w:r>
      <w:r>
        <w:rPr>
          <w:rFonts w:hint="eastAsia" w:ascii="宋体" w:hAnsi="宋体" w:cs="宋体"/>
          <w:bCs/>
          <w:color w:val="000000"/>
          <w:spacing w:val="-2"/>
          <w:szCs w:val="21"/>
        </w:rPr>
        <w:t>气相色谱仪</w:t>
      </w:r>
      <w:r>
        <w:rPr>
          <w:rFonts w:hint="eastAsia" w:ascii="宋体" w:hAnsi="宋体"/>
          <w:color w:val="000000"/>
          <w:szCs w:val="21"/>
        </w:rPr>
        <w:t>。本招标项目已具备招标条件，现对本项目进行公开招标。</w:t>
      </w:r>
    </w:p>
    <w:p w14:paraId="22D945D4">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2、投标费用</w:t>
      </w:r>
    </w:p>
    <w:p w14:paraId="48C75ECC">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2.1投标人应承担其编制投标文件与递交投标文件所涉及的一切费用。不管投标结果如何，招标人对上述费用不负任何责任。</w:t>
      </w:r>
    </w:p>
    <w:p w14:paraId="4FB9ADD1">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3、保密</w:t>
      </w:r>
    </w:p>
    <w:p w14:paraId="2876CE9D">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参与招标投标活动的各方应对招标文件和投标文件中的商业和技术等秘密保密，违者应对由此造成的后果承担法律责任。</w:t>
      </w:r>
    </w:p>
    <w:p w14:paraId="6B23405F">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4、合格的投标人</w:t>
      </w:r>
    </w:p>
    <w:p w14:paraId="302C10A3">
      <w:pPr>
        <w:spacing w:line="360" w:lineRule="auto"/>
        <w:ind w:firstLine="525" w:firstLineChars="250"/>
        <w:rPr>
          <w:rFonts w:ascii="宋体" w:hAnsi="宋体"/>
          <w:color w:val="000000"/>
          <w:szCs w:val="21"/>
        </w:rPr>
      </w:pPr>
      <w:r>
        <w:rPr>
          <w:rFonts w:hint="eastAsia" w:ascii="宋体" w:hAnsi="宋体"/>
          <w:color w:val="000000"/>
          <w:szCs w:val="21"/>
        </w:rPr>
        <w:t>4.1投标人必须是中华人民共和国境内注册的企业法人，应遵守中国有关的法律、法规，严格执行国家标准。</w:t>
      </w:r>
    </w:p>
    <w:p w14:paraId="6189DC97">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4.2代理人具有针对本次投标的投标人法人授权委托书原件。</w:t>
      </w:r>
    </w:p>
    <w:p w14:paraId="0F454A53">
      <w:pPr>
        <w:autoSpaceDE w:val="0"/>
        <w:autoSpaceDN w:val="0"/>
        <w:adjustRightInd w:val="0"/>
        <w:snapToGrid w:val="0"/>
        <w:spacing w:line="480" w:lineRule="exact"/>
        <w:ind w:firstLine="561"/>
        <w:rPr>
          <w:rFonts w:ascii="宋体" w:hAnsi="宋体"/>
          <w:b/>
          <w:color w:val="000000"/>
          <w:szCs w:val="21"/>
        </w:rPr>
      </w:pPr>
    </w:p>
    <w:p w14:paraId="77A802E7">
      <w:pPr>
        <w:autoSpaceDE w:val="0"/>
        <w:autoSpaceDN w:val="0"/>
        <w:adjustRightInd w:val="0"/>
        <w:snapToGrid w:val="0"/>
        <w:spacing w:line="360" w:lineRule="auto"/>
        <w:ind w:firstLine="422" w:firstLineChars="200"/>
        <w:rPr>
          <w:rFonts w:ascii="宋体" w:hAnsi="宋体"/>
          <w:b/>
          <w:color w:val="000000"/>
          <w:szCs w:val="21"/>
        </w:rPr>
      </w:pPr>
      <w:r>
        <w:rPr>
          <w:rFonts w:hint="eastAsia" w:ascii="宋体" w:hAnsi="宋体"/>
          <w:b/>
          <w:color w:val="000000"/>
          <w:szCs w:val="21"/>
        </w:rPr>
        <w:t>二、招标货物清单及技术规格要求</w:t>
      </w:r>
    </w:p>
    <w:p w14:paraId="685B5054">
      <w:pPr>
        <w:pStyle w:val="2"/>
        <w:spacing w:line="360" w:lineRule="auto"/>
        <w:rPr>
          <w:rFonts w:ascii="宋体" w:hAnsi="宋体" w:eastAsia="宋体" w:cs="宋体"/>
          <w:b/>
          <w:bCs/>
          <w:color w:val="000000"/>
          <w:sz w:val="21"/>
          <w:szCs w:val="21"/>
        </w:rPr>
      </w:pPr>
      <w:r>
        <w:rPr>
          <w:rFonts w:hint="eastAsia" w:ascii="宋体" w:hAnsi="宋体" w:eastAsia="宋体" w:cs="宋体"/>
          <w:b/>
          <w:bCs/>
          <w:color w:val="000000"/>
          <w:sz w:val="21"/>
          <w:szCs w:val="21"/>
        </w:rPr>
        <w:t>（一）招标货物清单</w:t>
      </w:r>
    </w:p>
    <w:p w14:paraId="473FAFF0">
      <w:pPr>
        <w:pStyle w:val="2"/>
        <w:spacing w:line="360" w:lineRule="auto"/>
        <w:ind w:firstLine="632" w:firstLineChars="300"/>
        <w:rPr>
          <w:rFonts w:ascii="宋体" w:hAnsi="宋体" w:eastAsia="宋体" w:cs="宋体"/>
          <w:bCs/>
          <w:color w:val="000000"/>
          <w:spacing w:val="-2"/>
          <w:sz w:val="21"/>
          <w:szCs w:val="21"/>
        </w:rPr>
      </w:pPr>
      <w:r>
        <w:rPr>
          <w:rFonts w:hint="eastAsia" w:ascii="宋体" w:hAnsi="宋体" w:eastAsia="宋体" w:cs="宋体"/>
          <w:b/>
          <w:color w:val="000000"/>
          <w:sz w:val="21"/>
          <w:szCs w:val="21"/>
        </w:rPr>
        <w:t>1、招标货物名称：</w:t>
      </w:r>
      <w:r>
        <w:rPr>
          <w:rFonts w:hint="eastAsia" w:ascii="宋体" w:hAnsi="宋体" w:eastAsia="宋体" w:cs="宋体"/>
          <w:bCs/>
          <w:color w:val="000000"/>
          <w:spacing w:val="-2"/>
          <w:sz w:val="21"/>
          <w:szCs w:val="21"/>
        </w:rPr>
        <w:t>气相色谱仪</w:t>
      </w:r>
    </w:p>
    <w:p w14:paraId="3E195A0B">
      <w:pPr>
        <w:pStyle w:val="9"/>
        <w:spacing w:line="360" w:lineRule="auto"/>
        <w:ind w:left="420" w:leftChars="200" w:firstLine="211" w:firstLineChars="100"/>
        <w:rPr>
          <w:rFonts w:ascii="宋体" w:hAnsi="宋体" w:cs="宋体"/>
          <w:color w:val="000000"/>
          <w:szCs w:val="21"/>
        </w:rPr>
      </w:pPr>
      <w:r>
        <w:rPr>
          <w:rFonts w:hint="eastAsia" w:ascii="宋体" w:hAnsi="宋体" w:cs="宋体"/>
          <w:b/>
          <w:color w:val="000000"/>
          <w:szCs w:val="21"/>
        </w:rPr>
        <w:t>2、订货量</w:t>
      </w:r>
      <w:r>
        <w:rPr>
          <w:rFonts w:hint="eastAsia" w:ascii="宋体" w:hAnsi="宋体" w:cs="宋体"/>
          <w:color w:val="000000"/>
          <w:szCs w:val="21"/>
        </w:rPr>
        <w:t>：1台</w:t>
      </w:r>
    </w:p>
    <w:p w14:paraId="088F81A1">
      <w:pPr>
        <w:pStyle w:val="9"/>
        <w:spacing w:line="360" w:lineRule="auto"/>
        <w:ind w:left="420" w:leftChars="200" w:firstLine="211" w:firstLineChars="100"/>
        <w:rPr>
          <w:rFonts w:ascii="宋体" w:hAnsi="宋体" w:cs="宋体"/>
          <w:color w:val="000000"/>
          <w:szCs w:val="21"/>
        </w:rPr>
      </w:pPr>
      <w:r>
        <w:rPr>
          <w:rFonts w:hint="eastAsia" w:ascii="宋体" w:hAnsi="宋体" w:cs="宋体"/>
          <w:b/>
          <w:color w:val="000000"/>
          <w:szCs w:val="21"/>
        </w:rPr>
        <w:t>3、最高投标限价：48</w:t>
      </w:r>
      <w:r>
        <w:rPr>
          <w:rFonts w:hint="eastAsia" w:ascii="宋体" w:hAnsi="宋体" w:cs="宋体"/>
          <w:color w:val="000000"/>
          <w:szCs w:val="21"/>
        </w:rPr>
        <w:t>万元，投标报价超过者按否决投标处理。</w:t>
      </w:r>
    </w:p>
    <w:p w14:paraId="5A3ED642">
      <w:pPr>
        <w:pStyle w:val="9"/>
        <w:spacing w:line="360" w:lineRule="auto"/>
        <w:ind w:left="420" w:leftChars="200" w:firstLine="211" w:firstLineChars="100"/>
        <w:rPr>
          <w:rFonts w:ascii="宋体" w:hAnsi="宋体" w:cs="宋体"/>
          <w:color w:val="000000"/>
          <w:szCs w:val="21"/>
        </w:rPr>
      </w:pPr>
      <w:r>
        <w:rPr>
          <w:rFonts w:hint="eastAsia" w:ascii="宋体" w:hAnsi="宋体" w:cs="宋体"/>
          <w:b/>
          <w:color w:val="000000"/>
          <w:szCs w:val="21"/>
        </w:rPr>
        <w:t>4、交货地点：</w:t>
      </w:r>
      <w:r>
        <w:rPr>
          <w:rFonts w:hint="eastAsia" w:ascii="宋体" w:hAnsi="宋体" w:cs="宋体"/>
          <w:bCs/>
          <w:color w:val="000000"/>
          <w:szCs w:val="21"/>
        </w:rPr>
        <w:t>用户指定地点</w:t>
      </w:r>
    </w:p>
    <w:p w14:paraId="2B4A843C">
      <w:pPr>
        <w:pStyle w:val="2"/>
        <w:spacing w:line="360" w:lineRule="auto"/>
        <w:ind w:firstLine="632" w:firstLineChars="300"/>
        <w:rPr>
          <w:rFonts w:ascii="宋体" w:hAnsi="宋体" w:eastAsia="宋体" w:cs="宋体"/>
          <w:color w:val="000000"/>
          <w:sz w:val="21"/>
          <w:szCs w:val="21"/>
        </w:rPr>
      </w:pPr>
      <w:r>
        <w:rPr>
          <w:rFonts w:hint="eastAsia" w:ascii="宋体" w:hAnsi="宋体" w:eastAsia="宋体" w:cs="宋体"/>
          <w:b/>
          <w:color w:val="000000"/>
          <w:sz w:val="21"/>
          <w:szCs w:val="21"/>
        </w:rPr>
        <w:t xml:space="preserve">5、交货期: </w:t>
      </w:r>
      <w:r>
        <w:rPr>
          <w:rFonts w:hint="eastAsia" w:ascii="宋体" w:hAnsi="宋体" w:eastAsia="宋体" w:cs="宋体"/>
          <w:bCs/>
          <w:color w:val="000000"/>
          <w:sz w:val="21"/>
          <w:szCs w:val="21"/>
        </w:rPr>
        <w:t>合同签订后</w:t>
      </w:r>
      <w:r>
        <w:rPr>
          <w:rFonts w:hint="eastAsia" w:ascii="宋体" w:hAnsi="宋体" w:eastAsia="宋体" w:cs="宋体"/>
          <w:color w:val="000000"/>
          <w:sz w:val="21"/>
          <w:szCs w:val="21"/>
        </w:rPr>
        <w:t>1个月内交货，具体时间由合同确定</w:t>
      </w:r>
    </w:p>
    <w:p w14:paraId="7CEE061F">
      <w:pPr>
        <w:ind w:firstLine="632" w:firstLineChars="300"/>
        <w:rPr>
          <w:rFonts w:ascii="宋体" w:hAnsi="宋体" w:cs="宋体"/>
          <w:b/>
          <w:color w:val="000000"/>
          <w:szCs w:val="21"/>
        </w:rPr>
      </w:pPr>
      <w:r>
        <w:rPr>
          <w:rFonts w:hint="eastAsia" w:ascii="宋体" w:hAnsi="宋体" w:cs="宋体"/>
          <w:b/>
          <w:color w:val="000000"/>
          <w:szCs w:val="21"/>
        </w:rPr>
        <w:t>6、包安装调试</w:t>
      </w:r>
    </w:p>
    <w:p w14:paraId="4452A9EA">
      <w:pPr>
        <w:pStyle w:val="2"/>
        <w:spacing w:line="360" w:lineRule="auto"/>
        <w:ind w:firstLine="422" w:firstLineChars="200"/>
        <w:rPr>
          <w:rFonts w:ascii="宋体" w:hAnsi="宋体" w:eastAsia="宋体" w:cs="宋体"/>
          <w:b/>
          <w:bCs/>
          <w:color w:val="000000"/>
          <w:sz w:val="21"/>
          <w:szCs w:val="21"/>
        </w:rPr>
      </w:pPr>
      <w:r>
        <w:rPr>
          <w:rFonts w:hint="eastAsia" w:ascii="宋体" w:hAnsi="宋体" w:eastAsia="宋体" w:cs="宋体"/>
          <w:b/>
          <w:bCs/>
          <w:color w:val="000000"/>
          <w:sz w:val="21"/>
          <w:szCs w:val="21"/>
        </w:rPr>
        <w:t>（二）技术规格要求</w:t>
      </w:r>
    </w:p>
    <w:p w14:paraId="16EDD8DD">
      <w:pPr>
        <w:spacing w:line="360" w:lineRule="auto"/>
        <w:ind w:left="420" w:leftChars="200"/>
        <w:rPr>
          <w:rFonts w:ascii="宋体" w:hAnsi="宋体" w:cs="宋体"/>
          <w:szCs w:val="21"/>
        </w:rPr>
      </w:pPr>
      <w:r>
        <w:rPr>
          <w:rFonts w:hint="eastAsia" w:ascii="宋体" w:hAnsi="宋体" w:cs="宋体"/>
          <w:szCs w:val="21"/>
        </w:rPr>
        <w:t>1、主机</w:t>
      </w:r>
    </w:p>
    <w:p w14:paraId="2609B067">
      <w:pPr>
        <w:spacing w:line="360" w:lineRule="auto"/>
        <w:ind w:left="420" w:leftChars="200"/>
        <w:rPr>
          <w:rFonts w:ascii="宋体" w:hAnsi="宋体" w:cs="宋体"/>
        </w:rPr>
      </w:pPr>
      <w:r>
        <w:rPr>
          <w:rFonts w:hint="eastAsia" w:ascii="宋体" w:hAnsi="宋体" w:cs="宋体"/>
        </w:rPr>
        <w:t>1.1智能化用户界面</w:t>
      </w:r>
    </w:p>
    <w:p w14:paraId="5D18E8ED">
      <w:pPr>
        <w:spacing w:line="360" w:lineRule="auto"/>
        <w:ind w:left="420" w:leftChars="200"/>
        <w:rPr>
          <w:rFonts w:ascii="宋体" w:hAnsi="宋体" w:cs="宋体"/>
        </w:rPr>
      </w:pPr>
      <w:r>
        <w:rPr>
          <w:rFonts w:hint="eastAsia" w:ascii="宋体" w:hAnsi="宋体" w:cs="宋体"/>
        </w:rPr>
        <w:t>1.1.1浏览器用户界面提供可监测气相色谱系统、查看系统日志以及在实验室内部和外部执行诊断测试的远程连接功能。</w:t>
      </w:r>
    </w:p>
    <w:p w14:paraId="54B8E4EC">
      <w:pPr>
        <w:spacing w:line="360" w:lineRule="auto"/>
        <w:ind w:left="420" w:leftChars="200"/>
        <w:rPr>
          <w:rFonts w:ascii="宋体" w:hAnsi="宋体" w:cs="宋体"/>
        </w:rPr>
      </w:pPr>
      <w:r>
        <w:rPr>
          <w:rFonts w:hint="eastAsia" w:ascii="宋体" w:hAnsi="宋体" w:cs="宋体"/>
          <w:b/>
          <w:szCs w:val="21"/>
        </w:rPr>
        <w:t>★</w:t>
      </w:r>
      <w:r>
        <w:rPr>
          <w:rFonts w:ascii="宋体" w:hAnsi="宋体" w:cs="宋体"/>
        </w:rPr>
        <w:t>1</w:t>
      </w:r>
      <w:r>
        <w:rPr>
          <w:rFonts w:hint="eastAsia" w:ascii="宋体" w:hAnsi="宋体" w:cs="宋体"/>
        </w:rPr>
        <w:t>.1.</w:t>
      </w:r>
      <w:r>
        <w:rPr>
          <w:rFonts w:ascii="宋体" w:hAnsi="宋体" w:cs="宋体"/>
        </w:rPr>
        <w:t>2</w:t>
      </w:r>
      <w:r>
        <w:rPr>
          <w:rFonts w:hint="eastAsia" w:ascii="宋体" w:hAnsi="宋体" w:cs="宋体"/>
        </w:rPr>
        <w:t>早期维护反馈（EMF）：不少于45个计数器，以用于跟踪各种进样口、检测器和自动进样器参数以及消耗品的使用情况，提供证明材料。</w:t>
      </w:r>
    </w:p>
    <w:p w14:paraId="514F05BD">
      <w:pPr>
        <w:spacing w:line="360" w:lineRule="auto"/>
        <w:ind w:left="420" w:leftChars="200"/>
        <w:rPr>
          <w:rFonts w:ascii="宋体" w:hAnsi="宋体" w:cs="宋体"/>
        </w:rPr>
      </w:pPr>
      <w:r>
        <w:rPr>
          <w:rFonts w:hint="eastAsia" w:ascii="宋体" w:hAnsi="宋体" w:cs="宋体"/>
          <w:b/>
          <w:szCs w:val="21"/>
        </w:rPr>
        <w:t>★</w:t>
      </w:r>
      <w:r>
        <w:rPr>
          <w:rFonts w:ascii="宋体" w:hAnsi="宋体" w:cs="宋体"/>
        </w:rPr>
        <w:t>1</w:t>
      </w:r>
      <w:r>
        <w:rPr>
          <w:rFonts w:hint="eastAsia" w:ascii="宋体" w:hAnsi="宋体" w:cs="宋体"/>
        </w:rPr>
        <w:t>.1.</w:t>
      </w:r>
      <w:r>
        <w:rPr>
          <w:rFonts w:ascii="宋体" w:hAnsi="宋体" w:cs="宋体"/>
        </w:rPr>
        <w:t>3</w:t>
      </w:r>
      <w:r>
        <w:rPr>
          <w:rFonts w:hint="eastAsia" w:ascii="宋体" w:hAnsi="宋体" w:cs="宋体"/>
        </w:rPr>
        <w:t>具有不低于3个色谱柱智能钥匙接口，可记录色谱柱使用情况，反馈色谱柱使用信息，满足数据完整性需求，提供实物证明材料。</w:t>
      </w:r>
    </w:p>
    <w:p w14:paraId="68D8015F">
      <w:pPr>
        <w:spacing w:line="360" w:lineRule="auto"/>
        <w:ind w:left="420" w:leftChars="200"/>
        <w:rPr>
          <w:rFonts w:ascii="宋体" w:hAnsi="宋体" w:cs="宋体"/>
        </w:rPr>
      </w:pPr>
      <w:r>
        <w:rPr>
          <w:rFonts w:hint="eastAsia" w:ascii="宋体" w:hAnsi="宋体" w:cs="宋体"/>
        </w:rPr>
        <w:t>1.2柱箱</w:t>
      </w:r>
    </w:p>
    <w:p w14:paraId="4B1E1620">
      <w:pPr>
        <w:spacing w:line="360" w:lineRule="auto"/>
        <w:ind w:left="420" w:leftChars="200"/>
        <w:rPr>
          <w:rFonts w:ascii="宋体" w:hAnsi="宋体" w:cs="宋体"/>
        </w:rPr>
      </w:pPr>
      <w:r>
        <w:rPr>
          <w:rFonts w:hint="eastAsia" w:ascii="宋体" w:hAnsi="宋体" w:cs="宋体"/>
        </w:rPr>
        <w:t>1.2.1温度范围:室温以上4℃~450℃；</w:t>
      </w:r>
    </w:p>
    <w:p w14:paraId="1A0D3594">
      <w:pPr>
        <w:spacing w:line="360" w:lineRule="auto"/>
        <w:ind w:left="420" w:leftChars="200"/>
        <w:rPr>
          <w:rFonts w:ascii="宋体" w:hAnsi="宋体" w:cs="宋体"/>
        </w:rPr>
      </w:pPr>
      <w:r>
        <w:rPr>
          <w:rFonts w:hint="eastAsia" w:ascii="宋体" w:hAnsi="宋体" w:cs="宋体"/>
        </w:rPr>
        <w:t>1.2.2温度设定精度:0.1℃；</w:t>
      </w:r>
    </w:p>
    <w:p w14:paraId="2DE83AC7">
      <w:pPr>
        <w:spacing w:line="360" w:lineRule="auto"/>
        <w:ind w:left="420" w:leftChars="200"/>
        <w:rPr>
          <w:rFonts w:ascii="宋体" w:hAnsi="宋体" w:cs="宋体"/>
        </w:rPr>
      </w:pPr>
      <w:r>
        <w:rPr>
          <w:rFonts w:hint="eastAsia" w:ascii="宋体" w:hAnsi="宋体" w:cs="宋体"/>
        </w:rPr>
        <w:t>1.2.3升温速度:≥110℃/分钟；</w:t>
      </w:r>
    </w:p>
    <w:p w14:paraId="44CC15CD">
      <w:pPr>
        <w:spacing w:line="360" w:lineRule="auto"/>
        <w:ind w:left="420" w:leftChars="200"/>
        <w:rPr>
          <w:rFonts w:ascii="宋体" w:hAnsi="宋体" w:cs="宋体"/>
        </w:rPr>
      </w:pPr>
      <w:r>
        <w:rPr>
          <w:rFonts w:hint="eastAsia" w:ascii="宋体" w:hAnsi="宋体" w:cs="宋体"/>
        </w:rPr>
        <w:t>1.2.4温度稳定性；当环境温度变化1℃时，优于0.01℃；</w:t>
      </w:r>
    </w:p>
    <w:p w14:paraId="11498E0D">
      <w:pPr>
        <w:spacing w:line="360" w:lineRule="auto"/>
        <w:ind w:left="420" w:leftChars="200"/>
        <w:rPr>
          <w:rFonts w:ascii="宋体" w:hAnsi="宋体" w:cs="宋体"/>
        </w:rPr>
      </w:pPr>
      <w:r>
        <w:rPr>
          <w:rFonts w:hint="eastAsia" w:ascii="宋体" w:hAnsi="宋体" w:cs="宋体"/>
        </w:rPr>
        <w:t>1.2.5程序升温:19阶20平台，可梯度降温；</w:t>
      </w:r>
    </w:p>
    <w:p w14:paraId="40159498">
      <w:pPr>
        <w:spacing w:line="360" w:lineRule="auto"/>
        <w:ind w:left="420" w:leftChars="200"/>
        <w:rPr>
          <w:rFonts w:ascii="宋体" w:hAnsi="宋体" w:cs="宋体"/>
        </w:rPr>
      </w:pPr>
      <w:r>
        <w:rPr>
          <w:rFonts w:hint="eastAsia" w:ascii="宋体" w:hAnsi="宋体" w:cs="宋体"/>
        </w:rPr>
        <w:t>1.2.6最大运行时间:999.99分钟；</w:t>
      </w:r>
    </w:p>
    <w:p w14:paraId="48F0E0F2">
      <w:pPr>
        <w:spacing w:line="360" w:lineRule="auto"/>
        <w:ind w:left="420" w:leftChars="200"/>
        <w:rPr>
          <w:rFonts w:ascii="宋体" w:hAnsi="宋体" w:cs="宋体"/>
        </w:rPr>
      </w:pPr>
      <w:r>
        <w:rPr>
          <w:rFonts w:hint="eastAsia" w:ascii="宋体" w:hAnsi="宋体" w:cs="宋体"/>
        </w:rPr>
        <w:t>1.2.7降温速率:从450℃降至50℃&lt;240秒(22℃室温下)；</w:t>
      </w:r>
    </w:p>
    <w:p w14:paraId="377A34BB">
      <w:pPr>
        <w:spacing w:line="360" w:lineRule="auto"/>
        <w:ind w:left="420" w:leftChars="200"/>
        <w:rPr>
          <w:rFonts w:ascii="宋体" w:hAnsi="宋体" w:cs="宋体"/>
        </w:rPr>
      </w:pPr>
      <w:r>
        <w:rPr>
          <w:rFonts w:hint="eastAsia" w:ascii="宋体" w:hAnsi="宋体" w:cs="宋体"/>
        </w:rPr>
        <w:t>1.2.8保留时间重现性: &lt;0.008% 或&lt;0.0008min；</w:t>
      </w:r>
    </w:p>
    <w:p w14:paraId="69F2B09F">
      <w:pPr>
        <w:spacing w:line="360" w:lineRule="auto"/>
        <w:ind w:left="420" w:leftChars="200"/>
        <w:rPr>
          <w:rFonts w:ascii="宋体" w:hAnsi="宋体" w:cs="宋体"/>
        </w:rPr>
      </w:pPr>
      <w:r>
        <w:rPr>
          <w:rFonts w:hint="eastAsia" w:ascii="宋体" w:hAnsi="宋体" w:cs="宋体"/>
        </w:rPr>
        <w:t>1.2.9峰面积重现性: &lt;0.5% RSD；</w:t>
      </w:r>
    </w:p>
    <w:p w14:paraId="2881E83B">
      <w:pPr>
        <w:spacing w:line="360" w:lineRule="auto"/>
        <w:ind w:left="420" w:leftChars="200"/>
        <w:rPr>
          <w:rFonts w:ascii="宋体" w:hAnsi="宋体" w:cs="宋体"/>
        </w:rPr>
      </w:pPr>
      <w:r>
        <w:rPr>
          <w:rFonts w:hint="eastAsia" w:ascii="宋体" w:hAnsi="宋体" w:cs="宋体"/>
        </w:rPr>
        <w:t>1.2.10 可以扩展微板流控，具有中心切割、反吹、分流、全二维气相等技术特点。</w:t>
      </w:r>
    </w:p>
    <w:p w14:paraId="099F990C">
      <w:pPr>
        <w:spacing w:line="360" w:lineRule="auto"/>
        <w:ind w:left="420" w:leftChars="200"/>
        <w:rPr>
          <w:rFonts w:ascii="宋体" w:hAnsi="宋体" w:cs="宋体"/>
        </w:rPr>
      </w:pPr>
      <w:r>
        <w:rPr>
          <w:rFonts w:hint="eastAsia" w:ascii="宋体" w:hAnsi="宋体" w:cs="宋体"/>
        </w:rPr>
        <w:t>1.3分流/不分流毛细管柱进样口(带电子气路控制)</w:t>
      </w:r>
    </w:p>
    <w:p w14:paraId="4BB79C2A">
      <w:pPr>
        <w:spacing w:line="360" w:lineRule="auto"/>
        <w:ind w:left="420" w:leftChars="200"/>
        <w:rPr>
          <w:rFonts w:ascii="宋体" w:hAnsi="宋体" w:cs="宋体"/>
        </w:rPr>
      </w:pPr>
      <w:r>
        <w:rPr>
          <w:rFonts w:hint="eastAsia" w:ascii="宋体" w:hAnsi="宋体" w:cs="宋体"/>
        </w:rPr>
        <w:t>1.3.1最高使用温度：400°C</w:t>
      </w:r>
    </w:p>
    <w:p w14:paraId="70841C2B">
      <w:pPr>
        <w:spacing w:line="360" w:lineRule="auto"/>
        <w:ind w:left="420" w:leftChars="200"/>
        <w:rPr>
          <w:rFonts w:ascii="宋体" w:hAnsi="宋体" w:cs="宋体"/>
        </w:rPr>
      </w:pPr>
      <w:r>
        <w:rPr>
          <w:rFonts w:hint="eastAsia" w:ascii="宋体" w:hAnsi="宋体" w:cs="宋体"/>
        </w:rPr>
        <w:t>1.3.2压力设定范围：0-100 psi,控制精度0.001psi；</w:t>
      </w:r>
    </w:p>
    <w:p w14:paraId="5C6D3CA5">
      <w:pPr>
        <w:spacing w:line="360" w:lineRule="auto"/>
        <w:ind w:left="420" w:leftChars="200"/>
        <w:rPr>
          <w:rFonts w:ascii="宋体" w:hAnsi="宋体" w:cs="宋体"/>
        </w:rPr>
      </w:pPr>
      <w:r>
        <w:rPr>
          <w:rFonts w:hint="eastAsia" w:ascii="宋体" w:hAnsi="宋体" w:cs="宋体"/>
        </w:rPr>
        <w:t>1.3.3总流量设定范围：N2: 从0 到200 mL/min，H2: 或He：从0 到1250 mL/min</w:t>
      </w:r>
    </w:p>
    <w:p w14:paraId="597F48FC">
      <w:pPr>
        <w:spacing w:line="360" w:lineRule="auto"/>
        <w:ind w:left="420" w:leftChars="200"/>
        <w:rPr>
          <w:rFonts w:ascii="宋体" w:hAnsi="宋体" w:cs="宋体"/>
        </w:rPr>
      </w:pPr>
      <w:r>
        <w:rPr>
          <w:rFonts w:hint="eastAsia" w:ascii="宋体" w:hAnsi="宋体" w:cs="宋体"/>
          <w:b/>
          <w:szCs w:val="21"/>
        </w:rPr>
        <w:t>★</w:t>
      </w:r>
      <w:r>
        <w:rPr>
          <w:rFonts w:hint="eastAsia" w:ascii="宋体" w:hAnsi="宋体" w:cs="宋体"/>
        </w:rPr>
        <w:t>1.3.4分流比大于1</w:t>
      </w:r>
      <w:r>
        <w:rPr>
          <w:rFonts w:ascii="宋体" w:hAnsi="宋体" w:cs="宋体"/>
        </w:rPr>
        <w:t>2000</w:t>
      </w:r>
      <w:r>
        <w:rPr>
          <w:rFonts w:hint="eastAsia" w:ascii="宋体" w:hAnsi="宋体" w:cs="宋体"/>
        </w:rPr>
        <w:t xml:space="preserve">:1 </w:t>
      </w:r>
    </w:p>
    <w:p w14:paraId="677A2C1B">
      <w:pPr>
        <w:spacing w:line="360" w:lineRule="auto"/>
        <w:ind w:left="420" w:leftChars="200"/>
        <w:rPr>
          <w:rFonts w:ascii="宋体" w:hAnsi="宋体" w:cs="宋体"/>
        </w:rPr>
      </w:pPr>
      <w:r>
        <w:rPr>
          <w:rFonts w:hint="eastAsia" w:ascii="宋体" w:hAnsi="宋体" w:cs="宋体"/>
        </w:rPr>
        <w:t>1.3.5载气节省模式可以减少气体消耗而不影响仪器的性能</w:t>
      </w:r>
    </w:p>
    <w:p w14:paraId="7FCB476F">
      <w:pPr>
        <w:spacing w:line="360" w:lineRule="auto"/>
        <w:ind w:left="420" w:leftChars="200"/>
        <w:rPr>
          <w:rFonts w:ascii="宋体" w:hAnsi="宋体" w:cs="宋体"/>
        </w:rPr>
      </w:pPr>
      <w:r>
        <w:rPr>
          <w:rFonts w:hint="eastAsia" w:ascii="宋体" w:hAnsi="宋体" w:cs="宋体"/>
        </w:rPr>
        <w:t>1.3.6 进样口配有扳转式顶部密封系统，无需额外工具辅助，就可以快速、简便地更换进样口衬管。（提供仪器实物图片证明，如果不满足作为负偏离）</w:t>
      </w:r>
    </w:p>
    <w:p w14:paraId="5494F1AB">
      <w:pPr>
        <w:spacing w:line="360" w:lineRule="auto"/>
        <w:ind w:left="420" w:leftChars="200"/>
        <w:rPr>
          <w:rFonts w:ascii="宋体" w:hAnsi="宋体" w:cs="宋体"/>
        </w:rPr>
      </w:pPr>
      <w:r>
        <w:rPr>
          <w:rFonts w:hint="eastAsia" w:ascii="宋体" w:hAnsi="宋体" w:cs="宋体"/>
        </w:rPr>
        <w:t>1.4电子压力控制</w:t>
      </w:r>
    </w:p>
    <w:p w14:paraId="2CE36C5D">
      <w:pPr>
        <w:spacing w:line="360" w:lineRule="auto"/>
        <w:ind w:left="420" w:leftChars="200"/>
        <w:rPr>
          <w:rFonts w:ascii="宋体" w:hAnsi="宋体" w:cs="宋体"/>
        </w:rPr>
      </w:pPr>
      <w:r>
        <w:rPr>
          <w:rFonts w:hint="eastAsia" w:ascii="宋体" w:hAnsi="宋体" w:cs="宋体"/>
        </w:rPr>
        <w:t>1.4.1具有自动海拔高度压力及室温补偿；</w:t>
      </w:r>
    </w:p>
    <w:p w14:paraId="10128B25">
      <w:pPr>
        <w:spacing w:line="360" w:lineRule="auto"/>
        <w:ind w:left="420" w:leftChars="200"/>
        <w:rPr>
          <w:rFonts w:ascii="宋体" w:hAnsi="宋体" w:cs="宋体"/>
        </w:rPr>
      </w:pPr>
      <w:r>
        <w:rPr>
          <w:rFonts w:hint="eastAsia" w:ascii="宋体" w:hAnsi="宋体" w:cs="宋体"/>
        </w:rPr>
        <w:t>1.4.2控制精度:0.001psi；</w:t>
      </w:r>
    </w:p>
    <w:p w14:paraId="7FBF67B0">
      <w:pPr>
        <w:spacing w:line="360" w:lineRule="auto"/>
        <w:ind w:left="420" w:leftChars="200"/>
        <w:rPr>
          <w:rFonts w:ascii="宋体" w:hAnsi="宋体" w:cs="宋体"/>
        </w:rPr>
      </w:pPr>
      <w:r>
        <w:rPr>
          <w:rFonts w:hint="eastAsia" w:ascii="宋体" w:hAnsi="宋体" w:cs="宋体"/>
        </w:rPr>
        <w:t>1.4.3 压力/流量程序:3级；</w:t>
      </w:r>
    </w:p>
    <w:p w14:paraId="01E199CC">
      <w:pPr>
        <w:spacing w:line="360" w:lineRule="auto"/>
        <w:ind w:left="420" w:leftChars="200"/>
        <w:rPr>
          <w:rFonts w:ascii="宋体" w:hAnsi="宋体" w:cs="宋体"/>
        </w:rPr>
      </w:pPr>
      <w:r>
        <w:rPr>
          <w:rFonts w:hint="eastAsia" w:ascii="宋体" w:hAnsi="宋体" w:cs="宋体"/>
        </w:rPr>
        <w:t>1.4.4 具有恒流，恒压，程序增加流速，程序升压及压力脉冲等操作模式的电子气路控制；</w:t>
      </w:r>
    </w:p>
    <w:p w14:paraId="62A915D1">
      <w:pPr>
        <w:spacing w:line="360" w:lineRule="auto"/>
        <w:ind w:left="420" w:leftChars="200"/>
        <w:rPr>
          <w:rFonts w:ascii="宋体" w:hAnsi="宋体" w:cs="宋体"/>
        </w:rPr>
      </w:pPr>
      <w:r>
        <w:rPr>
          <w:rFonts w:hint="eastAsia" w:ascii="宋体" w:hAnsi="宋体" w:cs="宋体"/>
        </w:rPr>
        <w:t>1.4.5除柱箱外，可加热控温的区域应不少于6个，其最高温度可达400℃。</w:t>
      </w:r>
    </w:p>
    <w:p w14:paraId="63527374">
      <w:pPr>
        <w:spacing w:line="360" w:lineRule="auto"/>
        <w:ind w:left="420" w:leftChars="200"/>
        <w:rPr>
          <w:rFonts w:ascii="宋体" w:hAnsi="宋体" w:cs="宋体"/>
        </w:rPr>
      </w:pPr>
      <w:r>
        <w:rPr>
          <w:rFonts w:hint="eastAsia" w:ascii="宋体" w:hAnsi="宋体" w:cs="宋体"/>
        </w:rPr>
        <w:t>2、检测器</w:t>
      </w:r>
    </w:p>
    <w:p w14:paraId="33DCBC45">
      <w:pPr>
        <w:spacing w:line="360" w:lineRule="auto"/>
        <w:ind w:left="420" w:leftChars="200"/>
        <w:rPr>
          <w:rFonts w:ascii="宋体" w:hAnsi="宋体" w:cs="宋体"/>
        </w:rPr>
      </w:pPr>
      <w:r>
        <w:rPr>
          <w:rFonts w:hint="eastAsia" w:ascii="宋体" w:hAnsi="宋体" w:cs="宋体"/>
        </w:rPr>
        <w:t>2.1火焰光度检测器（FPD检测器）</w:t>
      </w:r>
    </w:p>
    <w:p w14:paraId="61CF774B">
      <w:pPr>
        <w:spacing w:line="360" w:lineRule="auto"/>
        <w:ind w:left="420" w:leftChars="200"/>
        <w:rPr>
          <w:rFonts w:ascii="宋体" w:hAnsi="宋体" w:cs="宋体"/>
        </w:rPr>
      </w:pPr>
      <w:r>
        <w:rPr>
          <w:rFonts w:hint="eastAsia" w:ascii="宋体" w:hAnsi="宋体" w:cs="宋体"/>
        </w:rPr>
        <w:t>2.1.1动态范围：&gt;103 S，104 P，以甲基对硫磷为样品测定。</w:t>
      </w:r>
    </w:p>
    <w:p w14:paraId="73CB1839">
      <w:pPr>
        <w:spacing w:line="360" w:lineRule="auto"/>
        <w:ind w:left="420" w:leftChars="200"/>
        <w:rPr>
          <w:rFonts w:ascii="宋体" w:hAnsi="宋体" w:cs="宋体"/>
        </w:rPr>
      </w:pPr>
      <w:r>
        <w:rPr>
          <w:rFonts w:hint="eastAsia" w:ascii="宋体" w:hAnsi="宋体" w:cs="宋体"/>
        </w:rPr>
        <w:t>2.1.2选择性：106 g S/g C，106 g P/g C。</w:t>
      </w:r>
    </w:p>
    <w:p w14:paraId="3361A500">
      <w:pPr>
        <w:spacing w:line="360" w:lineRule="auto"/>
        <w:ind w:left="420" w:leftChars="200"/>
        <w:rPr>
          <w:rFonts w:ascii="宋体" w:hAnsi="宋体" w:cs="宋体"/>
        </w:rPr>
      </w:pPr>
      <w:r>
        <w:rPr>
          <w:rFonts w:hint="eastAsia" w:ascii="宋体" w:hAnsi="宋体" w:cs="宋体"/>
        </w:rPr>
        <w:t>2.1.3最大数据采集速率:不低于 500 Hz。</w:t>
      </w:r>
    </w:p>
    <w:p w14:paraId="20A3A844">
      <w:pPr>
        <w:spacing w:line="360" w:lineRule="auto"/>
        <w:ind w:left="420" w:leftChars="200"/>
        <w:rPr>
          <w:rFonts w:ascii="宋体" w:hAnsi="宋体" w:cs="宋体"/>
        </w:rPr>
      </w:pPr>
      <w:r>
        <w:rPr>
          <w:rFonts w:hint="eastAsia" w:ascii="宋体" w:hAnsi="宋体" w:cs="宋体"/>
        </w:rPr>
        <w:t>2.2电子捕获检测器（ECD检测器）</w:t>
      </w:r>
    </w:p>
    <w:p w14:paraId="1D15E157">
      <w:pPr>
        <w:spacing w:line="360" w:lineRule="auto"/>
        <w:ind w:left="420" w:leftChars="200"/>
        <w:rPr>
          <w:rFonts w:ascii="宋体" w:hAnsi="宋体" w:cs="宋体"/>
        </w:rPr>
      </w:pPr>
      <w:r>
        <w:rPr>
          <w:rFonts w:hint="eastAsia" w:ascii="宋体" w:hAnsi="宋体" w:cs="宋体"/>
        </w:rPr>
        <w:t>2.2.1最低检测限：&lt; 4 fg/mL（林丹）</w:t>
      </w:r>
    </w:p>
    <w:p w14:paraId="2585CE2C">
      <w:pPr>
        <w:spacing w:line="360" w:lineRule="auto"/>
        <w:ind w:left="420" w:leftChars="200"/>
        <w:rPr>
          <w:rFonts w:ascii="宋体" w:hAnsi="宋体" w:cs="宋体"/>
        </w:rPr>
      </w:pPr>
      <w:r>
        <w:rPr>
          <w:rFonts w:hint="eastAsia" w:ascii="宋体" w:hAnsi="宋体" w:cs="宋体"/>
        </w:rPr>
        <w:t>2.2.2线性动态范围：&gt; 5 × 104（林丹）</w:t>
      </w:r>
    </w:p>
    <w:p w14:paraId="3EC4BA5F">
      <w:pPr>
        <w:spacing w:line="360" w:lineRule="auto"/>
        <w:ind w:left="420" w:leftChars="200"/>
        <w:rPr>
          <w:rFonts w:ascii="宋体" w:hAnsi="宋体" w:cs="宋体"/>
        </w:rPr>
      </w:pPr>
      <w:r>
        <w:rPr>
          <w:rFonts w:hint="eastAsia" w:ascii="宋体" w:hAnsi="宋体" w:cs="宋体"/>
        </w:rPr>
        <w:t>2.2.3数据采集速率：不低于 500 Hz</w:t>
      </w:r>
    </w:p>
    <w:p w14:paraId="36DE1E85">
      <w:pPr>
        <w:spacing w:line="360" w:lineRule="auto"/>
        <w:ind w:left="420" w:leftChars="200"/>
        <w:rPr>
          <w:rFonts w:ascii="宋体" w:hAnsi="宋体" w:cs="宋体"/>
        </w:rPr>
      </w:pPr>
      <w:r>
        <w:rPr>
          <w:rFonts w:hint="eastAsia" w:ascii="宋体" w:hAnsi="宋体" w:cs="宋体"/>
        </w:rPr>
        <w:t>2.2.4最高操作温度 400 ℃</w:t>
      </w:r>
    </w:p>
    <w:p w14:paraId="25EF4691">
      <w:pPr>
        <w:spacing w:line="360" w:lineRule="auto"/>
        <w:ind w:left="420" w:leftChars="200"/>
        <w:rPr>
          <w:rFonts w:ascii="宋体" w:hAnsi="宋体" w:cs="宋体"/>
        </w:rPr>
      </w:pPr>
      <w:r>
        <w:rPr>
          <w:rFonts w:hint="eastAsia" w:ascii="宋体" w:hAnsi="宋体" w:cs="宋体"/>
        </w:rPr>
        <w:t>3、自动进样器</w:t>
      </w:r>
    </w:p>
    <w:p w14:paraId="2A7B8041">
      <w:pPr>
        <w:spacing w:line="360" w:lineRule="auto"/>
        <w:ind w:left="420" w:leftChars="200"/>
        <w:rPr>
          <w:rFonts w:ascii="宋体" w:hAnsi="宋体" w:cs="宋体"/>
        </w:rPr>
      </w:pPr>
      <w:r>
        <w:rPr>
          <w:rFonts w:hint="eastAsia" w:ascii="宋体" w:hAnsi="宋体" w:cs="宋体"/>
        </w:rPr>
        <w:t>3.1自动进样器位数:≥165位；</w:t>
      </w:r>
    </w:p>
    <w:p w14:paraId="3CF7ED3B">
      <w:pPr>
        <w:spacing w:line="360" w:lineRule="auto"/>
        <w:ind w:left="420" w:leftChars="200"/>
        <w:rPr>
          <w:rFonts w:ascii="宋体" w:hAnsi="宋体" w:cs="宋体"/>
        </w:rPr>
      </w:pPr>
      <w:r>
        <w:rPr>
          <w:rFonts w:hint="eastAsia" w:ascii="宋体" w:hAnsi="宋体" w:cs="宋体"/>
        </w:rPr>
        <w:t>3.2 进样针:1，5，10，25ul；</w:t>
      </w:r>
    </w:p>
    <w:p w14:paraId="5367DF77">
      <w:pPr>
        <w:spacing w:line="360" w:lineRule="auto"/>
        <w:ind w:left="420" w:leftChars="200"/>
        <w:rPr>
          <w:rFonts w:ascii="宋体" w:hAnsi="宋体" w:cs="宋体"/>
        </w:rPr>
      </w:pPr>
      <w:r>
        <w:rPr>
          <w:rFonts w:hint="eastAsia" w:ascii="宋体" w:hAnsi="宋体" w:cs="宋体"/>
        </w:rPr>
        <w:t>3.3 进样量范围:0.1-50ul；</w:t>
      </w:r>
    </w:p>
    <w:p w14:paraId="526A9153">
      <w:pPr>
        <w:spacing w:line="360" w:lineRule="auto"/>
        <w:ind w:left="420" w:leftChars="200"/>
        <w:rPr>
          <w:rFonts w:ascii="宋体" w:hAnsi="宋体" w:cs="宋体"/>
        </w:rPr>
      </w:pPr>
      <w:r>
        <w:rPr>
          <w:rFonts w:hint="eastAsia" w:ascii="宋体" w:hAnsi="宋体" w:cs="宋体"/>
        </w:rPr>
        <w:t>3.4 进样量线性:≥99%；</w:t>
      </w:r>
    </w:p>
    <w:p w14:paraId="73A82CAF">
      <w:pPr>
        <w:spacing w:line="360" w:lineRule="auto"/>
        <w:ind w:left="420" w:leftChars="200"/>
        <w:rPr>
          <w:rFonts w:ascii="宋体" w:hAnsi="宋体" w:cs="宋体"/>
        </w:rPr>
      </w:pPr>
      <w:r>
        <w:rPr>
          <w:rFonts w:hint="eastAsia" w:ascii="宋体" w:hAnsi="宋体" w:cs="宋体"/>
        </w:rPr>
        <w:t>3.5 具备同一样品瓶多次进样功能:多次进样1-99次</w:t>
      </w:r>
    </w:p>
    <w:p w14:paraId="30038888">
      <w:pPr>
        <w:spacing w:line="360" w:lineRule="auto"/>
        <w:ind w:left="420" w:leftChars="200"/>
        <w:rPr>
          <w:rFonts w:ascii="宋体" w:hAnsi="宋体" w:cs="宋体"/>
        </w:rPr>
      </w:pPr>
      <w:r>
        <w:rPr>
          <w:rFonts w:hint="eastAsia" w:ascii="宋体" w:hAnsi="宋体" w:cs="宋体"/>
          <w:b/>
          <w:szCs w:val="21"/>
        </w:rPr>
        <w:t>★</w:t>
      </w:r>
      <w:r>
        <w:rPr>
          <w:rFonts w:hint="eastAsia" w:ascii="宋体" w:hAnsi="宋体" w:cs="宋体"/>
        </w:rPr>
        <w:t>3.6可扩展摇匀加热功能</w:t>
      </w:r>
    </w:p>
    <w:p w14:paraId="376669AC">
      <w:pPr>
        <w:spacing w:line="360" w:lineRule="auto"/>
        <w:ind w:left="420" w:leftChars="200"/>
        <w:rPr>
          <w:rFonts w:ascii="宋体" w:hAnsi="宋体" w:cs="宋体"/>
        </w:rPr>
      </w:pPr>
      <w:r>
        <w:rPr>
          <w:rFonts w:hint="eastAsia" w:ascii="宋体" w:hAnsi="宋体" w:cs="宋体"/>
        </w:rPr>
        <w:t>4、配置</w:t>
      </w:r>
    </w:p>
    <w:p w14:paraId="3E440D6F">
      <w:pPr>
        <w:spacing w:line="360" w:lineRule="auto"/>
        <w:ind w:left="420" w:leftChars="200"/>
        <w:rPr>
          <w:rFonts w:ascii="宋体" w:hAnsi="宋体" w:cs="宋体"/>
        </w:rPr>
      </w:pPr>
      <w:r>
        <w:rPr>
          <w:rFonts w:hint="eastAsia" w:ascii="宋体" w:hAnsi="宋体" w:cs="宋体"/>
        </w:rPr>
        <w:t>4.1气相主机一套，</w:t>
      </w:r>
    </w:p>
    <w:p w14:paraId="324340B5">
      <w:pPr>
        <w:spacing w:line="360" w:lineRule="auto"/>
        <w:ind w:left="420" w:leftChars="200"/>
        <w:rPr>
          <w:rFonts w:ascii="宋体" w:hAnsi="宋体" w:cs="宋体"/>
        </w:rPr>
      </w:pPr>
      <w:r>
        <w:rPr>
          <w:rFonts w:hint="eastAsia" w:ascii="宋体" w:hAnsi="宋体" w:cs="宋体"/>
        </w:rPr>
        <w:t>4.2分流不分流进样口2套，</w:t>
      </w:r>
    </w:p>
    <w:p w14:paraId="2B7F84DC">
      <w:pPr>
        <w:spacing w:line="360" w:lineRule="auto"/>
        <w:ind w:left="420" w:leftChars="200"/>
        <w:rPr>
          <w:rFonts w:ascii="宋体" w:hAnsi="宋体" w:cs="宋体"/>
        </w:rPr>
      </w:pPr>
      <w:r>
        <w:rPr>
          <w:rFonts w:hint="eastAsia" w:ascii="宋体" w:hAnsi="宋体" w:cs="宋体"/>
        </w:rPr>
        <w:t>4.3 FPD检测器和ECD检测器各1套，</w:t>
      </w:r>
    </w:p>
    <w:p w14:paraId="4B74AD32">
      <w:pPr>
        <w:spacing w:line="360" w:lineRule="auto"/>
        <w:ind w:left="420" w:leftChars="200"/>
        <w:rPr>
          <w:rFonts w:ascii="宋体" w:hAnsi="宋体" w:cs="宋体"/>
        </w:rPr>
      </w:pPr>
      <w:r>
        <w:rPr>
          <w:rFonts w:hint="eastAsia" w:ascii="宋体" w:hAnsi="宋体" w:cs="宋体"/>
        </w:rPr>
        <w:t>4.4液体自动进样器和百位盘各1套，</w:t>
      </w:r>
    </w:p>
    <w:p w14:paraId="3290513B">
      <w:pPr>
        <w:spacing w:line="360" w:lineRule="auto"/>
        <w:ind w:left="420" w:leftChars="200"/>
        <w:rPr>
          <w:rFonts w:ascii="宋体" w:hAnsi="宋体" w:cs="宋体"/>
        </w:rPr>
      </w:pPr>
      <w:r>
        <w:rPr>
          <w:rFonts w:hint="eastAsia" w:ascii="宋体" w:hAnsi="宋体" w:cs="宋体"/>
        </w:rPr>
        <w:t>4.5气相安装启动包1套，要求软件版本为openlab cds chemstation C版本</w:t>
      </w:r>
    </w:p>
    <w:p w14:paraId="02804FF0">
      <w:pPr>
        <w:spacing w:line="360" w:lineRule="auto"/>
        <w:ind w:left="420" w:leftChars="200"/>
        <w:rPr>
          <w:rFonts w:ascii="宋体" w:hAnsi="宋体" w:cs="宋体"/>
        </w:rPr>
      </w:pPr>
      <w:r>
        <w:rPr>
          <w:rFonts w:hint="eastAsia" w:ascii="宋体" w:hAnsi="宋体" w:cs="宋体"/>
        </w:rPr>
        <w:t>4.6电脑，打印机1套</w:t>
      </w:r>
    </w:p>
    <w:p w14:paraId="2790929D">
      <w:pPr>
        <w:spacing w:line="360" w:lineRule="auto"/>
        <w:ind w:left="420" w:leftChars="200"/>
        <w:rPr>
          <w:rFonts w:ascii="宋体" w:hAnsi="宋体" w:cs="宋体"/>
        </w:rPr>
      </w:pPr>
      <w:r>
        <w:rPr>
          <w:rFonts w:hint="eastAsia" w:ascii="宋体" w:hAnsi="宋体" w:cs="宋体"/>
        </w:rPr>
        <w:t>4.</w:t>
      </w:r>
      <w:r>
        <w:rPr>
          <w:rFonts w:ascii="宋体" w:hAnsi="宋体" w:cs="宋体"/>
        </w:rPr>
        <w:t>9</w:t>
      </w:r>
      <w:r>
        <w:rPr>
          <w:rFonts w:hint="eastAsia" w:ascii="宋体" w:hAnsi="宋体" w:cs="宋体"/>
        </w:rPr>
        <w:t xml:space="preserve"> 石墨密封垫圈 1包</w:t>
      </w:r>
    </w:p>
    <w:p w14:paraId="1F0C0BB0">
      <w:pPr>
        <w:spacing w:line="360" w:lineRule="auto"/>
        <w:ind w:left="420" w:leftChars="200"/>
        <w:rPr>
          <w:rFonts w:ascii="宋体" w:hAnsi="宋体" w:cs="宋体"/>
        </w:rPr>
      </w:pPr>
      <w:r>
        <w:rPr>
          <w:rFonts w:ascii="宋体" w:hAnsi="宋体" w:cs="宋体"/>
        </w:rPr>
        <w:t>4.10</w:t>
      </w:r>
      <w:r>
        <w:rPr>
          <w:rFonts w:hint="eastAsia" w:ascii="宋体" w:hAnsi="宋体" w:cs="宋体"/>
        </w:rPr>
        <w:t xml:space="preserve"> 棕色螺口样品瓶 1包</w:t>
      </w:r>
    </w:p>
    <w:p w14:paraId="0826DBDA">
      <w:pPr>
        <w:spacing w:line="360" w:lineRule="auto"/>
        <w:ind w:left="420" w:leftChars="200"/>
        <w:rPr>
          <w:rFonts w:ascii="宋体" w:hAnsi="宋体" w:cs="宋体"/>
        </w:rPr>
      </w:pPr>
      <w:r>
        <w:rPr>
          <w:rFonts w:hint="eastAsia" w:ascii="宋体" w:hAnsi="宋体" w:cs="宋体"/>
        </w:rPr>
        <w:t>4.1</w:t>
      </w:r>
      <w:r>
        <w:rPr>
          <w:rFonts w:ascii="宋体" w:hAnsi="宋体" w:cs="宋体"/>
        </w:rPr>
        <w:t>1</w:t>
      </w:r>
      <w:r>
        <w:rPr>
          <w:rFonts w:hint="eastAsia" w:ascii="宋体" w:hAnsi="宋体" w:cs="宋体"/>
        </w:rPr>
        <w:t xml:space="preserve"> 蓝色螺口瓶盖 1包</w:t>
      </w:r>
    </w:p>
    <w:p w14:paraId="237EA287">
      <w:pPr>
        <w:spacing w:line="360" w:lineRule="auto"/>
        <w:ind w:left="420" w:leftChars="200"/>
        <w:rPr>
          <w:rFonts w:ascii="宋体" w:hAnsi="宋体" w:cs="宋体"/>
        </w:rPr>
      </w:pPr>
      <w:r>
        <w:rPr>
          <w:rFonts w:hint="eastAsia" w:ascii="宋体" w:hAnsi="宋体" w:cs="宋体"/>
        </w:rPr>
        <w:t>4.1</w:t>
      </w:r>
      <w:r>
        <w:rPr>
          <w:rFonts w:ascii="宋体" w:hAnsi="宋体" w:cs="宋体"/>
        </w:rPr>
        <w:t>2</w:t>
      </w:r>
      <w:r>
        <w:rPr>
          <w:rFonts w:hint="eastAsia" w:ascii="宋体" w:hAnsi="宋体" w:cs="宋体"/>
        </w:rPr>
        <w:t xml:space="preserve"> 进样口的隔垫 1包</w:t>
      </w:r>
    </w:p>
    <w:p w14:paraId="6024366C">
      <w:pPr>
        <w:spacing w:line="360" w:lineRule="auto"/>
        <w:ind w:left="420" w:leftChars="200"/>
        <w:rPr>
          <w:rFonts w:ascii="宋体" w:hAnsi="宋体" w:cs="宋体"/>
        </w:rPr>
      </w:pPr>
      <w:r>
        <w:rPr>
          <w:rFonts w:hint="eastAsia" w:ascii="宋体" w:hAnsi="宋体" w:cs="宋体"/>
        </w:rPr>
        <w:t>4.1</w:t>
      </w:r>
      <w:r>
        <w:rPr>
          <w:rFonts w:ascii="宋体" w:hAnsi="宋体" w:cs="宋体"/>
        </w:rPr>
        <w:t>3</w:t>
      </w:r>
      <w:r>
        <w:rPr>
          <w:rFonts w:hint="eastAsia" w:ascii="宋体" w:hAnsi="宋体" w:cs="宋体"/>
        </w:rPr>
        <w:t xml:space="preserve"> 进样针 1包</w:t>
      </w:r>
    </w:p>
    <w:p w14:paraId="7302234D">
      <w:pPr>
        <w:pStyle w:val="17"/>
        <w:autoSpaceDE w:val="0"/>
        <w:autoSpaceDN w:val="0"/>
        <w:adjustRightInd w:val="0"/>
        <w:snapToGrid w:val="0"/>
        <w:spacing w:line="480" w:lineRule="exact"/>
        <w:ind w:left="561" w:firstLine="0"/>
        <w:rPr>
          <w:rFonts w:ascii="宋体" w:hAnsi="宋体"/>
          <w:b/>
          <w:color w:val="000000"/>
          <w:szCs w:val="21"/>
        </w:rPr>
      </w:pPr>
      <w:r>
        <w:rPr>
          <w:rFonts w:hint="eastAsia" w:ascii="宋体" w:hAnsi="宋体"/>
          <w:b/>
          <w:color w:val="000000"/>
          <w:szCs w:val="21"/>
          <w:lang w:eastAsia="zh-CN"/>
        </w:rPr>
        <w:t>三、</w:t>
      </w:r>
      <w:r>
        <w:rPr>
          <w:rFonts w:hint="eastAsia" w:ascii="宋体" w:hAnsi="宋体"/>
          <w:b/>
          <w:color w:val="000000"/>
          <w:szCs w:val="21"/>
        </w:rPr>
        <w:t>投标须知：</w:t>
      </w:r>
    </w:p>
    <w:p w14:paraId="5CF9BD73">
      <w:pPr>
        <w:pStyle w:val="16"/>
        <w:tabs>
          <w:tab w:val="left" w:pos="900"/>
        </w:tabs>
        <w:spacing w:line="360" w:lineRule="auto"/>
        <w:ind w:left="420"/>
        <w:rPr>
          <w:rFonts w:ascii="宋体" w:hAnsi="宋体" w:cs="宋体"/>
          <w:b/>
          <w:bCs/>
          <w:szCs w:val="21"/>
        </w:rPr>
      </w:pPr>
      <w:r>
        <w:rPr>
          <w:rFonts w:hint="eastAsia" w:ascii="宋体" w:hAnsi="宋体" w:cs="宋体"/>
          <w:b/>
          <w:bCs/>
          <w:szCs w:val="21"/>
          <w:shd w:val="clear" w:color="auto" w:fill="FFFFFF"/>
        </w:rPr>
        <w:t>1、投标人应具备下列资格条件，并提供证明材料（凡复印件均需加盖公章）（包括但不限于）：</w:t>
      </w:r>
    </w:p>
    <w:p w14:paraId="0FA7D385">
      <w:pPr>
        <w:pStyle w:val="16"/>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1.1  投标函(原件)</w:t>
      </w:r>
    </w:p>
    <w:p w14:paraId="65AA1E3D">
      <w:pPr>
        <w:pStyle w:val="16"/>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1.2  资格声明(原件)</w:t>
      </w:r>
    </w:p>
    <w:p w14:paraId="78F3587B">
      <w:pPr>
        <w:pStyle w:val="16"/>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1.3  若法定代表人参加投标的，须提供本人身份证复印件并加盖公章(原件备查)；若授权代表参加的，须提供《法人授权书》原件和授权代表身份证复印件并加盖公章（原件备查）</w:t>
      </w:r>
    </w:p>
    <w:p w14:paraId="463756F1">
      <w:pPr>
        <w:pStyle w:val="16"/>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1.4  投标人须为在中华人民共和国境内注册的具有独立法人资格的货物制造商或代理商，需提供营业执照副本(复印件并加盖公章)，如为代理商须提供生产商针对本项目的专项授权书和售后服务承诺书（原件）</w:t>
      </w:r>
    </w:p>
    <w:p w14:paraId="2FD9AF31">
      <w:pPr>
        <w:pStyle w:val="16"/>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1.5  投标人依法缴纳职工社会保障资金的证明材料(复印件并加盖公章)(税务、银行或社会保险基金管理部门出具的近三个月内任意一份缴纳职工社会保障资金的缴款凭证或缴款证明)</w:t>
      </w:r>
    </w:p>
    <w:p w14:paraId="37AD98C1">
      <w:pPr>
        <w:pStyle w:val="16"/>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1.6  投标人近三个月内任意一份依法纳税的缴款凭证(复印件并加盖公章)</w:t>
      </w:r>
    </w:p>
    <w:p w14:paraId="3069182B">
      <w:pPr>
        <w:pStyle w:val="16"/>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1.7 与1.6条相对应的纳税申报表或经会计师事务所审计的2023年度或2024年度财务报告 (复印件加盖公章)</w:t>
      </w:r>
    </w:p>
    <w:p w14:paraId="06214E27">
      <w:pPr>
        <w:pStyle w:val="16"/>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1.8  投标人参加本次采购活动前3年内在经营活动中没有重大违法记录的书面声明（原件）</w:t>
      </w:r>
    </w:p>
    <w:p w14:paraId="4E00544E">
      <w:pPr>
        <w:pStyle w:val="16"/>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1.9  未被“信用中国”网站（www.creditchina.gov.cn）、“中国政府采购"(www.ccgp.gov.cn)列入失信被执行人、重大税收违法案件当事人名单、政府采购严重违法失信行为记录名单（提供网页截图加盖投标人公章）</w:t>
      </w:r>
    </w:p>
    <w:p w14:paraId="32E93F09">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2、</w:t>
      </w:r>
      <w:r>
        <w:rPr>
          <w:rFonts w:hint="eastAsia" w:ascii="宋体" w:hAnsi="宋体" w:cs="宋体"/>
          <w:b/>
          <w:szCs w:val="21"/>
        </w:rPr>
        <w:t>本项目</w:t>
      </w:r>
      <w:r>
        <w:rPr>
          <w:rFonts w:hint="eastAsia" w:ascii="宋体" w:hAnsi="宋体"/>
          <w:b/>
          <w:szCs w:val="21"/>
        </w:rPr>
        <w:t>不接受联合体投标。</w:t>
      </w:r>
    </w:p>
    <w:p w14:paraId="6B90AD3F">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3、报价需按单价和总价分开报价且不得超过最高限价，否则视为无效投标。</w:t>
      </w:r>
    </w:p>
    <w:p w14:paraId="138E6C5A">
      <w:pPr>
        <w:autoSpaceDE w:val="0"/>
        <w:autoSpaceDN w:val="0"/>
        <w:adjustRightInd w:val="0"/>
        <w:snapToGrid w:val="0"/>
        <w:spacing w:line="440" w:lineRule="exact"/>
        <w:ind w:firstLine="561"/>
        <w:rPr>
          <w:rFonts w:ascii="宋体" w:hAnsi="宋体" w:cs="宋体"/>
          <w:b/>
          <w:szCs w:val="21"/>
        </w:rPr>
      </w:pPr>
      <w:r>
        <w:rPr>
          <w:rFonts w:hint="eastAsia" w:ascii="宋体" w:hAnsi="宋体" w:cs="宋体"/>
          <w:b/>
          <w:szCs w:val="21"/>
        </w:rPr>
        <w:t>4、为保证设备的完整性及正常运行，所投标货物技术参数须不低于本招标文件中技术参数要求。★部分（如有）技术要求必须满足，如不满足为废标。</w:t>
      </w:r>
    </w:p>
    <w:p w14:paraId="0CD45522">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5、包装要求：</w:t>
      </w:r>
    </w:p>
    <w:p w14:paraId="60CCB99A">
      <w:pPr>
        <w:autoSpaceDE w:val="0"/>
        <w:autoSpaceDN w:val="0"/>
        <w:adjustRightInd w:val="0"/>
        <w:snapToGrid w:val="0"/>
        <w:spacing w:line="400" w:lineRule="exact"/>
        <w:ind w:firstLine="561"/>
        <w:rPr>
          <w:rFonts w:ascii="宋体" w:hAnsi="宋体"/>
          <w:bCs/>
          <w:szCs w:val="21"/>
        </w:rPr>
      </w:pPr>
      <w:r>
        <w:rPr>
          <w:rFonts w:hint="eastAsia" w:ascii="宋体" w:hAnsi="宋体"/>
          <w:bCs/>
          <w:szCs w:val="21"/>
        </w:rPr>
        <w:t>所有包装必须经得起陆上,水上的运输，供货方应对包装的所供货物负责，使其到达目的地后完整无缺，供货方负责提供所有的包装（注明免费）。</w:t>
      </w:r>
    </w:p>
    <w:p w14:paraId="6F5DFFAB">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四、投标文件的密封与递交</w:t>
      </w:r>
    </w:p>
    <w:p w14:paraId="3615CD02">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1、投标文件的份数和签署</w:t>
      </w:r>
    </w:p>
    <w:p w14:paraId="02FBCE72">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投标文件应使用不能擦去的墨水书写或打印，由投标人加盖法人公章和法定代表人或法定代表人委托的代理人印鉴或签字。</w:t>
      </w:r>
    </w:p>
    <w:p w14:paraId="71400E79">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2、投标文件的密封与标志</w:t>
      </w:r>
    </w:p>
    <w:p w14:paraId="7BC484DA">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所有封袋上都应写明招标人名称、工程项目名称、投标人名称、卷别；</w:t>
      </w:r>
    </w:p>
    <w:p w14:paraId="4962E1FF">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所有投标文件都必须在封袋上加盖投标单位法人公章及其法定代表人或授权委托人的印鉴。</w:t>
      </w:r>
    </w:p>
    <w:p w14:paraId="0A0AFFBC">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3、投标截止期</w:t>
      </w:r>
    </w:p>
    <w:p w14:paraId="1ABDAFB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3.1 投标人应在投标须知中规定的时间之前将投标文件递交到招标文件前附表指定地点。</w:t>
      </w:r>
    </w:p>
    <w:p w14:paraId="30AF1AAA">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3.2 招标人可以按本文件规定以修改通知的方式，延长递交投标文件的截止日期。在上述情况下，招标人与投标人以前的在投标截止期方面的全部权力、责任和义务，将适用于延长后新的投标截止期。</w:t>
      </w:r>
    </w:p>
    <w:p w14:paraId="41526BFE">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4、投标文件的修改与撤回</w:t>
      </w:r>
    </w:p>
    <w:p w14:paraId="480DA17E">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4.1 投标人可以在递交投标文件以后，在规定的投标截止期之前，以书面形式向招标人递交修改或撤回其投标文件的通知。在投标截止期以后，不得更改、撤回投标文件。</w:t>
      </w:r>
    </w:p>
    <w:p w14:paraId="5F8E9366">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4.2 投标文件的修改应按本文件相关条款规定的要求编制、密封、标志和递交（密封袋上应标明“修改”字样）。</w:t>
      </w:r>
    </w:p>
    <w:p w14:paraId="2B64456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4.3 投标截止以后,在投标有效期内，未确定中标人前，投标人不得撤回投标文件。</w:t>
      </w:r>
      <w:bookmarkStart w:id="0" w:name="EB0f01764a82a04f44abcb858eaf46c6a5"/>
      <w:bookmarkEnd w:id="0"/>
      <w:bookmarkStart w:id="1" w:name="EB66450c37613b4d8bb5d2ef34d49a190f"/>
      <w:bookmarkEnd w:id="1"/>
    </w:p>
    <w:p w14:paraId="38DD013F">
      <w:pPr>
        <w:pStyle w:val="2"/>
        <w:rPr>
          <w:color w:val="000000"/>
        </w:rPr>
      </w:pPr>
    </w:p>
    <w:p w14:paraId="3EC2C48B">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五、评标</w:t>
      </w:r>
    </w:p>
    <w:p w14:paraId="41425D98">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41AB5576">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 评标委员会</w:t>
      </w:r>
    </w:p>
    <w:p w14:paraId="756F6B21">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评标由招标人依法组建的评标委员会负责。评标委员会由有关技术、经济等方面的专家组成。</w:t>
      </w:r>
    </w:p>
    <w:p w14:paraId="60E9E445">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 评审程序</w:t>
      </w:r>
    </w:p>
    <w:p w14:paraId="56E07D3E">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评标按照下列程序进行：1）评标准备；2）初步评审；3）详细评审；4）推荐中标候选人，撰写评标报告。</w:t>
      </w:r>
    </w:p>
    <w:p w14:paraId="1C7A9FE9">
      <w:pPr>
        <w:autoSpaceDE w:val="0"/>
        <w:autoSpaceDN w:val="0"/>
        <w:adjustRightInd w:val="0"/>
        <w:snapToGrid w:val="0"/>
        <w:spacing w:line="480" w:lineRule="exact"/>
        <w:ind w:firstLine="525" w:firstLineChars="250"/>
        <w:rPr>
          <w:rFonts w:ascii="宋体" w:hAnsi="宋体"/>
          <w:color w:val="000000"/>
          <w:szCs w:val="21"/>
        </w:rPr>
      </w:pPr>
      <w:r>
        <w:rPr>
          <w:rFonts w:hint="eastAsia" w:ascii="宋体" w:hAnsi="宋体"/>
          <w:color w:val="000000"/>
          <w:szCs w:val="21"/>
        </w:rPr>
        <w:t>3、评标准备</w:t>
      </w:r>
    </w:p>
    <w:p w14:paraId="4E587AD5">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3.1 评标委员会成员签到</w:t>
      </w:r>
    </w:p>
    <w:p w14:paraId="19F333FC">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评标委员会成员到达评标现场时应在签到表上签到以证明出席。</w:t>
      </w:r>
    </w:p>
    <w:p w14:paraId="458EE6FF">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3.2 评标委员会的分工</w:t>
      </w:r>
    </w:p>
    <w:p w14:paraId="619765AB">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14:paraId="29855621">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3.3 熟悉文件资料</w:t>
      </w:r>
    </w:p>
    <w:p w14:paraId="3630EE46">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64396FA3">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 初步评审</w:t>
      </w:r>
    </w:p>
    <w:p w14:paraId="3A8C9716">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4.1 响应性评审</w:t>
      </w:r>
    </w:p>
    <w:p w14:paraId="6900C903">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4.2 算术错误修正</w:t>
      </w:r>
    </w:p>
    <w:p w14:paraId="699C740F">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4.3 澄清、说明或补正</w:t>
      </w:r>
    </w:p>
    <w:p w14:paraId="4F0CA5F3">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在初步评审过程中，评标委员会应当就投标文件中不明确的内容要求投标人进行澄清．</w:t>
      </w:r>
    </w:p>
    <w:p w14:paraId="6D9BD320">
      <w:pPr>
        <w:autoSpaceDE w:val="0"/>
        <w:autoSpaceDN w:val="0"/>
        <w:adjustRightInd w:val="0"/>
        <w:spacing w:line="480" w:lineRule="exact"/>
        <w:ind w:firstLine="561"/>
        <w:rPr>
          <w:rFonts w:ascii="宋体"/>
          <w:color w:val="000000"/>
          <w:szCs w:val="21"/>
        </w:rPr>
      </w:pPr>
      <w:r>
        <w:rPr>
          <w:rFonts w:ascii="宋体" w:hAnsi="宋体"/>
          <w:color w:val="000000"/>
          <w:szCs w:val="21"/>
        </w:rPr>
        <w:t>5</w:t>
      </w:r>
      <w:r>
        <w:rPr>
          <w:rFonts w:hint="eastAsia" w:ascii="宋体" w:hAnsi="宋体"/>
          <w:color w:val="000000"/>
          <w:szCs w:val="21"/>
        </w:rPr>
        <w:t>、投标过程中出现下列情况之一的将作为无效投标处理：</w:t>
      </w:r>
    </w:p>
    <w:p w14:paraId="3DF40968">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5.1</w:t>
      </w:r>
      <w:r>
        <w:rPr>
          <w:rFonts w:hint="eastAsia" w:ascii="宋体" w:hAnsi="宋体"/>
          <w:color w:val="000000"/>
          <w:szCs w:val="21"/>
        </w:rPr>
        <w:t xml:space="preserve"> 投标书未加盖单位法人章，无法定代表人或其授权委托人的签字；</w:t>
      </w:r>
    </w:p>
    <w:p w14:paraId="4A0412FF">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5.2</w:t>
      </w:r>
      <w:r>
        <w:rPr>
          <w:rFonts w:hint="eastAsia" w:ascii="宋体" w:hAnsi="宋体"/>
          <w:color w:val="000000"/>
          <w:szCs w:val="21"/>
        </w:rPr>
        <w:t xml:space="preserve"> 投标文件载明的货物包装方式、检验标准和方法等不符合招标文件的要求；</w:t>
      </w:r>
    </w:p>
    <w:p w14:paraId="073877A9">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5.3</w:t>
      </w:r>
      <w:r>
        <w:rPr>
          <w:rFonts w:hint="eastAsia" w:ascii="宋体" w:hAnsi="宋体"/>
          <w:color w:val="000000"/>
          <w:szCs w:val="21"/>
        </w:rPr>
        <w:t xml:space="preserve"> 投标文件提出了不能满足招标文件要求或招标人不能接受的工程验收、计量、价款结算支付办法；</w:t>
      </w:r>
    </w:p>
    <w:p w14:paraId="5D0090FA">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5.4</w:t>
      </w:r>
      <w:r>
        <w:rPr>
          <w:rFonts w:hint="eastAsia" w:ascii="宋体" w:hAnsi="宋体"/>
          <w:color w:val="000000"/>
          <w:szCs w:val="21"/>
        </w:rPr>
        <w:t xml:space="preserve"> 经评标委员会认定投标人的投标报价低于成本价的；</w:t>
      </w:r>
    </w:p>
    <w:p w14:paraId="63F6FBFA">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5.5</w:t>
      </w:r>
      <w:r>
        <w:rPr>
          <w:rFonts w:hint="eastAsia" w:ascii="宋体" w:hAnsi="宋体"/>
          <w:color w:val="000000"/>
          <w:szCs w:val="21"/>
        </w:rPr>
        <w:t xml:space="preserve"> 投标人未按照招标文件的要求提供必须提交的相关资料的；</w:t>
      </w:r>
    </w:p>
    <w:p w14:paraId="17B6C44A">
      <w:pPr>
        <w:autoSpaceDE w:val="0"/>
        <w:autoSpaceDN w:val="0"/>
        <w:adjustRightInd w:val="0"/>
        <w:spacing w:line="480" w:lineRule="exact"/>
        <w:ind w:firstLine="770" w:firstLineChars="367"/>
        <w:rPr>
          <w:rFonts w:ascii="宋体" w:hAnsi="宋体"/>
          <w:color w:val="000000"/>
          <w:szCs w:val="21"/>
        </w:rPr>
      </w:pPr>
      <w:r>
        <w:rPr>
          <w:rFonts w:ascii="宋体" w:hAnsi="宋体"/>
          <w:color w:val="000000"/>
          <w:szCs w:val="21"/>
        </w:rPr>
        <w:t>5.6</w:t>
      </w:r>
      <w:r>
        <w:rPr>
          <w:rFonts w:hint="eastAsia" w:ascii="宋体" w:hAnsi="宋体"/>
          <w:color w:val="000000"/>
          <w:szCs w:val="21"/>
        </w:rPr>
        <w:t xml:space="preserve"> 投标文件附有招标人不能接受的条件；</w:t>
      </w:r>
    </w:p>
    <w:p w14:paraId="2AB7E4B2">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6、有下列情形之一的，属于投标人相互串通投标：</w:t>
      </w:r>
    </w:p>
    <w:p w14:paraId="2006E3AD">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6.1 投标人之间协商投标报价等投标文件的实质性内容；</w:t>
      </w:r>
    </w:p>
    <w:p w14:paraId="57A43797">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6.2 投标人之间约定中标人；</w:t>
      </w:r>
    </w:p>
    <w:p w14:paraId="48C4B8CC">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6.3 投标人之间约定部分投标人放弃投标或者中标；</w:t>
      </w:r>
    </w:p>
    <w:p w14:paraId="334A69AF">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6.4 属于同一集团、协会、商会等组织成员的投标人按照该组织要求协同投标；投标人之间为谋取中标或者排斥特定投标人而采取的其他联合行动。</w:t>
      </w:r>
    </w:p>
    <w:p w14:paraId="2CC9B46A">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7、有下列情形之一的，视为投标人相互串通投标：</w:t>
      </w:r>
    </w:p>
    <w:p w14:paraId="19C19561">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7.1 不同投标人的投标文件由同一单位或者个人编制；</w:t>
      </w:r>
    </w:p>
    <w:p w14:paraId="1BA6E44A">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7.2 不同投标人委托同一单位或者个人办理投标事宜；</w:t>
      </w:r>
    </w:p>
    <w:p w14:paraId="1854AE74">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7.3 不同投标人的投标文件载明的项目管理成员为同一人；</w:t>
      </w:r>
    </w:p>
    <w:p w14:paraId="283C3472">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7.4 不同投标人的投标文件异常一致或者投标报价呈规律性差异；</w:t>
      </w:r>
    </w:p>
    <w:p w14:paraId="4E81FABD">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7.5 不同投标人的投标文件相互混装；</w:t>
      </w:r>
    </w:p>
    <w:p w14:paraId="66B184B4">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7.6 不同投标人的投标保证金从同一单位或者个人的账户转出。</w:t>
      </w:r>
    </w:p>
    <w:p w14:paraId="04FA5D4E">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8、有下列情形之一的，属于招标人与投标人串通投标：</w:t>
      </w:r>
    </w:p>
    <w:p w14:paraId="6FACEDB0">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8.1 招标人在开标前开启投标文件并将有关信息泄露给其他投标人；</w:t>
      </w:r>
    </w:p>
    <w:p w14:paraId="3F26CC36">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8.2 招标人直接或者间接向投标人泄露标底、评标委员会成员等信息；</w:t>
      </w:r>
    </w:p>
    <w:p w14:paraId="753CD6F0">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8.3 招标人明示或者暗示投标人压低或者抬高投标报价；</w:t>
      </w:r>
    </w:p>
    <w:p w14:paraId="25D62D90">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8.4 招标人授意投标人撤换、修改投标文件；</w:t>
      </w:r>
    </w:p>
    <w:p w14:paraId="45CC052B">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8.5 招标人明示或者暗示投标人为特定投标人中标提供方便；</w:t>
      </w:r>
    </w:p>
    <w:p w14:paraId="7D387D74">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8.6 招标人与投标人为谋求特定投标人中标而采取的其他串通行为。</w:t>
      </w:r>
    </w:p>
    <w:p w14:paraId="13CEC2F4">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9、使用通过受让或者租借等方式获取的资格、资质证书投标的，属于以他人名义投标。</w:t>
      </w:r>
    </w:p>
    <w:p w14:paraId="0BAC7A7D">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投标人有下列情形之一的，属于以其他方式弄虚作假的行为：</w:t>
      </w:r>
    </w:p>
    <w:p w14:paraId="73F57E94">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9.1 使用伪造、变造的许可证件；</w:t>
      </w:r>
    </w:p>
    <w:p w14:paraId="22AFAD77">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9.2 提供虚假的财务状况或者业绩；</w:t>
      </w:r>
    </w:p>
    <w:p w14:paraId="7D12B413">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9.3 提供虚假的项目负责人或者主要技术人员简历、劳动关系证明；</w:t>
      </w:r>
    </w:p>
    <w:p w14:paraId="73A78C3B">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9.4 提供虚假的信用状况；</w:t>
      </w:r>
    </w:p>
    <w:p w14:paraId="1583510C">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9.5 其他弄虚作假的行为。</w:t>
      </w:r>
    </w:p>
    <w:p w14:paraId="0F76CF23">
      <w:pPr>
        <w:pStyle w:val="2"/>
        <w:rPr>
          <w:color w:val="000000"/>
        </w:rPr>
      </w:pPr>
    </w:p>
    <w:p w14:paraId="7115ACE1">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六、评标细则（满分100分）</w:t>
      </w:r>
    </w:p>
    <w:p w14:paraId="4E554691">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本次评标采用综合评分法，评标委员会通过对商务、技术等因素的综合评审进行打分，综合得分最高的投标人排名第一，依此类推确定排名顺序，按排名顺序先后推荐为中标候选人。</w:t>
      </w:r>
    </w:p>
    <w:p w14:paraId="15418A27">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本次评标按百分制评分，其中商务评审为60分，技术评审为40分。具体评分细则如下：</w:t>
      </w:r>
    </w:p>
    <w:p w14:paraId="4A7A5ED7">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总 则</w:t>
      </w:r>
    </w:p>
    <w:p w14:paraId="4F911EBA">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评委会成员应严格按下列具体评审内容及相应分值客观、公正地进行评分。计算每个投标人的得分时，对所有评委的评分计算算术平均值作为该投标人的最终得分。</w:t>
      </w:r>
    </w:p>
    <w:p w14:paraId="35461A69">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一、商务评审得分（满分60分）</w:t>
      </w:r>
    </w:p>
    <w:p w14:paraId="722EB2D8">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 xml:space="preserve">1）报价评审得分   </w:t>
      </w:r>
      <w:r>
        <w:rPr>
          <w:rFonts w:hint="eastAsia" w:ascii="宋体" w:hAnsi="宋体"/>
          <w:color w:val="000000"/>
          <w:szCs w:val="21"/>
        </w:rPr>
        <w:t xml:space="preserve">                                　          </w:t>
      </w:r>
      <w:r>
        <w:rPr>
          <w:rFonts w:hint="eastAsia" w:ascii="宋体" w:hAnsi="宋体"/>
          <w:b/>
          <w:color w:val="000000"/>
          <w:szCs w:val="21"/>
        </w:rPr>
        <w:t>（满分45分）</w:t>
      </w:r>
    </w:p>
    <w:p w14:paraId="52CFD756">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报价得分（满分45分）：以所有有效投标人评标价的算术平均值（如投标人超过5家（含5家），则去掉一个最高价和一个最低价后计算算术平均值）下浮2%作为基准价得满分45分，其余投标人的评标价与基准价相比，投标人评标价每高基准价2%扣1分，每低基准价2%的扣0.5分，不足2%按插入法计算（保留两位小数）。</w:t>
      </w:r>
    </w:p>
    <w:p w14:paraId="5682945E">
      <w:pPr>
        <w:autoSpaceDE w:val="0"/>
        <w:autoSpaceDN w:val="0"/>
        <w:adjustRightInd w:val="0"/>
        <w:spacing w:line="480" w:lineRule="exact"/>
        <w:ind w:firstLine="422" w:firstLineChars="200"/>
        <w:rPr>
          <w:rFonts w:ascii="宋体"/>
          <w:b/>
          <w:color w:val="000000"/>
          <w:szCs w:val="21"/>
        </w:rPr>
      </w:pPr>
      <w:r>
        <w:rPr>
          <w:rFonts w:hint="eastAsia" w:ascii="宋体" w:hAnsi="宋体"/>
          <w:b/>
          <w:color w:val="000000"/>
          <w:szCs w:val="21"/>
        </w:rPr>
        <w:t>2）商务条款评审得分（满分</w:t>
      </w:r>
      <w:r>
        <w:rPr>
          <w:rFonts w:ascii="宋体" w:hAnsi="宋体"/>
          <w:b/>
          <w:color w:val="000000"/>
          <w:szCs w:val="21"/>
        </w:rPr>
        <w:t>10</w:t>
      </w:r>
      <w:r>
        <w:rPr>
          <w:rFonts w:hint="eastAsia" w:ascii="宋体" w:hAnsi="宋体"/>
          <w:b/>
          <w:color w:val="000000"/>
          <w:szCs w:val="21"/>
        </w:rPr>
        <w:t>分）</w:t>
      </w:r>
    </w:p>
    <w:p w14:paraId="06A0D491">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A、投标人或制造商</w:t>
      </w:r>
      <w:r>
        <w:rPr>
          <w:rFonts w:hint="eastAsia" w:ascii="宋体" w:hAnsi="宋体" w:cs="宋体"/>
          <w:color w:val="000000"/>
          <w:kern w:val="0"/>
          <w:szCs w:val="21"/>
        </w:rPr>
        <w:t>须具有质量管理体系认证、环境管理体系认证和职业健康安全管理体系认证证书，有1份得1分，最高得3分。（提供认证证书复印件加盖公章）</w:t>
      </w:r>
    </w:p>
    <w:p w14:paraId="065630B4">
      <w:pPr>
        <w:autoSpaceDE w:val="0"/>
        <w:autoSpaceDN w:val="0"/>
        <w:adjustRightInd w:val="0"/>
        <w:spacing w:line="480" w:lineRule="exact"/>
        <w:ind w:firstLine="561"/>
        <w:rPr>
          <w:rFonts w:ascii="宋体" w:hAnsi="宋体"/>
          <w:color w:val="000000"/>
          <w:szCs w:val="21"/>
        </w:rPr>
      </w:pPr>
      <w:r>
        <w:rPr>
          <w:rFonts w:hint="eastAsia" w:ascii="宋体" w:hAnsi="宋体" w:cs="宋体"/>
          <w:bCs/>
          <w:color w:val="000000"/>
          <w:kern w:val="0"/>
          <w:szCs w:val="21"/>
        </w:rPr>
        <w:t>B、</w:t>
      </w:r>
      <w:r>
        <w:rPr>
          <w:rFonts w:hint="eastAsia" w:ascii="宋体" w:hAnsi="宋体"/>
          <w:color w:val="000000"/>
          <w:szCs w:val="21"/>
        </w:rPr>
        <w:t>投标人或制造商获得由第三方信用服务机构出具的《企业信用报告》及信用等级证书，信用等级为3A ，得2分，信用等级为2A，得1分，其余不得分。</w:t>
      </w:r>
    </w:p>
    <w:p w14:paraId="459953C9">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C、投标人或制造商获得过市级及以上荣誉证书（提供证书复印件，没有提供的不得分），有一项得1分，最多得2分。</w:t>
      </w:r>
    </w:p>
    <w:p w14:paraId="12831291">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D、投标人或制造商具有产品或生产技术发明专利、实用专利等证书，每提供一份符合要求的得1分，共3分。（证书复印件装订于投标文件中，原件备查）</w:t>
      </w:r>
    </w:p>
    <w:p w14:paraId="24D89535">
      <w:pPr>
        <w:autoSpaceDE w:val="0"/>
        <w:autoSpaceDN w:val="0"/>
        <w:adjustRightInd w:val="0"/>
        <w:snapToGrid w:val="0"/>
        <w:spacing w:line="480" w:lineRule="exact"/>
        <w:ind w:firstLine="561"/>
        <w:rPr>
          <w:rFonts w:ascii="宋体" w:hAnsi="宋体"/>
          <w:color w:val="000000"/>
          <w:szCs w:val="21"/>
        </w:rPr>
      </w:pPr>
      <w:r>
        <w:rPr>
          <w:rFonts w:hint="eastAsia" w:ascii="宋体" w:hAnsi="宋体"/>
          <w:b/>
          <w:color w:val="000000"/>
          <w:szCs w:val="21"/>
        </w:rPr>
        <w:t>3）销售业绩得分（满分5分）</w:t>
      </w:r>
    </w:p>
    <w:p w14:paraId="72C99EF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货物制造商须具有五年及以上生产经验。根据货物制造商在近三年（</w:t>
      </w:r>
      <w:r>
        <w:rPr>
          <w:rFonts w:ascii="宋体" w:hAnsi="宋体"/>
          <w:color w:val="000000"/>
          <w:szCs w:val="21"/>
        </w:rPr>
        <w:t>20</w:t>
      </w:r>
      <w:r>
        <w:rPr>
          <w:rFonts w:hint="eastAsia" w:ascii="宋体" w:hAnsi="宋体"/>
          <w:color w:val="000000"/>
          <w:szCs w:val="21"/>
        </w:rPr>
        <w:t xml:space="preserve">22年1月至今）以来同类品牌货物销售业绩情况，有一个得1分，满分5分。（须提供供货合同复印件等证明材料，原件备查）。 </w:t>
      </w:r>
    </w:p>
    <w:p w14:paraId="5295C102">
      <w:pPr>
        <w:autoSpaceDE w:val="0"/>
        <w:autoSpaceDN w:val="0"/>
        <w:adjustRightInd w:val="0"/>
        <w:snapToGrid w:val="0"/>
        <w:spacing w:line="480" w:lineRule="exact"/>
        <w:ind w:firstLine="517" w:firstLineChars="245"/>
        <w:rPr>
          <w:rFonts w:ascii="宋体" w:hAnsi="宋体"/>
          <w:b/>
          <w:color w:val="000000"/>
          <w:szCs w:val="21"/>
        </w:rPr>
      </w:pPr>
      <w:r>
        <w:rPr>
          <w:rFonts w:hint="eastAsia" w:ascii="宋体" w:hAnsi="宋体"/>
          <w:b/>
          <w:color w:val="000000"/>
          <w:szCs w:val="21"/>
        </w:rPr>
        <w:t>二、技术评审得分（满分40分）</w:t>
      </w:r>
    </w:p>
    <w:p w14:paraId="6703A677">
      <w:pPr>
        <w:autoSpaceDE w:val="0"/>
        <w:autoSpaceDN w:val="0"/>
        <w:adjustRightInd w:val="0"/>
        <w:spacing w:line="480" w:lineRule="exact"/>
        <w:ind w:firstLine="561"/>
        <w:rPr>
          <w:rFonts w:ascii="宋体"/>
          <w:b/>
          <w:bCs/>
          <w:color w:val="000000"/>
          <w:szCs w:val="21"/>
        </w:rPr>
      </w:pPr>
      <w:r>
        <w:rPr>
          <w:rFonts w:ascii="宋体" w:hAnsi="宋体"/>
          <w:b/>
          <w:bCs/>
          <w:color w:val="000000"/>
          <w:szCs w:val="21"/>
        </w:rPr>
        <w:t>1</w:t>
      </w:r>
      <w:r>
        <w:rPr>
          <w:rFonts w:hint="eastAsia" w:ascii="宋体" w:hAnsi="宋体"/>
          <w:b/>
          <w:bCs/>
          <w:color w:val="000000"/>
          <w:szCs w:val="21"/>
        </w:rPr>
        <w:t>、技术文件编制齐全性和响应性（满分10分）</w:t>
      </w:r>
    </w:p>
    <w:p w14:paraId="01ACCCC5">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（1）有技术参数响应表，得2分，没有不得分。（2分）</w:t>
      </w:r>
    </w:p>
    <w:p w14:paraId="04780456">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由评标委员会根据投标货物、功能服务的性能满足招标文件的技术要求的情况打分。所有技术条款满足招标文件要求的，得基本分5分，其中有条款优于招标文件要求的每项加1分（投标文件中有明显标注），最高满分8分；如不完全满足招标文件要求不得分。（8分）</w:t>
      </w:r>
    </w:p>
    <w:p w14:paraId="7070C08A">
      <w:pPr>
        <w:autoSpaceDE w:val="0"/>
        <w:autoSpaceDN w:val="0"/>
        <w:adjustRightInd w:val="0"/>
        <w:spacing w:line="480" w:lineRule="exact"/>
        <w:ind w:firstLine="561"/>
        <w:rPr>
          <w:rFonts w:ascii="宋体" w:hAnsi="宋体"/>
          <w:b/>
          <w:bCs/>
          <w:color w:val="000000"/>
          <w:szCs w:val="21"/>
        </w:rPr>
      </w:pPr>
      <w:r>
        <w:rPr>
          <w:rFonts w:hint="eastAsia" w:ascii="宋体" w:hAnsi="宋体"/>
          <w:b/>
          <w:bCs/>
          <w:color w:val="000000"/>
          <w:szCs w:val="21"/>
        </w:rPr>
        <w:t>2、技术方案                                                （满分22分）</w:t>
      </w:r>
    </w:p>
    <w:p w14:paraId="21F3FA16">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由评标委员会根据招标文件的功能需求对投标人提供的货物的制造工艺、外观、质量、性能及技术指标、所使用的材质、运营成本、寿命、可靠性方面进行综合评分，</w:t>
      </w:r>
    </w:p>
    <w:p w14:paraId="397F318D">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（1）货物的制造工艺、外观、质量、整体结构合理性（5分）</w:t>
      </w:r>
    </w:p>
    <w:p w14:paraId="424BC6D3">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（2）生产规模水平：根据投标设备制造商的生产装备、规模、制造水平在业内的位置等进行打分（3分）</w:t>
      </w:r>
    </w:p>
    <w:p w14:paraId="45CE3D64">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（3）货物的备品备件是否合理充足、合理（3分）</w:t>
      </w:r>
    </w:p>
    <w:p w14:paraId="40C2B09D">
      <w:pPr>
        <w:autoSpaceDE w:val="0"/>
        <w:autoSpaceDN w:val="0"/>
        <w:adjustRightInd w:val="0"/>
        <w:spacing w:line="360" w:lineRule="auto"/>
        <w:ind w:firstLine="561"/>
        <w:rPr>
          <w:rFonts w:ascii="宋体" w:hAnsi="宋体"/>
          <w:color w:val="000000"/>
          <w:szCs w:val="21"/>
        </w:rPr>
      </w:pPr>
      <w:r>
        <w:rPr>
          <w:rFonts w:hint="eastAsia" w:ascii="宋体" w:hAnsi="宋体"/>
          <w:color w:val="000000"/>
          <w:szCs w:val="21"/>
        </w:rPr>
        <w:t>（4）货物的运营成本、寿命、可靠性、实用性等（4分）</w:t>
      </w:r>
    </w:p>
    <w:p w14:paraId="25B5163C">
      <w:pPr>
        <w:pStyle w:val="2"/>
        <w:spacing w:line="360" w:lineRule="auto"/>
        <w:rPr>
          <w:rFonts w:ascii="宋体" w:hAnsi="宋体" w:eastAsia="宋体"/>
          <w:color w:val="000000"/>
          <w:sz w:val="21"/>
          <w:szCs w:val="21"/>
        </w:rPr>
      </w:pPr>
      <w:r>
        <w:rPr>
          <w:rFonts w:hint="eastAsia" w:ascii="宋体" w:hAnsi="宋体" w:eastAsia="宋体"/>
          <w:color w:val="000000"/>
          <w:sz w:val="21"/>
          <w:szCs w:val="21"/>
        </w:rPr>
        <w:t>（5）设备拆卸安装方案、安全措施的合理性（4分）</w:t>
      </w:r>
    </w:p>
    <w:p w14:paraId="33419696">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（6）关键设备及零部件的材质性能质量品牌档次（3分）</w:t>
      </w:r>
    </w:p>
    <w:p w14:paraId="108769AB">
      <w:pPr>
        <w:autoSpaceDE w:val="0"/>
        <w:autoSpaceDN w:val="0"/>
        <w:adjustRightInd w:val="0"/>
        <w:spacing w:line="480" w:lineRule="exact"/>
        <w:ind w:firstLine="561"/>
        <w:rPr>
          <w:rFonts w:ascii="宋体" w:hAnsi="宋体"/>
          <w:b/>
          <w:bCs/>
          <w:color w:val="000000"/>
          <w:szCs w:val="21"/>
        </w:rPr>
      </w:pPr>
      <w:r>
        <w:rPr>
          <w:rFonts w:hint="eastAsia" w:ascii="宋体" w:hAnsi="宋体"/>
          <w:b/>
          <w:bCs/>
          <w:color w:val="000000"/>
          <w:szCs w:val="21"/>
        </w:rPr>
        <w:t>3、技术服务与培训                                       （满分8分）</w:t>
      </w:r>
      <w:r>
        <w:rPr>
          <w:rFonts w:hint="eastAsia" w:ascii="宋体" w:hAnsi="宋体"/>
          <w:b/>
          <w:bCs/>
          <w:color w:val="000000"/>
          <w:szCs w:val="21"/>
        </w:rPr>
        <w:tab/>
      </w:r>
    </w:p>
    <w:p w14:paraId="40E8FAFC">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（1）由评标委员会根据投标人对售后服务的承诺、响应时间、维修技术能力情况进行打分，优得3分，良得2分，一般得1分，无内容不得分。（3分）</w:t>
      </w:r>
    </w:p>
    <w:p w14:paraId="7BE43C04">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（2）由评标委员会根据投标人的质保期进行打分。少于</w:t>
      </w:r>
      <w:r>
        <w:rPr>
          <w:rFonts w:hint="eastAsia" w:ascii="宋体" w:hAnsi="宋体"/>
          <w:b/>
          <w:bCs/>
          <w:color w:val="000000"/>
          <w:szCs w:val="21"/>
        </w:rPr>
        <w:t>1年</w:t>
      </w:r>
      <w:r>
        <w:rPr>
          <w:rFonts w:hint="eastAsia" w:ascii="宋体" w:hAnsi="宋体"/>
          <w:color w:val="000000"/>
          <w:szCs w:val="21"/>
        </w:rPr>
        <w:t>的按否决投标处理，承诺质保期每延长半年加1分，最多加2分。（提供承诺书）（2分）</w:t>
      </w:r>
    </w:p>
    <w:p w14:paraId="2A36F904">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（3）由评标委员会根据投标人的培训方案打分，优得3分，良得2分，一般得1分，无内容不得分。（3分）</w:t>
      </w:r>
    </w:p>
    <w:p w14:paraId="03B706AA">
      <w:pPr>
        <w:pStyle w:val="2"/>
        <w:rPr>
          <w:rFonts w:ascii="宋体" w:hAnsi="宋体" w:eastAsia="宋体"/>
          <w:b/>
          <w:bCs/>
          <w:color w:val="000000"/>
          <w:sz w:val="21"/>
          <w:szCs w:val="21"/>
        </w:rPr>
      </w:pPr>
    </w:p>
    <w:p w14:paraId="61BC2AC0">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七、定标</w:t>
      </w:r>
    </w:p>
    <w:p w14:paraId="068DB73E">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1、评标委员会完成评标后，应当向招标人提出书面评标报告，阐明评标委员会对各投标文件的评审和比较意见，并按照招标文件中规定的评标方法，推荐3名有排序的合格中标候选人。</w:t>
      </w:r>
    </w:p>
    <w:p w14:paraId="33D58CCA">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14:paraId="16B3C44C">
      <w:pPr>
        <w:autoSpaceDE w:val="0"/>
        <w:autoSpaceDN w:val="0"/>
        <w:adjustRightInd w:val="0"/>
        <w:snapToGrid w:val="0"/>
        <w:spacing w:line="480" w:lineRule="exact"/>
        <w:ind w:firstLine="561"/>
        <w:rPr>
          <w:rFonts w:ascii="宋体" w:hAnsi="宋体"/>
          <w:color w:val="000000"/>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color w:val="000000"/>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746B65C7">
      <w:pPr>
        <w:widowControl/>
        <w:spacing w:line="500" w:lineRule="exact"/>
        <w:jc w:val="left"/>
        <w:rPr>
          <w:rFonts w:ascii="宋体" w:hAnsi="宋体"/>
          <w:b/>
          <w:bCs/>
          <w:color w:val="000000"/>
          <w:szCs w:val="21"/>
        </w:rPr>
      </w:pPr>
      <w:r>
        <w:rPr>
          <w:rFonts w:hint="eastAsia" w:ascii="宋体" w:hAnsi="宋体"/>
          <w:b/>
          <w:bCs/>
          <w:color w:val="000000"/>
          <w:szCs w:val="21"/>
        </w:rPr>
        <w:t>八、合同模板：</w:t>
      </w:r>
    </w:p>
    <w:p w14:paraId="05E7B9F9">
      <w:pPr>
        <w:widowControl/>
        <w:spacing w:line="500" w:lineRule="exact"/>
        <w:jc w:val="center"/>
        <w:rPr>
          <w:rFonts w:ascii="宋体" w:hAnsi="宋体"/>
          <w:color w:val="000000"/>
          <w:szCs w:val="21"/>
        </w:rPr>
      </w:pPr>
    </w:p>
    <w:p w14:paraId="5068D91D">
      <w:pPr>
        <w:tabs>
          <w:tab w:val="left" w:pos="1400"/>
          <w:tab w:val="center" w:pos="4846"/>
          <w:tab w:val="right" w:pos="9693"/>
        </w:tabs>
        <w:ind w:right="-693" w:rightChars="-330"/>
        <w:jc w:val="center"/>
        <w:rPr>
          <w:b/>
          <w:color w:val="000000"/>
          <w:szCs w:val="21"/>
        </w:rPr>
      </w:pPr>
      <w:r>
        <w:rPr>
          <w:rFonts w:hint="eastAsia" w:ascii="方正小标宋简体" w:hAnsi="方正小标宋简体" w:eastAsia="方正小标宋简体" w:cs="方正小标宋简体"/>
          <w:bCs/>
          <w:color w:val="000000"/>
          <w:sz w:val="44"/>
          <w:szCs w:val="44"/>
        </w:rPr>
        <w:t>设 备 采 购 合 同</w:t>
      </w:r>
    </w:p>
    <w:p w14:paraId="23E4A675">
      <w:pPr>
        <w:tabs>
          <w:tab w:val="left" w:pos="1400"/>
          <w:tab w:val="center" w:pos="4846"/>
          <w:tab w:val="right" w:pos="9693"/>
        </w:tabs>
        <w:ind w:right="-693" w:rightChars="-330"/>
        <w:jc w:val="center"/>
        <w:rPr>
          <w:rFonts w:ascii="宋体" w:hAnsi="宋体"/>
          <w:b/>
          <w:color w:val="000000"/>
          <w:szCs w:val="21"/>
        </w:rPr>
      </w:pPr>
    </w:p>
    <w:p w14:paraId="0A93172B">
      <w:pPr>
        <w:spacing w:line="360" w:lineRule="auto"/>
        <w:ind w:firstLine="420" w:firstLineChars="200"/>
        <w:rPr>
          <w:rFonts w:ascii="宋体" w:hAnsi="宋体"/>
          <w:color w:val="000000"/>
          <w:szCs w:val="21"/>
        </w:rPr>
      </w:pPr>
      <w:r>
        <w:rPr>
          <w:rFonts w:hint="eastAsia" w:ascii="宋体" w:hAnsi="宋体"/>
          <w:color w:val="000000"/>
          <w:szCs w:val="21"/>
        </w:rPr>
        <w:t>买方：江苏长江水务股份有限公司</w:t>
      </w:r>
    </w:p>
    <w:p w14:paraId="5999DF74">
      <w:pPr>
        <w:spacing w:line="360" w:lineRule="auto"/>
        <w:ind w:firstLine="420" w:firstLineChars="200"/>
        <w:rPr>
          <w:rFonts w:ascii="宋体" w:hAnsi="宋体"/>
          <w:color w:val="000000"/>
          <w:szCs w:val="21"/>
        </w:rPr>
      </w:pPr>
      <w:r>
        <w:rPr>
          <w:rFonts w:hint="eastAsia" w:ascii="宋体" w:hAnsi="宋体"/>
          <w:color w:val="000000"/>
          <w:szCs w:val="21"/>
        </w:rPr>
        <w:t>卖方：</w:t>
      </w:r>
    </w:p>
    <w:p w14:paraId="31027A50">
      <w:pPr>
        <w:spacing w:line="360" w:lineRule="auto"/>
        <w:ind w:firstLine="420" w:firstLineChars="200"/>
        <w:rPr>
          <w:rFonts w:ascii="宋体" w:hAnsi="宋体"/>
          <w:color w:val="000000"/>
          <w:szCs w:val="21"/>
        </w:rPr>
      </w:pPr>
    </w:p>
    <w:p w14:paraId="12D3149A">
      <w:pPr>
        <w:spacing w:line="360" w:lineRule="auto"/>
        <w:ind w:firstLine="420" w:firstLineChars="200"/>
        <w:rPr>
          <w:rFonts w:ascii="宋体" w:hAnsi="宋体"/>
          <w:color w:val="000000"/>
          <w:szCs w:val="21"/>
        </w:rPr>
      </w:pPr>
      <w:r>
        <w:rPr>
          <w:rFonts w:ascii="宋体" w:hAnsi="宋体"/>
          <w:color w:val="000000"/>
          <w:szCs w:val="21"/>
        </w:rPr>
        <w:t xml:space="preserve">    江苏长江水务股份有限公司（以下简称“买方”）通过招标（招标编号：</w:t>
      </w:r>
      <w:r>
        <w:rPr>
          <w:rFonts w:hint="eastAsia" w:ascii="宋体" w:hAnsi="宋体"/>
          <w:color w:val="000000"/>
          <w:szCs w:val="21"/>
        </w:rPr>
        <w:t>），确定公司（以下简称“卖方”）为江苏长江水务股份有限公司</w:t>
      </w:r>
      <w:r>
        <w:rPr>
          <w:rFonts w:ascii="宋体" w:hAnsi="宋体"/>
          <w:color w:val="000000"/>
          <w:szCs w:val="21"/>
        </w:rPr>
        <w:t>设备采购项目的供应方，经买卖双方协商一致，签订本合同。</w:t>
      </w:r>
    </w:p>
    <w:p w14:paraId="76C04414">
      <w:pPr>
        <w:spacing w:line="360" w:lineRule="auto"/>
        <w:ind w:firstLine="422" w:firstLineChars="200"/>
        <w:rPr>
          <w:rFonts w:ascii="宋体" w:hAnsi="宋体"/>
          <w:b/>
          <w:color w:val="000000"/>
          <w:szCs w:val="21"/>
        </w:rPr>
      </w:pPr>
      <w:r>
        <w:rPr>
          <w:rFonts w:hint="eastAsia" w:ascii="宋体" w:hAnsi="宋体"/>
          <w:b/>
          <w:color w:val="000000"/>
          <w:szCs w:val="21"/>
        </w:rPr>
        <w:t>第一条　名词和用语</w:t>
      </w:r>
    </w:p>
    <w:p w14:paraId="47F09DC4">
      <w:pPr>
        <w:spacing w:line="360" w:lineRule="auto"/>
        <w:ind w:firstLine="420" w:firstLineChars="200"/>
        <w:rPr>
          <w:rFonts w:ascii="宋体" w:hAnsi="宋体"/>
          <w:color w:val="000000"/>
          <w:szCs w:val="21"/>
        </w:rPr>
      </w:pPr>
      <w:r>
        <w:rPr>
          <w:rFonts w:hint="eastAsia" w:ascii="宋体" w:hAnsi="宋体"/>
          <w:color w:val="000000"/>
          <w:szCs w:val="21"/>
        </w:rPr>
        <w:t>下列名词和用语，除上下文另有规定外，有如下含义：</w:t>
      </w:r>
    </w:p>
    <w:p w14:paraId="17DC08EE">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“工程”是指江苏长江水务股份有限公司</w:t>
      </w:r>
      <w:r>
        <w:rPr>
          <w:rFonts w:ascii="宋体" w:hAnsi="宋体"/>
          <w:color w:val="000000"/>
          <w:szCs w:val="21"/>
        </w:rPr>
        <w:t>设备</w:t>
      </w:r>
      <w:r>
        <w:rPr>
          <w:rFonts w:hint="eastAsia" w:ascii="宋体" w:hAnsi="宋体"/>
          <w:color w:val="000000"/>
          <w:szCs w:val="21"/>
        </w:rPr>
        <w:t>采购、</w:t>
      </w:r>
      <w:r>
        <w:rPr>
          <w:rFonts w:ascii="宋体" w:hAnsi="宋体"/>
          <w:color w:val="000000"/>
          <w:szCs w:val="21"/>
        </w:rPr>
        <w:t>安装</w:t>
      </w:r>
      <w:r>
        <w:rPr>
          <w:rFonts w:hint="eastAsia" w:ascii="宋体" w:hAnsi="宋体"/>
          <w:color w:val="000000"/>
          <w:szCs w:val="21"/>
        </w:rPr>
        <w:t>及调试项目</w:t>
      </w:r>
      <w:r>
        <w:rPr>
          <w:rFonts w:ascii="宋体" w:hAnsi="宋体"/>
          <w:color w:val="000000"/>
          <w:szCs w:val="21"/>
        </w:rPr>
        <w:t>。</w:t>
      </w:r>
    </w:p>
    <w:p w14:paraId="4EF13CD2">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“买方”指江苏长江水务股份有限公司或其合法承继者。</w:t>
      </w:r>
    </w:p>
    <w:p w14:paraId="66877F07">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“卖方”是指公司以及其合法承继者。</w:t>
      </w:r>
    </w:p>
    <w:p w14:paraId="5A67BD83">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“中标通知书”：指买方正式接受卖方投标的接受信。</w:t>
      </w:r>
    </w:p>
    <w:p w14:paraId="75E1B7F0">
      <w:pPr>
        <w:numPr>
          <w:ilvl w:val="0"/>
          <w:numId w:val="2"/>
        </w:numPr>
        <w:tabs>
          <w:tab w:val="left" w:pos="540"/>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“不可抗力”：任何一方都不能预见、对其发生及后果不能避免并且超过合理控制范围、且不能克服的自然事件和社会事件。</w:t>
      </w:r>
    </w:p>
    <w:p w14:paraId="60BCFA1D">
      <w:pPr>
        <w:numPr>
          <w:ilvl w:val="0"/>
          <w:numId w:val="2"/>
        </w:numPr>
        <w:tabs>
          <w:tab w:val="left" w:pos="540"/>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“合同价款”：指根据合同条款，用以支付卖方在全面正确地履行合同义务后卖方所应得的金额。</w:t>
      </w:r>
    </w:p>
    <w:p w14:paraId="2ED4F768">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“一方”：指买方或卖方的任何一方。</w:t>
      </w:r>
    </w:p>
    <w:p w14:paraId="67063530">
      <w:pPr>
        <w:numPr>
          <w:ilvl w:val="0"/>
          <w:numId w:val="2"/>
        </w:numPr>
        <w:tabs>
          <w:tab w:val="left" w:pos="540"/>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“服务”：系指合同规定卖方需承担的检验、运输、保险、交接验收、技术援助与保障、培训以及其它类似的在合同中所提到的卖方的义务。</w:t>
      </w:r>
    </w:p>
    <w:p w14:paraId="3361BEBA">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“现场”系指将要进行加工或货物使用的地点。</w:t>
      </w:r>
    </w:p>
    <w:p w14:paraId="6F3297E6">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“技术资料”是指卖方提供的与合同设备及相关的设计、制造、监造、检验、安装、调试、验收、性能验收试验和技术指导等文件</w:t>
      </w:r>
      <w:r>
        <w:rPr>
          <w:rFonts w:ascii="宋体" w:hAnsi="宋体"/>
          <w:color w:val="000000"/>
          <w:szCs w:val="21"/>
        </w:rPr>
        <w:t>(包括图纸、各种文字说明、标准、各种软件)。</w:t>
      </w:r>
    </w:p>
    <w:p w14:paraId="79E55B11">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“合同设备”是指卖方根据合同所供应的机器、装置、材料、物品、专用工具、备品备件等。</w:t>
      </w:r>
    </w:p>
    <w:p w14:paraId="6216CE30">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“技术服务”是指由卖方提供的与本合同设备有关的工程设计、设备监造、检验、土建、安装、调试、验收、性能验收试验、运行、检修时相应的技术指导、技术配合、技术培训等全过程的服务。</w:t>
      </w:r>
    </w:p>
    <w:p w14:paraId="4E50E34A">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“验收”系指买方依据技术规格书规定接受所供货物或/和安装、调试应依据的程序和检验。</w:t>
      </w:r>
    </w:p>
    <w:p w14:paraId="4E9F1C57">
      <w:pPr>
        <w:numPr>
          <w:ilvl w:val="0"/>
          <w:numId w:val="2"/>
        </w:numPr>
        <w:tabs>
          <w:tab w:val="left" w:pos="540"/>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“日、月、年”是指公历的日、月、年；“天”是指</w:t>
      </w:r>
      <w:r>
        <w:rPr>
          <w:rFonts w:ascii="宋体" w:hAnsi="宋体"/>
          <w:color w:val="000000"/>
          <w:szCs w:val="21"/>
        </w:rPr>
        <w:t>24小时；“周”是指7天。</w:t>
      </w:r>
    </w:p>
    <w:p w14:paraId="392721D0">
      <w:pPr>
        <w:numPr>
          <w:ilvl w:val="0"/>
          <w:numId w:val="2"/>
        </w:numPr>
        <w:tabs>
          <w:tab w:val="left" w:pos="540"/>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“备品备件”是指根据本合同提供的随机备用部件。</w:t>
      </w:r>
    </w:p>
    <w:p w14:paraId="64170E95">
      <w:pPr>
        <w:numPr>
          <w:ilvl w:val="0"/>
          <w:numId w:val="2"/>
        </w:numPr>
        <w:tabs>
          <w:tab w:val="left" w:pos="540"/>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“设备缺陷”是指卖方因设计、制造错误或疏忽所引起的本合同设备（包括部件、原材料、铸锻件、原器件等）达不到本合同及技术附件规定的性能、质量标准要求的情形。</w:t>
      </w:r>
    </w:p>
    <w:p w14:paraId="150D11BA">
      <w:pPr>
        <w:numPr>
          <w:ilvl w:val="0"/>
          <w:numId w:val="2"/>
        </w:numPr>
        <w:tabs>
          <w:tab w:val="left" w:pos="540"/>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“初步性能验收”是指当性能验收试验的结果表明已达到了合同附件技术规格书规定的保证值后，买方对合同设备的验收。</w:t>
      </w:r>
    </w:p>
    <w:p w14:paraId="3D82F9B7">
      <w:pPr>
        <w:numPr>
          <w:ilvl w:val="0"/>
          <w:numId w:val="2"/>
        </w:numPr>
        <w:tabs>
          <w:tab w:val="left" w:pos="1060"/>
          <w:tab w:val="clear" w:pos="960"/>
        </w:tabs>
        <w:spacing w:line="360" w:lineRule="auto"/>
        <w:ind w:left="0" w:firstLine="420" w:firstLineChars="200"/>
        <w:rPr>
          <w:rFonts w:ascii="宋体" w:hAnsi="宋体"/>
          <w:color w:val="000000"/>
          <w:szCs w:val="21"/>
        </w:rPr>
      </w:pPr>
      <w:r>
        <w:rPr>
          <w:rFonts w:hint="eastAsia" w:ascii="宋体" w:hAnsi="宋体"/>
          <w:color w:val="000000"/>
          <w:szCs w:val="21"/>
        </w:rPr>
        <w:t>“最终性能验收”是指买方对每一合同设备质量保证期满后的验收。</w:t>
      </w:r>
    </w:p>
    <w:p w14:paraId="5866CE45">
      <w:pPr>
        <w:spacing w:line="360" w:lineRule="auto"/>
        <w:ind w:firstLine="420" w:firstLineChars="200"/>
        <w:rPr>
          <w:rFonts w:ascii="宋体" w:hAnsi="宋体"/>
          <w:color w:val="000000"/>
          <w:szCs w:val="21"/>
        </w:rPr>
      </w:pPr>
    </w:p>
    <w:p w14:paraId="47085A0B">
      <w:pPr>
        <w:spacing w:line="360" w:lineRule="auto"/>
        <w:ind w:firstLine="422" w:firstLineChars="200"/>
        <w:rPr>
          <w:rFonts w:ascii="宋体" w:hAnsi="宋体"/>
          <w:b/>
          <w:color w:val="000000"/>
          <w:szCs w:val="21"/>
        </w:rPr>
      </w:pPr>
      <w:r>
        <w:rPr>
          <w:rFonts w:hint="eastAsia" w:ascii="宋体" w:hAnsi="宋体"/>
          <w:b/>
          <w:color w:val="000000"/>
          <w:szCs w:val="21"/>
        </w:rPr>
        <w:t>第二条　合同条件的构成及解释顺序</w:t>
      </w:r>
    </w:p>
    <w:p w14:paraId="65D2E464">
      <w:pPr>
        <w:spacing w:line="360" w:lineRule="auto"/>
        <w:ind w:firstLine="420" w:firstLineChars="200"/>
        <w:rPr>
          <w:rFonts w:ascii="宋体" w:hAnsi="宋体"/>
          <w:color w:val="000000"/>
          <w:szCs w:val="21"/>
        </w:rPr>
      </w:pPr>
      <w:r>
        <w:rPr>
          <w:rFonts w:hint="eastAsia" w:ascii="宋体" w:hAnsi="宋体"/>
          <w:color w:val="000000"/>
          <w:szCs w:val="21"/>
        </w:rPr>
        <w:t>合同文件应能互相解释，互为说明。除合同另有约定外，其组成和解释顺序如下：</w:t>
      </w:r>
    </w:p>
    <w:p w14:paraId="30026283">
      <w:pPr>
        <w:numPr>
          <w:ilvl w:val="0"/>
          <w:numId w:val="3"/>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双方协商同意的对本合同的变更、补充协议等正式书面文件；</w:t>
      </w:r>
    </w:p>
    <w:p w14:paraId="60ABCC50">
      <w:pPr>
        <w:numPr>
          <w:ilvl w:val="0"/>
          <w:numId w:val="3"/>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本合同；</w:t>
      </w:r>
    </w:p>
    <w:p w14:paraId="2CE7C5D7">
      <w:pPr>
        <w:numPr>
          <w:ilvl w:val="0"/>
          <w:numId w:val="3"/>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中标通知书；</w:t>
      </w:r>
    </w:p>
    <w:p w14:paraId="59E27EA1">
      <w:pPr>
        <w:numPr>
          <w:ilvl w:val="0"/>
          <w:numId w:val="3"/>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投标文件；</w:t>
      </w:r>
    </w:p>
    <w:p w14:paraId="7CD59953">
      <w:pPr>
        <w:numPr>
          <w:ilvl w:val="0"/>
          <w:numId w:val="3"/>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买方提供的工程技术资料和技术要求；</w:t>
      </w:r>
    </w:p>
    <w:p w14:paraId="18776763">
      <w:pPr>
        <w:numPr>
          <w:ilvl w:val="0"/>
          <w:numId w:val="3"/>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卖方提供的技术资料；</w:t>
      </w:r>
    </w:p>
    <w:p w14:paraId="2C462869">
      <w:pPr>
        <w:numPr>
          <w:ilvl w:val="0"/>
          <w:numId w:val="3"/>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招标文件；</w:t>
      </w:r>
    </w:p>
    <w:p w14:paraId="035C095B">
      <w:pPr>
        <w:spacing w:line="360" w:lineRule="auto"/>
        <w:ind w:firstLine="420" w:firstLineChars="200"/>
        <w:rPr>
          <w:rFonts w:ascii="宋体" w:hAnsi="宋体"/>
          <w:color w:val="000000"/>
          <w:szCs w:val="21"/>
        </w:rPr>
      </w:pPr>
      <w:r>
        <w:rPr>
          <w:rFonts w:hint="eastAsia" w:ascii="宋体" w:hAnsi="宋体"/>
          <w:color w:val="000000"/>
          <w:szCs w:val="21"/>
        </w:rPr>
        <w:t>当合同文件出现含糊不清或不相一致，并按上述规定不能解决时，由双方协商解决；双方经协商不能达成一致的，按本合同第二十六条约定的办法解决。</w:t>
      </w:r>
    </w:p>
    <w:p w14:paraId="49C5DDE4">
      <w:pPr>
        <w:spacing w:line="360" w:lineRule="auto"/>
        <w:ind w:firstLine="420" w:firstLineChars="200"/>
        <w:rPr>
          <w:rFonts w:ascii="宋体" w:hAnsi="宋体"/>
          <w:color w:val="000000"/>
          <w:szCs w:val="21"/>
        </w:rPr>
      </w:pPr>
    </w:p>
    <w:p w14:paraId="33046BC8">
      <w:pPr>
        <w:spacing w:line="360" w:lineRule="auto"/>
        <w:ind w:firstLine="422" w:firstLineChars="200"/>
        <w:rPr>
          <w:rFonts w:ascii="宋体" w:hAnsi="宋体"/>
          <w:b/>
          <w:color w:val="000000"/>
          <w:szCs w:val="21"/>
        </w:rPr>
      </w:pPr>
    </w:p>
    <w:p w14:paraId="42DD1FFD">
      <w:pPr>
        <w:spacing w:line="360" w:lineRule="auto"/>
        <w:ind w:firstLine="422" w:firstLineChars="200"/>
        <w:rPr>
          <w:rFonts w:ascii="宋体" w:hAnsi="宋体"/>
          <w:b/>
          <w:color w:val="000000"/>
          <w:szCs w:val="21"/>
        </w:rPr>
      </w:pPr>
      <w:r>
        <w:rPr>
          <w:rFonts w:hint="eastAsia" w:ascii="宋体" w:hAnsi="宋体"/>
          <w:b/>
          <w:color w:val="000000"/>
          <w:szCs w:val="21"/>
        </w:rPr>
        <w:t>第三条 适用的法律</w:t>
      </w:r>
    </w:p>
    <w:p w14:paraId="223C28D1">
      <w:pPr>
        <w:spacing w:line="360" w:lineRule="auto"/>
        <w:ind w:firstLine="420" w:firstLineChars="200"/>
        <w:rPr>
          <w:rFonts w:ascii="宋体" w:hAnsi="宋体"/>
          <w:color w:val="000000"/>
          <w:szCs w:val="21"/>
        </w:rPr>
      </w:pPr>
      <w:r>
        <w:rPr>
          <w:rFonts w:hint="eastAsia" w:ascii="宋体" w:hAnsi="宋体"/>
          <w:color w:val="000000"/>
          <w:szCs w:val="21"/>
        </w:rPr>
        <w:t>本合同适用的法律是指中华人民共和国的法律、行政法规，以及双方议定的部门规章或设备安装地的地方法规、地方规章。</w:t>
      </w:r>
    </w:p>
    <w:p w14:paraId="4A56A600">
      <w:pPr>
        <w:spacing w:line="360" w:lineRule="auto"/>
        <w:ind w:firstLine="420" w:firstLineChars="200"/>
        <w:rPr>
          <w:rFonts w:ascii="宋体" w:hAnsi="宋体"/>
          <w:color w:val="000000"/>
          <w:szCs w:val="21"/>
        </w:rPr>
      </w:pPr>
      <w:r>
        <w:rPr>
          <w:rFonts w:hint="eastAsia" w:ascii="宋体" w:hAnsi="宋体"/>
          <w:color w:val="000000"/>
          <w:szCs w:val="21"/>
        </w:rPr>
        <w:t>本合同文件使用中文书写、解释和说明。除技术规格书中另有规定外，计量单位均使用国际单位制。</w:t>
      </w:r>
    </w:p>
    <w:p w14:paraId="70ACFBA6">
      <w:pPr>
        <w:spacing w:line="360" w:lineRule="auto"/>
        <w:ind w:firstLine="420" w:firstLineChars="200"/>
        <w:rPr>
          <w:rFonts w:ascii="宋体" w:hAnsi="宋体"/>
          <w:color w:val="000000"/>
          <w:szCs w:val="21"/>
        </w:rPr>
      </w:pPr>
    </w:p>
    <w:p w14:paraId="7222B869">
      <w:pPr>
        <w:spacing w:line="360" w:lineRule="auto"/>
        <w:ind w:firstLine="422" w:firstLineChars="200"/>
        <w:rPr>
          <w:rFonts w:ascii="宋体" w:hAnsi="宋体"/>
          <w:b/>
          <w:color w:val="000000"/>
          <w:szCs w:val="21"/>
        </w:rPr>
      </w:pPr>
      <w:r>
        <w:rPr>
          <w:rFonts w:hint="eastAsia" w:ascii="宋体" w:hAnsi="宋体"/>
          <w:b/>
          <w:color w:val="000000"/>
          <w:szCs w:val="21"/>
        </w:rPr>
        <w:t>第四条 合同标的</w:t>
      </w:r>
    </w:p>
    <w:p w14:paraId="702F0AF6">
      <w:pPr>
        <w:numPr>
          <w:ilvl w:val="0"/>
          <w:numId w:val="4"/>
        </w:numPr>
        <w:tabs>
          <w:tab w:val="left" w:pos="900"/>
          <w:tab w:val="left" w:pos="1440"/>
          <w:tab w:val="clear" w:pos="1080"/>
        </w:tabs>
        <w:spacing w:line="360" w:lineRule="auto"/>
        <w:ind w:left="0" w:firstLine="420" w:firstLineChars="200"/>
        <w:rPr>
          <w:rFonts w:ascii="宋体" w:hAnsi="宋体"/>
          <w:color w:val="000000"/>
          <w:szCs w:val="21"/>
        </w:rPr>
      </w:pPr>
      <w:r>
        <w:rPr>
          <w:rFonts w:hint="eastAsia" w:ascii="宋体" w:hAnsi="宋体"/>
          <w:color w:val="000000"/>
          <w:szCs w:val="21"/>
        </w:rPr>
        <w:t>设备名称、规格</w:t>
      </w:r>
      <w:r>
        <w:rPr>
          <w:rFonts w:ascii="宋体" w:hAnsi="宋体"/>
          <w:color w:val="000000"/>
          <w:szCs w:val="21"/>
        </w:rPr>
        <w:t>(型号)、数量</w:t>
      </w:r>
    </w:p>
    <w:p w14:paraId="3E9AB938">
      <w:pPr>
        <w:tabs>
          <w:tab w:val="left" w:pos="900"/>
        </w:tabs>
        <w:spacing w:line="360" w:lineRule="auto"/>
        <w:ind w:firstLine="420" w:firstLineChars="200"/>
        <w:rPr>
          <w:rFonts w:ascii="宋体" w:hAnsi="宋体"/>
          <w:color w:val="000000"/>
          <w:szCs w:val="21"/>
        </w:rPr>
      </w:pPr>
      <w:r>
        <w:rPr>
          <w:rFonts w:hint="eastAsia" w:ascii="宋体" w:hAnsi="宋体"/>
          <w:color w:val="000000"/>
          <w:szCs w:val="21"/>
        </w:rPr>
        <w:t>设备名称：</w:t>
      </w:r>
    </w:p>
    <w:p w14:paraId="3811A9B0">
      <w:pPr>
        <w:tabs>
          <w:tab w:val="left" w:pos="900"/>
        </w:tabs>
        <w:spacing w:line="360" w:lineRule="auto"/>
        <w:ind w:firstLine="420" w:firstLineChars="200"/>
        <w:rPr>
          <w:rFonts w:ascii="宋体" w:hAnsi="宋体"/>
          <w:color w:val="000000"/>
          <w:szCs w:val="21"/>
        </w:rPr>
      </w:pPr>
      <w:r>
        <w:rPr>
          <w:rFonts w:hint="eastAsia" w:ascii="宋体" w:hAnsi="宋体"/>
          <w:color w:val="000000"/>
          <w:szCs w:val="21"/>
        </w:rPr>
        <w:t>设备规格</w:t>
      </w:r>
      <w:r>
        <w:rPr>
          <w:rFonts w:ascii="宋体" w:hAnsi="宋体"/>
          <w:color w:val="000000"/>
          <w:szCs w:val="21"/>
        </w:rPr>
        <w:t>(型号)及数量：</w:t>
      </w:r>
    </w:p>
    <w:p w14:paraId="1B462ED7">
      <w:pPr>
        <w:numPr>
          <w:ilvl w:val="0"/>
          <w:numId w:val="4"/>
        </w:numPr>
        <w:tabs>
          <w:tab w:val="left" w:pos="900"/>
          <w:tab w:val="left" w:pos="1440"/>
          <w:tab w:val="clear" w:pos="1080"/>
        </w:tabs>
        <w:spacing w:line="360" w:lineRule="auto"/>
        <w:ind w:left="0" w:firstLine="420" w:firstLineChars="200"/>
        <w:rPr>
          <w:rFonts w:ascii="宋体" w:hAnsi="宋体"/>
          <w:color w:val="000000"/>
          <w:szCs w:val="21"/>
        </w:rPr>
      </w:pPr>
      <w:r>
        <w:rPr>
          <w:rFonts w:hint="eastAsia" w:ascii="宋体" w:hAnsi="宋体"/>
          <w:color w:val="000000"/>
          <w:szCs w:val="21"/>
        </w:rPr>
        <w:t>凡卖方供应的设备应是全新的、安全的、经济的、技术先进并且是成熟可靠的。</w:t>
      </w:r>
    </w:p>
    <w:p w14:paraId="359FE00D">
      <w:pPr>
        <w:numPr>
          <w:ilvl w:val="0"/>
          <w:numId w:val="4"/>
        </w:numPr>
        <w:tabs>
          <w:tab w:val="left" w:pos="900"/>
          <w:tab w:val="left" w:pos="1440"/>
          <w:tab w:val="clear" w:pos="1080"/>
        </w:tabs>
        <w:spacing w:line="360" w:lineRule="auto"/>
        <w:ind w:left="0" w:firstLine="420" w:firstLineChars="200"/>
        <w:rPr>
          <w:rFonts w:ascii="宋体" w:hAnsi="宋体"/>
          <w:color w:val="000000"/>
          <w:szCs w:val="21"/>
        </w:rPr>
      </w:pPr>
      <w:r>
        <w:rPr>
          <w:rFonts w:hint="eastAsia" w:ascii="宋体" w:hAnsi="宋体"/>
          <w:color w:val="000000"/>
          <w:szCs w:val="21"/>
        </w:rPr>
        <w:t>设备的技术规范、技术经济指标和性能、合同设备的供货范围、卖方提供的技术资料和技术服务。</w:t>
      </w:r>
    </w:p>
    <w:p w14:paraId="52F421E6">
      <w:pPr>
        <w:numPr>
          <w:ilvl w:val="0"/>
          <w:numId w:val="4"/>
        </w:numPr>
        <w:tabs>
          <w:tab w:val="left" w:pos="900"/>
          <w:tab w:val="left" w:pos="1440"/>
          <w:tab w:val="clear" w:pos="1080"/>
        </w:tabs>
        <w:spacing w:line="360" w:lineRule="auto"/>
        <w:ind w:left="0" w:firstLine="420" w:firstLineChars="200"/>
        <w:rPr>
          <w:rFonts w:ascii="宋体" w:hAnsi="宋体"/>
          <w:color w:val="000000"/>
          <w:szCs w:val="21"/>
        </w:rPr>
      </w:pPr>
      <w:r>
        <w:rPr>
          <w:rFonts w:ascii="宋体" w:hAnsi="宋体"/>
          <w:color w:val="000000"/>
          <w:szCs w:val="21"/>
        </w:rPr>
        <w:t>买方有权对采购设备的数量在一定范围内调整，单价仍按投标时的价格。</w:t>
      </w:r>
    </w:p>
    <w:p w14:paraId="7FC15FBB">
      <w:pPr>
        <w:spacing w:line="360" w:lineRule="auto"/>
        <w:ind w:firstLine="420" w:firstLineChars="200"/>
        <w:rPr>
          <w:rFonts w:ascii="宋体" w:hAnsi="宋体"/>
          <w:color w:val="000000"/>
          <w:szCs w:val="21"/>
        </w:rPr>
      </w:pPr>
    </w:p>
    <w:p w14:paraId="06958AC8">
      <w:pPr>
        <w:spacing w:line="360" w:lineRule="auto"/>
        <w:ind w:firstLine="422" w:firstLineChars="200"/>
        <w:rPr>
          <w:rFonts w:ascii="宋体" w:hAnsi="宋体"/>
          <w:color w:val="000000"/>
          <w:szCs w:val="21"/>
        </w:rPr>
      </w:pPr>
      <w:r>
        <w:rPr>
          <w:rFonts w:hint="eastAsia" w:ascii="宋体" w:hAnsi="宋体"/>
          <w:b/>
          <w:color w:val="000000"/>
          <w:szCs w:val="21"/>
        </w:rPr>
        <w:t>第五条供货范围</w:t>
      </w:r>
    </w:p>
    <w:p w14:paraId="2F723145">
      <w:pPr>
        <w:spacing w:line="360" w:lineRule="auto"/>
        <w:ind w:firstLine="420" w:firstLineChars="200"/>
        <w:rPr>
          <w:rFonts w:ascii="宋体" w:hAnsi="宋体"/>
          <w:color w:val="000000"/>
          <w:szCs w:val="21"/>
        </w:rPr>
      </w:pPr>
      <w:r>
        <w:rPr>
          <w:rFonts w:hint="eastAsia" w:ascii="宋体" w:hAnsi="宋体"/>
          <w:color w:val="000000"/>
          <w:szCs w:val="21"/>
        </w:rPr>
        <w:t>本合同的供货范围包括了所有设备、技术资料、专用工具、备品备件、人员培训及技术协调、技术服务及调试，但在执行合同过程中如发现有任何漏项和短缺，在发货清单中并未列入而且确实是卖方供货范围中应该有的，并且是满足技术规格书对合同设备的性能保证值要求所必须的，均应由卖方负责将所缺的设备、技术资料、专用工具、备品备件、人员培训及技术协调、技术服务及技术指导等补上，发生的费用由卖方承担。</w:t>
      </w:r>
    </w:p>
    <w:p w14:paraId="44D95EA3">
      <w:pPr>
        <w:spacing w:line="360" w:lineRule="auto"/>
        <w:ind w:firstLine="420" w:firstLineChars="200"/>
        <w:rPr>
          <w:rFonts w:ascii="宋体" w:hAnsi="宋体"/>
          <w:color w:val="000000"/>
          <w:szCs w:val="21"/>
        </w:rPr>
      </w:pPr>
    </w:p>
    <w:p w14:paraId="1C1BEBC1">
      <w:pPr>
        <w:spacing w:line="360" w:lineRule="auto"/>
        <w:ind w:firstLine="422" w:firstLineChars="200"/>
        <w:rPr>
          <w:rFonts w:ascii="宋体" w:hAnsi="宋体"/>
          <w:b/>
          <w:color w:val="000000"/>
          <w:szCs w:val="21"/>
        </w:rPr>
      </w:pPr>
      <w:r>
        <w:rPr>
          <w:rFonts w:hint="eastAsia" w:ascii="宋体" w:hAnsi="宋体"/>
          <w:b/>
          <w:color w:val="000000"/>
          <w:szCs w:val="21"/>
        </w:rPr>
        <w:t>第六条包装</w:t>
      </w:r>
    </w:p>
    <w:p w14:paraId="6C08FDC8">
      <w:pPr>
        <w:numPr>
          <w:ilvl w:val="0"/>
          <w:numId w:val="5"/>
        </w:numPr>
        <w:tabs>
          <w:tab w:val="left" w:pos="1440"/>
        </w:tabs>
        <w:spacing w:line="360" w:lineRule="auto"/>
        <w:ind w:left="0" w:firstLine="420" w:firstLineChars="200"/>
        <w:rPr>
          <w:rFonts w:ascii="宋体" w:hAnsi="宋体"/>
          <w:color w:val="000000"/>
          <w:szCs w:val="21"/>
        </w:rPr>
      </w:pPr>
      <w:r>
        <w:rPr>
          <w:rFonts w:hint="eastAsia" w:ascii="宋体" w:hAnsi="宋体"/>
          <w:color w:val="000000"/>
          <w:szCs w:val="21"/>
        </w:rPr>
        <w:t>除非本合同另有规定外，卖方提供所有货物的包装应符合技术规格书及货物承运部门的有关规定，采用良好的防湿、防潮、防震和防野蛮装卸等保护措施，以确保货物安全运抵现场而不使货物受损。如果由于包装不妥或不合理而引起货物损坏和丢失的责任，卖方应按本合同第十五条的规定承担更换或赔偿的责任。如果因此造成整个工程损失的，卖方应对此类损失承担赔偿责任。</w:t>
      </w:r>
    </w:p>
    <w:p w14:paraId="14E888EF">
      <w:pPr>
        <w:numPr>
          <w:ilvl w:val="0"/>
          <w:numId w:val="5"/>
        </w:numPr>
        <w:tabs>
          <w:tab w:val="left" w:pos="1440"/>
        </w:tabs>
        <w:spacing w:line="360" w:lineRule="auto"/>
        <w:ind w:left="0" w:firstLine="420" w:firstLineChars="200"/>
        <w:rPr>
          <w:rFonts w:ascii="宋体" w:hAnsi="宋体"/>
          <w:color w:val="000000"/>
          <w:szCs w:val="21"/>
        </w:rPr>
      </w:pPr>
      <w:r>
        <w:rPr>
          <w:rFonts w:hint="eastAsia" w:ascii="宋体" w:hAnsi="宋体"/>
          <w:color w:val="000000"/>
          <w:szCs w:val="21"/>
        </w:rPr>
        <w:t>卖方应提供四套详细装箱单和质量证书，其中一套随运输工具发送，两套在货物备妥及运输工具发出</w:t>
      </w:r>
      <w:r>
        <w:rPr>
          <w:rFonts w:ascii="宋体" w:hAnsi="宋体"/>
          <w:color w:val="000000"/>
          <w:szCs w:val="21"/>
        </w:rPr>
        <w:t>24小时内用特快专递寄送给买方，一套随发票结算。随发票结算的一套应标明货物的单价和总价。</w:t>
      </w:r>
    </w:p>
    <w:p w14:paraId="270B342F">
      <w:pPr>
        <w:numPr>
          <w:ilvl w:val="0"/>
          <w:numId w:val="5"/>
        </w:numPr>
        <w:tabs>
          <w:tab w:val="left" w:pos="1440"/>
        </w:tabs>
        <w:spacing w:line="360" w:lineRule="auto"/>
        <w:ind w:left="0" w:firstLine="420" w:firstLineChars="200"/>
        <w:rPr>
          <w:rFonts w:ascii="宋体" w:hAnsi="宋体"/>
          <w:color w:val="000000"/>
          <w:szCs w:val="21"/>
        </w:rPr>
      </w:pPr>
      <w:r>
        <w:rPr>
          <w:rFonts w:hint="eastAsia" w:ascii="宋体" w:hAnsi="宋体"/>
          <w:color w:val="000000"/>
          <w:szCs w:val="21"/>
        </w:rPr>
        <w:t>装箱单因包括如下内容：</w:t>
      </w:r>
    </w:p>
    <w:p w14:paraId="0909996D">
      <w:pPr>
        <w:numPr>
          <w:ilvl w:val="0"/>
          <w:numId w:val="6"/>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合同号；</w:t>
      </w:r>
    </w:p>
    <w:p w14:paraId="3FED04A1">
      <w:pPr>
        <w:numPr>
          <w:ilvl w:val="0"/>
          <w:numId w:val="6"/>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设备号；</w:t>
      </w:r>
    </w:p>
    <w:p w14:paraId="6C7107A4">
      <w:pPr>
        <w:numPr>
          <w:ilvl w:val="0"/>
          <w:numId w:val="6"/>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货物备妥发运日；</w:t>
      </w:r>
    </w:p>
    <w:p w14:paraId="75898F43">
      <w:pPr>
        <w:numPr>
          <w:ilvl w:val="0"/>
          <w:numId w:val="6"/>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货物名称及编号；</w:t>
      </w:r>
    </w:p>
    <w:p w14:paraId="750A25F8">
      <w:pPr>
        <w:numPr>
          <w:ilvl w:val="0"/>
          <w:numId w:val="6"/>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货物总毛重；</w:t>
      </w:r>
    </w:p>
    <w:p w14:paraId="199F1152">
      <w:pPr>
        <w:numPr>
          <w:ilvl w:val="0"/>
          <w:numId w:val="6"/>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货物总体积；</w:t>
      </w:r>
    </w:p>
    <w:p w14:paraId="1C3E8A8C">
      <w:pPr>
        <w:numPr>
          <w:ilvl w:val="0"/>
          <w:numId w:val="6"/>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总包装件数；</w:t>
      </w:r>
    </w:p>
    <w:p w14:paraId="4574E76B">
      <w:pPr>
        <w:numPr>
          <w:ilvl w:val="0"/>
          <w:numId w:val="6"/>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重量超过二吨（包括二吨）或尺寸超过</w:t>
      </w:r>
      <w:r>
        <w:rPr>
          <w:rFonts w:ascii="宋体" w:hAnsi="宋体"/>
          <w:color w:val="000000"/>
          <w:szCs w:val="21"/>
        </w:rPr>
        <w:t>9米×3米×3米的每件货物的名称、重量、体积和件数。对每件该类设备(部件)必须标明重心和吊点位置，并附有草图。</w:t>
      </w:r>
    </w:p>
    <w:p w14:paraId="19294919">
      <w:pPr>
        <w:numPr>
          <w:ilvl w:val="0"/>
          <w:numId w:val="6"/>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对于特殊物品</w:t>
      </w:r>
      <w:r>
        <w:rPr>
          <w:rFonts w:ascii="宋体" w:hAnsi="宋体"/>
          <w:color w:val="000000"/>
          <w:szCs w:val="21"/>
        </w:rPr>
        <w:t>(易燃、易爆、有毒物品及</w:t>
      </w:r>
      <w:r>
        <w:rPr>
          <w:rFonts w:hint="eastAsia" w:ascii="宋体" w:hAnsi="宋体"/>
          <w:color w:val="000000"/>
          <w:szCs w:val="21"/>
        </w:rPr>
        <w:t>其它危险品和运输过程中对温度等环境因素和震动有特殊要求的设备或物品</w:t>
      </w:r>
      <w:r>
        <w:rPr>
          <w:rFonts w:ascii="宋体" w:hAnsi="宋体"/>
          <w:color w:val="000000"/>
          <w:szCs w:val="21"/>
        </w:rPr>
        <w:t>)必须特别标明其品名、性质、特殊保护措施、保存方法以及处理意外情况的方法。</w:t>
      </w:r>
    </w:p>
    <w:p w14:paraId="2BFB6621">
      <w:pPr>
        <w:numPr>
          <w:ilvl w:val="0"/>
          <w:numId w:val="5"/>
        </w:numPr>
        <w:tabs>
          <w:tab w:val="left" w:pos="1440"/>
        </w:tabs>
        <w:spacing w:line="360" w:lineRule="auto"/>
        <w:ind w:left="0" w:firstLine="420" w:firstLineChars="200"/>
        <w:rPr>
          <w:rFonts w:ascii="宋体" w:hAnsi="宋体"/>
          <w:color w:val="000000"/>
          <w:szCs w:val="21"/>
        </w:rPr>
      </w:pPr>
      <w:r>
        <w:rPr>
          <w:rFonts w:hint="eastAsia" w:ascii="宋体" w:hAnsi="宋体"/>
          <w:color w:val="000000"/>
          <w:szCs w:val="21"/>
        </w:rPr>
        <w:t>对裸装货物应以金属标签</w:t>
      </w:r>
      <w:r>
        <w:rPr>
          <w:rFonts w:ascii="宋体" w:hAnsi="宋体"/>
          <w:color w:val="000000"/>
          <w:szCs w:val="21"/>
        </w:rPr>
        <w:t>(金属铭牌)或在设备本身上注明上述有关内容。大件货物应带有足够的货物支架或包装垫木。</w:t>
      </w:r>
    </w:p>
    <w:p w14:paraId="226850EC">
      <w:pPr>
        <w:numPr>
          <w:ilvl w:val="0"/>
          <w:numId w:val="5"/>
        </w:numPr>
        <w:tabs>
          <w:tab w:val="left" w:pos="1440"/>
        </w:tabs>
        <w:spacing w:line="360" w:lineRule="auto"/>
        <w:ind w:left="0" w:firstLine="420" w:firstLineChars="200"/>
        <w:rPr>
          <w:rFonts w:ascii="宋体" w:hAnsi="宋体"/>
          <w:color w:val="000000"/>
          <w:szCs w:val="21"/>
        </w:rPr>
      </w:pPr>
      <w:r>
        <w:rPr>
          <w:rFonts w:hint="eastAsia" w:ascii="宋体" w:hAnsi="宋体"/>
          <w:color w:val="000000"/>
          <w:szCs w:val="21"/>
        </w:rPr>
        <w:t>备品备件、专用工具应与对应设备分别包装，并在包装箱外按</w:t>
      </w:r>
      <w:r>
        <w:rPr>
          <w:rFonts w:ascii="宋体" w:hAnsi="宋体"/>
          <w:color w:val="000000"/>
          <w:szCs w:val="21"/>
        </w:rPr>
        <w:t>7.2条注明内容，并标明“备品配件”或“专用工具”的字样，一次性发货。</w:t>
      </w:r>
    </w:p>
    <w:p w14:paraId="6CDF467C">
      <w:pPr>
        <w:numPr>
          <w:ilvl w:val="0"/>
          <w:numId w:val="5"/>
        </w:numPr>
        <w:tabs>
          <w:tab w:val="left" w:pos="1440"/>
        </w:tabs>
        <w:spacing w:line="360" w:lineRule="auto"/>
        <w:ind w:left="0" w:firstLine="420" w:firstLineChars="200"/>
        <w:rPr>
          <w:rFonts w:ascii="宋体" w:hAnsi="宋体"/>
          <w:color w:val="000000"/>
          <w:szCs w:val="21"/>
        </w:rPr>
      </w:pPr>
      <w:r>
        <w:rPr>
          <w:rFonts w:hint="eastAsia" w:ascii="宋体" w:hAnsi="宋体"/>
          <w:color w:val="000000"/>
          <w:szCs w:val="21"/>
        </w:rPr>
        <w:t>所有设备的端口必须用保护盖或其它方式妥善防护。</w:t>
      </w:r>
    </w:p>
    <w:p w14:paraId="6A645633">
      <w:pPr>
        <w:numPr>
          <w:ilvl w:val="0"/>
          <w:numId w:val="5"/>
        </w:numPr>
        <w:tabs>
          <w:tab w:val="left" w:pos="1440"/>
        </w:tabs>
        <w:spacing w:line="360" w:lineRule="auto"/>
        <w:ind w:left="0" w:firstLine="420" w:firstLineChars="200"/>
        <w:rPr>
          <w:rFonts w:ascii="宋体" w:hAnsi="宋体"/>
          <w:color w:val="000000"/>
          <w:szCs w:val="21"/>
        </w:rPr>
      </w:pPr>
      <w:r>
        <w:rPr>
          <w:rFonts w:hint="eastAsia" w:ascii="宋体" w:hAnsi="宋体"/>
          <w:color w:val="000000"/>
          <w:szCs w:val="21"/>
        </w:rPr>
        <w:t>卖方不得用同一箱号标明任何两个箱件，包装箱应连续编号，而且在全部装运的过程中，装箱编号的顺序始终是连贯的。</w:t>
      </w:r>
    </w:p>
    <w:p w14:paraId="23D3050B">
      <w:pPr>
        <w:numPr>
          <w:ilvl w:val="0"/>
          <w:numId w:val="5"/>
        </w:numPr>
        <w:tabs>
          <w:tab w:val="left" w:pos="1440"/>
        </w:tabs>
        <w:spacing w:line="360" w:lineRule="auto"/>
        <w:ind w:left="0" w:firstLine="420" w:firstLineChars="200"/>
        <w:rPr>
          <w:rFonts w:ascii="宋体" w:hAnsi="宋体"/>
          <w:color w:val="000000"/>
          <w:szCs w:val="21"/>
        </w:rPr>
      </w:pPr>
      <w:r>
        <w:rPr>
          <w:rFonts w:hint="eastAsia" w:ascii="宋体" w:hAnsi="宋体"/>
          <w:color w:val="000000"/>
          <w:szCs w:val="21"/>
        </w:rPr>
        <w:t>对于需要保证精确装配的明亮洁净加工面的货物，加工面应采用优良，耐久的保护层</w:t>
      </w:r>
      <w:r>
        <w:rPr>
          <w:rFonts w:ascii="宋体" w:hAnsi="宋体"/>
          <w:color w:val="000000"/>
          <w:szCs w:val="21"/>
        </w:rPr>
        <w:t>(不得用油漆)以防止在安装前发生锈蚀和损坏。</w:t>
      </w:r>
    </w:p>
    <w:p w14:paraId="20EF70F6">
      <w:pPr>
        <w:numPr>
          <w:ilvl w:val="0"/>
          <w:numId w:val="5"/>
        </w:numPr>
        <w:tabs>
          <w:tab w:val="left" w:pos="1440"/>
        </w:tabs>
        <w:spacing w:line="360" w:lineRule="auto"/>
        <w:ind w:left="0" w:firstLine="420" w:firstLineChars="200"/>
        <w:rPr>
          <w:rFonts w:ascii="宋体" w:hAnsi="宋体"/>
          <w:color w:val="000000"/>
          <w:szCs w:val="21"/>
        </w:rPr>
      </w:pPr>
      <w:r>
        <w:rPr>
          <w:rFonts w:hint="eastAsia" w:ascii="宋体" w:hAnsi="宋体"/>
          <w:color w:val="000000"/>
          <w:szCs w:val="21"/>
        </w:rPr>
        <w:t>卖方交付的技术资料应使用适合于长途运输、多次搬运、防雨和防潮的包装，并应防止潮气和水的侵蚀。每包技术资料的封面上应注明下述内容：</w:t>
      </w:r>
    </w:p>
    <w:p w14:paraId="2DA53E0F">
      <w:pPr>
        <w:numPr>
          <w:ilvl w:val="0"/>
          <w:numId w:val="7"/>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合同号；</w:t>
      </w:r>
    </w:p>
    <w:p w14:paraId="3DD5FCBA">
      <w:pPr>
        <w:numPr>
          <w:ilvl w:val="0"/>
          <w:numId w:val="7"/>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供货、收货单位名称；</w:t>
      </w:r>
    </w:p>
    <w:p w14:paraId="48D572C6">
      <w:pPr>
        <w:numPr>
          <w:ilvl w:val="0"/>
          <w:numId w:val="7"/>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目的地；</w:t>
      </w:r>
    </w:p>
    <w:p w14:paraId="2A38D847">
      <w:pPr>
        <w:numPr>
          <w:ilvl w:val="0"/>
          <w:numId w:val="7"/>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毛重；</w:t>
      </w:r>
    </w:p>
    <w:p w14:paraId="74D9955B">
      <w:pPr>
        <w:numPr>
          <w:ilvl w:val="0"/>
          <w:numId w:val="7"/>
        </w:numPr>
        <w:tabs>
          <w:tab w:val="left" w:pos="1060"/>
          <w:tab w:val="left" w:pos="1440"/>
          <w:tab w:val="clear" w:pos="1140"/>
        </w:tabs>
        <w:spacing w:line="360" w:lineRule="auto"/>
        <w:ind w:left="0" w:firstLine="420" w:firstLineChars="200"/>
        <w:rPr>
          <w:rFonts w:ascii="宋体" w:hAnsi="宋体"/>
          <w:color w:val="000000"/>
          <w:szCs w:val="21"/>
        </w:rPr>
      </w:pPr>
      <w:r>
        <w:rPr>
          <w:rFonts w:hint="eastAsia" w:ascii="宋体" w:hAnsi="宋体"/>
          <w:color w:val="000000"/>
          <w:szCs w:val="21"/>
        </w:rPr>
        <w:t>箱号</w:t>
      </w:r>
      <w:r>
        <w:rPr>
          <w:rFonts w:ascii="宋体" w:hAnsi="宋体"/>
          <w:color w:val="000000"/>
          <w:szCs w:val="21"/>
        </w:rPr>
        <w:t>/件号。</w:t>
      </w:r>
    </w:p>
    <w:p w14:paraId="5E6C2F89">
      <w:pPr>
        <w:spacing w:line="360" w:lineRule="auto"/>
        <w:ind w:firstLine="420" w:firstLineChars="200"/>
        <w:rPr>
          <w:rFonts w:ascii="宋体" w:hAnsi="宋体"/>
          <w:color w:val="000000"/>
          <w:szCs w:val="21"/>
        </w:rPr>
      </w:pPr>
      <w:r>
        <w:rPr>
          <w:rFonts w:hint="eastAsia" w:ascii="宋体" w:hAnsi="宋体"/>
          <w:color w:val="000000"/>
          <w:szCs w:val="21"/>
        </w:rPr>
        <w:t>每一包资料内应附有技术资料的详细清单一式二份，标明技术资料的序号、文件项号、名称和页数。</w:t>
      </w:r>
    </w:p>
    <w:p w14:paraId="7B51ED3D">
      <w:pPr>
        <w:spacing w:line="360" w:lineRule="auto"/>
        <w:ind w:firstLine="420" w:firstLineChars="200"/>
        <w:rPr>
          <w:rFonts w:ascii="宋体" w:hAnsi="宋体"/>
          <w:color w:val="000000"/>
          <w:szCs w:val="21"/>
        </w:rPr>
      </w:pPr>
    </w:p>
    <w:p w14:paraId="630E75B8">
      <w:pPr>
        <w:spacing w:line="360" w:lineRule="auto"/>
        <w:ind w:firstLine="422" w:firstLineChars="200"/>
        <w:rPr>
          <w:rFonts w:ascii="宋体" w:hAnsi="宋体"/>
          <w:b/>
          <w:color w:val="000000"/>
          <w:szCs w:val="21"/>
        </w:rPr>
      </w:pPr>
      <w:r>
        <w:rPr>
          <w:rFonts w:hint="eastAsia" w:ascii="宋体" w:hAnsi="宋体"/>
          <w:b/>
          <w:color w:val="000000"/>
          <w:szCs w:val="21"/>
        </w:rPr>
        <w:t>第七条标记</w:t>
      </w:r>
    </w:p>
    <w:p w14:paraId="06206C02">
      <w:pPr>
        <w:numPr>
          <w:ilvl w:val="0"/>
          <w:numId w:val="8"/>
        </w:numPr>
        <w:tabs>
          <w:tab w:val="left" w:pos="900"/>
          <w:tab w:val="left" w:pos="1440"/>
          <w:tab w:val="clear" w:pos="1080"/>
        </w:tabs>
        <w:spacing w:line="360" w:lineRule="auto"/>
        <w:ind w:left="0" w:firstLine="420" w:firstLineChars="200"/>
        <w:rPr>
          <w:rFonts w:ascii="宋体" w:hAnsi="宋体"/>
          <w:color w:val="000000"/>
          <w:szCs w:val="21"/>
        </w:rPr>
      </w:pPr>
      <w:r>
        <w:rPr>
          <w:rFonts w:hint="eastAsia" w:ascii="宋体" w:hAnsi="宋体"/>
          <w:color w:val="000000"/>
          <w:szCs w:val="21"/>
        </w:rPr>
        <w:t>合同设备的喷漆、标识、验收文件和运输应符合本合同附件技术规范书所列的各项要求。</w:t>
      </w:r>
    </w:p>
    <w:p w14:paraId="1AD9AB70">
      <w:pPr>
        <w:numPr>
          <w:ilvl w:val="0"/>
          <w:numId w:val="8"/>
        </w:numPr>
        <w:tabs>
          <w:tab w:val="left" w:pos="900"/>
          <w:tab w:val="left" w:pos="1440"/>
          <w:tab w:val="clear" w:pos="1080"/>
        </w:tabs>
        <w:spacing w:line="360" w:lineRule="auto"/>
        <w:ind w:left="0" w:firstLine="420" w:firstLineChars="200"/>
        <w:rPr>
          <w:rFonts w:ascii="宋体" w:hAnsi="宋体"/>
          <w:color w:val="000000"/>
          <w:szCs w:val="21"/>
        </w:rPr>
      </w:pPr>
      <w:r>
        <w:rPr>
          <w:rFonts w:hint="eastAsia" w:ascii="宋体" w:hAnsi="宋体"/>
          <w:color w:val="000000"/>
          <w:szCs w:val="21"/>
        </w:rPr>
        <w:t>合同设备若有外包装，卖方应在每件外包装上以醒目的方式用中文印刷字样标明以下各项：</w:t>
      </w:r>
    </w:p>
    <w:p w14:paraId="77334EDD">
      <w:pPr>
        <w:numPr>
          <w:ilvl w:val="1"/>
          <w:numId w:val="9"/>
        </w:numPr>
        <w:tabs>
          <w:tab w:val="left" w:pos="84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制造厂名称和产品商标，设备名称；</w:t>
      </w:r>
    </w:p>
    <w:p w14:paraId="4DF7CE20">
      <w:pPr>
        <w:numPr>
          <w:ilvl w:val="1"/>
          <w:numId w:val="9"/>
        </w:numPr>
        <w:tabs>
          <w:tab w:val="left" w:pos="84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毛重／净重（</w:t>
      </w:r>
      <w:r>
        <w:rPr>
          <w:rFonts w:ascii="宋体" w:hAnsi="宋体"/>
          <w:color w:val="000000"/>
          <w:szCs w:val="21"/>
        </w:rPr>
        <w:t>Kg）；体积(长×宽×高，以毫米表示)；</w:t>
      </w:r>
    </w:p>
    <w:p w14:paraId="73DFBF3A">
      <w:pPr>
        <w:numPr>
          <w:ilvl w:val="1"/>
          <w:numId w:val="9"/>
        </w:numPr>
        <w:tabs>
          <w:tab w:val="left" w:pos="84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制造时间</w:t>
      </w:r>
    </w:p>
    <w:p w14:paraId="1A766502">
      <w:pPr>
        <w:numPr>
          <w:ilvl w:val="1"/>
          <w:numId w:val="9"/>
        </w:numPr>
        <w:tabs>
          <w:tab w:val="left" w:pos="84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出厂检验合格标志</w:t>
      </w:r>
    </w:p>
    <w:p w14:paraId="49D05E49">
      <w:pPr>
        <w:numPr>
          <w:ilvl w:val="1"/>
          <w:numId w:val="9"/>
        </w:numPr>
        <w:tabs>
          <w:tab w:val="left" w:pos="84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表示储运安全的其它标志</w:t>
      </w:r>
    </w:p>
    <w:p w14:paraId="5A52DF78">
      <w:pPr>
        <w:numPr>
          <w:ilvl w:val="1"/>
          <w:numId w:val="9"/>
        </w:numPr>
        <w:tabs>
          <w:tab w:val="left" w:pos="84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项目名称</w:t>
      </w:r>
    </w:p>
    <w:p w14:paraId="3ACC8FDB">
      <w:pPr>
        <w:numPr>
          <w:ilvl w:val="1"/>
          <w:numId w:val="9"/>
        </w:numPr>
        <w:tabs>
          <w:tab w:val="left" w:pos="84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联系方式</w:t>
      </w:r>
    </w:p>
    <w:p w14:paraId="7B50171B">
      <w:pPr>
        <w:numPr>
          <w:ilvl w:val="1"/>
          <w:numId w:val="9"/>
        </w:numPr>
        <w:tabs>
          <w:tab w:val="left" w:pos="84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箱号</w:t>
      </w:r>
      <w:r>
        <w:rPr>
          <w:rFonts w:ascii="宋体" w:hAnsi="宋体"/>
          <w:color w:val="000000"/>
          <w:szCs w:val="21"/>
        </w:rPr>
        <w:t>/件号；</w:t>
      </w:r>
    </w:p>
    <w:p w14:paraId="2765267D">
      <w:pPr>
        <w:spacing w:line="360" w:lineRule="auto"/>
        <w:ind w:firstLine="420" w:firstLineChars="200"/>
        <w:rPr>
          <w:rFonts w:ascii="宋体" w:hAnsi="宋体"/>
          <w:color w:val="000000"/>
          <w:szCs w:val="21"/>
        </w:rPr>
      </w:pPr>
      <w:r>
        <w:rPr>
          <w:rFonts w:hint="eastAsia" w:ascii="宋体" w:hAnsi="宋体"/>
          <w:color w:val="000000"/>
          <w:szCs w:val="21"/>
        </w:rPr>
        <w:t>凡重量为二吨或超过二吨的货物，应在包装箱的侧面以运输常用的标记和图案标明重心位置及起吊点，以便于装卸和搬运。</w:t>
      </w:r>
    </w:p>
    <w:p w14:paraId="67B02332">
      <w:pPr>
        <w:spacing w:line="360" w:lineRule="auto"/>
        <w:ind w:firstLine="420" w:firstLineChars="200"/>
        <w:rPr>
          <w:rFonts w:ascii="宋体" w:hAnsi="宋体"/>
          <w:color w:val="000000"/>
          <w:szCs w:val="21"/>
        </w:rPr>
      </w:pPr>
      <w:r>
        <w:rPr>
          <w:rFonts w:hint="eastAsia" w:ascii="宋体" w:hAnsi="宋体"/>
          <w:color w:val="000000"/>
          <w:szCs w:val="21"/>
        </w:rPr>
        <w:t>应按照设备各特性和不同的运输及装卸要求，在箱上明显位置标上“小心”“向上”、“防潮”、“勿倒”、“怕热”、“远离放射源及热源”、“由此起吊”、“重心点”、“堆码重量极限”、“堆码层数极限”、“温度极限”等通用标志。</w:t>
      </w:r>
    </w:p>
    <w:p w14:paraId="19BB06E2">
      <w:pPr>
        <w:spacing w:line="360" w:lineRule="auto"/>
        <w:ind w:firstLine="420" w:firstLineChars="200"/>
        <w:rPr>
          <w:rFonts w:ascii="宋体" w:hAnsi="宋体"/>
          <w:color w:val="000000"/>
          <w:szCs w:val="21"/>
        </w:rPr>
      </w:pPr>
    </w:p>
    <w:p w14:paraId="3ECE5E05">
      <w:pPr>
        <w:spacing w:line="360" w:lineRule="auto"/>
        <w:ind w:firstLine="422" w:firstLineChars="200"/>
        <w:rPr>
          <w:rFonts w:ascii="宋体" w:hAnsi="宋体"/>
          <w:b/>
          <w:color w:val="000000"/>
          <w:szCs w:val="21"/>
        </w:rPr>
      </w:pPr>
      <w:r>
        <w:rPr>
          <w:rFonts w:hint="eastAsia" w:ascii="宋体" w:hAnsi="宋体"/>
          <w:b/>
          <w:color w:val="000000"/>
          <w:szCs w:val="21"/>
        </w:rPr>
        <w:t>第八条 运输和交付</w:t>
      </w:r>
    </w:p>
    <w:p w14:paraId="30A5C299">
      <w:pPr>
        <w:tabs>
          <w:tab w:val="left" w:pos="1440"/>
        </w:tabs>
        <w:spacing w:line="360" w:lineRule="auto"/>
        <w:ind w:firstLine="420" w:firstLineChars="200"/>
        <w:rPr>
          <w:rFonts w:ascii="宋体" w:hAnsi="宋体"/>
          <w:color w:val="000000"/>
          <w:szCs w:val="21"/>
        </w:rPr>
      </w:pPr>
      <w:r>
        <w:rPr>
          <w:rFonts w:hint="eastAsia" w:ascii="宋体" w:hAnsi="宋体"/>
          <w:bCs/>
          <w:color w:val="000000"/>
          <w:szCs w:val="21"/>
        </w:rPr>
        <w:t xml:space="preserve">8.1 </w:t>
      </w:r>
      <w:r>
        <w:rPr>
          <w:rFonts w:hint="eastAsia" w:ascii="宋体" w:hAnsi="宋体"/>
          <w:b/>
          <w:color w:val="000000"/>
          <w:szCs w:val="21"/>
        </w:rPr>
        <w:t>交货期：合同生效后</w:t>
      </w:r>
      <w:r>
        <w:rPr>
          <w:rFonts w:hint="eastAsia" w:ascii="宋体" w:hAnsi="宋体"/>
          <w:b/>
          <w:color w:val="000000"/>
          <w:szCs w:val="21"/>
          <w:u w:val="single"/>
        </w:rPr>
        <w:t xml:space="preserve">  30  </w:t>
      </w:r>
      <w:r>
        <w:rPr>
          <w:rFonts w:ascii="宋体" w:hAnsi="宋体"/>
          <w:b/>
          <w:color w:val="000000"/>
          <w:szCs w:val="21"/>
        </w:rPr>
        <w:t>天内货到用户指定地点</w:t>
      </w:r>
      <w:r>
        <w:rPr>
          <w:rFonts w:hint="eastAsia" w:ascii="宋体" w:hAnsi="宋体"/>
          <w:color w:val="000000"/>
          <w:szCs w:val="21"/>
        </w:rPr>
        <w:t>。卖方应在发货日的</w:t>
      </w:r>
      <w:r>
        <w:rPr>
          <w:rFonts w:ascii="宋体" w:hAnsi="宋体"/>
          <w:color w:val="000000"/>
          <w:szCs w:val="21"/>
        </w:rPr>
        <w:t>2日前以</w:t>
      </w:r>
      <w:r>
        <w:rPr>
          <w:rFonts w:hint="eastAsia" w:ascii="宋体" w:hAnsi="宋体"/>
          <w:color w:val="000000"/>
          <w:szCs w:val="21"/>
        </w:rPr>
        <w:t>传真通知买方合同号、货物名称、数量、件数和备妥待运日期。</w:t>
      </w:r>
    </w:p>
    <w:p w14:paraId="25BD1F13">
      <w:pPr>
        <w:tabs>
          <w:tab w:val="left" w:pos="1440"/>
        </w:tabs>
        <w:spacing w:line="360" w:lineRule="auto"/>
        <w:ind w:firstLine="420" w:firstLineChars="200"/>
        <w:rPr>
          <w:rFonts w:ascii="宋体" w:hAnsi="宋体"/>
          <w:color w:val="000000"/>
          <w:szCs w:val="21"/>
        </w:rPr>
      </w:pPr>
      <w:r>
        <w:rPr>
          <w:rFonts w:hint="eastAsia" w:ascii="宋体" w:hAnsi="宋体"/>
          <w:color w:val="000000"/>
          <w:szCs w:val="21"/>
        </w:rPr>
        <w:t>8.2 卖方在货物装车完成</w:t>
      </w:r>
      <w:r>
        <w:rPr>
          <w:rFonts w:ascii="宋体" w:hAnsi="宋体"/>
          <w:color w:val="000000"/>
          <w:szCs w:val="21"/>
        </w:rPr>
        <w:t>24小时内以传真或电传通知买方合同号、车号、货物名称、规格、数量、件数、到站及到买方指定地点的时间。</w:t>
      </w:r>
    </w:p>
    <w:p w14:paraId="64CEF29D">
      <w:pPr>
        <w:tabs>
          <w:tab w:val="left" w:pos="1440"/>
        </w:tabs>
        <w:spacing w:line="360" w:lineRule="auto"/>
        <w:ind w:firstLine="420" w:firstLineChars="200"/>
        <w:rPr>
          <w:rFonts w:ascii="宋体" w:hAnsi="宋体"/>
          <w:color w:val="000000"/>
          <w:szCs w:val="21"/>
        </w:rPr>
      </w:pPr>
      <w:r>
        <w:rPr>
          <w:rFonts w:hint="eastAsia" w:ascii="宋体" w:hAnsi="宋体"/>
          <w:color w:val="000000"/>
          <w:szCs w:val="21"/>
        </w:rPr>
        <w:t>8.3 本合同项下货物的交付地点为买方指定位置地面，卖方负责将货物运抵交付地点并负责卸车并搬运到指定地点，在此期间的安全由卖方负责。</w:t>
      </w:r>
    </w:p>
    <w:p w14:paraId="55B9F84A">
      <w:pPr>
        <w:tabs>
          <w:tab w:val="left" w:pos="1440"/>
        </w:tabs>
        <w:spacing w:line="360" w:lineRule="auto"/>
        <w:ind w:firstLine="420" w:firstLineChars="200"/>
        <w:rPr>
          <w:rFonts w:ascii="宋体" w:hAnsi="宋体"/>
          <w:color w:val="000000"/>
          <w:szCs w:val="21"/>
        </w:rPr>
      </w:pPr>
      <w:r>
        <w:rPr>
          <w:rFonts w:hint="eastAsia" w:ascii="宋体" w:hAnsi="宋体"/>
          <w:color w:val="000000"/>
          <w:szCs w:val="21"/>
        </w:rPr>
        <w:t>合同设备所有权自合同设备调试验收合格之日起由卖方转移给买方。合同设备毁损、灭失的风险，在合同设备交付之前由卖方承担，交付之后由买方承担。货物到达目的地后，当场可清点验收的设备，经买卖双方组织人员进行现场验收，由买方负责开箱验收后设备的保管、仓贮（卖方应提出对设备的存放要求）。对未开箱的设备（指需在安装时开箱的设备），经双方清点数量后由买方负责安全保管、仓贮。确定安装时开箱验收的，由双方共同参与对货物进行检验，按开箱清单现场清点核对，并签字确认。如果货物被证明有缺陷，包括潜在缺陷或使用了不适当的材料不符合合同约定的，买方将保留拒收货物和对卖方索赔的权力；</w:t>
      </w:r>
    </w:p>
    <w:p w14:paraId="0526E0C8">
      <w:pPr>
        <w:tabs>
          <w:tab w:val="left" w:pos="1440"/>
        </w:tabs>
        <w:spacing w:line="360" w:lineRule="auto"/>
        <w:ind w:firstLine="420" w:firstLineChars="200"/>
        <w:rPr>
          <w:rFonts w:ascii="宋体" w:hAnsi="宋体"/>
          <w:color w:val="000000"/>
          <w:szCs w:val="21"/>
        </w:rPr>
      </w:pPr>
      <w:r>
        <w:rPr>
          <w:rFonts w:hint="eastAsia" w:ascii="宋体" w:hAnsi="宋体"/>
          <w:color w:val="000000"/>
          <w:szCs w:val="21"/>
        </w:rPr>
        <w:t>8.4 由于卖方未及时按本合同第</w:t>
      </w:r>
      <w:r>
        <w:rPr>
          <w:rFonts w:ascii="宋体" w:hAnsi="宋体"/>
          <w:color w:val="000000"/>
          <w:szCs w:val="21"/>
        </w:rPr>
        <w:t>8.1款和/或第8.2款向买方发出通知，导致买方遭受损失的，卖方应向买方承担损失赔偿责任。</w:t>
      </w:r>
    </w:p>
    <w:p w14:paraId="1C39B0D5">
      <w:pPr>
        <w:tabs>
          <w:tab w:val="left" w:pos="1440"/>
        </w:tabs>
        <w:spacing w:line="360" w:lineRule="auto"/>
        <w:ind w:firstLine="420" w:firstLineChars="200"/>
        <w:rPr>
          <w:rFonts w:ascii="宋体" w:hAnsi="宋体"/>
          <w:color w:val="000000"/>
          <w:szCs w:val="21"/>
        </w:rPr>
      </w:pPr>
      <w:r>
        <w:rPr>
          <w:rFonts w:hint="eastAsia" w:ascii="宋体" w:hAnsi="宋体"/>
          <w:color w:val="000000"/>
          <w:szCs w:val="21"/>
        </w:rPr>
        <w:t>8.5 在保证期满后三年内由于卖方的过失或疏忽造成的供应设备（或部件）的损坏或潜在缺陷，而动用了买方库存中的备品备件以调换损坏的设备或部件，则卖方应负责免费将动用的备品备件补齐，最迟不得超过买方通知后</w:t>
      </w:r>
      <w:r>
        <w:rPr>
          <w:rFonts w:ascii="宋体" w:hAnsi="宋体"/>
          <w:color w:val="000000"/>
          <w:szCs w:val="21"/>
        </w:rPr>
        <w:t>1个月运到指定交付点，并且通知买方。</w:t>
      </w:r>
    </w:p>
    <w:p w14:paraId="1A92FD9B">
      <w:pPr>
        <w:tabs>
          <w:tab w:val="left" w:pos="1440"/>
        </w:tabs>
        <w:spacing w:line="360" w:lineRule="auto"/>
        <w:ind w:firstLine="420" w:firstLineChars="200"/>
        <w:rPr>
          <w:rFonts w:ascii="宋体" w:hAnsi="宋体"/>
          <w:color w:val="000000"/>
          <w:szCs w:val="21"/>
        </w:rPr>
      </w:pPr>
      <w:r>
        <w:rPr>
          <w:rFonts w:hint="eastAsia" w:ascii="宋体" w:hAnsi="宋体"/>
          <w:color w:val="000000"/>
          <w:szCs w:val="21"/>
        </w:rPr>
        <w:t>8.6 卖方应按技术规格书规定，向买方提供满足调试、试验、检验、培训、运行和维修所需的技术资料。技术资料的交付时间按买方要求的时间及时提供。</w:t>
      </w:r>
    </w:p>
    <w:p w14:paraId="64E3FC10">
      <w:pPr>
        <w:tabs>
          <w:tab w:val="left" w:pos="1440"/>
        </w:tabs>
        <w:spacing w:line="360" w:lineRule="auto"/>
        <w:ind w:firstLine="420" w:firstLineChars="200"/>
        <w:rPr>
          <w:rFonts w:ascii="宋体" w:hAnsi="宋体"/>
          <w:color w:val="000000"/>
          <w:szCs w:val="21"/>
        </w:rPr>
      </w:pPr>
      <w:r>
        <w:rPr>
          <w:rFonts w:hint="eastAsia" w:ascii="宋体" w:hAnsi="宋体"/>
          <w:color w:val="000000"/>
          <w:szCs w:val="21"/>
        </w:rPr>
        <w:t>8.7 技术资料以快递邮寄（可直送）方式递交</w:t>
      </w:r>
      <w:r>
        <w:rPr>
          <w:rFonts w:ascii="宋体" w:hAnsi="宋体"/>
          <w:color w:val="000000"/>
          <w:szCs w:val="21"/>
        </w:rPr>
        <w:t>,每批技术资料交邮后，卖方应在24小时内将技术资料的交邮日期、邮单号、技术资料的详细清单、件数及重量、合同号等以传真通知买方。</w:t>
      </w:r>
    </w:p>
    <w:p w14:paraId="60837929">
      <w:pPr>
        <w:tabs>
          <w:tab w:val="left" w:pos="1440"/>
        </w:tabs>
        <w:spacing w:line="360" w:lineRule="auto"/>
        <w:ind w:firstLine="420" w:firstLineChars="200"/>
        <w:rPr>
          <w:rFonts w:ascii="宋体" w:hAnsi="宋体"/>
          <w:color w:val="000000"/>
          <w:szCs w:val="21"/>
        </w:rPr>
      </w:pPr>
      <w:r>
        <w:rPr>
          <w:rFonts w:hint="eastAsia" w:ascii="宋体" w:hAnsi="宋体"/>
          <w:color w:val="000000"/>
          <w:szCs w:val="21"/>
        </w:rPr>
        <w:t>8.8 技术资料可以邮寄方式或专人送达方式递交，如以邮寄方式递交，则以邮政部门提货通知单时间戳记为技术资料的实际交付日期，如以专人送达方式递交，则以买方代表签收日期为技术资料的实际交付日期。此日期将作为按合同第十五条对任何延期交付资料进行延期违约金计算的依据。</w:t>
      </w:r>
    </w:p>
    <w:p w14:paraId="08D9832E">
      <w:pPr>
        <w:spacing w:line="360" w:lineRule="auto"/>
        <w:ind w:firstLine="420" w:firstLineChars="200"/>
        <w:rPr>
          <w:rFonts w:ascii="宋体" w:hAnsi="宋体"/>
          <w:color w:val="000000"/>
          <w:szCs w:val="21"/>
        </w:rPr>
      </w:pPr>
      <w:r>
        <w:rPr>
          <w:rFonts w:hint="eastAsia" w:ascii="宋体" w:hAnsi="宋体"/>
          <w:color w:val="000000"/>
          <w:szCs w:val="21"/>
        </w:rPr>
        <w:t>如果技术资料经买方或买方代表检查后发现有缺少、丢失或损坏，且非买方原因，卖方应在收到买方通知后</w:t>
      </w:r>
      <w:r>
        <w:rPr>
          <w:rFonts w:ascii="宋体" w:hAnsi="宋体"/>
          <w:color w:val="000000"/>
          <w:szCs w:val="21"/>
        </w:rPr>
        <w:t>14天内(对急用者应在3天内)免费向</w:t>
      </w:r>
      <w:r>
        <w:rPr>
          <w:rFonts w:hint="eastAsia" w:ascii="宋体" w:hAnsi="宋体"/>
          <w:color w:val="000000"/>
          <w:szCs w:val="21"/>
        </w:rPr>
        <w:t>买方</w:t>
      </w:r>
      <w:r>
        <w:rPr>
          <w:rFonts w:ascii="宋体" w:hAnsi="宋体"/>
          <w:color w:val="000000"/>
          <w:szCs w:val="21"/>
        </w:rPr>
        <w:t>补充提供缺少、丢失或损坏的部分。</w:t>
      </w:r>
    </w:p>
    <w:p w14:paraId="4AA9FFC6">
      <w:pPr>
        <w:spacing w:line="360" w:lineRule="auto"/>
        <w:ind w:firstLine="420" w:firstLineChars="200"/>
        <w:rPr>
          <w:rFonts w:ascii="宋体" w:hAnsi="宋体"/>
          <w:color w:val="000000"/>
          <w:szCs w:val="21"/>
        </w:rPr>
      </w:pPr>
      <w:r>
        <w:rPr>
          <w:rFonts w:hint="eastAsia" w:ascii="宋体" w:hAnsi="宋体"/>
          <w:color w:val="000000"/>
          <w:szCs w:val="21"/>
        </w:rPr>
        <w:t>如因买方原因发生缺少、丢失或损坏，卖方应在接到买方通知后</w:t>
      </w:r>
      <w:r>
        <w:rPr>
          <w:rFonts w:ascii="宋体" w:hAnsi="宋体"/>
          <w:color w:val="000000"/>
          <w:szCs w:val="21"/>
        </w:rPr>
        <w:t>14天内(对急用者应在3天内)，向</w:t>
      </w:r>
      <w:r>
        <w:rPr>
          <w:rFonts w:hint="eastAsia" w:ascii="宋体" w:hAnsi="宋体"/>
          <w:color w:val="000000"/>
          <w:szCs w:val="21"/>
        </w:rPr>
        <w:t>买方</w:t>
      </w:r>
      <w:r>
        <w:rPr>
          <w:rFonts w:ascii="宋体" w:hAnsi="宋体"/>
          <w:color w:val="000000"/>
          <w:szCs w:val="21"/>
        </w:rPr>
        <w:t>补充提供缺少、丢失或损坏部分，费用由买方承担。</w:t>
      </w:r>
    </w:p>
    <w:p w14:paraId="08BA5747">
      <w:pPr>
        <w:tabs>
          <w:tab w:val="left" w:pos="1440"/>
        </w:tabs>
        <w:spacing w:line="360" w:lineRule="auto"/>
        <w:ind w:firstLine="420" w:firstLineChars="200"/>
        <w:rPr>
          <w:rFonts w:ascii="宋体" w:hAnsi="宋体"/>
          <w:color w:val="000000"/>
          <w:szCs w:val="21"/>
        </w:rPr>
      </w:pPr>
      <w:r>
        <w:rPr>
          <w:rFonts w:hint="eastAsia" w:ascii="宋体" w:hAnsi="宋体"/>
          <w:color w:val="000000"/>
          <w:szCs w:val="21"/>
        </w:rPr>
        <w:t>8.8 买方可派遣代表到卖方工厂及装货车站</w:t>
      </w:r>
      <w:r>
        <w:rPr>
          <w:rFonts w:ascii="宋体" w:hAnsi="宋体"/>
          <w:color w:val="000000"/>
          <w:szCs w:val="21"/>
        </w:rPr>
        <w:t>/码头/机场检查包装质量和监督装车情况。卖方应提前15天通知买方交运日期。买方代表的检查与监督不能免除卖方应负的责任。</w:t>
      </w:r>
    </w:p>
    <w:p w14:paraId="463C5E41">
      <w:pPr>
        <w:spacing w:line="360" w:lineRule="auto"/>
        <w:ind w:firstLine="420" w:firstLineChars="200"/>
        <w:rPr>
          <w:rFonts w:ascii="宋体" w:hAnsi="宋体"/>
          <w:color w:val="000000"/>
          <w:szCs w:val="21"/>
        </w:rPr>
      </w:pPr>
      <w:r>
        <w:rPr>
          <w:rFonts w:hint="eastAsia" w:ascii="宋体" w:hAnsi="宋体"/>
          <w:color w:val="000000"/>
          <w:szCs w:val="21"/>
        </w:rPr>
        <w:t>8.9 技术资料收件单位：江苏长江水务股份有限公司（注明技术资料）</w:t>
      </w:r>
    </w:p>
    <w:p w14:paraId="3F4A698C">
      <w:pPr>
        <w:spacing w:line="360" w:lineRule="auto"/>
        <w:ind w:firstLine="420" w:firstLineChars="200"/>
        <w:rPr>
          <w:rFonts w:ascii="宋体" w:hAnsi="宋体"/>
          <w:color w:val="000000"/>
          <w:szCs w:val="21"/>
        </w:rPr>
      </w:pPr>
    </w:p>
    <w:p w14:paraId="56CC3471">
      <w:pPr>
        <w:spacing w:line="360" w:lineRule="auto"/>
        <w:ind w:firstLine="422" w:firstLineChars="200"/>
        <w:rPr>
          <w:rFonts w:ascii="宋体" w:hAnsi="宋体"/>
          <w:b/>
          <w:color w:val="000000"/>
          <w:szCs w:val="21"/>
        </w:rPr>
      </w:pPr>
      <w:r>
        <w:rPr>
          <w:rFonts w:hint="eastAsia" w:ascii="宋体" w:hAnsi="宋体"/>
          <w:b/>
          <w:color w:val="000000"/>
          <w:szCs w:val="21"/>
        </w:rPr>
        <w:t>第九条 保险</w:t>
      </w:r>
    </w:p>
    <w:p w14:paraId="32C0FC72">
      <w:pPr>
        <w:spacing w:line="360" w:lineRule="auto"/>
        <w:ind w:firstLine="420" w:firstLineChars="200"/>
        <w:rPr>
          <w:rFonts w:ascii="宋体" w:hAnsi="宋体"/>
          <w:color w:val="000000"/>
          <w:szCs w:val="21"/>
        </w:rPr>
      </w:pPr>
      <w:r>
        <w:rPr>
          <w:rFonts w:hint="eastAsia" w:ascii="宋体" w:hAnsi="宋体"/>
          <w:color w:val="000000"/>
          <w:szCs w:val="21"/>
        </w:rPr>
        <w:t>在货物发运前卖方须对货物，根据水运、陆运和空运等运输方式，向保险公司投保以卖方为受益人，金额为发运货物价格</w:t>
      </w:r>
      <w:r>
        <w:rPr>
          <w:rFonts w:ascii="宋体" w:hAnsi="宋体"/>
          <w:color w:val="000000"/>
          <w:szCs w:val="21"/>
        </w:rPr>
        <w:t>110%的运输一切险(包括卸货至现场地面的最后一吊)，保险区段为卖方仓库到交货地点交货后90天止。</w:t>
      </w:r>
    </w:p>
    <w:p w14:paraId="2BF3188C">
      <w:pPr>
        <w:spacing w:line="360" w:lineRule="auto"/>
        <w:ind w:firstLine="420" w:firstLineChars="200"/>
        <w:rPr>
          <w:rFonts w:ascii="宋体" w:hAnsi="宋体"/>
          <w:color w:val="000000"/>
          <w:szCs w:val="21"/>
        </w:rPr>
      </w:pPr>
    </w:p>
    <w:p w14:paraId="5A5A8725">
      <w:pPr>
        <w:spacing w:line="360" w:lineRule="auto"/>
        <w:ind w:firstLine="422" w:firstLineChars="200"/>
        <w:rPr>
          <w:rFonts w:ascii="宋体" w:hAnsi="宋体"/>
          <w:b/>
          <w:color w:val="000000"/>
          <w:szCs w:val="21"/>
        </w:rPr>
      </w:pPr>
      <w:r>
        <w:rPr>
          <w:rFonts w:hint="eastAsia" w:ascii="宋体" w:hAnsi="宋体"/>
          <w:b/>
          <w:color w:val="000000"/>
          <w:szCs w:val="21"/>
        </w:rPr>
        <w:t>第十条 风险承担</w:t>
      </w:r>
    </w:p>
    <w:p w14:paraId="067DD896">
      <w:pPr>
        <w:tabs>
          <w:tab w:val="left" w:pos="900"/>
          <w:tab w:val="left" w:pos="1080"/>
        </w:tabs>
        <w:spacing w:line="360" w:lineRule="auto"/>
        <w:ind w:firstLine="420" w:firstLineChars="200"/>
        <w:rPr>
          <w:rFonts w:ascii="宋体" w:hAnsi="宋体"/>
          <w:color w:val="000000"/>
          <w:szCs w:val="21"/>
        </w:rPr>
      </w:pPr>
      <w:r>
        <w:rPr>
          <w:rFonts w:hint="eastAsia" w:ascii="宋体" w:hAnsi="宋体"/>
          <w:color w:val="000000"/>
          <w:szCs w:val="21"/>
        </w:rPr>
        <w:t>所有货物在交付之前的所有风险和责任均由卖方承担。如果在交付之前因运输等问题造成货物毁损、灭失等风险，卖方在本合同项下的义务与责任均不予解除。</w:t>
      </w:r>
    </w:p>
    <w:p w14:paraId="4FA252F5">
      <w:pPr>
        <w:spacing w:line="360" w:lineRule="auto"/>
        <w:ind w:firstLine="422" w:firstLineChars="200"/>
        <w:rPr>
          <w:rFonts w:ascii="宋体" w:hAnsi="宋体"/>
          <w:b/>
          <w:color w:val="000000"/>
          <w:szCs w:val="21"/>
        </w:rPr>
      </w:pPr>
    </w:p>
    <w:p w14:paraId="7B796EB1">
      <w:pPr>
        <w:spacing w:line="360" w:lineRule="auto"/>
        <w:ind w:firstLine="422" w:firstLineChars="200"/>
        <w:rPr>
          <w:rFonts w:ascii="宋体" w:hAnsi="宋体"/>
          <w:b/>
          <w:color w:val="000000"/>
          <w:szCs w:val="21"/>
        </w:rPr>
      </w:pPr>
      <w:r>
        <w:rPr>
          <w:rFonts w:hint="eastAsia" w:ascii="宋体" w:hAnsi="宋体"/>
          <w:b/>
          <w:color w:val="000000"/>
          <w:szCs w:val="21"/>
        </w:rPr>
        <w:t>第十一条</w:t>
      </w:r>
      <w:r>
        <w:rPr>
          <w:rFonts w:ascii="宋体" w:hAnsi="宋体"/>
          <w:b/>
          <w:color w:val="000000"/>
          <w:szCs w:val="21"/>
        </w:rPr>
        <w:t xml:space="preserve"> 合同价款与支付 </w:t>
      </w:r>
    </w:p>
    <w:p w14:paraId="488BBC21">
      <w:pPr>
        <w:tabs>
          <w:tab w:val="left" w:pos="540"/>
          <w:tab w:val="left" w:pos="1080"/>
        </w:tabs>
        <w:spacing w:line="360" w:lineRule="auto"/>
        <w:ind w:firstLine="420" w:firstLineChars="200"/>
        <w:rPr>
          <w:rFonts w:ascii="宋体" w:hAnsi="宋体"/>
          <w:color w:val="000000"/>
          <w:szCs w:val="21"/>
        </w:rPr>
      </w:pPr>
      <w:r>
        <w:rPr>
          <w:rFonts w:hint="eastAsia" w:ascii="宋体" w:hAnsi="宋体"/>
          <w:color w:val="000000"/>
          <w:szCs w:val="21"/>
        </w:rPr>
        <w:t>11.1 本合同价款即合同总价为人民币总价：    万元</w:t>
      </w:r>
      <w:r>
        <w:rPr>
          <w:rFonts w:ascii="宋体" w:hAnsi="宋体"/>
          <w:color w:val="000000"/>
          <w:szCs w:val="21"/>
        </w:rPr>
        <w:t>(大写：        )。</w:t>
      </w:r>
      <w:r>
        <w:rPr>
          <w:rFonts w:hint="eastAsia" w:ascii="宋体" w:hAnsi="宋体"/>
          <w:color w:val="000000"/>
          <w:szCs w:val="21"/>
        </w:rPr>
        <w:t>合同总价为固定不变价格，投标文件中的清单报价作为质保期外维修或更换的结算依据，除非本合同另有规定，否则在合同期内不因任何原因加以变更或调整。</w:t>
      </w:r>
    </w:p>
    <w:p w14:paraId="18F22F8D">
      <w:pPr>
        <w:spacing w:line="360" w:lineRule="auto"/>
        <w:ind w:firstLine="420" w:firstLineChars="200"/>
        <w:rPr>
          <w:rFonts w:ascii="宋体" w:hAnsi="宋体"/>
          <w:color w:val="000000"/>
          <w:szCs w:val="21"/>
        </w:rPr>
      </w:pPr>
      <w:r>
        <w:rPr>
          <w:rFonts w:hint="eastAsia" w:ascii="宋体" w:hAnsi="宋体"/>
          <w:color w:val="000000"/>
          <w:szCs w:val="21"/>
        </w:rPr>
        <w:t>本合同价款包括合同设备</w:t>
      </w:r>
      <w:r>
        <w:rPr>
          <w:rFonts w:ascii="宋体" w:hAnsi="宋体"/>
          <w:color w:val="000000"/>
          <w:szCs w:val="21"/>
        </w:rPr>
        <w:t>(含备品备件、专用工具)、技术资料、</w:t>
      </w:r>
      <w:r>
        <w:rPr>
          <w:rFonts w:hint="eastAsia" w:ascii="宋体" w:hAnsi="宋体"/>
          <w:color w:val="000000"/>
          <w:szCs w:val="21"/>
        </w:rPr>
        <w:t>安装调试、</w:t>
      </w:r>
      <w:r>
        <w:rPr>
          <w:rFonts w:ascii="宋体" w:hAnsi="宋体"/>
          <w:color w:val="000000"/>
          <w:szCs w:val="21"/>
        </w:rPr>
        <w:t>技术服务和运输及保险费等费用,还包括合同设备的税费等与本合同中卖方应承担的所有义务和所有工作相关的费用。合同设备的技术服务及备品备件由卖方免费提供。</w:t>
      </w:r>
    </w:p>
    <w:p w14:paraId="048EF81C">
      <w:pPr>
        <w:spacing w:line="360" w:lineRule="auto"/>
        <w:ind w:firstLine="420" w:firstLineChars="200"/>
        <w:rPr>
          <w:color w:val="000000"/>
          <w:szCs w:val="21"/>
        </w:rPr>
      </w:pPr>
      <w:r>
        <w:rPr>
          <w:rFonts w:hint="eastAsia" w:ascii="宋体" w:hAnsi="宋体"/>
          <w:color w:val="000000"/>
          <w:szCs w:val="21"/>
        </w:rPr>
        <w:t>合同设备运抵项目现场的运输及保险费等杂费已含在合同价款内。运输及保险费是指合同设备从卖方</w:t>
      </w:r>
      <w:r>
        <w:rPr>
          <w:rFonts w:ascii="宋体" w:hAnsi="宋体"/>
          <w:color w:val="000000"/>
          <w:szCs w:val="21"/>
        </w:rPr>
        <w:t>(包括卖方的分包商)始发站（车上）/码头（船上）到交货地点地面所发生的公路、铁路、水路、航空运费</w:t>
      </w:r>
      <w:r>
        <w:rPr>
          <w:rFonts w:hint="eastAsia" w:ascii="宋体" w:hAnsi="宋体"/>
          <w:color w:val="000000"/>
          <w:szCs w:val="21"/>
        </w:rPr>
        <w:t>和</w:t>
      </w:r>
      <w:r>
        <w:rPr>
          <w:rFonts w:ascii="宋体" w:hAnsi="宋体"/>
          <w:color w:val="000000"/>
          <w:szCs w:val="21"/>
        </w:rPr>
        <w:t>保险费等运输过程中发生的各种费用。</w:t>
      </w:r>
    </w:p>
    <w:p w14:paraId="7468456D">
      <w:pPr>
        <w:tabs>
          <w:tab w:val="left" w:pos="1080"/>
        </w:tabs>
        <w:spacing w:line="360" w:lineRule="auto"/>
        <w:ind w:firstLine="420" w:firstLineChars="200"/>
        <w:rPr>
          <w:rFonts w:ascii="宋体" w:hAnsi="宋体"/>
          <w:color w:val="000000"/>
          <w:szCs w:val="21"/>
        </w:rPr>
      </w:pPr>
      <w:r>
        <w:rPr>
          <w:rFonts w:hint="eastAsia" w:ascii="宋体" w:hAnsi="宋体"/>
          <w:color w:val="000000"/>
          <w:szCs w:val="21"/>
        </w:rPr>
        <w:t>11.2 支付</w:t>
      </w:r>
    </w:p>
    <w:p w14:paraId="09C055DC">
      <w:pPr>
        <w:spacing w:line="360" w:lineRule="auto"/>
        <w:ind w:firstLine="420" w:firstLineChars="200"/>
        <w:rPr>
          <w:rFonts w:ascii="宋体" w:hAnsi="宋体"/>
          <w:color w:val="000000"/>
          <w:szCs w:val="21"/>
        </w:rPr>
      </w:pPr>
      <w:r>
        <w:rPr>
          <w:rFonts w:hint="eastAsia" w:ascii="宋体" w:hAnsi="宋体"/>
          <w:color w:val="000000"/>
          <w:szCs w:val="21"/>
        </w:rPr>
        <w:t>无预付款，所有货物经安装调试验收合格且连续无故障运行30</w:t>
      </w:r>
      <w:r>
        <w:rPr>
          <w:rFonts w:ascii="宋体" w:hAnsi="宋体"/>
          <w:color w:val="000000"/>
          <w:szCs w:val="21"/>
        </w:rPr>
        <w:t>天后</w:t>
      </w:r>
      <w:r>
        <w:rPr>
          <w:rFonts w:hint="eastAsia" w:ascii="宋体" w:hAnsi="宋体"/>
          <w:color w:val="000000"/>
          <w:szCs w:val="21"/>
        </w:rPr>
        <w:t>，自收讫乙方全额增值税专用发票之日起三个月内通过银行转账付至合同总价款的95%，余款5%作为质保金，在合同约定的质保期满且标的设备无质量问题后根据卖方书面申请2个月内无息付清余额。</w:t>
      </w:r>
      <w:r>
        <w:rPr>
          <w:rFonts w:ascii="宋体" w:hAnsi="宋体"/>
          <w:color w:val="000000"/>
          <w:szCs w:val="21"/>
        </w:rPr>
        <w:t>（</w:t>
      </w:r>
      <w:r>
        <w:rPr>
          <w:rFonts w:hint="eastAsia" w:ascii="宋体"/>
          <w:color w:val="000000"/>
          <w:szCs w:val="21"/>
        </w:rPr>
        <w:t>备注：</w:t>
      </w:r>
      <w:r>
        <w:rPr>
          <w:rFonts w:hint="eastAsia" w:ascii="宋体" w:hAnsi="宋体"/>
          <w:color w:val="000000"/>
          <w:szCs w:val="21"/>
        </w:rPr>
        <w:t>本项目在结算支付时，票据为税率</w:t>
      </w:r>
      <w:r>
        <w:rPr>
          <w:rFonts w:ascii="宋体" w:hAnsi="宋体"/>
          <w:color w:val="000000"/>
          <w:szCs w:val="21"/>
        </w:rPr>
        <w:t>13%增值税专用发票（国家政策若发生变化以相关政策执行）。</w:t>
      </w:r>
    </w:p>
    <w:p w14:paraId="6F9C5F71">
      <w:pPr>
        <w:spacing w:line="360" w:lineRule="auto"/>
        <w:ind w:firstLine="420" w:firstLineChars="200"/>
        <w:rPr>
          <w:rFonts w:ascii="宋体" w:hAnsi="宋体"/>
          <w:color w:val="000000"/>
          <w:szCs w:val="21"/>
        </w:rPr>
      </w:pPr>
    </w:p>
    <w:p w14:paraId="194DED8A">
      <w:pPr>
        <w:spacing w:line="360" w:lineRule="auto"/>
        <w:ind w:firstLine="422" w:firstLineChars="200"/>
        <w:rPr>
          <w:rFonts w:ascii="宋体" w:hAnsi="宋体"/>
          <w:b/>
          <w:color w:val="000000"/>
          <w:szCs w:val="21"/>
        </w:rPr>
      </w:pPr>
      <w:r>
        <w:rPr>
          <w:rFonts w:hint="eastAsia" w:ascii="宋体" w:hAnsi="宋体"/>
          <w:b/>
          <w:color w:val="000000"/>
          <w:szCs w:val="21"/>
        </w:rPr>
        <w:t>第十二条 连带责任</w:t>
      </w:r>
    </w:p>
    <w:p w14:paraId="7DC41670">
      <w:pPr>
        <w:spacing w:line="360" w:lineRule="auto"/>
        <w:ind w:firstLine="420" w:firstLineChars="200"/>
        <w:rPr>
          <w:rFonts w:ascii="宋体" w:hAnsi="宋体"/>
          <w:color w:val="000000"/>
          <w:szCs w:val="21"/>
        </w:rPr>
      </w:pPr>
      <w:r>
        <w:rPr>
          <w:rFonts w:ascii="宋体" w:hAnsi="宋体"/>
          <w:color w:val="000000"/>
          <w:szCs w:val="21"/>
        </w:rPr>
        <w:t>12.1卖方应对本合同项下设备的制造、运输、装卸、交货、</w:t>
      </w:r>
      <w:r>
        <w:rPr>
          <w:rFonts w:hint="eastAsia" w:ascii="宋体" w:hAnsi="宋体"/>
          <w:color w:val="000000"/>
          <w:szCs w:val="21"/>
        </w:rPr>
        <w:t>安装、调试等承担全部责任。</w:t>
      </w:r>
    </w:p>
    <w:p w14:paraId="7D690CFE">
      <w:pPr>
        <w:spacing w:line="360" w:lineRule="auto"/>
        <w:ind w:firstLine="420" w:firstLineChars="200"/>
        <w:rPr>
          <w:rFonts w:ascii="宋体" w:hAnsi="宋体"/>
          <w:color w:val="000000"/>
          <w:szCs w:val="21"/>
        </w:rPr>
      </w:pPr>
      <w:r>
        <w:rPr>
          <w:rFonts w:ascii="宋体" w:hAnsi="宋体"/>
          <w:color w:val="000000"/>
          <w:szCs w:val="21"/>
        </w:rPr>
        <w:t xml:space="preserve">12.2 </w:t>
      </w:r>
      <w:r>
        <w:rPr>
          <w:rFonts w:hint="eastAsia" w:ascii="宋体" w:hAnsi="宋体"/>
          <w:color w:val="000000"/>
          <w:szCs w:val="21"/>
        </w:rPr>
        <w:t>卖方应对本合同项下设备安装过程中影响买方安全生产的任何事宜承担全部责任。</w:t>
      </w:r>
    </w:p>
    <w:p w14:paraId="7F799E67">
      <w:pPr>
        <w:spacing w:line="360" w:lineRule="auto"/>
        <w:ind w:firstLine="420" w:firstLineChars="200"/>
        <w:rPr>
          <w:rFonts w:ascii="宋体" w:hAnsi="宋体"/>
          <w:color w:val="000000"/>
          <w:szCs w:val="21"/>
        </w:rPr>
      </w:pPr>
    </w:p>
    <w:p w14:paraId="39112D82">
      <w:pPr>
        <w:spacing w:line="360" w:lineRule="auto"/>
        <w:ind w:firstLine="422" w:firstLineChars="200"/>
        <w:rPr>
          <w:rFonts w:ascii="宋体" w:hAnsi="宋体"/>
          <w:b/>
          <w:color w:val="000000"/>
          <w:szCs w:val="21"/>
        </w:rPr>
      </w:pPr>
      <w:r>
        <w:rPr>
          <w:rFonts w:hint="eastAsia" w:ascii="宋体" w:hAnsi="宋体"/>
          <w:b/>
          <w:color w:val="000000"/>
          <w:szCs w:val="21"/>
        </w:rPr>
        <w:t>第十三条 质量保证</w:t>
      </w:r>
    </w:p>
    <w:p w14:paraId="1A8970F1">
      <w:pPr>
        <w:tabs>
          <w:tab w:val="left" w:pos="540"/>
          <w:tab w:val="left" w:pos="1080"/>
        </w:tabs>
        <w:spacing w:line="360" w:lineRule="auto"/>
        <w:ind w:firstLine="420" w:firstLineChars="200"/>
        <w:rPr>
          <w:rFonts w:ascii="宋体" w:hAnsi="宋体"/>
          <w:color w:val="000000"/>
          <w:szCs w:val="21"/>
        </w:rPr>
      </w:pPr>
      <w:r>
        <w:rPr>
          <w:rFonts w:hint="eastAsia" w:ascii="宋体" w:hAnsi="宋体"/>
          <w:color w:val="000000"/>
          <w:szCs w:val="21"/>
        </w:rPr>
        <w:t>13.1 卖方应保证其提供的货物在各个方面符合技术规格书规定的质量、规格和性能要求。</w:t>
      </w:r>
    </w:p>
    <w:p w14:paraId="431B0C82">
      <w:pPr>
        <w:tabs>
          <w:tab w:val="left" w:pos="540"/>
          <w:tab w:val="left" w:pos="1080"/>
        </w:tabs>
        <w:spacing w:line="360" w:lineRule="auto"/>
        <w:ind w:firstLine="420" w:firstLineChars="200"/>
        <w:rPr>
          <w:rFonts w:ascii="宋体" w:hAnsi="宋体"/>
          <w:color w:val="000000"/>
          <w:szCs w:val="21"/>
        </w:rPr>
      </w:pPr>
      <w:r>
        <w:rPr>
          <w:rFonts w:hint="eastAsia" w:ascii="宋体" w:hAnsi="宋体"/>
          <w:color w:val="000000"/>
          <w:szCs w:val="21"/>
        </w:rPr>
        <w:t>13.2 合同货物的质量保证期为联动调试合格试运行后的</w:t>
      </w:r>
      <w:r>
        <w:rPr>
          <w:rFonts w:ascii="宋体" w:hAnsi="宋体"/>
          <w:color w:val="000000"/>
          <w:szCs w:val="21"/>
        </w:rPr>
        <w:t>个月。在质量保证期内，卖方应对由于设计、工艺、生产或运输导致的缺陷负责，出现上述情况，卖方应在7天内对买方提出的要求给予答复并处理。</w:t>
      </w:r>
    </w:p>
    <w:p w14:paraId="1512D775">
      <w:pPr>
        <w:tabs>
          <w:tab w:val="left" w:pos="1080"/>
        </w:tabs>
        <w:spacing w:line="360" w:lineRule="auto"/>
        <w:ind w:firstLine="420" w:firstLineChars="200"/>
        <w:rPr>
          <w:rFonts w:ascii="宋体" w:hAnsi="宋体"/>
          <w:color w:val="000000"/>
          <w:szCs w:val="21"/>
        </w:rPr>
      </w:pPr>
    </w:p>
    <w:p w14:paraId="3B2D4182">
      <w:pPr>
        <w:spacing w:line="360" w:lineRule="auto"/>
        <w:ind w:firstLine="422" w:firstLineChars="200"/>
        <w:rPr>
          <w:rFonts w:ascii="宋体" w:hAnsi="宋体"/>
          <w:b/>
          <w:color w:val="000000"/>
          <w:szCs w:val="21"/>
        </w:rPr>
      </w:pPr>
      <w:r>
        <w:rPr>
          <w:rFonts w:hint="eastAsia" w:ascii="宋体" w:hAnsi="宋体"/>
          <w:b/>
          <w:color w:val="000000"/>
          <w:szCs w:val="21"/>
        </w:rPr>
        <w:t>第十四条 技术服务和检验</w:t>
      </w:r>
    </w:p>
    <w:p w14:paraId="643D920E">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14.1 卖方应及时提供与本合同设备有关的安装、调试、验收、性能验收试验、运行、检修等相应的技术指导、技术配合、技术培训等全过程的服务。</w:t>
      </w:r>
    </w:p>
    <w:p w14:paraId="124C2AB6">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14.2 卖方根据相关设备的技术资料、检验标准、图纸及说明书进行安装、调试、运行和维修，并负责解决合同设备在安装调试、试运行中发现的制造质量及性能等有关问题。</w:t>
      </w:r>
    </w:p>
    <w:p w14:paraId="3FB29D4A">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14.3 卖方应在合同生效后</w:t>
      </w:r>
      <w:r>
        <w:rPr>
          <w:rFonts w:ascii="宋体" w:hAnsi="宋体"/>
          <w:color w:val="000000"/>
          <w:szCs w:val="21"/>
        </w:rPr>
        <w:t>1个月内以快递邮寄方式向买方提交执行14.2条规定的服务工作的组织计划一式两份。</w:t>
      </w:r>
    </w:p>
    <w:p w14:paraId="05A049B9">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14.4 如遇有重大问题需要双方立即研究协商时，任何一方均可建议召开会议，在一般情况下，另一方应同意参加。</w:t>
      </w:r>
    </w:p>
    <w:p w14:paraId="74587908">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14.5 各次会议及其他联络方式双方均应签订会议或联络纪要，所签纪要双方均应执行。如涉及合同条款有修改时，双方需签订补充或更改合同。</w:t>
      </w:r>
    </w:p>
    <w:p w14:paraId="6E195B93">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14.6 卖方提出并经双方在会议上确定的安装、调试和运行技术服务方案，卖方如有修改，须以书面形式通知买方，经买方确认后方可进行。为适应现场条件的要求，买方有权提出变更或修改意见，并书面通知卖方，卖方应给予充分考虑，应尽量满足买方要求。</w:t>
      </w:r>
    </w:p>
    <w:p w14:paraId="49BD2FC1">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14.7 买方有权将对方所提供的一切与本合同设备有关的资料分发给与本工程有关的各方，并不由此而构成任何侵权</w:t>
      </w:r>
      <w:r>
        <w:rPr>
          <w:rFonts w:ascii="宋体" w:hAnsi="宋体"/>
          <w:color w:val="000000"/>
          <w:szCs w:val="21"/>
        </w:rPr>
        <w:t>,但不得向任何与本工程无关的第三方提供。</w:t>
      </w:r>
    </w:p>
    <w:p w14:paraId="3917C162">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14.8 对盖有“密件”印章的卖方、买方的资料，双方都有为其保密的义务。</w:t>
      </w:r>
    </w:p>
    <w:p w14:paraId="160026BF">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14.9 需要卖方的分包商对合同设备的部分技术服务或去现场工作，应由卖方统一组织并征得买方同意，费用应由卖方负担。</w:t>
      </w:r>
    </w:p>
    <w:p w14:paraId="08366CEB">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14.10 卖方（包括外购）须对一切与本合同有关的供货、设备及技术接口、技术服务等问题负全部责任。</w:t>
      </w:r>
    </w:p>
    <w:p w14:paraId="05BC1597">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14.11 凡与本合同设备相连接的其它设备装置，卖方有提供接口和技术配合的义务，并不由此而发生合同价格以外的任何费用。</w:t>
      </w:r>
    </w:p>
    <w:p w14:paraId="47B45B65">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14.12 卖方派到现场服务的技术人员应是有实践经验、可胜任此项工作的人员。卖方派到现场服务的技术人员名单在本合同生效后</w:t>
      </w:r>
      <w:r>
        <w:rPr>
          <w:rFonts w:ascii="宋体" w:hAnsi="宋体"/>
          <w:color w:val="000000"/>
          <w:szCs w:val="21"/>
        </w:rPr>
        <w:t>1个月内提交买方予以确认。</w:t>
      </w:r>
    </w:p>
    <w:p w14:paraId="15FF6931">
      <w:pPr>
        <w:spacing w:line="360" w:lineRule="auto"/>
        <w:ind w:firstLine="420" w:firstLineChars="200"/>
        <w:rPr>
          <w:rFonts w:ascii="宋体" w:hAnsi="宋体"/>
          <w:color w:val="000000"/>
          <w:szCs w:val="21"/>
        </w:rPr>
      </w:pPr>
      <w:r>
        <w:rPr>
          <w:rFonts w:hint="eastAsia" w:ascii="宋体" w:hAnsi="宋体"/>
          <w:color w:val="000000"/>
          <w:szCs w:val="21"/>
        </w:rPr>
        <w:t>买方有权提出更换不符合要求的卖方现场服务人员，卖方应根据现场需要，重新选派买方认可的服务人员。如果买方在书面提出该项要求</w:t>
      </w:r>
      <w:r>
        <w:rPr>
          <w:rFonts w:ascii="宋体" w:hAnsi="宋体"/>
          <w:color w:val="000000"/>
          <w:szCs w:val="21"/>
        </w:rPr>
        <w:t>10天内卖方没有答复，将按第十五条视为延误工期等同处理。</w:t>
      </w:r>
    </w:p>
    <w:p w14:paraId="23C927EB">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14.13 由于卖方人员对安装、调试、试运的疏忽和错误以及卖方未按要求派人指导而造成的损失应由卖方负责。</w:t>
      </w:r>
    </w:p>
    <w:p w14:paraId="4ED4683B">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14.14 卖方应在发货之前对货物的有关质量、规格、性能、数量进行准确的全面的检验，并出具其货物符合规定的质量证明书。该证书将作为提交付款单据的一部分。但不应视为是对质量、规格、性能、数量的定论。质量证书应附有写明制造商的出厂检验结果、细节说明。</w:t>
      </w:r>
    </w:p>
    <w:p w14:paraId="4B38713A">
      <w:pPr>
        <w:spacing w:line="360" w:lineRule="auto"/>
        <w:ind w:firstLine="420" w:firstLineChars="200"/>
        <w:rPr>
          <w:rFonts w:ascii="宋体" w:hAnsi="宋体"/>
          <w:color w:val="000000"/>
          <w:szCs w:val="21"/>
        </w:rPr>
      </w:pPr>
      <w:r>
        <w:rPr>
          <w:rFonts w:hint="eastAsia" w:ascii="宋体" w:hAnsi="宋体"/>
          <w:color w:val="000000"/>
          <w:szCs w:val="21"/>
        </w:rPr>
        <w:t>由卖方供应的所有合同设备</w:t>
      </w:r>
      <w:r>
        <w:rPr>
          <w:rFonts w:ascii="宋体" w:hAnsi="宋体"/>
          <w:color w:val="000000"/>
          <w:szCs w:val="21"/>
        </w:rPr>
        <w:t>/部件(包括分包与外购),在生产过程中都须进行严格的检验和试验,出厂前须进行部套和/或整机总装和试验。所有检验、试验和总装(装配)必须有正式的记录文件。以上工作完成之后,合格者才能出厂发运。</w:t>
      </w:r>
    </w:p>
    <w:p w14:paraId="63CC779B">
      <w:pPr>
        <w:spacing w:line="360" w:lineRule="auto"/>
        <w:ind w:firstLine="420" w:firstLineChars="200"/>
        <w:rPr>
          <w:rFonts w:ascii="宋体" w:hAnsi="宋体"/>
          <w:color w:val="000000"/>
          <w:szCs w:val="21"/>
        </w:rPr>
      </w:pPr>
      <w:r>
        <w:rPr>
          <w:rFonts w:hint="eastAsia" w:ascii="宋体" w:hAnsi="宋体"/>
          <w:color w:val="000000"/>
          <w:szCs w:val="21"/>
        </w:rPr>
        <w:t>所有这些正式的记录文件及合格证作为技术资料的一部分，卖方要以快递方式邮寄给买方存档。此外</w:t>
      </w:r>
      <w:r>
        <w:rPr>
          <w:rFonts w:ascii="宋体" w:hAnsi="宋体"/>
          <w:color w:val="000000"/>
          <w:szCs w:val="21"/>
        </w:rPr>
        <w:t>,卖方还应在随机文件中提供合格证和质量证明文件。</w:t>
      </w:r>
    </w:p>
    <w:p w14:paraId="4F616DCD">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14.15 货物运抵现场后，卖方在接到买方通知后应及时到现场，与买方将对货物的有关质量、规格、数量</w:t>
      </w:r>
      <w:r>
        <w:rPr>
          <w:rFonts w:ascii="宋体" w:hAnsi="宋体"/>
          <w:color w:val="000000"/>
          <w:szCs w:val="21"/>
        </w:rPr>
        <w:t>/重量进行检验，并出具检验证书，该检验证书不免除或减轻卖方对货物应承担的任何质量责任。</w:t>
      </w:r>
    </w:p>
    <w:p w14:paraId="235B37B8">
      <w:pPr>
        <w:spacing w:line="360" w:lineRule="auto"/>
        <w:ind w:firstLine="420" w:firstLineChars="200"/>
        <w:rPr>
          <w:rFonts w:ascii="宋体" w:hAnsi="宋体"/>
          <w:color w:val="000000"/>
          <w:szCs w:val="21"/>
        </w:rPr>
      </w:pPr>
      <w:r>
        <w:rPr>
          <w:rFonts w:hint="eastAsia" w:ascii="宋体" w:hAnsi="宋体"/>
          <w:color w:val="000000"/>
          <w:szCs w:val="21"/>
        </w:rPr>
        <w:t>在现场开箱检验时，如果卖方人员未按时赴现场，买方有权自行开箱检验，检验结果和记录对双方同样有效，并作为买方向卖方提出索赔的有效证据。</w:t>
      </w:r>
    </w:p>
    <w:p w14:paraId="26B197C9">
      <w:pPr>
        <w:spacing w:line="360" w:lineRule="auto"/>
        <w:ind w:firstLine="420" w:firstLineChars="200"/>
        <w:rPr>
          <w:rFonts w:ascii="宋体" w:hAnsi="宋体"/>
          <w:color w:val="000000"/>
          <w:szCs w:val="21"/>
        </w:rPr>
      </w:pPr>
      <w:r>
        <w:rPr>
          <w:rFonts w:hint="eastAsia" w:ascii="宋体" w:hAnsi="宋体"/>
          <w:color w:val="000000"/>
          <w:szCs w:val="21"/>
        </w:rPr>
        <w:t>如果经检验发现质量、规格或数量不符合技术规格书的规定时，买方有权在货物运抵现场后</w:t>
      </w:r>
      <w:r>
        <w:rPr>
          <w:rFonts w:ascii="宋体" w:hAnsi="宋体"/>
          <w:color w:val="000000"/>
          <w:szCs w:val="21"/>
        </w:rPr>
        <w:t>90日内向卖方提出索赔。</w:t>
      </w:r>
    </w:p>
    <w:p w14:paraId="68B01B27">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14.16 如果在第十三条规定的质量保证期内，发现货物的质量或规格与合同规定不符，或证明货物有缺陷（包括潜在缺陷），买方有权立即将此情况通知卖方，卖方应负责处理，并对买方因此遭受的损失承担赔偿责任。</w:t>
      </w:r>
    </w:p>
    <w:p w14:paraId="0C14F180">
      <w:pPr>
        <w:spacing w:line="360" w:lineRule="auto"/>
        <w:ind w:firstLine="420" w:firstLineChars="200"/>
        <w:rPr>
          <w:rFonts w:ascii="宋体" w:hAnsi="宋体"/>
          <w:color w:val="000000"/>
          <w:szCs w:val="21"/>
        </w:rPr>
      </w:pPr>
    </w:p>
    <w:p w14:paraId="6572779B">
      <w:pPr>
        <w:spacing w:line="360" w:lineRule="auto"/>
        <w:ind w:firstLine="422" w:firstLineChars="200"/>
        <w:rPr>
          <w:rFonts w:ascii="宋体" w:hAnsi="宋体"/>
          <w:b/>
          <w:color w:val="000000"/>
          <w:szCs w:val="21"/>
        </w:rPr>
      </w:pPr>
      <w:r>
        <w:rPr>
          <w:rFonts w:hint="eastAsia" w:ascii="宋体" w:hAnsi="宋体"/>
          <w:b/>
          <w:color w:val="000000"/>
          <w:szCs w:val="21"/>
        </w:rPr>
        <w:t>第十五条 索赔</w:t>
      </w:r>
    </w:p>
    <w:p w14:paraId="4DA1E87B">
      <w:pPr>
        <w:tabs>
          <w:tab w:val="left" w:pos="1260"/>
        </w:tabs>
        <w:spacing w:line="360" w:lineRule="auto"/>
        <w:ind w:firstLine="420" w:firstLineChars="200"/>
        <w:rPr>
          <w:rFonts w:ascii="宋体" w:hAnsi="宋体"/>
          <w:color w:val="000000"/>
          <w:szCs w:val="21"/>
        </w:rPr>
      </w:pPr>
      <w:r>
        <w:rPr>
          <w:rFonts w:hint="eastAsia" w:ascii="宋体" w:hAnsi="宋体"/>
          <w:color w:val="000000"/>
          <w:szCs w:val="21"/>
        </w:rPr>
        <w:t>15.1 如果卖方提供的货物与合同不符，并且买方已于第十三条、第十四条规定的质量保证期内和检验、验收测试期限内提出索赔，卖方应按买方同意的下述一种或多种方法解决索赔事宜。</w:t>
      </w:r>
    </w:p>
    <w:p w14:paraId="3B8335AB">
      <w:pPr>
        <w:tabs>
          <w:tab w:val="left" w:pos="1260"/>
        </w:tabs>
        <w:spacing w:line="360" w:lineRule="auto"/>
        <w:ind w:firstLine="420" w:firstLineChars="200"/>
        <w:rPr>
          <w:rFonts w:ascii="宋体" w:hAnsi="宋体"/>
          <w:color w:val="000000"/>
          <w:szCs w:val="21"/>
        </w:rPr>
      </w:pPr>
      <w:r>
        <w:rPr>
          <w:rFonts w:hint="eastAsia" w:ascii="宋体" w:hAnsi="宋体"/>
          <w:color w:val="000000"/>
          <w:szCs w:val="21"/>
        </w:rPr>
        <w:t>15.1.1 卖方应向买方支付与被拒收货物价值等额的款项，并应负担由此发生的一切损失补偿和费用，包括利息、银行费用、运费和保险费、检验费、仓储费、装卸费以及为保管和保护被拒绝货物所需要的其它必要费用等。如果买方选择按本项解决索赔事宜，则在卖方支付前述款项和费用后，卖方将被免除按本合同交付该批货物的义务。</w:t>
      </w:r>
    </w:p>
    <w:p w14:paraId="4B2F3718">
      <w:pPr>
        <w:spacing w:line="360" w:lineRule="auto"/>
        <w:ind w:firstLine="420" w:firstLineChars="200"/>
        <w:rPr>
          <w:rFonts w:ascii="宋体" w:hAnsi="宋体"/>
          <w:color w:val="000000"/>
          <w:szCs w:val="21"/>
        </w:rPr>
      </w:pPr>
      <w:r>
        <w:rPr>
          <w:rFonts w:ascii="宋体" w:hAnsi="宋体"/>
          <w:color w:val="000000"/>
          <w:szCs w:val="21"/>
        </w:rPr>
        <w:t xml:space="preserve">15.1.2 </w:t>
      </w:r>
      <w:r>
        <w:rPr>
          <w:rFonts w:hint="eastAsia" w:ascii="宋体" w:hAnsi="宋体"/>
          <w:color w:val="000000"/>
          <w:szCs w:val="21"/>
        </w:rPr>
        <w:t>更换不合格的货物，以达到合同规定的规格、质量和性能，卖方承担由此产生的一切费用和风险并负担买方遭受的一切直接费用和损失。同时卖方应根据第十三条规定对更换的货物相应地延长质量保证期。</w:t>
      </w:r>
    </w:p>
    <w:p w14:paraId="69C4BFAD">
      <w:pPr>
        <w:tabs>
          <w:tab w:val="left" w:pos="1260"/>
        </w:tabs>
        <w:spacing w:line="360" w:lineRule="auto"/>
        <w:ind w:firstLine="420" w:firstLineChars="200"/>
        <w:rPr>
          <w:rFonts w:ascii="宋体" w:hAnsi="宋体"/>
          <w:color w:val="000000"/>
          <w:szCs w:val="21"/>
        </w:rPr>
      </w:pPr>
      <w:r>
        <w:rPr>
          <w:rFonts w:hint="eastAsia" w:ascii="宋体" w:hAnsi="宋体"/>
          <w:color w:val="000000"/>
          <w:szCs w:val="21"/>
        </w:rPr>
        <w:t>15.2 由于卖方原因而引起的设备或部件的更换或补齐短少的零部件的时间，以不影响设备安装、调试及运行进度为原则，但最迟不得晚于发现缺陷、损坏或短缺等之后</w:t>
      </w:r>
      <w:r>
        <w:rPr>
          <w:rFonts w:ascii="宋体" w:hAnsi="宋体"/>
          <w:color w:val="000000"/>
          <w:szCs w:val="21"/>
        </w:rPr>
        <w:t>1周或买卖双方商定的更长时间内，否则按延迟交货处理。</w:t>
      </w:r>
    </w:p>
    <w:p w14:paraId="7415E9EF">
      <w:pPr>
        <w:tabs>
          <w:tab w:val="left" w:pos="1260"/>
        </w:tabs>
        <w:spacing w:line="360" w:lineRule="auto"/>
        <w:ind w:firstLine="420" w:firstLineChars="200"/>
        <w:rPr>
          <w:rFonts w:ascii="宋体" w:hAnsi="宋体"/>
          <w:color w:val="000000"/>
          <w:szCs w:val="21"/>
        </w:rPr>
      </w:pPr>
      <w:r>
        <w:rPr>
          <w:rFonts w:hint="eastAsia" w:ascii="宋体" w:hAnsi="宋体"/>
          <w:color w:val="000000"/>
          <w:szCs w:val="21"/>
        </w:rPr>
        <w:t xml:space="preserve">15.3 </w:t>
      </w:r>
      <w:r>
        <w:rPr>
          <w:rFonts w:ascii="宋体" w:hAnsi="宋体"/>
          <w:color w:val="000000"/>
          <w:szCs w:val="21"/>
        </w:rPr>
        <w:t>如果买方提出索赔通知后20日内卖方未能答复，该索赔应视为已被卖方接受</w:t>
      </w:r>
      <w:r>
        <w:rPr>
          <w:rFonts w:hint="eastAsia" w:ascii="宋体" w:hAnsi="宋体"/>
          <w:color w:val="000000"/>
          <w:szCs w:val="21"/>
        </w:rPr>
        <w:t>（以买方寄出通知书的邮戳日期为起算日）</w:t>
      </w:r>
      <w:r>
        <w:rPr>
          <w:rFonts w:ascii="宋体" w:hAnsi="宋体"/>
          <w:color w:val="000000"/>
          <w:szCs w:val="21"/>
        </w:rPr>
        <w:t>。若卖方未能在买方提出索赔通知的20日内或买方同意的更长一些的时间内，按买方同意的上述任何一种方式处理索赔事宜，买方将从货款或卖方提供的履约保证金或质量保证金中扣回索赔金额，履约保证金或质量保证金金额不足时，买方有权向卖方进行进一步的索赔。</w:t>
      </w:r>
    </w:p>
    <w:p w14:paraId="6D6F8763">
      <w:pPr>
        <w:spacing w:line="360" w:lineRule="auto"/>
        <w:ind w:firstLine="420" w:firstLineChars="200"/>
        <w:rPr>
          <w:rFonts w:ascii="宋体" w:hAnsi="宋体"/>
          <w:color w:val="000000"/>
          <w:szCs w:val="21"/>
        </w:rPr>
      </w:pPr>
    </w:p>
    <w:p w14:paraId="68648757">
      <w:pPr>
        <w:spacing w:line="360" w:lineRule="auto"/>
        <w:ind w:firstLine="422" w:firstLineChars="200"/>
        <w:rPr>
          <w:rFonts w:ascii="宋体" w:hAnsi="宋体"/>
          <w:b/>
          <w:color w:val="000000"/>
          <w:szCs w:val="21"/>
        </w:rPr>
      </w:pPr>
      <w:r>
        <w:rPr>
          <w:rFonts w:hint="eastAsia" w:ascii="宋体" w:hAnsi="宋体"/>
          <w:b/>
          <w:color w:val="000000"/>
          <w:szCs w:val="21"/>
        </w:rPr>
        <w:t>第十六条 安装、调试、试运和验收</w:t>
      </w:r>
    </w:p>
    <w:p w14:paraId="5036D620">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16.1 本合同设备由卖方根据相关设备的技术资料、检验标准、图纸及说明书进行安装、调试、运行和维修；安装调试工期：</w:t>
      </w:r>
      <w:r>
        <w:rPr>
          <w:rFonts w:hint="eastAsia" w:ascii="宋体" w:hAnsi="宋体"/>
          <w:color w:val="000000"/>
          <w:szCs w:val="21"/>
          <w:u w:val="single"/>
        </w:rPr>
        <w:t xml:space="preserve">    天</w:t>
      </w:r>
      <w:r>
        <w:rPr>
          <w:rFonts w:hint="eastAsia" w:ascii="宋体" w:hAnsi="宋体"/>
          <w:color w:val="000000"/>
          <w:szCs w:val="21"/>
        </w:rPr>
        <w:t>；具体安装日期由买方另行通知或双方另行商议。重要工序须经卖方现场技术服务人员签字确认。安装、调试过程中，若卖方未按相关设备的技术资料规定和安装规定而出现问题，由卖方负责。</w:t>
      </w:r>
    </w:p>
    <w:p w14:paraId="7370921D">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16.2 在安装之前，卖方技术人员应说明安装方法和要求。</w:t>
      </w:r>
      <w:r>
        <w:rPr>
          <w:rFonts w:ascii="宋体" w:hAnsi="宋体"/>
          <w:color w:val="000000"/>
          <w:szCs w:val="21"/>
        </w:rPr>
        <w:t>在单套合同设备安装完毕后，买卖双方代表将进一步核实、确认安装工作，并共同签署安装完毕证书一式二份，买卖双方各执一份。但此证书不能解除卖方在试运行、性能验收试验和保证期内的责任，以及技术性能和保证与合同规定不相符的责任。本合同设备安装完毕后的验收工作按照技术规格书的要求进行。</w:t>
      </w:r>
    </w:p>
    <w:p w14:paraId="43F23F5A">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16.3 合同设备安装完毕后，卖方应派人参加调试进行指导，并应尽快解决调试中出现的因卖方原因引起的设备问题，其所需时间一般不应超过</w:t>
      </w:r>
      <w:r>
        <w:rPr>
          <w:rFonts w:ascii="宋体" w:hAnsi="宋体"/>
          <w:color w:val="000000"/>
          <w:szCs w:val="21"/>
        </w:rPr>
        <w:t>1周，对于因卖方原因引起的较大的设备问题，卖方应在双方协商确定的合理期间内解决，否则将视为延误工期进行处理。对于非卖方原因引起的设备问题，卖方应尽快协助买方予以处理。</w:t>
      </w:r>
    </w:p>
    <w:p w14:paraId="164F6460">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16.4 性能验收试验的目的是为验证合同设备是否能达到各项技术性能和保证指标。验收试验由买方负责，卖方参加。性能验收试验完毕</w:t>
      </w:r>
      <w:r>
        <w:rPr>
          <w:rFonts w:ascii="宋体" w:hAnsi="宋体"/>
          <w:color w:val="000000"/>
          <w:szCs w:val="21"/>
        </w:rPr>
        <w:t>,每套合同设备达到技术规格书所规定的各项性能保证值指标后，买方应在10天内签署由卖方会签的本合同设备初步性能验收合格证书一式二份，双方各执一份。除合同中另有规定外，各方人员所发生的费用均由该方自行负担。</w:t>
      </w:r>
    </w:p>
    <w:p w14:paraId="675F02A4">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16.5 在不影响本合同设备安全、可靠运行的条件下，如有个别微小缺陷，且此缺陷按本合同条款被定为卖方责任</w:t>
      </w:r>
      <w:r>
        <w:rPr>
          <w:rFonts w:ascii="宋体" w:hAnsi="宋体"/>
          <w:color w:val="000000"/>
          <w:szCs w:val="21"/>
        </w:rPr>
        <w:t>,卖方在双方商定的时间内免费修理上述的缺陷，买方则可同意签署初步性能验收合格证书。</w:t>
      </w:r>
    </w:p>
    <w:p w14:paraId="3CE73DF7">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16.6 如果第一次性能验收试验达不到技术规格书所规定的一项或多项性能保证值，则双方应共同分析原因，澄清责任</w:t>
      </w:r>
      <w:r>
        <w:rPr>
          <w:rFonts w:ascii="宋体" w:hAnsi="宋体"/>
          <w:color w:val="000000"/>
          <w:szCs w:val="21"/>
        </w:rPr>
        <w:t>,由责任一方采取措施，并在第一次验收试验结束后1个月内进行第二次验收试验。</w:t>
      </w:r>
    </w:p>
    <w:p w14:paraId="406873B2">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16.6.1 如属卖方责任，卖方需自费采取有效措施以使第二次性能验收试验能达到技术性能和</w:t>
      </w:r>
      <w:r>
        <w:rPr>
          <w:rFonts w:ascii="宋体" w:hAnsi="宋体"/>
          <w:color w:val="000000"/>
          <w:szCs w:val="21"/>
        </w:rPr>
        <w:t>/或保证指标，卖方将负担所有直接的费用，包括但不仅限于下列费用：</w:t>
      </w:r>
    </w:p>
    <w:p w14:paraId="4C90BB29">
      <w:pPr>
        <w:numPr>
          <w:ilvl w:val="1"/>
          <w:numId w:val="10"/>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替换和</w:t>
      </w:r>
      <w:r>
        <w:rPr>
          <w:rFonts w:ascii="宋体" w:hAnsi="宋体"/>
          <w:color w:val="000000"/>
          <w:szCs w:val="21"/>
        </w:rPr>
        <w:t>/或修理的设备和材料的费用；</w:t>
      </w:r>
    </w:p>
    <w:p w14:paraId="136EDA1D">
      <w:pPr>
        <w:numPr>
          <w:ilvl w:val="1"/>
          <w:numId w:val="10"/>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参与第二次性能验收试验的卖方技术人员的费用；</w:t>
      </w:r>
    </w:p>
    <w:p w14:paraId="1F74A92E">
      <w:pPr>
        <w:numPr>
          <w:ilvl w:val="1"/>
          <w:numId w:val="10"/>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参加修理的买方人员的费用；</w:t>
      </w:r>
    </w:p>
    <w:p w14:paraId="1129AFD6">
      <w:pPr>
        <w:numPr>
          <w:ilvl w:val="1"/>
          <w:numId w:val="10"/>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第二次性能验收试验所使用的工具和设备的费用；</w:t>
      </w:r>
    </w:p>
    <w:p w14:paraId="22C3DA25">
      <w:pPr>
        <w:numPr>
          <w:ilvl w:val="1"/>
          <w:numId w:val="10"/>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第二次性能验收试验所使用的材料和消耗品的费用；</w:t>
      </w:r>
    </w:p>
    <w:p w14:paraId="458DE584">
      <w:pPr>
        <w:numPr>
          <w:ilvl w:val="1"/>
          <w:numId w:val="10"/>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所更换和</w:t>
      </w:r>
      <w:r>
        <w:rPr>
          <w:rFonts w:ascii="宋体" w:hAnsi="宋体"/>
          <w:color w:val="000000"/>
          <w:szCs w:val="21"/>
        </w:rPr>
        <w:t>/或修理的设备和材料运离/运抵现场的所有运输和保险费用。</w:t>
      </w:r>
    </w:p>
    <w:p w14:paraId="6C2346D7">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16.7 第二次性能验收试验后，如仍有一项或多项指标未能达到技术规格书所规定的性能保证值，双方应共同研究，分析原因，澄清责任</w:t>
      </w:r>
      <w:r>
        <w:rPr>
          <w:rFonts w:ascii="宋体" w:hAnsi="宋体"/>
          <w:color w:val="000000"/>
          <w:szCs w:val="21"/>
        </w:rPr>
        <w:t>:</w:t>
      </w:r>
    </w:p>
    <w:p w14:paraId="46E27ABD">
      <w:pPr>
        <w:numPr>
          <w:ilvl w:val="1"/>
          <w:numId w:val="11"/>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如属卖方原因，则应按本合同第十七条执行。</w:t>
      </w:r>
    </w:p>
    <w:p w14:paraId="707856FF">
      <w:pPr>
        <w:numPr>
          <w:ilvl w:val="1"/>
          <w:numId w:val="11"/>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如属买方原因，本合同设备应被认为初步性能验收通过，此后</w:t>
      </w:r>
      <w:r>
        <w:rPr>
          <w:rFonts w:ascii="宋体" w:hAnsi="宋体"/>
          <w:color w:val="000000"/>
          <w:szCs w:val="21"/>
        </w:rPr>
        <w:t>10天内由买方代表签署由卖方代表会签的本合同设备初步性能验收合格证书一式二份，双方各执一份。此时卖方仍有义务向买方提供技术帮助,与买方一起采取各种措施，使合同设备达到本合同规定的技术性能和保证指标。</w:t>
      </w:r>
    </w:p>
    <w:p w14:paraId="2146AA81">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16.8 初步性能验收合格证书只是证明卖方所提供的合同设备性能和参数截至出具初步性能验收证明时可以按合同要求予以接受，但不能视为卖方对合同设备中存在的可能引起合同设备损坏的潜在缺陷所应负的责任解除的证据；同样，最终性能验收合格证书也不能被视为卖方对合同设备中存在可能引起合同设备损坏的潜在缺陷应负责任的解除的证据。</w:t>
      </w:r>
    </w:p>
    <w:p w14:paraId="5CBE6461">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16.9 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w:t>
      </w:r>
      <w:r>
        <w:rPr>
          <w:rFonts w:ascii="宋体" w:hAnsi="宋体"/>
          <w:color w:val="000000"/>
          <w:szCs w:val="21"/>
        </w:rPr>
        <w:t>/或修理、更换设备，或由于卖方设计图纸错误或卖方技术服务人员的指导错误造成返工，卖方应按下列公式向买方支付费用：（所有费用按发生时的费率水平计费）</w:t>
      </w:r>
    </w:p>
    <w:p w14:paraId="1BB8E740">
      <w:pPr>
        <w:spacing w:line="360" w:lineRule="auto"/>
        <w:ind w:firstLine="420" w:firstLineChars="200"/>
        <w:rPr>
          <w:rFonts w:ascii="宋体" w:hAnsi="宋体"/>
          <w:color w:val="000000"/>
          <w:szCs w:val="21"/>
        </w:rPr>
      </w:pPr>
      <w:r>
        <w:rPr>
          <w:rFonts w:ascii="宋体" w:hAnsi="宋体"/>
          <w:color w:val="000000"/>
          <w:szCs w:val="21"/>
        </w:rPr>
        <w:t xml:space="preserve">        Ｐ＝ ａh + M + c m</w:t>
      </w:r>
    </w:p>
    <w:p w14:paraId="476B156D">
      <w:pPr>
        <w:spacing w:line="360" w:lineRule="auto"/>
        <w:ind w:firstLine="420" w:firstLineChars="200"/>
        <w:rPr>
          <w:rFonts w:ascii="宋体" w:hAnsi="宋体"/>
          <w:color w:val="000000"/>
          <w:szCs w:val="21"/>
        </w:rPr>
      </w:pPr>
      <w:r>
        <w:rPr>
          <w:rFonts w:ascii="宋体" w:hAnsi="宋体"/>
          <w:color w:val="000000"/>
          <w:szCs w:val="21"/>
        </w:rPr>
        <w:t xml:space="preserve">        其中：Ｐ＿＿总费用(元)</w:t>
      </w:r>
    </w:p>
    <w:p w14:paraId="659D61EB">
      <w:pPr>
        <w:spacing w:line="360" w:lineRule="auto"/>
        <w:ind w:firstLine="420" w:firstLineChars="200"/>
        <w:rPr>
          <w:rFonts w:ascii="宋体" w:hAnsi="宋体"/>
          <w:color w:val="000000"/>
          <w:szCs w:val="21"/>
        </w:rPr>
      </w:pPr>
      <w:r>
        <w:rPr>
          <w:rFonts w:ascii="宋体" w:hAnsi="宋体"/>
          <w:color w:val="000000"/>
          <w:szCs w:val="21"/>
        </w:rPr>
        <w:t xml:space="preserve">              a ＿＿人工费(元/小时.人)</w:t>
      </w:r>
    </w:p>
    <w:p w14:paraId="08BEAE1A">
      <w:pPr>
        <w:spacing w:line="360" w:lineRule="auto"/>
        <w:ind w:firstLine="420" w:firstLineChars="200"/>
        <w:rPr>
          <w:rFonts w:ascii="宋体" w:hAnsi="宋体"/>
          <w:color w:val="000000"/>
          <w:szCs w:val="21"/>
        </w:rPr>
      </w:pPr>
      <w:r>
        <w:rPr>
          <w:rFonts w:ascii="宋体" w:hAnsi="宋体"/>
          <w:color w:val="000000"/>
          <w:szCs w:val="21"/>
        </w:rPr>
        <w:t xml:space="preserve">              h ＿＿人时(小时.人)</w:t>
      </w:r>
    </w:p>
    <w:p w14:paraId="6E320F2A">
      <w:pPr>
        <w:spacing w:line="360" w:lineRule="auto"/>
        <w:ind w:firstLine="420" w:firstLineChars="200"/>
        <w:rPr>
          <w:rFonts w:ascii="宋体" w:hAnsi="宋体"/>
          <w:color w:val="000000"/>
          <w:szCs w:val="21"/>
        </w:rPr>
      </w:pPr>
      <w:r>
        <w:rPr>
          <w:rFonts w:ascii="宋体" w:hAnsi="宋体"/>
          <w:color w:val="000000"/>
          <w:szCs w:val="21"/>
        </w:rPr>
        <w:t xml:space="preserve">              M ＿＿材料费(元)</w:t>
      </w:r>
    </w:p>
    <w:p w14:paraId="636843EB">
      <w:pPr>
        <w:spacing w:line="360" w:lineRule="auto"/>
        <w:ind w:firstLine="420" w:firstLineChars="200"/>
        <w:rPr>
          <w:rFonts w:ascii="宋体" w:hAnsi="宋体"/>
          <w:color w:val="000000"/>
          <w:szCs w:val="21"/>
        </w:rPr>
      </w:pPr>
      <w:r>
        <w:rPr>
          <w:rFonts w:ascii="宋体" w:hAnsi="宋体"/>
          <w:color w:val="000000"/>
          <w:szCs w:val="21"/>
        </w:rPr>
        <w:t xml:space="preserve">              c ＿＿台班数(台.班)</w:t>
      </w:r>
    </w:p>
    <w:p w14:paraId="1E2CA76C">
      <w:pPr>
        <w:spacing w:line="360" w:lineRule="auto"/>
        <w:ind w:firstLine="420" w:firstLineChars="200"/>
        <w:rPr>
          <w:rFonts w:ascii="宋体" w:hAnsi="宋体"/>
          <w:color w:val="000000"/>
          <w:szCs w:val="21"/>
        </w:rPr>
      </w:pPr>
      <w:r>
        <w:rPr>
          <w:rFonts w:ascii="宋体" w:hAnsi="宋体"/>
          <w:color w:val="000000"/>
          <w:szCs w:val="21"/>
        </w:rPr>
        <w:t xml:space="preserve">              m ＿＿每台设备的台班费(元/台.班)</w:t>
      </w:r>
    </w:p>
    <w:p w14:paraId="1B29EEAF">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16.10 在设备寿命内</w:t>
      </w:r>
      <w:r>
        <w:rPr>
          <w:rFonts w:ascii="宋体" w:hAnsi="宋体"/>
          <w:color w:val="000000"/>
          <w:szCs w:val="21"/>
        </w:rPr>
        <w:t>,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合同设备制造所需的备品备件，且买方制造这些备品备件不构成对专利及工业设计权的侵权。买方在用毕后适当的时候以合理的方式和状况归还以上各项物品。</w:t>
      </w:r>
    </w:p>
    <w:p w14:paraId="250178B3">
      <w:pPr>
        <w:tabs>
          <w:tab w:val="left" w:pos="540"/>
          <w:tab w:val="left" w:pos="1260"/>
        </w:tabs>
        <w:spacing w:line="360" w:lineRule="auto"/>
        <w:ind w:firstLine="420" w:firstLineChars="200"/>
        <w:rPr>
          <w:rFonts w:ascii="宋体" w:hAnsi="宋体"/>
          <w:color w:val="000000"/>
          <w:szCs w:val="21"/>
        </w:rPr>
      </w:pPr>
      <w:r>
        <w:rPr>
          <w:rFonts w:hint="eastAsia" w:ascii="宋体" w:hAnsi="宋体"/>
          <w:color w:val="000000"/>
          <w:szCs w:val="21"/>
        </w:rPr>
        <w:t>16.11 不论合同设备的损失或损坏的责任在买方或是在卖方，卖方应首先尽快交付更换或补充此损失或损坏的设备，然后确定上述设备的费用由哪一方承担。</w:t>
      </w:r>
    </w:p>
    <w:p w14:paraId="46A908EF">
      <w:pPr>
        <w:spacing w:line="360" w:lineRule="auto"/>
        <w:ind w:firstLine="420" w:firstLineChars="200"/>
        <w:rPr>
          <w:rFonts w:ascii="宋体" w:hAnsi="宋体"/>
          <w:color w:val="000000"/>
          <w:szCs w:val="21"/>
        </w:rPr>
      </w:pPr>
    </w:p>
    <w:p w14:paraId="46F2CC8D">
      <w:pPr>
        <w:spacing w:line="360" w:lineRule="auto"/>
        <w:ind w:firstLine="422" w:firstLineChars="200"/>
        <w:rPr>
          <w:rFonts w:ascii="宋体" w:hAnsi="宋体"/>
          <w:b/>
          <w:color w:val="000000"/>
          <w:szCs w:val="21"/>
        </w:rPr>
      </w:pPr>
      <w:r>
        <w:rPr>
          <w:rFonts w:hint="eastAsia" w:ascii="宋体" w:hAnsi="宋体"/>
          <w:b/>
          <w:color w:val="000000"/>
          <w:szCs w:val="21"/>
        </w:rPr>
        <w:t>第十七条 保证与违约金</w:t>
      </w:r>
    </w:p>
    <w:p w14:paraId="59187D26">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 质保期为联动调试合格试运行后的个月。</w:t>
      </w:r>
    </w:p>
    <w:p w14:paraId="2EFF6B1D">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17.2 卖方保证其供应的本合同设备是全新的，技术水平是先进的、成熟的、质量是优良的，设备的选型均符合安全可靠、经济运行和易于维护的要求。</w:t>
      </w:r>
    </w:p>
    <w:p w14:paraId="57B53D4B">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17.3 卖方保证所提交技术资料完整统一和内容正确、准确并能满足合同设备的设计、安装、调试、运行和维修的要求。</w:t>
      </w:r>
    </w:p>
    <w:p w14:paraId="7E774C16">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17.4 本合同执行期间，如果卖方提供的设备有缺陷和技术资料有错误，或者由于卖方技术人员指导错误和疏忽，造成合同设备的返工或报废，卖方应立即以最快捷的方式无偿予以更换和修理。如需更换，卖方应负担由此产生的到安装现场更换的一切费用，更换或修理期限应不迟于证实属卖方责任之日起的1周或双方商定的更长时间内。由于买方未按卖方所提供的技术资料、图纸、说明书和卖方现场技术服务人员的指导而进行安装、调试造成的设备损坏，由买方负责修理，更换，但卖方有义务尽快提供所需更换的部件，对于买方要求的紧急部件，卖方应安排最快的方式运输，所有费用均由买方负担。</w:t>
      </w:r>
    </w:p>
    <w:p w14:paraId="7E28CEBE">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17.5 合同规定的质量保证期满后，由买方在14天内出具合同设备保证期满最终性能验收合格证书交给卖方。条件是：在此期间卖方应完成买方在保证期满前提出的索赔和赔偿。但卖方对非正常维修和误操作以及由于正常磨损造成的损失不负责任。</w:t>
      </w:r>
    </w:p>
    <w:p w14:paraId="02D39570">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17.6 在质量保证期内，如发现设备有缺陷，不符合本合同规定时，如属卖方责任，则买方有权向卖方提出索赔。如卖方对此索赔有异议按第十五条办理。否则卖方在接到买方索赔文件后，应立即无偿修理、更换、赔款或委托买方安排大型修理，由此产生的到安装现场的更换费用、运输费及保险费也由卖方承担。</w:t>
      </w:r>
    </w:p>
    <w:p w14:paraId="744601A5">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17.7 如由于卖方责任需要更换、修理有缺陷的设备，而使合同设备停运或推迟安装时，则保证期应按实际修理或更换所延误的时间做相应的延长。</w:t>
      </w:r>
    </w:p>
    <w:p w14:paraId="662B15CB">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17.8 由于卖方责任，在第十六条规定的性能验收试验后，如经第二次验收试验(由于卖方原因)仍不能达到技术规格书所规定的一项或多项保证指标时，卖方应按下列方式承担违约责任为：卖方应在一周内予以更换设备，同时支付该设备合同价10%的违约金。</w:t>
      </w:r>
    </w:p>
    <w:p w14:paraId="6034BA26">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17.9 如合同设备在质量保证期内发现属卖方责任的十分严重的缺陷（如设备性能达不到要求等）则其质量保证期将自该缺陷修正后开始重新计算。</w:t>
      </w:r>
    </w:p>
    <w:p w14:paraId="361C0208">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17.10 如果不是由于买方原因或买方没有要求推迟交货而卖方未能按本合同规定的交货期交货时（不可抗力除外），买方有权按下列比例向卖方收取违约金(不满一周按比例计算)：</w:t>
      </w:r>
    </w:p>
    <w:p w14:paraId="235BE2C6">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17.10.1 迟交1－4周，每周违约金金额为迟交货物金额的0.5％；</w:t>
      </w:r>
    </w:p>
    <w:p w14:paraId="5CED751D">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17.10.2 迟交5－8周，每周违约金金额为迟交货物金额的1％；</w:t>
      </w:r>
    </w:p>
    <w:p w14:paraId="1A01DC27">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17.10.3 迟交9周以上，每周违约金金额为迟交货物金额的1.5％；</w:t>
      </w:r>
    </w:p>
    <w:p w14:paraId="2C678569">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17.11 每套合同设备迟交货物的违约金总金额不超过每套合同设备价格的10％。卖方支付迟交违约金，并不解除卖方按照合同继续交货的义务。</w:t>
      </w:r>
    </w:p>
    <w:p w14:paraId="339CC58A">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17.12 对安装、运行有重大影响的设备迟延交付达90日时，卖方除应向买方支付合同价款10%的迟延交付违约金外，还应向买方赔偿因此而遭受的损失, 此损失在履约保证金中扣除，履约保证金金额不足时，买方有权向卖方进行进一步的索赔。</w:t>
      </w:r>
    </w:p>
    <w:p w14:paraId="6E750EA6">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17.13 如由于确属卖方责任未能按本合同规定按时交付经双方确认属严重影响关键技术资料时，买方有权按下列比例向卖方收取违约金(不满一周按比例计算)：</w:t>
      </w:r>
    </w:p>
    <w:p w14:paraId="2FF3952F">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17.13.1迟交１周内，违约金金额为人民币2000元/周；</w:t>
      </w:r>
    </w:p>
    <w:p w14:paraId="13AB7B8F">
      <w:pPr>
        <w:tabs>
          <w:tab w:val="left" w:pos="540"/>
          <w:tab w:val="left" w:pos="1260"/>
          <w:tab w:val="left" w:pos="1440"/>
        </w:tabs>
        <w:spacing w:line="360" w:lineRule="auto"/>
        <w:ind w:left="420" w:leftChars="200"/>
        <w:rPr>
          <w:rFonts w:ascii="宋体" w:hAnsi="宋体"/>
          <w:color w:val="000000"/>
          <w:szCs w:val="21"/>
        </w:rPr>
      </w:pPr>
      <w:r>
        <w:rPr>
          <w:rFonts w:hint="eastAsia" w:ascii="宋体" w:hAnsi="宋体"/>
          <w:color w:val="000000"/>
          <w:szCs w:val="21"/>
        </w:rPr>
        <w:t>17.13.2 迟交2－4周，违约金金额为人民币5000元/周；</w:t>
      </w:r>
    </w:p>
    <w:p w14:paraId="23E0739E">
      <w:pPr>
        <w:tabs>
          <w:tab w:val="left" w:pos="540"/>
          <w:tab w:val="left" w:pos="1260"/>
          <w:tab w:val="left" w:pos="1440"/>
        </w:tabs>
        <w:spacing w:line="360" w:lineRule="auto"/>
        <w:ind w:left="420" w:leftChars="200"/>
        <w:rPr>
          <w:rFonts w:ascii="宋体" w:hAnsi="宋体"/>
          <w:color w:val="000000"/>
          <w:szCs w:val="21"/>
        </w:rPr>
      </w:pPr>
      <w:r>
        <w:rPr>
          <w:rFonts w:hint="eastAsia" w:ascii="宋体" w:hAnsi="宋体"/>
          <w:color w:val="000000"/>
          <w:szCs w:val="21"/>
        </w:rPr>
        <w:t>17.13.3 迟交4周以上，违约金金额为人民币10000元/周；</w:t>
      </w:r>
    </w:p>
    <w:p w14:paraId="6771CF0F">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17.14 如果由于卖方技术服务的延误、疏忽和/或错误，交付合同设备安装调试成果造成延误，每延误工期一周卖方将向买方支付合同价款的0.5％违约金。且卖方需支付由于卖方技术服务错误或违约造成买方的直接损失。如果由于卖方运抵现场的设备包装不符合买、卖双方达成的包装与保管技术标准与规范的要求，则买方有权要求卖方支付合同价款1%的违约金。</w:t>
      </w:r>
    </w:p>
    <w:p w14:paraId="270AC72B">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17.15 卖方按本合同规定所承担的违约金总额不论单项或多项累计将不超过合同价款的30％。</w:t>
      </w:r>
    </w:p>
    <w:p w14:paraId="27774FEE">
      <w:pPr>
        <w:tabs>
          <w:tab w:val="left" w:pos="540"/>
          <w:tab w:val="left" w:pos="1260"/>
          <w:tab w:val="left" w:pos="1440"/>
        </w:tabs>
        <w:spacing w:line="360" w:lineRule="auto"/>
        <w:ind w:left="420" w:leftChars="200"/>
        <w:rPr>
          <w:rFonts w:ascii="宋体" w:hAnsi="宋体"/>
          <w:color w:val="000000"/>
          <w:szCs w:val="21"/>
        </w:rPr>
      </w:pPr>
      <w:r>
        <w:rPr>
          <w:rFonts w:hint="eastAsia" w:ascii="宋体" w:hAnsi="宋体"/>
          <w:color w:val="000000"/>
          <w:szCs w:val="21"/>
        </w:rPr>
        <w:t>17.16 卖方支付迟交违约金并不解除按合同所规定的相应义务。</w:t>
      </w:r>
    </w:p>
    <w:p w14:paraId="7CDA5E13">
      <w:pPr>
        <w:spacing w:line="360" w:lineRule="auto"/>
        <w:ind w:firstLine="420" w:firstLineChars="200"/>
        <w:rPr>
          <w:rFonts w:ascii="宋体" w:hAnsi="宋体"/>
          <w:color w:val="000000"/>
          <w:szCs w:val="21"/>
        </w:rPr>
      </w:pPr>
    </w:p>
    <w:p w14:paraId="22B83F3D">
      <w:pPr>
        <w:spacing w:line="360" w:lineRule="auto"/>
        <w:ind w:firstLine="422" w:firstLineChars="200"/>
        <w:rPr>
          <w:rFonts w:ascii="宋体" w:hAnsi="宋体"/>
          <w:b/>
          <w:color w:val="000000"/>
          <w:szCs w:val="21"/>
        </w:rPr>
      </w:pPr>
      <w:r>
        <w:rPr>
          <w:rFonts w:hint="eastAsia" w:ascii="宋体" w:hAnsi="宋体"/>
          <w:b/>
          <w:color w:val="000000"/>
          <w:szCs w:val="21"/>
        </w:rPr>
        <w:t>第十八条 不可抗力</w:t>
      </w:r>
    </w:p>
    <w:p w14:paraId="1AA3D4A9">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18.1 任何一方由于不可抗力事件而影响其履行合同义务时，可以延迟履行合同义务，但延迟履行合同义务的期限和范围应仅限于受不可抗力事件影响的时间和范围，无论本合同其他条款如何规定，任何一方均不得因不可抗力事件而要求调整合同价款。</w:t>
      </w:r>
    </w:p>
    <w:p w14:paraId="315AB060">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18.2 受不可抗力影响的一方应在不可抗力事故发生后，尽快将所发生的不可抗力事件的情况以传真或电报等方式通知另一方，受影响的一方同时应尽量设法缩小这种影响和由此而引起的延误，一旦不可抗力的影响消除后，应将此情况立即通知对方，并立即恢复履行受不可抗力事件影响的合同义务。</w:t>
      </w:r>
    </w:p>
    <w:p w14:paraId="73021D93">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18.3 如果双方对不可抗力事件的影响估计将延续到一百天以上时，双方应通过友好协商解决本合同的执行问题。</w:t>
      </w:r>
    </w:p>
    <w:p w14:paraId="480C4831">
      <w:pPr>
        <w:spacing w:line="360" w:lineRule="auto"/>
        <w:ind w:firstLine="420" w:firstLineChars="200"/>
        <w:rPr>
          <w:rFonts w:ascii="宋体" w:hAnsi="宋体"/>
          <w:color w:val="000000"/>
          <w:szCs w:val="21"/>
        </w:rPr>
      </w:pPr>
    </w:p>
    <w:p w14:paraId="6DB31A14">
      <w:pPr>
        <w:spacing w:line="360" w:lineRule="auto"/>
        <w:ind w:firstLine="422" w:firstLineChars="200"/>
        <w:rPr>
          <w:rFonts w:ascii="宋体" w:hAnsi="宋体"/>
          <w:b/>
          <w:color w:val="000000"/>
          <w:szCs w:val="21"/>
        </w:rPr>
      </w:pPr>
      <w:r>
        <w:rPr>
          <w:rFonts w:hint="eastAsia" w:ascii="宋体" w:hAnsi="宋体"/>
          <w:b/>
          <w:color w:val="000000"/>
          <w:szCs w:val="21"/>
        </w:rPr>
        <w:t>第十九条 违约终止合同</w:t>
      </w:r>
    </w:p>
    <w:p w14:paraId="0663D892">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19.1 因卖方违约，买方有权采取任何必要的措施予以补救，在下列卖方违约情况下，买方在向卖方发出书面违约通知后，可立即解除全部或部分合同：</w:t>
      </w:r>
    </w:p>
    <w:p w14:paraId="5CAC5A28">
      <w:pPr>
        <w:numPr>
          <w:ilvl w:val="1"/>
          <w:numId w:val="12"/>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卖方原因导致的迟延交付超过</w:t>
      </w:r>
      <w:r>
        <w:rPr>
          <w:rFonts w:ascii="宋体" w:hAnsi="宋体"/>
          <w:color w:val="000000"/>
          <w:szCs w:val="21"/>
        </w:rPr>
        <w:t>90天时；</w:t>
      </w:r>
    </w:p>
    <w:p w14:paraId="49C91E1A">
      <w:pPr>
        <w:numPr>
          <w:ilvl w:val="1"/>
          <w:numId w:val="12"/>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卖方未能履行合同项下的任何其它义务，导致买方利益遭受严重损害的；</w:t>
      </w:r>
    </w:p>
    <w:p w14:paraId="40395E40">
      <w:pPr>
        <w:numPr>
          <w:ilvl w:val="1"/>
          <w:numId w:val="12"/>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卖方破产或无清偿能力。</w:t>
      </w:r>
    </w:p>
    <w:p w14:paraId="093B588E">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19.2 一旦买方根据第19</w:t>
      </w:r>
      <w:r>
        <w:rPr>
          <w:rFonts w:ascii="宋体" w:hAnsi="宋体"/>
          <w:color w:val="000000"/>
          <w:szCs w:val="21"/>
        </w:rPr>
        <w:t>.1款</w:t>
      </w:r>
      <w:r>
        <w:rPr>
          <w:rFonts w:hint="eastAsia" w:ascii="宋体" w:hAnsi="宋体"/>
          <w:color w:val="000000"/>
          <w:szCs w:val="21"/>
        </w:rPr>
        <w:t>解除</w:t>
      </w:r>
      <w:r>
        <w:rPr>
          <w:rFonts w:ascii="宋体" w:hAnsi="宋体"/>
          <w:color w:val="000000"/>
          <w:szCs w:val="21"/>
        </w:rPr>
        <w:t>部分或全部合同，买方有权按其认为适当的条件和方式采购类似未交付部分货物。卖方应承担买方购买类似货物的额外费用，以及因此而造成的一切损失。</w:t>
      </w:r>
      <w:r>
        <w:rPr>
          <w:rFonts w:hint="eastAsia" w:ascii="宋体" w:hAnsi="宋体"/>
          <w:color w:val="000000"/>
          <w:szCs w:val="21"/>
        </w:rPr>
        <w:t>合同中未解除的部分，</w:t>
      </w:r>
      <w:r>
        <w:rPr>
          <w:rFonts w:ascii="宋体" w:hAnsi="宋体"/>
          <w:color w:val="000000"/>
          <w:szCs w:val="21"/>
        </w:rPr>
        <w:t>卖方应继续履行。</w:t>
      </w:r>
    </w:p>
    <w:p w14:paraId="2CDA096D">
      <w:pPr>
        <w:spacing w:line="360" w:lineRule="auto"/>
        <w:ind w:firstLine="420" w:firstLineChars="200"/>
        <w:rPr>
          <w:rFonts w:ascii="宋体" w:hAnsi="宋体"/>
          <w:color w:val="000000"/>
          <w:szCs w:val="21"/>
        </w:rPr>
      </w:pPr>
    </w:p>
    <w:p w14:paraId="65EEC037">
      <w:pPr>
        <w:spacing w:line="360" w:lineRule="auto"/>
        <w:ind w:firstLine="422" w:firstLineChars="200"/>
        <w:rPr>
          <w:rFonts w:ascii="宋体" w:hAnsi="宋体"/>
          <w:b/>
          <w:color w:val="000000"/>
          <w:szCs w:val="21"/>
        </w:rPr>
      </w:pPr>
      <w:r>
        <w:rPr>
          <w:rFonts w:hint="eastAsia" w:ascii="宋体" w:hAnsi="宋体"/>
          <w:b/>
          <w:color w:val="000000"/>
          <w:szCs w:val="21"/>
        </w:rPr>
        <w:t>第二十条 变更指示</w:t>
      </w:r>
    </w:p>
    <w:p w14:paraId="42E2CF66">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20.1买方在任何时候可以按第二十三条规定向卖方发出书面指示，对合同的下列内容及相应条款作出变更或修改：</w:t>
      </w:r>
    </w:p>
    <w:p w14:paraId="2F2C336F">
      <w:pPr>
        <w:numPr>
          <w:ilvl w:val="1"/>
          <w:numId w:val="13"/>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装运方式和包装方式；</w:t>
      </w:r>
    </w:p>
    <w:p w14:paraId="5101C528">
      <w:pPr>
        <w:numPr>
          <w:ilvl w:val="1"/>
          <w:numId w:val="13"/>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交货地点；</w:t>
      </w:r>
    </w:p>
    <w:p w14:paraId="1F8DECCC">
      <w:pPr>
        <w:numPr>
          <w:ilvl w:val="1"/>
          <w:numId w:val="13"/>
        </w:numPr>
        <w:tabs>
          <w:tab w:val="left" w:pos="1060"/>
          <w:tab w:val="clear" w:pos="1320"/>
        </w:tabs>
        <w:spacing w:line="360" w:lineRule="auto"/>
        <w:ind w:left="0" w:firstLine="420" w:firstLineChars="200"/>
        <w:rPr>
          <w:rFonts w:ascii="宋体" w:hAnsi="宋体"/>
          <w:color w:val="000000"/>
          <w:szCs w:val="21"/>
        </w:rPr>
      </w:pPr>
      <w:r>
        <w:rPr>
          <w:rFonts w:hint="eastAsia" w:ascii="宋体" w:hAnsi="宋体"/>
          <w:color w:val="000000"/>
          <w:szCs w:val="21"/>
        </w:rPr>
        <w:t>卖方须提供的服务。</w:t>
      </w:r>
    </w:p>
    <w:p w14:paraId="4847FBE2">
      <w:pPr>
        <w:spacing w:line="360" w:lineRule="auto"/>
        <w:ind w:firstLine="420" w:firstLineChars="200"/>
        <w:rPr>
          <w:rFonts w:ascii="宋体" w:hAnsi="宋体"/>
          <w:color w:val="000000"/>
          <w:szCs w:val="21"/>
        </w:rPr>
      </w:pPr>
    </w:p>
    <w:p w14:paraId="58CDB612">
      <w:pPr>
        <w:spacing w:line="360" w:lineRule="auto"/>
        <w:ind w:firstLine="422" w:firstLineChars="200"/>
        <w:rPr>
          <w:rFonts w:ascii="宋体" w:hAnsi="宋体"/>
          <w:b/>
          <w:color w:val="000000"/>
          <w:szCs w:val="21"/>
        </w:rPr>
      </w:pPr>
      <w:r>
        <w:rPr>
          <w:rFonts w:hint="eastAsia" w:ascii="宋体" w:hAnsi="宋体"/>
          <w:b/>
          <w:color w:val="000000"/>
          <w:szCs w:val="21"/>
        </w:rPr>
        <w:t>第二十一条 合同修改</w:t>
      </w:r>
    </w:p>
    <w:p w14:paraId="6E15F022">
      <w:pPr>
        <w:spacing w:line="360" w:lineRule="auto"/>
        <w:ind w:firstLine="420" w:firstLineChars="200"/>
        <w:rPr>
          <w:rFonts w:ascii="宋体" w:hAnsi="宋体"/>
          <w:color w:val="000000"/>
          <w:szCs w:val="21"/>
        </w:rPr>
      </w:pPr>
      <w:r>
        <w:rPr>
          <w:rFonts w:hint="eastAsia" w:ascii="宋体" w:hAnsi="宋体"/>
          <w:color w:val="000000"/>
          <w:szCs w:val="21"/>
        </w:rPr>
        <w:t>根据第二十条，欲对合同条款作出任何改动或偏离，买卖双方均须签署书面的合同修改书。</w:t>
      </w:r>
    </w:p>
    <w:p w14:paraId="291EB44E">
      <w:pPr>
        <w:spacing w:line="360" w:lineRule="auto"/>
        <w:ind w:firstLine="420" w:firstLineChars="200"/>
        <w:rPr>
          <w:rFonts w:ascii="宋体" w:hAnsi="宋体"/>
          <w:color w:val="000000"/>
          <w:szCs w:val="21"/>
        </w:rPr>
      </w:pPr>
    </w:p>
    <w:p w14:paraId="5E90438C">
      <w:pPr>
        <w:spacing w:line="360" w:lineRule="auto"/>
        <w:ind w:firstLine="422" w:firstLineChars="200"/>
        <w:rPr>
          <w:rFonts w:ascii="宋体" w:hAnsi="宋体"/>
          <w:b/>
          <w:color w:val="000000"/>
          <w:szCs w:val="21"/>
        </w:rPr>
      </w:pPr>
      <w:r>
        <w:rPr>
          <w:rFonts w:hint="eastAsia" w:ascii="宋体" w:hAnsi="宋体"/>
          <w:b/>
          <w:color w:val="000000"/>
          <w:szCs w:val="21"/>
        </w:rPr>
        <w:t>第二十二条 转包与分包</w:t>
      </w:r>
    </w:p>
    <w:p w14:paraId="7B4EFD5B">
      <w:pPr>
        <w:spacing w:line="360" w:lineRule="auto"/>
        <w:ind w:firstLine="420" w:firstLineChars="200"/>
        <w:rPr>
          <w:rFonts w:ascii="宋体" w:hAnsi="宋体"/>
          <w:color w:val="000000"/>
          <w:szCs w:val="21"/>
        </w:rPr>
      </w:pPr>
      <w:r>
        <w:rPr>
          <w:rFonts w:hint="eastAsia" w:ascii="宋体" w:hAnsi="宋体"/>
          <w:color w:val="000000"/>
          <w:szCs w:val="21"/>
        </w:rPr>
        <w:t>卖方不得将其在本合同项下的义务全部转让或分包给任何第三方。</w:t>
      </w:r>
    </w:p>
    <w:p w14:paraId="20791C10">
      <w:pPr>
        <w:spacing w:line="360" w:lineRule="auto"/>
        <w:ind w:firstLine="420" w:firstLineChars="200"/>
        <w:rPr>
          <w:rFonts w:ascii="宋体" w:hAnsi="宋体"/>
          <w:color w:val="000000"/>
          <w:szCs w:val="21"/>
        </w:rPr>
      </w:pPr>
    </w:p>
    <w:p w14:paraId="0D4FCFA0">
      <w:pPr>
        <w:spacing w:line="360" w:lineRule="auto"/>
        <w:ind w:firstLine="422" w:firstLineChars="200"/>
        <w:rPr>
          <w:rFonts w:ascii="宋体" w:hAnsi="宋体"/>
          <w:b/>
          <w:color w:val="000000"/>
          <w:szCs w:val="21"/>
        </w:rPr>
      </w:pPr>
      <w:r>
        <w:rPr>
          <w:rFonts w:hint="eastAsia" w:ascii="宋体" w:hAnsi="宋体"/>
          <w:b/>
          <w:color w:val="000000"/>
          <w:szCs w:val="21"/>
        </w:rPr>
        <w:t>第二十三条 通知</w:t>
      </w:r>
    </w:p>
    <w:p w14:paraId="15577029">
      <w:pPr>
        <w:spacing w:line="360" w:lineRule="auto"/>
        <w:ind w:firstLine="420" w:firstLineChars="200"/>
        <w:rPr>
          <w:rFonts w:ascii="宋体" w:hAnsi="宋体"/>
          <w:color w:val="000000"/>
          <w:szCs w:val="21"/>
        </w:rPr>
      </w:pPr>
      <w:r>
        <w:rPr>
          <w:rFonts w:hint="eastAsia" w:ascii="宋体" w:hAnsi="宋体"/>
          <w:color w:val="000000"/>
          <w:szCs w:val="21"/>
        </w:rPr>
        <w:t>本合同任何一方给另一方的通知都应以信函或电报、传真等书面形式发送，而另一方应以书面形式确认并发送到对方明确的地址。</w:t>
      </w:r>
    </w:p>
    <w:p w14:paraId="05A3ECC5">
      <w:pPr>
        <w:spacing w:line="360" w:lineRule="auto"/>
        <w:ind w:firstLine="420" w:firstLineChars="200"/>
        <w:rPr>
          <w:rFonts w:ascii="宋体" w:hAnsi="宋体"/>
          <w:color w:val="000000"/>
          <w:szCs w:val="21"/>
        </w:rPr>
      </w:pPr>
    </w:p>
    <w:p w14:paraId="45A9B236">
      <w:pPr>
        <w:spacing w:line="360" w:lineRule="auto"/>
        <w:ind w:firstLine="422" w:firstLineChars="200"/>
        <w:rPr>
          <w:rFonts w:ascii="宋体" w:hAnsi="宋体"/>
          <w:b/>
          <w:color w:val="000000"/>
          <w:szCs w:val="21"/>
        </w:rPr>
      </w:pPr>
      <w:r>
        <w:rPr>
          <w:rFonts w:hint="eastAsia" w:ascii="宋体" w:hAnsi="宋体"/>
          <w:b/>
          <w:color w:val="000000"/>
          <w:szCs w:val="21"/>
        </w:rPr>
        <w:t>第二十四条 合同文件资料的使用</w:t>
      </w:r>
    </w:p>
    <w:p w14:paraId="5B535056">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24.1 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14:paraId="3E7E97C5">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24.2 除非执行合同需要，在事先未得到买方同意的情况下，卖方不得使用第</w:t>
      </w:r>
      <w:r>
        <w:rPr>
          <w:rFonts w:ascii="宋体" w:hAnsi="宋体"/>
          <w:color w:val="000000"/>
          <w:szCs w:val="21"/>
        </w:rPr>
        <w:t>2</w:t>
      </w:r>
      <w:r>
        <w:rPr>
          <w:rFonts w:hint="eastAsia" w:ascii="宋体" w:hAnsi="宋体"/>
          <w:color w:val="000000"/>
          <w:szCs w:val="21"/>
        </w:rPr>
        <w:t>4.1</w:t>
      </w:r>
      <w:r>
        <w:rPr>
          <w:rFonts w:ascii="宋体" w:hAnsi="宋体"/>
          <w:color w:val="000000"/>
          <w:szCs w:val="21"/>
        </w:rPr>
        <w:t>款中所列的任何文件和资料。</w:t>
      </w:r>
    </w:p>
    <w:p w14:paraId="5F940ACD">
      <w:pPr>
        <w:spacing w:line="360" w:lineRule="auto"/>
        <w:ind w:firstLine="420" w:firstLineChars="200"/>
        <w:rPr>
          <w:rFonts w:ascii="宋体" w:hAnsi="宋体"/>
          <w:color w:val="000000"/>
          <w:szCs w:val="21"/>
        </w:rPr>
      </w:pPr>
    </w:p>
    <w:p w14:paraId="11F2BBAF">
      <w:pPr>
        <w:spacing w:line="360" w:lineRule="auto"/>
        <w:ind w:firstLine="422" w:firstLineChars="200"/>
        <w:rPr>
          <w:rFonts w:ascii="宋体" w:hAnsi="宋体"/>
          <w:b/>
          <w:color w:val="000000"/>
          <w:szCs w:val="21"/>
        </w:rPr>
      </w:pPr>
      <w:r>
        <w:rPr>
          <w:rFonts w:hint="eastAsia" w:ascii="宋体" w:hAnsi="宋体"/>
          <w:b/>
          <w:color w:val="000000"/>
          <w:szCs w:val="21"/>
        </w:rPr>
        <w:t>第二十五条 合同生效及期限</w:t>
      </w:r>
    </w:p>
    <w:p w14:paraId="0EB36518">
      <w:pPr>
        <w:tabs>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25.1本合同经双方法定代表人或其授权代表签字盖章后生效。</w:t>
      </w:r>
    </w:p>
    <w:p w14:paraId="0ED9BE13">
      <w:pPr>
        <w:tabs>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25.2本合同有效期自合同生效日起到双方之间已完全解决了所有索赔事项并货款两清之日止。</w:t>
      </w:r>
    </w:p>
    <w:p w14:paraId="25974A08">
      <w:pPr>
        <w:spacing w:line="360" w:lineRule="auto"/>
        <w:ind w:firstLine="420" w:firstLineChars="200"/>
        <w:rPr>
          <w:rFonts w:ascii="宋体" w:hAnsi="宋体"/>
          <w:color w:val="000000"/>
          <w:szCs w:val="21"/>
        </w:rPr>
      </w:pPr>
    </w:p>
    <w:p w14:paraId="6CC96380">
      <w:pPr>
        <w:spacing w:line="360" w:lineRule="auto"/>
        <w:ind w:firstLine="422" w:firstLineChars="200"/>
        <w:rPr>
          <w:rFonts w:ascii="宋体" w:hAnsi="宋体"/>
          <w:b/>
          <w:color w:val="000000"/>
          <w:szCs w:val="21"/>
        </w:rPr>
      </w:pPr>
      <w:r>
        <w:rPr>
          <w:rFonts w:hint="eastAsia" w:ascii="宋体" w:hAnsi="宋体"/>
          <w:b/>
          <w:color w:val="000000"/>
          <w:szCs w:val="21"/>
        </w:rPr>
        <w:t>第二十六条争议解决</w:t>
      </w:r>
    </w:p>
    <w:p w14:paraId="0813E162">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26.1 因货物的质量问题发生争议的，可在国家认可的质量检测机构对货物质量进行鉴定。货物符合标准的，鉴定费由买方承担；货物不符合质量标准的，鉴定费由卖方承担。</w:t>
      </w:r>
    </w:p>
    <w:p w14:paraId="5789BB1D">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26.2因履行本合同引起的或与本合同有关的争议，甲、乙双方应首先通过友好协商解决；如果协商不能解决争议，买卖双方同意采取下列两种方式的第（ 1 ）种方式解决争议：</w:t>
      </w:r>
    </w:p>
    <w:p w14:paraId="130CB2DC">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（1）向买方住所地的基层人民法院提起诉讼，适用中华人民共和国法律；</w:t>
      </w:r>
    </w:p>
    <w:p w14:paraId="7EC6D209">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（2）向扬州仲裁委员会按其仲裁规则申请仲裁。</w:t>
      </w:r>
    </w:p>
    <w:p w14:paraId="1DEEF89E">
      <w:pPr>
        <w:tabs>
          <w:tab w:val="left" w:pos="540"/>
          <w:tab w:val="left" w:pos="1260"/>
          <w:tab w:val="left" w:pos="1440"/>
        </w:tabs>
        <w:spacing w:line="360" w:lineRule="auto"/>
        <w:ind w:firstLine="420" w:firstLineChars="200"/>
        <w:rPr>
          <w:rFonts w:ascii="宋体" w:hAnsi="宋体"/>
          <w:color w:val="000000"/>
          <w:szCs w:val="21"/>
        </w:rPr>
      </w:pPr>
      <w:r>
        <w:rPr>
          <w:rFonts w:hint="eastAsia" w:ascii="宋体" w:hAnsi="宋体"/>
          <w:color w:val="000000"/>
          <w:szCs w:val="21"/>
        </w:rPr>
        <w:t>26.3 若买卖双方任何一方都没有选择解除合同的，为避免扩大损失，在诉讼或仲裁期间，双方应继续履行。</w:t>
      </w:r>
    </w:p>
    <w:p w14:paraId="4715B4B0">
      <w:pPr>
        <w:pStyle w:val="18"/>
        <w:spacing w:line="360" w:lineRule="auto"/>
        <w:ind w:firstLine="420" w:firstLineChars="200"/>
        <w:rPr>
          <w:color w:val="000000"/>
          <w:szCs w:val="21"/>
        </w:rPr>
      </w:pPr>
    </w:p>
    <w:p w14:paraId="051D3F2C">
      <w:pPr>
        <w:tabs>
          <w:tab w:val="left" w:pos="1260"/>
          <w:tab w:val="left" w:pos="1440"/>
        </w:tabs>
        <w:spacing w:line="360" w:lineRule="auto"/>
        <w:ind w:firstLine="420" w:firstLineChars="200"/>
        <w:rPr>
          <w:rFonts w:ascii="宋体" w:hAnsi="宋体"/>
          <w:color w:val="000000"/>
          <w:szCs w:val="21"/>
        </w:rPr>
      </w:pPr>
    </w:p>
    <w:p w14:paraId="3AB0954C">
      <w:pPr>
        <w:spacing w:line="360" w:lineRule="auto"/>
        <w:ind w:firstLine="422" w:firstLineChars="200"/>
        <w:rPr>
          <w:rFonts w:ascii="宋体" w:hAnsi="宋体"/>
          <w:b/>
          <w:color w:val="000000"/>
          <w:szCs w:val="21"/>
        </w:rPr>
      </w:pPr>
      <w:r>
        <w:rPr>
          <w:rFonts w:hint="eastAsia" w:ascii="宋体" w:hAnsi="宋体"/>
          <w:b/>
          <w:color w:val="000000"/>
          <w:szCs w:val="21"/>
        </w:rPr>
        <w:t>第二十七条 其他</w:t>
      </w:r>
    </w:p>
    <w:p w14:paraId="21A0F6C0">
      <w:pPr>
        <w:pStyle w:val="16"/>
        <w:spacing w:line="420" w:lineRule="exact"/>
        <w:ind w:firstLine="420" w:firstLineChars="200"/>
        <w:rPr>
          <w:rFonts w:ascii="宋体" w:hAnsi="宋体" w:cs="宋体"/>
          <w:color w:val="000000"/>
          <w:szCs w:val="21"/>
          <w:shd w:val="clear" w:color="auto" w:fill="FFFFFF"/>
        </w:rPr>
      </w:pPr>
      <w:r>
        <w:rPr>
          <w:rFonts w:hint="eastAsia" w:ascii="宋体" w:hAnsi="宋体"/>
          <w:color w:val="000000"/>
          <w:szCs w:val="21"/>
        </w:rPr>
        <w:t>27.1</w:t>
      </w:r>
      <w:r>
        <w:rPr>
          <w:rFonts w:hint="eastAsia" w:ascii="宋体" w:hAnsi="宋体" w:cs="宋体"/>
          <w:color w:val="000000"/>
          <w:szCs w:val="21"/>
          <w:shd w:val="clear" w:color="auto" w:fill="FFFFFF"/>
        </w:rPr>
        <w:t>廉洁协议由双方另行签订。</w:t>
      </w:r>
    </w:p>
    <w:p w14:paraId="42BC661D">
      <w:pPr>
        <w:pStyle w:val="16"/>
        <w:spacing w:line="420" w:lineRule="exact"/>
        <w:ind w:firstLine="420" w:firstLineChars="200"/>
        <w:rPr>
          <w:rFonts w:ascii="宋体" w:hAnsi="宋体"/>
          <w:color w:val="000000"/>
          <w:szCs w:val="21"/>
        </w:rPr>
      </w:pPr>
      <w:r>
        <w:rPr>
          <w:rFonts w:hint="eastAsia" w:ascii="宋体" w:hAnsi="宋体" w:cs="宋体"/>
          <w:color w:val="000000"/>
          <w:szCs w:val="21"/>
          <w:shd w:val="clear" w:color="auto" w:fill="FFFFFF"/>
        </w:rPr>
        <w:t>27.2本合同一式六份，买方执四份，卖方执两份。</w:t>
      </w:r>
    </w:p>
    <w:p w14:paraId="72CD571D">
      <w:pPr>
        <w:tabs>
          <w:tab w:val="left" w:pos="1260"/>
          <w:tab w:val="left" w:pos="1440"/>
        </w:tabs>
        <w:spacing w:line="360" w:lineRule="auto"/>
        <w:ind w:firstLine="420" w:firstLineChars="200"/>
        <w:rPr>
          <w:rFonts w:ascii="宋体" w:hAnsi="宋体"/>
          <w:b/>
          <w:color w:val="000000"/>
          <w:szCs w:val="21"/>
        </w:rPr>
      </w:pPr>
      <w:r>
        <w:rPr>
          <w:rFonts w:hint="eastAsia" w:ascii="宋体" w:hAnsi="宋体"/>
          <w:color w:val="000000"/>
          <w:szCs w:val="21"/>
        </w:rPr>
        <w:t>27.3本合同若有未尽事宜，以招标文件为准，或经双方协商一致后签订补充合同。</w:t>
      </w:r>
    </w:p>
    <w:p w14:paraId="1A04576F">
      <w:pPr>
        <w:spacing w:line="360" w:lineRule="auto"/>
        <w:ind w:firstLine="420" w:firstLineChars="200"/>
        <w:rPr>
          <w:color w:val="000000"/>
          <w:szCs w:val="21"/>
        </w:rPr>
      </w:pPr>
    </w:p>
    <w:p w14:paraId="152D661A">
      <w:pPr>
        <w:spacing w:line="360" w:lineRule="auto"/>
        <w:ind w:firstLine="420" w:firstLineChars="200"/>
        <w:rPr>
          <w:rFonts w:ascii="宋体" w:hAnsi="宋体"/>
          <w:color w:val="000000"/>
          <w:szCs w:val="21"/>
        </w:rPr>
      </w:pPr>
    </w:p>
    <w:p w14:paraId="2768A22A">
      <w:pPr>
        <w:spacing w:line="360" w:lineRule="auto"/>
        <w:ind w:firstLine="420" w:firstLineChars="200"/>
        <w:rPr>
          <w:rFonts w:ascii="宋体" w:hAnsi="宋体"/>
          <w:color w:val="000000"/>
          <w:szCs w:val="21"/>
        </w:rPr>
      </w:pPr>
      <w:r>
        <w:rPr>
          <w:rFonts w:hint="eastAsia" w:ascii="宋体" w:hAnsi="宋体"/>
          <w:color w:val="000000"/>
          <w:szCs w:val="21"/>
        </w:rPr>
        <w:t>买方：                            卖方：</w:t>
      </w:r>
    </w:p>
    <w:p w14:paraId="78A11CF3">
      <w:pPr>
        <w:spacing w:line="360" w:lineRule="auto"/>
        <w:ind w:firstLine="420" w:firstLineChars="200"/>
        <w:rPr>
          <w:rFonts w:ascii="宋体" w:hAnsi="宋体"/>
          <w:color w:val="000000"/>
          <w:szCs w:val="21"/>
        </w:rPr>
      </w:pPr>
      <w:r>
        <w:rPr>
          <w:rFonts w:hint="eastAsia" w:ascii="宋体" w:hAnsi="宋体"/>
          <w:color w:val="000000"/>
          <w:szCs w:val="21"/>
        </w:rPr>
        <w:t>授权代表人：　　　　            　授权代表人：</w:t>
      </w:r>
    </w:p>
    <w:p w14:paraId="41D5C348">
      <w:pPr>
        <w:spacing w:line="360" w:lineRule="auto"/>
        <w:ind w:firstLine="420" w:firstLineChars="200"/>
        <w:rPr>
          <w:rFonts w:ascii="宋体" w:hAnsi="宋体"/>
          <w:color w:val="000000"/>
          <w:szCs w:val="21"/>
        </w:rPr>
      </w:pPr>
      <w:r>
        <w:rPr>
          <w:rFonts w:hint="eastAsia" w:ascii="宋体" w:hAnsi="宋体"/>
          <w:color w:val="000000"/>
          <w:szCs w:val="21"/>
        </w:rPr>
        <w:t>开户银行：　　　　                开户银行：</w:t>
      </w:r>
    </w:p>
    <w:p w14:paraId="797C55A9">
      <w:pPr>
        <w:spacing w:line="360" w:lineRule="auto"/>
        <w:ind w:firstLine="420" w:firstLineChars="200"/>
        <w:rPr>
          <w:rFonts w:ascii="宋体" w:hAnsi="宋体"/>
          <w:color w:val="000000"/>
          <w:szCs w:val="21"/>
        </w:rPr>
      </w:pPr>
      <w:r>
        <w:rPr>
          <w:rFonts w:hint="eastAsia" w:ascii="宋体" w:hAnsi="宋体"/>
          <w:color w:val="000000"/>
          <w:szCs w:val="21"/>
        </w:rPr>
        <w:t>账　号：　                        账　号：</w:t>
      </w:r>
    </w:p>
    <w:p w14:paraId="7D5AA8E0">
      <w:pPr>
        <w:spacing w:line="360" w:lineRule="auto"/>
        <w:ind w:firstLine="420" w:firstLineChars="200"/>
        <w:jc w:val="left"/>
        <w:rPr>
          <w:rFonts w:ascii="宋体" w:hAnsi="宋体"/>
          <w:color w:val="000000"/>
          <w:szCs w:val="21"/>
        </w:rPr>
      </w:pPr>
      <w:r>
        <w:rPr>
          <w:rFonts w:hint="eastAsia" w:ascii="宋体" w:hAnsi="宋体"/>
          <w:color w:val="000000"/>
          <w:szCs w:val="21"/>
        </w:rPr>
        <w:t>地址：                            地址：</w:t>
      </w:r>
    </w:p>
    <w:p w14:paraId="1978A88E">
      <w:pPr>
        <w:spacing w:line="360" w:lineRule="auto"/>
        <w:ind w:firstLine="420" w:firstLineChars="200"/>
        <w:rPr>
          <w:rFonts w:ascii="宋体" w:hAnsi="宋体"/>
          <w:color w:val="000000"/>
          <w:szCs w:val="21"/>
        </w:rPr>
      </w:pPr>
      <w:r>
        <w:rPr>
          <w:rFonts w:hint="eastAsia" w:ascii="宋体" w:hAnsi="宋体"/>
          <w:color w:val="000000"/>
          <w:szCs w:val="21"/>
        </w:rPr>
        <w:t>邮　编：　　　　　　　          　邮　编：</w:t>
      </w:r>
    </w:p>
    <w:p w14:paraId="3EC87DA7">
      <w:pPr>
        <w:spacing w:line="360" w:lineRule="auto"/>
        <w:ind w:firstLine="420" w:firstLineChars="200"/>
        <w:rPr>
          <w:rFonts w:ascii="宋体" w:hAnsi="宋体"/>
          <w:color w:val="000000"/>
          <w:szCs w:val="21"/>
        </w:rPr>
      </w:pPr>
      <w:r>
        <w:rPr>
          <w:rFonts w:hint="eastAsia" w:ascii="宋体" w:hAnsi="宋体"/>
          <w:color w:val="000000"/>
          <w:szCs w:val="21"/>
        </w:rPr>
        <w:t>电　话：　　                      电　话：</w:t>
      </w:r>
    </w:p>
    <w:p w14:paraId="40CDAA4C">
      <w:pPr>
        <w:spacing w:line="360" w:lineRule="auto"/>
        <w:ind w:firstLine="420" w:firstLineChars="200"/>
        <w:rPr>
          <w:rFonts w:ascii="宋体" w:hAnsi="宋体"/>
          <w:color w:val="000000"/>
          <w:szCs w:val="21"/>
        </w:rPr>
      </w:pPr>
      <w:r>
        <w:rPr>
          <w:rFonts w:hint="eastAsia" w:ascii="宋体" w:hAnsi="宋体"/>
          <w:color w:val="000000"/>
          <w:szCs w:val="21"/>
        </w:rPr>
        <w:t>日期：                            日期：</w:t>
      </w:r>
    </w:p>
    <w:p w14:paraId="16D4C137">
      <w:pPr>
        <w:spacing w:line="360" w:lineRule="auto"/>
        <w:ind w:firstLine="420" w:firstLineChars="200"/>
        <w:jc w:val="center"/>
        <w:rPr>
          <w:b/>
          <w:bCs/>
          <w:sz w:val="28"/>
          <w:szCs w:val="28"/>
        </w:rPr>
      </w:pPr>
      <w:r>
        <w:rPr>
          <w:rFonts w:hint="eastAsia" w:ascii="宋体" w:hAnsi="宋体"/>
          <w:color w:val="000000"/>
          <w:szCs w:val="21"/>
        </w:rPr>
        <w:br w:type="page"/>
      </w:r>
      <w:r>
        <w:rPr>
          <w:rFonts w:hint="eastAsia"/>
          <w:b/>
          <w:bCs/>
          <w:sz w:val="28"/>
          <w:szCs w:val="28"/>
        </w:rPr>
        <w:t>廉洁协议书</w:t>
      </w:r>
    </w:p>
    <w:p w14:paraId="19D3A425">
      <w:pPr>
        <w:spacing w:line="500" w:lineRule="exact"/>
        <w:ind w:firstLine="422" w:firstLineChars="200"/>
        <w:rPr>
          <w:b/>
          <w:bCs/>
          <w:szCs w:val="21"/>
        </w:rPr>
      </w:pPr>
      <w:r>
        <w:rPr>
          <w:rFonts w:hint="eastAsia"/>
          <w:b/>
          <w:bCs/>
          <w:szCs w:val="21"/>
        </w:rPr>
        <w:t>甲  方：</w:t>
      </w:r>
      <w:r>
        <w:rPr>
          <w:rFonts w:hint="eastAsia" w:ascii="宋体" w:hAnsi="宋体"/>
          <w:szCs w:val="21"/>
        </w:rPr>
        <w:t>江苏长江水务股份有限公司</w:t>
      </w:r>
    </w:p>
    <w:p w14:paraId="50742C7D">
      <w:pPr>
        <w:spacing w:line="500" w:lineRule="exact"/>
        <w:ind w:firstLine="422" w:firstLineChars="200"/>
        <w:rPr>
          <w:rFonts w:ascii="宋体" w:hAnsi="宋体"/>
          <w:szCs w:val="21"/>
        </w:rPr>
      </w:pPr>
      <w:r>
        <w:rPr>
          <w:rFonts w:hint="eastAsia"/>
          <w:b/>
          <w:bCs/>
          <w:szCs w:val="21"/>
        </w:rPr>
        <w:t>乙  方：</w:t>
      </w:r>
    </w:p>
    <w:p w14:paraId="0CD01079">
      <w:pPr>
        <w:spacing w:line="500" w:lineRule="exact"/>
        <w:ind w:firstLine="422" w:firstLineChars="200"/>
        <w:rPr>
          <w:b/>
          <w:bCs/>
          <w:szCs w:val="21"/>
        </w:rPr>
      </w:pPr>
      <w:r>
        <w:rPr>
          <w:rFonts w:hint="eastAsia"/>
          <w:b/>
          <w:bCs/>
          <w:szCs w:val="21"/>
        </w:rPr>
        <w:t>项目名称：</w:t>
      </w:r>
    </w:p>
    <w:p w14:paraId="48DAAB60">
      <w:pPr>
        <w:spacing w:line="500" w:lineRule="exact"/>
        <w:ind w:firstLine="420" w:firstLineChars="200"/>
        <w:rPr>
          <w:szCs w:val="21"/>
        </w:rPr>
      </w:pPr>
      <w:r>
        <w:rPr>
          <w:rFonts w:hint="eastAsia"/>
          <w:szCs w:val="21"/>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14:paraId="76E40AD0">
      <w:pPr>
        <w:spacing w:line="500" w:lineRule="exact"/>
        <w:ind w:firstLine="422" w:firstLineChars="200"/>
        <w:rPr>
          <w:szCs w:val="21"/>
        </w:rPr>
      </w:pPr>
      <w:r>
        <w:rPr>
          <w:rFonts w:hint="eastAsia"/>
          <w:b/>
          <w:bCs/>
          <w:szCs w:val="21"/>
        </w:rPr>
        <w:t>第一条 甲、乙双方的共同责任</w:t>
      </w:r>
    </w:p>
    <w:p w14:paraId="2D95BBA9">
      <w:pPr>
        <w:spacing w:line="500" w:lineRule="exact"/>
        <w:ind w:firstLine="420" w:firstLineChars="200"/>
        <w:rPr>
          <w:szCs w:val="21"/>
        </w:rPr>
      </w:pPr>
      <w:r>
        <w:rPr>
          <w:rFonts w:hint="eastAsia"/>
          <w:szCs w:val="21"/>
        </w:rPr>
        <w:t>1、应自觉遵守国家、地方及建设单位有关廉政建设的各项制度和规定。</w:t>
      </w:r>
    </w:p>
    <w:p w14:paraId="1C183FD9">
      <w:pPr>
        <w:spacing w:line="500" w:lineRule="exact"/>
        <w:ind w:firstLine="420" w:firstLineChars="200"/>
        <w:rPr>
          <w:szCs w:val="21"/>
        </w:rPr>
      </w:pPr>
      <w:r>
        <w:rPr>
          <w:rFonts w:hint="eastAsia"/>
          <w:szCs w:val="21"/>
        </w:rPr>
        <w:t>2、严格履行合同约定，自觉承担合同义务。</w:t>
      </w:r>
    </w:p>
    <w:p w14:paraId="31F69F7B">
      <w:pPr>
        <w:spacing w:line="500" w:lineRule="exact"/>
        <w:ind w:firstLine="420" w:firstLineChars="200"/>
        <w:rPr>
          <w:szCs w:val="21"/>
        </w:rPr>
      </w:pPr>
      <w:r>
        <w:rPr>
          <w:rFonts w:hint="eastAsia"/>
          <w:szCs w:val="21"/>
        </w:rPr>
        <w:t>3、开展业务活动必须坚持自愿、公平、公开、公正和诚实守信的原则，不得为谋取不正当利益损害国家、集体和双方权益。</w:t>
      </w:r>
    </w:p>
    <w:p w14:paraId="5A10B07E">
      <w:pPr>
        <w:spacing w:line="500" w:lineRule="exact"/>
        <w:ind w:firstLine="420" w:firstLineChars="200"/>
        <w:rPr>
          <w:szCs w:val="21"/>
        </w:rPr>
      </w:pPr>
      <w:r>
        <w:rPr>
          <w:rFonts w:hint="eastAsia"/>
          <w:szCs w:val="21"/>
        </w:rPr>
        <w:t>4、建立健全自我制约制度，开展廉洁教育，增强廉洁意识，公布举报电话，监督并认真查处违规违纪违法行为。</w:t>
      </w:r>
    </w:p>
    <w:p w14:paraId="462C924A">
      <w:pPr>
        <w:spacing w:line="500" w:lineRule="exact"/>
        <w:ind w:firstLine="420" w:firstLineChars="200"/>
        <w:rPr>
          <w:szCs w:val="21"/>
        </w:rPr>
      </w:pPr>
      <w:r>
        <w:rPr>
          <w:rFonts w:hint="eastAsia"/>
          <w:szCs w:val="21"/>
        </w:rPr>
        <w:t>5、不得有其他妨碍正常交易的违法行为。</w:t>
      </w:r>
    </w:p>
    <w:p w14:paraId="594B47DB">
      <w:pPr>
        <w:spacing w:line="500" w:lineRule="exact"/>
        <w:ind w:firstLine="422" w:firstLineChars="200"/>
        <w:rPr>
          <w:b/>
          <w:bCs/>
          <w:szCs w:val="21"/>
        </w:rPr>
      </w:pPr>
      <w:r>
        <w:rPr>
          <w:rFonts w:hint="eastAsia"/>
          <w:b/>
          <w:bCs/>
          <w:szCs w:val="21"/>
        </w:rPr>
        <w:t>第二条 甲方的责任</w:t>
      </w:r>
    </w:p>
    <w:p w14:paraId="3577AF35">
      <w:pPr>
        <w:spacing w:line="500" w:lineRule="exact"/>
        <w:ind w:firstLine="420" w:firstLineChars="200"/>
        <w:rPr>
          <w:szCs w:val="21"/>
        </w:rPr>
      </w:pPr>
      <w:r>
        <w:rPr>
          <w:rFonts w:hint="eastAsia"/>
          <w:szCs w:val="21"/>
        </w:rPr>
        <w:t>1、甲方应按照自愿、公平、公正、公开和诚实守信的原则开展各项业务活动，为乙方提供公平的竞争环境与平台。</w:t>
      </w:r>
    </w:p>
    <w:p w14:paraId="70AB626D">
      <w:pPr>
        <w:spacing w:line="500" w:lineRule="exact"/>
        <w:ind w:firstLine="420" w:firstLineChars="200"/>
        <w:rPr>
          <w:szCs w:val="21"/>
        </w:rPr>
      </w:pPr>
      <w:r>
        <w:rPr>
          <w:rFonts w:hint="eastAsia"/>
          <w:szCs w:val="21"/>
        </w:rPr>
        <w:t>2、甲方应严格遵守公司对外服务“五条禁令”：严禁接受服务对象、业务单位的礼金、宴请；严禁违规收费；严禁越权动用供水设施；严禁私揽供水工程；严禁工作期间饮酒和擅离岗位。</w:t>
      </w:r>
    </w:p>
    <w:p w14:paraId="7A2CA68D">
      <w:pPr>
        <w:spacing w:line="500" w:lineRule="exact"/>
        <w:ind w:firstLine="420" w:firstLineChars="200"/>
        <w:rPr>
          <w:szCs w:val="21"/>
        </w:rPr>
      </w:pPr>
      <w:r>
        <w:rPr>
          <w:rFonts w:hint="eastAsia"/>
          <w:szCs w:val="21"/>
        </w:rPr>
        <w:t>3、甲方不得以任何理由要求乙方为其亲属、朋友等安排工作。</w:t>
      </w:r>
    </w:p>
    <w:p w14:paraId="2FF07BAC">
      <w:pPr>
        <w:spacing w:line="500" w:lineRule="exact"/>
        <w:ind w:firstLine="420" w:firstLineChars="200"/>
        <w:rPr>
          <w:szCs w:val="21"/>
        </w:rPr>
      </w:pPr>
      <w:r>
        <w:rPr>
          <w:rFonts w:hint="eastAsia"/>
          <w:szCs w:val="21"/>
        </w:rPr>
        <w:t>4、甲方不得要求乙方及相关单位报销任何应由甲方或个人支付的费用。</w:t>
      </w:r>
    </w:p>
    <w:p w14:paraId="34DA21A3">
      <w:pPr>
        <w:spacing w:line="500" w:lineRule="exact"/>
        <w:ind w:firstLine="420" w:firstLineChars="200"/>
        <w:rPr>
          <w:szCs w:val="21"/>
        </w:rPr>
      </w:pPr>
      <w:r>
        <w:rPr>
          <w:rFonts w:hint="eastAsia"/>
          <w:szCs w:val="21"/>
        </w:rPr>
        <w:t>5、甲方不得参与影响相关双方正常工作和公正开展的其他活动。</w:t>
      </w:r>
    </w:p>
    <w:p w14:paraId="769D9CD0">
      <w:pPr>
        <w:spacing w:line="500" w:lineRule="exact"/>
        <w:ind w:firstLine="420" w:firstLineChars="200"/>
        <w:rPr>
          <w:szCs w:val="21"/>
        </w:rPr>
      </w:pPr>
      <w:r>
        <w:rPr>
          <w:rFonts w:hint="eastAsia"/>
          <w:szCs w:val="21"/>
        </w:rPr>
        <w:t>6、甲方不得向乙方泄露涉及有关业务活动的秘密。</w:t>
      </w:r>
    </w:p>
    <w:p w14:paraId="3A89AA89">
      <w:pPr>
        <w:spacing w:line="500" w:lineRule="exact"/>
        <w:ind w:firstLine="420" w:firstLineChars="200"/>
        <w:rPr>
          <w:szCs w:val="21"/>
        </w:rPr>
      </w:pPr>
      <w:r>
        <w:rPr>
          <w:rFonts w:hint="eastAsia"/>
          <w:szCs w:val="21"/>
        </w:rPr>
        <w:t>7、甲方要求参与公司业务活动的本公司员工主动申报与乙方的关联关系，包括但不限于存在亲属关系、利益关联体等。</w:t>
      </w:r>
    </w:p>
    <w:p w14:paraId="72715B7C">
      <w:pPr>
        <w:spacing w:line="500" w:lineRule="exact"/>
        <w:ind w:firstLine="420" w:firstLineChars="200"/>
        <w:rPr>
          <w:szCs w:val="21"/>
        </w:rPr>
      </w:pPr>
      <w:r>
        <w:rPr>
          <w:rFonts w:hint="eastAsia"/>
          <w:szCs w:val="21"/>
        </w:rPr>
        <w:t>8、在双方合作过程中，甲方有权依据公司相关规章制度对任何重要的流程节点，采取由甲方相关领导小组集体决策的方式作出决定，确保不因任何人的个人利益因素而对乙方提供特别的照顾、优惠、变通、变更。</w:t>
      </w:r>
    </w:p>
    <w:p w14:paraId="42EC0FC7">
      <w:pPr>
        <w:spacing w:line="500" w:lineRule="exact"/>
        <w:ind w:firstLine="420" w:firstLineChars="200"/>
        <w:rPr>
          <w:szCs w:val="21"/>
        </w:rPr>
      </w:pPr>
      <w:r>
        <w:rPr>
          <w:rFonts w:hint="eastAsia"/>
          <w:szCs w:val="21"/>
        </w:rPr>
        <w:t>9、在合同订立及履行过程中，如乙方人员有行贿行为的，甲方应坚决拒绝，及时向公司领导、纪检监察部门或乙方上级领导或有关部门举报，并向双方单位通报。</w:t>
      </w:r>
    </w:p>
    <w:p w14:paraId="0C5CC84C">
      <w:pPr>
        <w:spacing w:line="500" w:lineRule="exact"/>
        <w:ind w:firstLine="422" w:firstLineChars="200"/>
        <w:rPr>
          <w:b/>
          <w:bCs/>
          <w:szCs w:val="21"/>
        </w:rPr>
      </w:pPr>
      <w:r>
        <w:rPr>
          <w:rFonts w:hint="eastAsia"/>
          <w:b/>
          <w:bCs/>
          <w:szCs w:val="21"/>
        </w:rPr>
        <w:t>第三条 乙方的责任</w:t>
      </w:r>
    </w:p>
    <w:p w14:paraId="3AD540ED">
      <w:pPr>
        <w:spacing w:line="500" w:lineRule="exact"/>
        <w:ind w:firstLine="420" w:firstLineChars="200"/>
        <w:rPr>
          <w:szCs w:val="21"/>
        </w:rPr>
      </w:pPr>
      <w:r>
        <w:rPr>
          <w:rFonts w:hint="eastAsia"/>
          <w:szCs w:val="21"/>
        </w:rPr>
        <w:t>1、乙方应主动如实向甲方申报是否与甲方员工存在亲属关系、利益关联体关系，是否有甲方在岗或离职人员担任乙方重要岗位等情况。</w:t>
      </w:r>
    </w:p>
    <w:p w14:paraId="259B5773">
      <w:pPr>
        <w:spacing w:line="500" w:lineRule="exact"/>
        <w:ind w:firstLine="420" w:firstLineChars="200"/>
        <w:rPr>
          <w:szCs w:val="21"/>
        </w:rPr>
      </w:pPr>
      <w:r>
        <w:rPr>
          <w:rFonts w:hint="eastAsia"/>
          <w:szCs w:val="21"/>
        </w:rPr>
        <w:t>2、乙方不得接受甲方工作人员介绍的家属或者亲友从事与合同相关的业务，包括但不限于作为乙方的材料供应方、服务提供方等。</w:t>
      </w:r>
    </w:p>
    <w:p w14:paraId="4D37FA3C">
      <w:pPr>
        <w:spacing w:line="500" w:lineRule="exact"/>
        <w:ind w:firstLine="420" w:firstLineChars="200"/>
        <w:rPr>
          <w:szCs w:val="21"/>
        </w:rPr>
      </w:pPr>
      <w:r>
        <w:rPr>
          <w:rFonts w:hint="eastAsia"/>
          <w:szCs w:val="21"/>
        </w:rPr>
        <w:t>3、乙方不得为谋取利益擅自与甲方就工程承包、工程费用、材料设备供应、工程量变动、工程验收、工程质量问题处理进行私下商谈或者达成默契。</w:t>
      </w:r>
    </w:p>
    <w:p w14:paraId="524A034A">
      <w:pPr>
        <w:spacing w:line="500" w:lineRule="exact"/>
        <w:ind w:firstLine="420" w:firstLineChars="200"/>
        <w:rPr>
          <w:szCs w:val="21"/>
        </w:rPr>
      </w:pPr>
      <w:r>
        <w:rPr>
          <w:rFonts w:hint="eastAsia"/>
          <w:szCs w:val="21"/>
        </w:rPr>
        <w:t>4、乙方不得与其他单位串通投标、不得采取恶性竞争等不正当手段竞争业务。</w:t>
      </w:r>
    </w:p>
    <w:p w14:paraId="69975E62">
      <w:pPr>
        <w:spacing w:line="500" w:lineRule="exact"/>
        <w:ind w:firstLine="420" w:firstLineChars="200"/>
        <w:rPr>
          <w:szCs w:val="21"/>
        </w:rPr>
      </w:pPr>
      <w:r>
        <w:rPr>
          <w:rFonts w:hint="eastAsia"/>
          <w:szCs w:val="21"/>
        </w:rPr>
        <w:t>5、乙方应当通过正常途径开展相关工作，不得以任何理由或者形式向甲方工作人员（含配偶、子女及其他特定关系人，同下）提供或赠送礼金、有价证券、贵重物品及手续费、回扣、好处费、感谢费等。</w:t>
      </w:r>
    </w:p>
    <w:p w14:paraId="268EDA20">
      <w:pPr>
        <w:spacing w:line="500" w:lineRule="exact"/>
        <w:ind w:firstLine="420" w:firstLineChars="200"/>
        <w:rPr>
          <w:szCs w:val="21"/>
        </w:rPr>
      </w:pPr>
      <w:r>
        <w:rPr>
          <w:rFonts w:hint="eastAsia"/>
          <w:szCs w:val="21"/>
        </w:rPr>
        <w:t>6、乙方不得以任何理由或任何形式邀请甲方工作人员参加有可能影响廉洁、公正的宴请、健身、旅游、娱乐活动。</w:t>
      </w:r>
    </w:p>
    <w:p w14:paraId="15AA9F1D">
      <w:pPr>
        <w:spacing w:line="500" w:lineRule="exact"/>
        <w:ind w:firstLine="420" w:firstLineChars="200"/>
        <w:rPr>
          <w:szCs w:val="21"/>
        </w:rPr>
      </w:pPr>
      <w:r>
        <w:rPr>
          <w:rFonts w:hint="eastAsia"/>
          <w:szCs w:val="21"/>
        </w:rPr>
        <w:t>7、乙方不得和甲方人员及其亲属发生任何形式的经济往来，包含但不限于个人借款、任何形式的费用报销、婚丧嫁娶、工作安排、出国、留学等。</w:t>
      </w:r>
    </w:p>
    <w:p w14:paraId="2B41CA6F">
      <w:pPr>
        <w:spacing w:line="500" w:lineRule="exact"/>
        <w:ind w:firstLine="420" w:firstLineChars="200"/>
        <w:rPr>
          <w:szCs w:val="21"/>
        </w:rPr>
      </w:pPr>
      <w:r>
        <w:rPr>
          <w:rFonts w:hint="eastAsia"/>
          <w:szCs w:val="21"/>
        </w:rPr>
        <w:t>8、乙方不得向甲方员工及其家属购置、提供任何住房、装修、交通工具、通讯工具、家电、高档办公用品等物品。</w:t>
      </w:r>
    </w:p>
    <w:p w14:paraId="49B7B4D7">
      <w:pPr>
        <w:spacing w:line="500" w:lineRule="exact"/>
        <w:ind w:firstLine="420" w:firstLineChars="200"/>
        <w:rPr>
          <w:szCs w:val="21"/>
        </w:rPr>
      </w:pPr>
      <w:r>
        <w:rPr>
          <w:rFonts w:hint="eastAsia"/>
          <w:szCs w:val="21"/>
        </w:rPr>
        <w:t>9、乙方有义务监督甲方员工廉洁从业，对违反者，有向甲方反馈和举报的权利和义务。</w:t>
      </w:r>
    </w:p>
    <w:p w14:paraId="24ECB4DD">
      <w:pPr>
        <w:spacing w:line="500" w:lineRule="exact"/>
        <w:ind w:firstLine="420" w:firstLineChars="200"/>
        <w:rPr>
          <w:szCs w:val="21"/>
        </w:rPr>
      </w:pPr>
      <w:r>
        <w:rPr>
          <w:rFonts w:hint="eastAsia"/>
          <w:szCs w:val="21"/>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14:paraId="3C99527E">
      <w:pPr>
        <w:spacing w:line="500" w:lineRule="exact"/>
        <w:ind w:firstLine="422" w:firstLineChars="200"/>
        <w:rPr>
          <w:b/>
          <w:bCs/>
          <w:szCs w:val="21"/>
        </w:rPr>
      </w:pPr>
      <w:r>
        <w:rPr>
          <w:rFonts w:hint="eastAsia"/>
          <w:b/>
          <w:bCs/>
          <w:szCs w:val="21"/>
        </w:rPr>
        <w:t xml:space="preserve">第四条 违约责任 </w:t>
      </w:r>
    </w:p>
    <w:p w14:paraId="6BD335A3">
      <w:pPr>
        <w:spacing w:line="500" w:lineRule="exact"/>
        <w:ind w:firstLine="420" w:firstLineChars="200"/>
        <w:rPr>
          <w:szCs w:val="21"/>
        </w:rPr>
      </w:pPr>
      <w:r>
        <w:rPr>
          <w:rFonts w:hint="eastAsia"/>
          <w:szCs w:val="21"/>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14:paraId="6B8CF010">
      <w:pPr>
        <w:spacing w:line="500" w:lineRule="exact"/>
        <w:ind w:firstLine="420" w:firstLineChars="200"/>
        <w:rPr>
          <w:szCs w:val="21"/>
        </w:rPr>
      </w:pPr>
      <w:r>
        <w:rPr>
          <w:rFonts w:hint="eastAsia"/>
          <w:szCs w:val="21"/>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14:paraId="33BFFEFD">
      <w:pPr>
        <w:spacing w:line="500" w:lineRule="exact"/>
        <w:ind w:firstLine="420" w:firstLineChars="200"/>
        <w:rPr>
          <w:szCs w:val="21"/>
        </w:rPr>
      </w:pPr>
      <w:r>
        <w:rPr>
          <w:rFonts w:hint="eastAsia"/>
          <w:szCs w:val="21"/>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14:paraId="4792A63B">
      <w:pPr>
        <w:spacing w:line="500" w:lineRule="exact"/>
        <w:ind w:firstLine="422" w:firstLineChars="200"/>
        <w:rPr>
          <w:b/>
          <w:bCs/>
          <w:szCs w:val="21"/>
        </w:rPr>
      </w:pPr>
      <w:r>
        <w:rPr>
          <w:rFonts w:hint="eastAsia"/>
          <w:b/>
          <w:bCs/>
          <w:szCs w:val="21"/>
        </w:rPr>
        <w:t>第五条 其他约定</w:t>
      </w:r>
    </w:p>
    <w:p w14:paraId="23E431DE">
      <w:pPr>
        <w:spacing w:line="500" w:lineRule="exact"/>
        <w:ind w:firstLine="420" w:firstLineChars="200"/>
        <w:rPr>
          <w:szCs w:val="21"/>
        </w:rPr>
      </w:pPr>
      <w:r>
        <w:rPr>
          <w:rFonts w:hint="eastAsia"/>
          <w:szCs w:val="21"/>
        </w:rPr>
        <w:t>1、本协议作为（＊项目全称）合同的附件应一并签订、保管，与该合同具有同等法律效力，经双方签署后立即生效。</w:t>
      </w:r>
    </w:p>
    <w:p w14:paraId="6166CE2A">
      <w:pPr>
        <w:spacing w:line="500" w:lineRule="exact"/>
        <w:ind w:firstLine="420" w:firstLineChars="200"/>
        <w:rPr>
          <w:szCs w:val="21"/>
        </w:rPr>
      </w:pPr>
      <w:r>
        <w:rPr>
          <w:rFonts w:hint="eastAsia"/>
          <w:szCs w:val="21"/>
        </w:rPr>
        <w:t>2、本协议未尽事宜，双方可增补条款，增补内容如下：</w:t>
      </w:r>
    </w:p>
    <w:p w14:paraId="3677D9D3">
      <w:pPr>
        <w:spacing w:line="500" w:lineRule="exact"/>
        <w:ind w:firstLine="420" w:firstLineChars="200"/>
        <w:rPr>
          <w:szCs w:val="21"/>
          <w:u w:val="single"/>
        </w:rPr>
      </w:pPr>
      <w:r>
        <w:rPr>
          <w:rFonts w:hint="eastAsia"/>
          <w:szCs w:val="21"/>
          <w:u w:val="single"/>
        </w:rPr>
        <w:t>（1）无</w:t>
      </w:r>
    </w:p>
    <w:p w14:paraId="220823CD">
      <w:pPr>
        <w:spacing w:line="500" w:lineRule="exact"/>
        <w:ind w:firstLine="420" w:firstLineChars="200"/>
        <w:rPr>
          <w:szCs w:val="21"/>
        </w:rPr>
      </w:pPr>
      <w:r>
        <w:rPr>
          <w:rFonts w:hint="eastAsia"/>
          <w:szCs w:val="21"/>
        </w:rPr>
        <w:t>3、本协议的有效期为双方签字盖章之日起至项目合同履行完成时止。</w:t>
      </w:r>
    </w:p>
    <w:p w14:paraId="467ED077">
      <w:pPr>
        <w:spacing w:line="500" w:lineRule="exact"/>
        <w:ind w:firstLine="420" w:firstLineChars="200"/>
        <w:rPr>
          <w:szCs w:val="21"/>
        </w:rPr>
      </w:pPr>
      <w:r>
        <w:rPr>
          <w:rFonts w:hint="eastAsia"/>
          <w:szCs w:val="21"/>
        </w:rPr>
        <w:t>4、为增进双方的沟通了解，甲方审计、纪检监察部门会与乙方进行非定期的访谈，乙方需予以配合。</w:t>
      </w:r>
    </w:p>
    <w:p w14:paraId="3102E4DF">
      <w:pPr>
        <w:spacing w:line="500" w:lineRule="exact"/>
        <w:ind w:firstLine="420" w:firstLineChars="200"/>
        <w:rPr>
          <w:szCs w:val="21"/>
        </w:rPr>
      </w:pPr>
      <w:r>
        <w:rPr>
          <w:rFonts w:hint="eastAsia"/>
          <w:szCs w:val="21"/>
        </w:rPr>
        <w:t>5、乙方对甲方员工有任何意见、建议等，可向甲方审计、纪检监察部门反映，甲方将按规定对反映人、反映情况及个人联系方式进行保密。</w:t>
      </w:r>
    </w:p>
    <w:p w14:paraId="6511760F">
      <w:pPr>
        <w:spacing w:line="500" w:lineRule="exact"/>
        <w:ind w:firstLine="420" w:firstLineChars="200"/>
        <w:rPr>
          <w:szCs w:val="21"/>
        </w:rPr>
      </w:pPr>
      <w:r>
        <w:rPr>
          <w:rFonts w:hint="eastAsia"/>
          <w:szCs w:val="21"/>
        </w:rPr>
        <w:t>6、对于支持审计、纪检监察工作和敢于揭露甲方有廉洁违规行为的乙方，甲方将优先考虑与其合作。</w:t>
      </w:r>
    </w:p>
    <w:p w14:paraId="361A1894">
      <w:pPr>
        <w:spacing w:line="500" w:lineRule="exact"/>
        <w:ind w:firstLine="420" w:firstLineChars="200"/>
        <w:rPr>
          <w:szCs w:val="21"/>
        </w:rPr>
      </w:pPr>
      <w:r>
        <w:rPr>
          <w:rFonts w:hint="eastAsia"/>
          <w:szCs w:val="21"/>
        </w:rPr>
        <w:t>7、甲方举报电话：0514-82883093；邮箱：</w:t>
      </w:r>
      <w:r>
        <w:fldChar w:fldCharType="begin"/>
      </w:r>
      <w:r>
        <w:instrText xml:space="preserve"> HYPERLINK "mailto:cjswjw@163.com" </w:instrText>
      </w:r>
      <w:r>
        <w:fldChar w:fldCharType="separate"/>
      </w:r>
      <w:r>
        <w:rPr>
          <w:rFonts w:hint="eastAsia"/>
          <w:szCs w:val="21"/>
        </w:rPr>
        <w:t>cjswjw@163.com</w:t>
      </w:r>
      <w:r>
        <w:rPr>
          <w:rFonts w:hint="eastAsia"/>
          <w:szCs w:val="21"/>
        </w:rPr>
        <w:fldChar w:fldCharType="end"/>
      </w:r>
      <w:r>
        <w:rPr>
          <w:rFonts w:hint="eastAsia"/>
          <w:szCs w:val="21"/>
        </w:rPr>
        <w:t>。</w:t>
      </w:r>
    </w:p>
    <w:p w14:paraId="352067D0">
      <w:pPr>
        <w:spacing w:line="500" w:lineRule="exact"/>
        <w:ind w:firstLine="420" w:firstLineChars="200"/>
        <w:rPr>
          <w:szCs w:val="21"/>
        </w:rPr>
      </w:pPr>
      <w:r>
        <w:rPr>
          <w:rFonts w:hint="eastAsia"/>
          <w:szCs w:val="21"/>
        </w:rPr>
        <w:t xml:space="preserve">   乙方举报电话：             ；邮箱：              。</w:t>
      </w:r>
    </w:p>
    <w:p w14:paraId="449B34D6">
      <w:pPr>
        <w:numPr>
          <w:ilvl w:val="0"/>
          <w:numId w:val="14"/>
        </w:numPr>
        <w:spacing w:line="500" w:lineRule="exact"/>
        <w:ind w:firstLine="420" w:firstLineChars="200"/>
        <w:rPr>
          <w:szCs w:val="21"/>
        </w:rPr>
      </w:pPr>
      <w:r>
        <w:rPr>
          <w:rFonts w:hint="eastAsia"/>
          <w:szCs w:val="21"/>
        </w:rPr>
        <w:t>本协议书一式六份，甲（纪委办留存一份）执四份，乙方执两份。</w:t>
      </w:r>
    </w:p>
    <w:tbl>
      <w:tblPr>
        <w:tblStyle w:val="14"/>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14:paraId="762CC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noWrap/>
          </w:tcPr>
          <w:p w14:paraId="458FCB87">
            <w:pPr>
              <w:spacing w:line="460" w:lineRule="exact"/>
              <w:jc w:val="center"/>
              <w:rPr>
                <w:rFonts w:ascii="宋体" w:hAnsi="宋体" w:cs="宋体"/>
                <w:szCs w:val="21"/>
              </w:rPr>
            </w:pPr>
            <w:r>
              <w:rPr>
                <w:rFonts w:hint="eastAsia" w:ascii="宋体" w:hAnsi="宋体" w:cs="宋体"/>
                <w:szCs w:val="21"/>
              </w:rPr>
              <w:t>甲     方</w:t>
            </w:r>
          </w:p>
          <w:p w14:paraId="781A009E">
            <w:pPr>
              <w:spacing w:line="460" w:lineRule="exact"/>
              <w:rPr>
                <w:rFonts w:ascii="宋体" w:hAnsi="宋体" w:cs="宋体"/>
                <w:szCs w:val="21"/>
              </w:rPr>
            </w:pPr>
            <w:r>
              <w:rPr>
                <w:rFonts w:hint="eastAsia" w:ascii="宋体" w:hAnsi="宋体" w:cs="宋体"/>
                <w:szCs w:val="21"/>
              </w:rPr>
              <w:t>甲方单位（盖章）：江苏长江水务股份有限公司</w:t>
            </w:r>
          </w:p>
          <w:p w14:paraId="1F918441">
            <w:pPr>
              <w:pStyle w:val="12"/>
              <w:ind w:left="0" w:firstLine="0"/>
              <w:rPr>
                <w:rFonts w:hAnsi="宋体" w:eastAsia="宋体" w:cs="宋体"/>
                <w:sz w:val="21"/>
                <w:szCs w:val="21"/>
                <w:lang w:val="en-US"/>
              </w:rPr>
            </w:pPr>
            <w:r>
              <w:rPr>
                <w:rFonts w:hint="eastAsia" w:hAnsi="宋体" w:eastAsia="宋体" w:cs="宋体"/>
                <w:sz w:val="21"/>
                <w:szCs w:val="21"/>
                <w:lang w:val="en-US"/>
              </w:rPr>
              <w:t>法定代表人（签字）：</w:t>
            </w:r>
          </w:p>
          <w:p w14:paraId="146BE4AE">
            <w:pPr>
              <w:pStyle w:val="13"/>
              <w:ind w:firstLine="0"/>
              <w:rPr>
                <w:rFonts w:hAnsi="宋体" w:cs="宋体"/>
                <w:sz w:val="21"/>
                <w:szCs w:val="21"/>
              </w:rPr>
            </w:pPr>
            <w:r>
              <w:rPr>
                <w:rFonts w:hint="eastAsia" w:hAnsi="宋体" w:cs="宋体"/>
                <w:sz w:val="21"/>
                <w:szCs w:val="21"/>
              </w:rPr>
              <w:t>委托代理人（签字）：</w:t>
            </w:r>
          </w:p>
          <w:p w14:paraId="4BD45F4F">
            <w:pPr>
              <w:rPr>
                <w:rFonts w:ascii="宋体" w:hAnsi="宋体" w:cs="宋体"/>
                <w:szCs w:val="21"/>
              </w:rPr>
            </w:pPr>
            <w:r>
              <w:rPr>
                <w:rFonts w:hint="eastAsia" w:ascii="宋体" w:hAnsi="宋体" w:cs="宋体"/>
                <w:szCs w:val="21"/>
              </w:rPr>
              <w:t>地  址：</w:t>
            </w:r>
          </w:p>
          <w:p w14:paraId="216095E9">
            <w:pPr>
              <w:pStyle w:val="12"/>
              <w:ind w:firstLine="0"/>
              <w:rPr>
                <w:rFonts w:hAnsi="宋体" w:eastAsia="宋体" w:cs="宋体"/>
                <w:sz w:val="21"/>
                <w:szCs w:val="21"/>
              </w:rPr>
            </w:pPr>
            <w:r>
              <w:rPr>
                <w:rFonts w:hint="eastAsia" w:hAnsi="宋体" w:eastAsia="宋体" w:cs="宋体"/>
                <w:sz w:val="21"/>
                <w:szCs w:val="21"/>
              </w:rPr>
              <w:t>＊联系方式：0514-82980012</w:t>
            </w:r>
          </w:p>
          <w:p w14:paraId="3B49C515">
            <w:pPr>
              <w:pStyle w:val="13"/>
              <w:rPr>
                <w:rFonts w:hAnsi="宋体" w:cs="宋体"/>
                <w:sz w:val="21"/>
                <w:szCs w:val="21"/>
              </w:rPr>
            </w:pPr>
            <w:r>
              <w:rPr>
                <w:rFonts w:hint="eastAsia" w:hAnsi="宋体" w:cs="宋体"/>
                <w:sz w:val="21"/>
                <w:szCs w:val="21"/>
              </w:rPr>
              <w:t xml:space="preserve">年  月  日  </w:t>
            </w:r>
          </w:p>
        </w:tc>
        <w:tc>
          <w:tcPr>
            <w:tcW w:w="4463" w:type="dxa"/>
            <w:noWrap/>
          </w:tcPr>
          <w:p w14:paraId="46CF53CD">
            <w:pPr>
              <w:spacing w:line="460" w:lineRule="exact"/>
              <w:jc w:val="center"/>
              <w:rPr>
                <w:rFonts w:ascii="宋体" w:hAnsi="宋体" w:cs="宋体"/>
                <w:szCs w:val="21"/>
              </w:rPr>
            </w:pPr>
            <w:r>
              <w:rPr>
                <w:rFonts w:hint="eastAsia" w:ascii="宋体" w:hAnsi="宋体" w:cs="宋体"/>
                <w:szCs w:val="21"/>
              </w:rPr>
              <w:t>乙    方</w:t>
            </w:r>
          </w:p>
          <w:p w14:paraId="73ABB304">
            <w:pPr>
              <w:spacing w:line="460" w:lineRule="exact"/>
              <w:rPr>
                <w:rFonts w:ascii="宋体" w:hAnsi="宋体" w:cs="宋体"/>
                <w:szCs w:val="21"/>
              </w:rPr>
            </w:pPr>
            <w:r>
              <w:rPr>
                <w:rFonts w:hint="eastAsia" w:ascii="宋体" w:hAnsi="宋体" w:cs="宋体"/>
                <w:szCs w:val="21"/>
              </w:rPr>
              <w:t>乙方单位（盖章）：</w:t>
            </w:r>
          </w:p>
          <w:p w14:paraId="1C32A0D5">
            <w:pPr>
              <w:pStyle w:val="12"/>
              <w:ind w:left="0" w:firstLine="0"/>
              <w:rPr>
                <w:rFonts w:hAnsi="宋体" w:eastAsia="宋体" w:cs="宋体"/>
                <w:sz w:val="21"/>
                <w:szCs w:val="21"/>
                <w:lang w:val="en-US"/>
              </w:rPr>
            </w:pPr>
            <w:r>
              <w:rPr>
                <w:rFonts w:hint="eastAsia" w:hAnsi="宋体" w:eastAsia="宋体" w:cs="宋体"/>
                <w:sz w:val="21"/>
                <w:szCs w:val="21"/>
                <w:lang w:val="en-US"/>
              </w:rPr>
              <w:t>法定代表人（签字）：</w:t>
            </w:r>
          </w:p>
          <w:p w14:paraId="17741F81">
            <w:pPr>
              <w:pStyle w:val="13"/>
              <w:ind w:firstLine="0"/>
              <w:rPr>
                <w:rFonts w:hAnsi="宋体" w:cs="宋体"/>
                <w:sz w:val="21"/>
                <w:szCs w:val="21"/>
              </w:rPr>
            </w:pPr>
            <w:r>
              <w:rPr>
                <w:rFonts w:hint="eastAsia" w:hAnsi="宋体" w:cs="宋体"/>
                <w:sz w:val="21"/>
                <w:szCs w:val="21"/>
              </w:rPr>
              <w:t>委托代理人（签字）：</w:t>
            </w:r>
          </w:p>
          <w:p w14:paraId="6ED16CA2">
            <w:pPr>
              <w:rPr>
                <w:rFonts w:ascii="宋体" w:hAnsi="宋体" w:cs="宋体"/>
                <w:szCs w:val="21"/>
              </w:rPr>
            </w:pPr>
            <w:r>
              <w:rPr>
                <w:rFonts w:hint="eastAsia" w:ascii="宋体" w:hAnsi="宋体" w:cs="宋体"/>
                <w:szCs w:val="21"/>
              </w:rPr>
              <w:t>地  址：</w:t>
            </w:r>
          </w:p>
          <w:p w14:paraId="68B997AE">
            <w:pPr>
              <w:pStyle w:val="12"/>
              <w:ind w:firstLine="210"/>
              <w:rPr>
                <w:rFonts w:hAnsi="宋体" w:eastAsia="宋体" w:cs="宋体"/>
                <w:sz w:val="21"/>
                <w:szCs w:val="21"/>
              </w:rPr>
            </w:pPr>
            <w:r>
              <w:rPr>
                <w:rFonts w:hint="eastAsia" w:hAnsi="宋体" w:eastAsia="宋体" w:cs="宋体"/>
                <w:sz w:val="21"/>
                <w:szCs w:val="21"/>
              </w:rPr>
              <w:t>＊联系方式：</w:t>
            </w:r>
          </w:p>
          <w:p w14:paraId="51B9DDCE">
            <w:pPr>
              <w:pStyle w:val="12"/>
              <w:ind w:firstLine="210"/>
              <w:rPr>
                <w:rFonts w:hAnsi="宋体" w:cs="宋体"/>
                <w:sz w:val="21"/>
                <w:szCs w:val="21"/>
              </w:rPr>
            </w:pPr>
            <w:r>
              <w:rPr>
                <w:rFonts w:hint="eastAsia" w:hAnsi="宋体" w:eastAsia="宋体" w:cs="宋体"/>
                <w:sz w:val="21"/>
                <w:szCs w:val="21"/>
                <w:lang w:val="en-US"/>
              </w:rPr>
              <w:t xml:space="preserve">年  月  日  </w:t>
            </w:r>
          </w:p>
        </w:tc>
      </w:tr>
    </w:tbl>
    <w:p w14:paraId="2A69DEB8">
      <w:pPr>
        <w:spacing w:line="500" w:lineRule="exact"/>
        <w:rPr>
          <w:szCs w:val="21"/>
        </w:rPr>
      </w:pPr>
      <w:r>
        <w:rPr>
          <w:rFonts w:hint="eastAsia"/>
          <w:szCs w:val="21"/>
        </w:rPr>
        <w:t>“＊”为必填项</w:t>
      </w:r>
    </w:p>
    <w:p w14:paraId="6D9CCA52">
      <w:pPr>
        <w:spacing w:line="360" w:lineRule="auto"/>
        <w:ind w:firstLine="420" w:firstLineChars="200"/>
        <w:rPr>
          <w:color w:val="000000"/>
          <w:szCs w:val="21"/>
        </w:rPr>
      </w:pPr>
    </w:p>
    <w:p w14:paraId="034B6A25">
      <w:pPr>
        <w:spacing w:line="360" w:lineRule="auto"/>
        <w:ind w:firstLine="420" w:firstLineChars="200"/>
        <w:rPr>
          <w:color w:val="000000"/>
          <w:szCs w:val="21"/>
        </w:rPr>
      </w:pPr>
    </w:p>
    <w:p w14:paraId="409513F5">
      <w:pPr>
        <w:autoSpaceDE w:val="0"/>
        <w:autoSpaceDN w:val="0"/>
        <w:adjustRightInd w:val="0"/>
        <w:snapToGrid w:val="0"/>
        <w:spacing w:line="480" w:lineRule="exact"/>
        <w:outlineLvl w:val="1"/>
        <w:rPr>
          <w:rFonts w:ascii="黑体" w:eastAsia="黑体"/>
          <w:color w:val="000000"/>
          <w:sz w:val="30"/>
        </w:rPr>
      </w:pPr>
      <w:r>
        <w:rPr>
          <w:rFonts w:hint="eastAsia" w:ascii="宋体" w:hAnsi="宋体" w:cs="宋体"/>
          <w:b/>
          <w:bCs/>
          <w:color w:val="000000"/>
          <w:kern w:val="0"/>
          <w:szCs w:val="21"/>
        </w:rPr>
        <w:br w:type="page"/>
      </w:r>
      <w:r>
        <w:rPr>
          <w:rFonts w:hint="eastAsia" w:ascii="宋体" w:hAnsi="宋体"/>
          <w:b/>
          <w:color w:val="000000"/>
          <w:szCs w:val="21"/>
        </w:rPr>
        <w:t>九、 投标文件格式</w:t>
      </w:r>
    </w:p>
    <w:p w14:paraId="70FF5DB8">
      <w:pPr>
        <w:spacing w:line="980" w:lineRule="exact"/>
        <w:jc w:val="center"/>
        <w:rPr>
          <w:rFonts w:ascii="黑体" w:eastAsia="黑体"/>
          <w:color w:val="000000"/>
          <w:sz w:val="30"/>
        </w:rPr>
      </w:pPr>
      <w:r>
        <w:rPr>
          <w:rFonts w:hint="eastAsia" w:ascii="黑体" w:eastAsia="黑体"/>
          <w:color w:val="000000"/>
          <w:sz w:val="30"/>
        </w:rPr>
        <w:t>目   录</w:t>
      </w:r>
    </w:p>
    <w:p w14:paraId="67505C69">
      <w:pPr>
        <w:spacing w:line="460" w:lineRule="exact"/>
        <w:rPr>
          <w:rFonts w:ascii="宋体" w:hAnsi="宋体"/>
          <w:color w:val="000000"/>
          <w:sz w:val="24"/>
        </w:rPr>
      </w:pPr>
      <w:r>
        <w:rPr>
          <w:rFonts w:hint="eastAsia" w:ascii="宋体" w:hAnsi="宋体"/>
          <w:color w:val="000000"/>
          <w:sz w:val="24"/>
        </w:rPr>
        <w:t>一、投标书及其附件</w:t>
      </w:r>
    </w:p>
    <w:p w14:paraId="23BA9EC1">
      <w:pPr>
        <w:spacing w:line="460" w:lineRule="exact"/>
        <w:rPr>
          <w:rFonts w:ascii="宋体" w:hAnsi="宋体"/>
          <w:color w:val="000000"/>
          <w:sz w:val="24"/>
        </w:rPr>
      </w:pPr>
      <w:r>
        <w:rPr>
          <w:rFonts w:hint="eastAsia" w:ascii="宋体" w:hAnsi="宋体"/>
          <w:color w:val="000000"/>
          <w:sz w:val="24"/>
        </w:rPr>
        <w:t xml:space="preserve">      1.投标书</w:t>
      </w:r>
    </w:p>
    <w:p w14:paraId="10E9A02C">
      <w:pPr>
        <w:spacing w:line="460" w:lineRule="exact"/>
        <w:rPr>
          <w:rFonts w:ascii="宋体" w:hAnsi="宋体"/>
          <w:color w:val="000000"/>
          <w:sz w:val="24"/>
        </w:rPr>
      </w:pPr>
      <w:r>
        <w:rPr>
          <w:rFonts w:hint="eastAsia" w:ascii="宋体" w:hAnsi="宋体"/>
          <w:color w:val="000000"/>
          <w:sz w:val="24"/>
        </w:rPr>
        <w:t xml:space="preserve">      2.开标一览表     </w:t>
      </w:r>
    </w:p>
    <w:p w14:paraId="75394CFA">
      <w:pPr>
        <w:spacing w:line="460" w:lineRule="exact"/>
        <w:rPr>
          <w:rFonts w:ascii="宋体" w:hAnsi="宋体"/>
          <w:color w:val="000000"/>
          <w:sz w:val="24"/>
        </w:rPr>
      </w:pPr>
      <w:r>
        <w:rPr>
          <w:rFonts w:hint="eastAsia" w:ascii="宋体" w:hAnsi="宋体"/>
          <w:color w:val="000000"/>
          <w:sz w:val="24"/>
        </w:rPr>
        <w:t>二、投标人资格证明文件</w:t>
      </w:r>
    </w:p>
    <w:p w14:paraId="08DB769C">
      <w:pPr>
        <w:spacing w:line="460" w:lineRule="exact"/>
        <w:rPr>
          <w:rFonts w:ascii="宋体" w:hAnsi="宋体"/>
          <w:color w:val="000000"/>
          <w:sz w:val="24"/>
        </w:rPr>
      </w:pPr>
      <w:r>
        <w:rPr>
          <w:rFonts w:hint="eastAsia" w:ascii="宋体" w:hAnsi="宋体"/>
          <w:color w:val="000000"/>
          <w:sz w:val="24"/>
        </w:rPr>
        <w:t xml:space="preserve">      1.投标人概况</w:t>
      </w:r>
    </w:p>
    <w:p w14:paraId="1715F851">
      <w:pPr>
        <w:spacing w:line="460" w:lineRule="exact"/>
        <w:rPr>
          <w:rFonts w:ascii="宋体" w:hAnsi="宋体"/>
          <w:color w:val="000000"/>
          <w:sz w:val="24"/>
        </w:rPr>
      </w:pPr>
      <w:r>
        <w:rPr>
          <w:rFonts w:hint="eastAsia" w:ascii="宋体" w:hAnsi="宋体"/>
          <w:color w:val="000000"/>
          <w:sz w:val="24"/>
        </w:rPr>
        <w:t xml:space="preserve">      2.投标人技术能力</w:t>
      </w:r>
    </w:p>
    <w:p w14:paraId="1AC65284">
      <w:pPr>
        <w:spacing w:line="460" w:lineRule="exact"/>
        <w:rPr>
          <w:rFonts w:ascii="宋体" w:hAnsi="宋体"/>
          <w:color w:val="000000"/>
          <w:sz w:val="24"/>
        </w:rPr>
      </w:pPr>
      <w:r>
        <w:rPr>
          <w:rFonts w:hint="eastAsia" w:ascii="宋体" w:hAnsi="宋体"/>
          <w:color w:val="000000"/>
          <w:sz w:val="24"/>
        </w:rPr>
        <w:t xml:space="preserve">      3.投标人财务状况</w:t>
      </w:r>
    </w:p>
    <w:p w14:paraId="6AA23C71">
      <w:pPr>
        <w:spacing w:line="460" w:lineRule="exact"/>
        <w:rPr>
          <w:rFonts w:ascii="宋体" w:hAnsi="宋体"/>
          <w:color w:val="000000"/>
          <w:sz w:val="24"/>
        </w:rPr>
      </w:pPr>
      <w:r>
        <w:rPr>
          <w:rFonts w:hint="eastAsia" w:ascii="宋体" w:hAnsi="宋体"/>
          <w:color w:val="000000"/>
          <w:sz w:val="24"/>
        </w:rPr>
        <w:t xml:space="preserve">      4.营业执照副本</w:t>
      </w:r>
    </w:p>
    <w:p w14:paraId="072CC61A">
      <w:pPr>
        <w:spacing w:line="460" w:lineRule="exact"/>
        <w:rPr>
          <w:rFonts w:ascii="宋体" w:hAnsi="宋体"/>
          <w:color w:val="000000"/>
          <w:sz w:val="24"/>
        </w:rPr>
      </w:pPr>
      <w:r>
        <w:rPr>
          <w:rFonts w:hint="eastAsia" w:ascii="宋体" w:hAnsi="宋体"/>
          <w:color w:val="000000"/>
          <w:sz w:val="24"/>
        </w:rPr>
        <w:t xml:space="preserve">      5.授权委托书</w:t>
      </w:r>
    </w:p>
    <w:p w14:paraId="4AF0B4F0">
      <w:pPr>
        <w:spacing w:line="460" w:lineRule="exact"/>
        <w:rPr>
          <w:rFonts w:ascii="宋体" w:hAnsi="宋体"/>
          <w:color w:val="000000"/>
          <w:sz w:val="24"/>
        </w:rPr>
      </w:pPr>
      <w:r>
        <w:rPr>
          <w:rFonts w:hint="eastAsia" w:ascii="宋体" w:hAnsi="宋体"/>
          <w:color w:val="000000"/>
          <w:sz w:val="24"/>
        </w:rPr>
        <w:t xml:space="preserve">      6.制造商授权书格式</w:t>
      </w:r>
    </w:p>
    <w:p w14:paraId="27F4F0C3">
      <w:pPr>
        <w:spacing w:line="460" w:lineRule="exact"/>
        <w:rPr>
          <w:rFonts w:ascii="宋体" w:hAnsi="宋体"/>
          <w:color w:val="000000"/>
          <w:sz w:val="24"/>
        </w:rPr>
      </w:pPr>
      <w:r>
        <w:rPr>
          <w:rFonts w:hint="eastAsia" w:ascii="宋体" w:hAnsi="宋体"/>
          <w:color w:val="000000"/>
          <w:sz w:val="24"/>
        </w:rPr>
        <w:t xml:space="preserve">      7.联合投标协议（如果有的话）</w:t>
      </w:r>
    </w:p>
    <w:p w14:paraId="14C77F51">
      <w:pPr>
        <w:spacing w:line="460" w:lineRule="exact"/>
        <w:rPr>
          <w:rFonts w:ascii="宋体" w:hAnsi="宋体"/>
          <w:color w:val="000000"/>
          <w:sz w:val="24"/>
        </w:rPr>
      </w:pPr>
      <w:r>
        <w:rPr>
          <w:rFonts w:hint="eastAsia" w:ascii="宋体" w:hAnsi="宋体"/>
          <w:color w:val="000000"/>
          <w:sz w:val="24"/>
        </w:rPr>
        <w:t>三、证明货物的合格性和符合招标文件规定的文件</w:t>
      </w:r>
    </w:p>
    <w:p w14:paraId="69AA86F6">
      <w:pPr>
        <w:numPr>
          <w:ilvl w:val="0"/>
          <w:numId w:val="15"/>
        </w:numPr>
        <w:spacing w:line="460" w:lineRule="exact"/>
        <w:rPr>
          <w:rFonts w:ascii="宋体" w:hAnsi="宋体"/>
          <w:color w:val="000000"/>
          <w:sz w:val="24"/>
        </w:rPr>
      </w:pPr>
      <w:r>
        <w:rPr>
          <w:rFonts w:hint="eastAsia" w:ascii="宋体" w:hAnsi="宋体"/>
          <w:color w:val="000000"/>
          <w:sz w:val="24"/>
        </w:rPr>
        <w:t>质量保证书</w:t>
      </w:r>
    </w:p>
    <w:p w14:paraId="2FE97D43">
      <w:pPr>
        <w:numPr>
          <w:ilvl w:val="0"/>
          <w:numId w:val="15"/>
        </w:numPr>
        <w:spacing w:line="460" w:lineRule="exact"/>
        <w:rPr>
          <w:rFonts w:ascii="宋体" w:hAnsi="宋体"/>
          <w:color w:val="000000"/>
          <w:sz w:val="24"/>
        </w:rPr>
      </w:pPr>
      <w:r>
        <w:rPr>
          <w:rFonts w:hint="eastAsia" w:ascii="宋体" w:hAnsi="宋体"/>
          <w:color w:val="000000"/>
          <w:sz w:val="24"/>
        </w:rPr>
        <w:t>有关部门的检测报告（如有）</w:t>
      </w:r>
    </w:p>
    <w:p w14:paraId="26E30414">
      <w:pPr>
        <w:spacing w:line="460" w:lineRule="exact"/>
        <w:rPr>
          <w:rFonts w:ascii="宋体" w:hAnsi="宋体"/>
          <w:color w:val="000000"/>
          <w:sz w:val="24"/>
        </w:rPr>
      </w:pPr>
      <w:r>
        <w:rPr>
          <w:rFonts w:hint="eastAsia" w:ascii="宋体" w:hAnsi="宋体"/>
          <w:color w:val="000000"/>
          <w:sz w:val="24"/>
        </w:rPr>
        <w:t xml:space="preserve">      3. 货物组成（供货范围表）</w:t>
      </w:r>
    </w:p>
    <w:p w14:paraId="670D58FF">
      <w:pPr>
        <w:spacing w:line="460" w:lineRule="exact"/>
        <w:rPr>
          <w:rFonts w:ascii="宋体" w:hAnsi="宋体"/>
          <w:color w:val="000000"/>
          <w:sz w:val="24"/>
        </w:rPr>
      </w:pPr>
      <w:r>
        <w:rPr>
          <w:rFonts w:hint="eastAsia" w:ascii="宋体" w:hAnsi="宋体"/>
          <w:color w:val="000000"/>
          <w:sz w:val="24"/>
        </w:rPr>
        <w:t xml:space="preserve">      4.投标货物规格响应表格式</w:t>
      </w:r>
    </w:p>
    <w:p w14:paraId="09BB1788">
      <w:pPr>
        <w:spacing w:line="460" w:lineRule="exact"/>
        <w:rPr>
          <w:rFonts w:ascii="宋体" w:hAnsi="宋体"/>
          <w:color w:val="000000"/>
          <w:sz w:val="24"/>
        </w:rPr>
      </w:pPr>
      <w:r>
        <w:rPr>
          <w:rFonts w:hint="eastAsia" w:ascii="宋体" w:hAnsi="宋体"/>
          <w:color w:val="000000"/>
          <w:sz w:val="24"/>
        </w:rPr>
        <w:t xml:space="preserve">      5. 商务条款偏离表</w:t>
      </w:r>
    </w:p>
    <w:p w14:paraId="61EE303B">
      <w:pPr>
        <w:spacing w:line="460" w:lineRule="exact"/>
        <w:rPr>
          <w:rFonts w:ascii="宋体" w:hAnsi="宋体"/>
          <w:color w:val="000000"/>
          <w:sz w:val="24"/>
        </w:rPr>
      </w:pPr>
      <w:r>
        <w:rPr>
          <w:rFonts w:hint="eastAsia" w:ascii="宋体" w:hAnsi="宋体"/>
          <w:color w:val="000000"/>
          <w:sz w:val="24"/>
        </w:rPr>
        <w:t xml:space="preserve">      6.服务（培训、售后服务等）</w:t>
      </w:r>
    </w:p>
    <w:p w14:paraId="43D7DE1B">
      <w:pPr>
        <w:spacing w:line="460" w:lineRule="exact"/>
        <w:rPr>
          <w:rFonts w:ascii="宋体" w:hAnsi="宋体"/>
          <w:color w:val="000000"/>
          <w:sz w:val="24"/>
        </w:rPr>
      </w:pPr>
      <w:r>
        <w:rPr>
          <w:rFonts w:hint="eastAsia" w:ascii="宋体" w:hAnsi="宋体"/>
          <w:color w:val="000000"/>
          <w:sz w:val="24"/>
        </w:rPr>
        <w:t xml:space="preserve">      7.经营业绩</w:t>
      </w:r>
    </w:p>
    <w:p w14:paraId="05F3C9CF">
      <w:pPr>
        <w:spacing w:line="460" w:lineRule="exact"/>
        <w:rPr>
          <w:rFonts w:ascii="宋体" w:hAnsi="宋体"/>
          <w:color w:val="000000"/>
          <w:sz w:val="24"/>
        </w:rPr>
      </w:pPr>
      <w:r>
        <w:rPr>
          <w:rFonts w:hint="eastAsia" w:ascii="宋体" w:hAnsi="宋体"/>
          <w:color w:val="000000"/>
          <w:sz w:val="24"/>
        </w:rPr>
        <w:t xml:space="preserve">      8.投标人认为需要提供的其他资料</w:t>
      </w:r>
    </w:p>
    <w:p w14:paraId="20B2C852">
      <w:pPr>
        <w:spacing w:line="460" w:lineRule="exact"/>
        <w:rPr>
          <w:rFonts w:ascii="宋体" w:hAnsi="宋体"/>
          <w:color w:val="000000"/>
          <w:sz w:val="24"/>
        </w:rPr>
      </w:pPr>
    </w:p>
    <w:p w14:paraId="715E9123">
      <w:pPr>
        <w:spacing w:line="460" w:lineRule="exact"/>
        <w:rPr>
          <w:rFonts w:ascii="宋体" w:hAnsi="宋体"/>
          <w:color w:val="000000"/>
          <w:sz w:val="24"/>
        </w:rPr>
      </w:pPr>
    </w:p>
    <w:p w14:paraId="1D6BA2F2">
      <w:pPr>
        <w:spacing w:line="460" w:lineRule="exact"/>
        <w:rPr>
          <w:rFonts w:ascii="宋体" w:hAnsi="宋体"/>
          <w:color w:val="000000"/>
          <w:sz w:val="24"/>
        </w:rPr>
      </w:pPr>
    </w:p>
    <w:p w14:paraId="5DB61167">
      <w:pPr>
        <w:spacing w:line="460" w:lineRule="exact"/>
        <w:rPr>
          <w:rFonts w:ascii="宋体" w:hAnsi="宋体"/>
          <w:color w:val="000000"/>
          <w:sz w:val="24"/>
        </w:rPr>
      </w:pPr>
    </w:p>
    <w:p w14:paraId="17675F55">
      <w:pPr>
        <w:spacing w:line="460" w:lineRule="exact"/>
        <w:rPr>
          <w:rFonts w:ascii="宋体" w:hAnsi="宋体"/>
          <w:color w:val="000000"/>
          <w:sz w:val="24"/>
        </w:rPr>
      </w:pPr>
    </w:p>
    <w:p w14:paraId="05CD9B08">
      <w:pPr>
        <w:spacing w:line="460" w:lineRule="exact"/>
        <w:rPr>
          <w:rFonts w:ascii="宋体" w:hAnsi="宋体"/>
          <w:color w:val="000000"/>
          <w:sz w:val="24"/>
        </w:rPr>
      </w:pPr>
    </w:p>
    <w:p w14:paraId="3084B2A3">
      <w:pPr>
        <w:spacing w:line="460" w:lineRule="exact"/>
        <w:rPr>
          <w:rFonts w:ascii="宋体" w:hAnsi="宋体"/>
          <w:color w:val="000000"/>
          <w:sz w:val="24"/>
        </w:rPr>
      </w:pPr>
    </w:p>
    <w:p w14:paraId="7300052D">
      <w:pPr>
        <w:spacing w:line="460" w:lineRule="exact"/>
        <w:rPr>
          <w:rFonts w:ascii="宋体" w:hAnsi="宋体"/>
          <w:color w:val="000000"/>
          <w:sz w:val="24"/>
        </w:rPr>
      </w:pPr>
    </w:p>
    <w:p w14:paraId="273F23D3">
      <w:pPr>
        <w:spacing w:line="460" w:lineRule="exact"/>
        <w:rPr>
          <w:rFonts w:ascii="宋体" w:hAnsi="宋体"/>
          <w:color w:val="000000"/>
          <w:sz w:val="24"/>
        </w:rPr>
      </w:pPr>
    </w:p>
    <w:p w14:paraId="22D92C94">
      <w:pPr>
        <w:spacing w:line="460" w:lineRule="exact"/>
        <w:rPr>
          <w:rFonts w:ascii="宋体" w:hAnsi="宋体"/>
          <w:color w:val="000000"/>
          <w:sz w:val="24"/>
        </w:rPr>
      </w:pPr>
    </w:p>
    <w:p w14:paraId="20A16ACA">
      <w:pPr>
        <w:numPr>
          <w:ilvl w:val="0"/>
          <w:numId w:val="16"/>
        </w:numPr>
        <w:spacing w:line="560" w:lineRule="exact"/>
        <w:jc w:val="center"/>
        <w:rPr>
          <w:rFonts w:ascii="楷体_GB2312" w:eastAsia="楷体_GB2312"/>
          <w:b/>
          <w:color w:val="000000"/>
          <w:sz w:val="44"/>
        </w:rPr>
      </w:pPr>
      <w:r>
        <w:rPr>
          <w:rFonts w:hint="eastAsia" w:ascii="楷体_GB2312" w:eastAsia="楷体_GB2312"/>
          <w:b/>
          <w:color w:val="000000"/>
          <w:sz w:val="44"/>
        </w:rPr>
        <w:t>投标书及其附件</w:t>
      </w:r>
    </w:p>
    <w:p w14:paraId="65511259">
      <w:pPr>
        <w:spacing w:line="560" w:lineRule="exact"/>
        <w:rPr>
          <w:rFonts w:ascii="楷体_GB2312" w:eastAsia="楷体_GB2312"/>
          <w:color w:val="000000"/>
          <w:sz w:val="24"/>
        </w:rPr>
      </w:pPr>
    </w:p>
    <w:p w14:paraId="2C4048C3">
      <w:pPr>
        <w:spacing w:line="560" w:lineRule="exact"/>
        <w:rPr>
          <w:rFonts w:ascii="楷体_GB2312" w:eastAsia="楷体_GB2312"/>
          <w:color w:val="000000"/>
          <w:sz w:val="24"/>
        </w:rPr>
      </w:pPr>
    </w:p>
    <w:p w14:paraId="4744AC10">
      <w:pPr>
        <w:widowControl/>
        <w:jc w:val="left"/>
        <w:rPr>
          <w:rFonts w:ascii="楷体_GB2312" w:eastAsia="楷体_GB2312"/>
          <w:color w:val="000000"/>
          <w:sz w:val="24"/>
        </w:rPr>
        <w:sectPr>
          <w:pgSz w:w="11906" w:h="16838"/>
          <w:pgMar w:top="1440" w:right="1800" w:bottom="1440" w:left="1800" w:header="851" w:footer="992" w:gutter="0"/>
          <w:cols w:space="720" w:num="1"/>
          <w:docGrid w:type="lines" w:linePitch="312" w:charSpace="0"/>
        </w:sectPr>
      </w:pPr>
    </w:p>
    <w:p w14:paraId="49772BA4">
      <w:pPr>
        <w:numPr>
          <w:ilvl w:val="0"/>
          <w:numId w:val="17"/>
        </w:numPr>
        <w:spacing w:line="560" w:lineRule="exact"/>
        <w:jc w:val="center"/>
        <w:rPr>
          <w:rFonts w:ascii="黑体" w:eastAsia="黑体"/>
          <w:color w:val="000000"/>
          <w:sz w:val="36"/>
        </w:rPr>
      </w:pPr>
      <w:r>
        <w:rPr>
          <w:rFonts w:hint="eastAsia" w:ascii="黑体" w:eastAsia="黑体"/>
          <w:color w:val="000000"/>
          <w:sz w:val="36"/>
        </w:rPr>
        <w:t>投标书格式</w:t>
      </w:r>
    </w:p>
    <w:p w14:paraId="4681062C">
      <w:pPr>
        <w:spacing w:line="720" w:lineRule="exact"/>
        <w:rPr>
          <w:rFonts w:ascii="楷体_GB2312" w:eastAsia="楷体_GB2312"/>
          <w:b/>
          <w:color w:val="000000"/>
          <w:sz w:val="30"/>
        </w:rPr>
      </w:pPr>
      <w:r>
        <w:rPr>
          <w:rFonts w:hint="eastAsia" w:ascii="楷体_GB2312" w:eastAsia="楷体_GB2312"/>
          <w:b/>
          <w:color w:val="000000"/>
          <w:sz w:val="30"/>
        </w:rPr>
        <w:t>投标书</w:t>
      </w:r>
    </w:p>
    <w:p w14:paraId="101D5243">
      <w:pPr>
        <w:spacing w:line="480" w:lineRule="exact"/>
        <w:rPr>
          <w:rFonts w:ascii="楷体_GB2312" w:eastAsia="楷体_GB2312"/>
          <w:color w:val="000000"/>
          <w:sz w:val="24"/>
        </w:rPr>
      </w:pPr>
      <w:r>
        <w:rPr>
          <w:rFonts w:hint="eastAsia" w:ascii="宋体" w:hAnsi="宋体"/>
          <w:color w:val="000000"/>
          <w:spacing w:val="28"/>
          <w:sz w:val="24"/>
        </w:rPr>
        <w:t>江苏长江水务股份有限公司</w:t>
      </w:r>
      <w:r>
        <w:rPr>
          <w:rFonts w:hint="eastAsia" w:ascii="楷体_GB2312" w:eastAsia="楷体_GB2312"/>
          <w:color w:val="000000"/>
          <w:sz w:val="24"/>
        </w:rPr>
        <w:t>：</w:t>
      </w:r>
    </w:p>
    <w:p w14:paraId="77C75A23">
      <w:pPr>
        <w:spacing w:line="480" w:lineRule="exact"/>
        <w:ind w:firstLine="480"/>
        <w:rPr>
          <w:rFonts w:ascii="宋体" w:hAnsi="宋体"/>
          <w:color w:val="000000"/>
          <w:sz w:val="24"/>
        </w:rPr>
      </w:pPr>
      <w:r>
        <w:rPr>
          <w:rFonts w:hint="eastAsia" w:ascii="宋体" w:hAnsi="宋体"/>
          <w:color w:val="000000"/>
          <w:sz w:val="24"/>
        </w:rPr>
        <w:t>你们 招标文件（包括补充文件，如果有的话）收悉，我们经详细审阅和研究，现决定参加投标。</w:t>
      </w:r>
    </w:p>
    <w:p w14:paraId="093E991A">
      <w:pPr>
        <w:spacing w:line="480" w:lineRule="exact"/>
        <w:rPr>
          <w:rFonts w:ascii="宋体" w:hAnsi="宋体"/>
          <w:color w:val="000000"/>
          <w:sz w:val="24"/>
        </w:rPr>
      </w:pPr>
      <w:r>
        <w:rPr>
          <w:rFonts w:hint="eastAsia" w:ascii="宋体" w:hAnsi="宋体"/>
          <w:color w:val="000000"/>
          <w:sz w:val="24"/>
        </w:rPr>
        <w:t xml:space="preserve">    1.我们愿按照招标文件中的条款、要求，提供所需的招标货物及一切相关的服务，投标价为</w:t>
      </w:r>
      <w:r>
        <w:rPr>
          <w:rFonts w:hint="eastAsia" w:ascii="宋体" w:hAnsi="宋体"/>
          <w:color w:val="000000"/>
          <w:sz w:val="24"/>
          <w:u w:val="single"/>
        </w:rPr>
        <w:t xml:space="preserve">（币种及金额） </w:t>
      </w:r>
      <w:r>
        <w:rPr>
          <w:rFonts w:hint="eastAsia" w:ascii="宋体" w:hAnsi="宋体"/>
          <w:color w:val="000000"/>
          <w:sz w:val="24"/>
        </w:rPr>
        <w:t>。</w:t>
      </w:r>
    </w:p>
    <w:p w14:paraId="5F738710">
      <w:pPr>
        <w:spacing w:line="480" w:lineRule="exact"/>
        <w:ind w:firstLine="420"/>
        <w:rPr>
          <w:rFonts w:ascii="宋体" w:hAnsi="宋体"/>
          <w:color w:val="000000"/>
          <w:sz w:val="24"/>
        </w:rPr>
      </w:pPr>
      <w:r>
        <w:rPr>
          <w:rFonts w:hint="eastAsia" w:ascii="宋体" w:hAnsi="宋体"/>
          <w:color w:val="000000"/>
          <w:sz w:val="24"/>
        </w:rPr>
        <w:t>2.如果我们中标，我们将在之后的天内交货。</w:t>
      </w:r>
    </w:p>
    <w:p w14:paraId="274F0A28">
      <w:pPr>
        <w:spacing w:line="480" w:lineRule="exact"/>
        <w:ind w:firstLine="420"/>
        <w:rPr>
          <w:rFonts w:ascii="宋体" w:hAnsi="宋体"/>
          <w:color w:val="000000"/>
          <w:sz w:val="24"/>
        </w:rPr>
      </w:pPr>
      <w:r>
        <w:rPr>
          <w:rFonts w:hint="eastAsia" w:ascii="宋体" w:hAnsi="宋体"/>
          <w:color w:val="000000"/>
          <w:sz w:val="24"/>
        </w:rPr>
        <w:t>3.我们同意招标文件 “投标人须知”的规定，本投标文件在有效期内，将始终对我们具有约束力，并可随时被接受。如果我们入围，本投标文件在此期间之后将继续保持有效，直至合同生效。</w:t>
      </w:r>
    </w:p>
    <w:p w14:paraId="4713E347">
      <w:pPr>
        <w:spacing w:line="480" w:lineRule="exact"/>
        <w:rPr>
          <w:rFonts w:ascii="宋体" w:hAnsi="宋体"/>
          <w:color w:val="000000"/>
          <w:sz w:val="24"/>
        </w:rPr>
      </w:pPr>
      <w:r>
        <w:rPr>
          <w:rFonts w:hint="eastAsia" w:ascii="宋体" w:hAnsi="宋体"/>
          <w:color w:val="000000"/>
          <w:sz w:val="24"/>
        </w:rPr>
        <w:t xml:space="preserve">    4.我们同意提供招标人要求的有关本次招标的所有资料。</w:t>
      </w:r>
    </w:p>
    <w:p w14:paraId="380CD938">
      <w:pPr>
        <w:spacing w:line="480" w:lineRule="exact"/>
        <w:ind w:firstLine="480"/>
        <w:rPr>
          <w:rFonts w:ascii="宋体" w:hAnsi="宋体"/>
          <w:color w:val="000000"/>
          <w:sz w:val="24"/>
        </w:rPr>
      </w:pPr>
      <w:r>
        <w:rPr>
          <w:rFonts w:hint="eastAsia" w:ascii="宋体" w:hAnsi="宋体"/>
          <w:color w:val="000000"/>
          <w:sz w:val="24"/>
        </w:rPr>
        <w:t>5.我们理解，你们无义务必须接受投标价最低的投标，并有权拒绝所有的投标。</w:t>
      </w:r>
    </w:p>
    <w:p w14:paraId="0C22FAC3">
      <w:pPr>
        <w:spacing w:line="480" w:lineRule="exact"/>
        <w:ind w:firstLine="480"/>
        <w:rPr>
          <w:rFonts w:ascii="宋体" w:hAnsi="宋体"/>
          <w:color w:val="000000"/>
          <w:sz w:val="24"/>
        </w:rPr>
      </w:pPr>
      <w:r>
        <w:rPr>
          <w:rFonts w:hint="eastAsia" w:ascii="宋体" w:hAnsi="宋体"/>
          <w:color w:val="000000"/>
          <w:sz w:val="24"/>
        </w:rPr>
        <w:t>6.如果我们中标，为执行合同，我们将按招标文件的要求提供必要的履约保证。</w:t>
      </w:r>
    </w:p>
    <w:p w14:paraId="10E1A9DB">
      <w:pPr>
        <w:spacing w:line="480" w:lineRule="exact"/>
        <w:rPr>
          <w:rFonts w:ascii="楷体_GB2312" w:eastAsia="楷体_GB2312"/>
          <w:color w:val="000000"/>
          <w:sz w:val="24"/>
        </w:rPr>
      </w:pPr>
    </w:p>
    <w:p w14:paraId="7B3B3CF3">
      <w:pPr>
        <w:spacing w:line="480" w:lineRule="exact"/>
        <w:rPr>
          <w:rFonts w:ascii="楷体_GB2312" w:eastAsia="楷体_GB2312"/>
          <w:color w:val="000000"/>
          <w:sz w:val="24"/>
        </w:rPr>
      </w:pPr>
    </w:p>
    <w:p w14:paraId="299E2790">
      <w:pPr>
        <w:spacing w:line="480" w:lineRule="exact"/>
        <w:rPr>
          <w:rFonts w:ascii="楷体_GB2312" w:eastAsia="楷体_GB2312"/>
          <w:color w:val="000000"/>
          <w:sz w:val="24"/>
        </w:rPr>
      </w:pPr>
    </w:p>
    <w:p w14:paraId="6C333271">
      <w:pPr>
        <w:spacing w:line="480" w:lineRule="exact"/>
        <w:jc w:val="center"/>
        <w:rPr>
          <w:rFonts w:ascii="宋体" w:hAnsi="宋体"/>
          <w:color w:val="000000"/>
          <w:sz w:val="24"/>
        </w:rPr>
      </w:pPr>
      <w:r>
        <w:rPr>
          <w:rFonts w:hint="eastAsia" w:ascii="宋体" w:hAnsi="宋体"/>
          <w:color w:val="000000"/>
          <w:sz w:val="24"/>
        </w:rPr>
        <w:t xml:space="preserve">  投标人名称：</w:t>
      </w:r>
    </w:p>
    <w:p w14:paraId="44C0D57C">
      <w:pPr>
        <w:spacing w:line="480" w:lineRule="exact"/>
        <w:rPr>
          <w:rFonts w:ascii="宋体" w:hAnsi="宋体"/>
          <w:color w:val="000000"/>
          <w:sz w:val="24"/>
        </w:rPr>
      </w:pPr>
      <w:r>
        <w:rPr>
          <w:rFonts w:hint="eastAsia" w:ascii="宋体" w:hAnsi="宋体"/>
          <w:color w:val="000000"/>
          <w:sz w:val="24"/>
        </w:rPr>
        <w:t xml:space="preserve">                             （盖章）</w:t>
      </w:r>
    </w:p>
    <w:p w14:paraId="1F9E3C84">
      <w:pPr>
        <w:spacing w:line="480" w:lineRule="exact"/>
        <w:rPr>
          <w:rFonts w:ascii="宋体" w:hAnsi="宋体"/>
          <w:color w:val="000000"/>
          <w:sz w:val="24"/>
        </w:rPr>
      </w:pPr>
      <w:r>
        <w:rPr>
          <w:rFonts w:hint="eastAsia" w:ascii="宋体" w:hAnsi="宋体"/>
          <w:color w:val="000000"/>
          <w:sz w:val="24"/>
        </w:rPr>
        <w:t xml:space="preserve">                              地址：               邮编：</w:t>
      </w:r>
    </w:p>
    <w:p w14:paraId="7F5FBC10">
      <w:pPr>
        <w:spacing w:line="480" w:lineRule="exact"/>
        <w:rPr>
          <w:rFonts w:ascii="宋体" w:hAnsi="宋体"/>
          <w:color w:val="000000"/>
          <w:sz w:val="24"/>
        </w:rPr>
      </w:pPr>
      <w:r>
        <w:rPr>
          <w:rFonts w:hint="eastAsia" w:ascii="宋体" w:hAnsi="宋体"/>
          <w:color w:val="000000"/>
          <w:sz w:val="24"/>
        </w:rPr>
        <w:t xml:space="preserve">                              电话：               传真：</w:t>
      </w:r>
    </w:p>
    <w:p w14:paraId="53116D5E">
      <w:pPr>
        <w:spacing w:line="480" w:lineRule="exact"/>
        <w:rPr>
          <w:rFonts w:ascii="宋体" w:hAnsi="宋体"/>
          <w:color w:val="000000"/>
          <w:sz w:val="24"/>
        </w:rPr>
      </w:pPr>
      <w:r>
        <w:rPr>
          <w:rFonts w:hint="eastAsia" w:ascii="宋体" w:hAnsi="宋体"/>
          <w:color w:val="000000"/>
          <w:sz w:val="24"/>
        </w:rPr>
        <w:t xml:space="preserve">                              授权代表签字：</w:t>
      </w:r>
    </w:p>
    <w:p w14:paraId="5F1AA9C2">
      <w:pPr>
        <w:spacing w:line="480" w:lineRule="exact"/>
        <w:rPr>
          <w:rFonts w:ascii="宋体" w:hAnsi="宋体"/>
          <w:color w:val="000000"/>
          <w:sz w:val="24"/>
        </w:rPr>
      </w:pPr>
      <w:r>
        <w:rPr>
          <w:rFonts w:hint="eastAsia" w:ascii="宋体" w:hAnsi="宋体"/>
          <w:color w:val="000000"/>
          <w:sz w:val="24"/>
        </w:rPr>
        <w:t xml:space="preserve">                              职务：</w:t>
      </w:r>
    </w:p>
    <w:p w14:paraId="0F6E195E">
      <w:pPr>
        <w:spacing w:line="480" w:lineRule="exact"/>
        <w:rPr>
          <w:rFonts w:ascii="宋体" w:hAnsi="宋体"/>
          <w:color w:val="000000"/>
          <w:sz w:val="24"/>
        </w:rPr>
      </w:pPr>
      <w:r>
        <w:rPr>
          <w:rFonts w:hint="eastAsia" w:ascii="宋体" w:hAnsi="宋体"/>
          <w:color w:val="000000"/>
          <w:sz w:val="24"/>
        </w:rPr>
        <w:t xml:space="preserve">                              日期：</w:t>
      </w:r>
    </w:p>
    <w:p w14:paraId="7437CD0B">
      <w:pPr>
        <w:spacing w:line="480" w:lineRule="exact"/>
        <w:rPr>
          <w:rFonts w:ascii="宋体" w:hAnsi="宋体"/>
          <w:color w:val="000000"/>
          <w:sz w:val="24"/>
        </w:rPr>
      </w:pPr>
    </w:p>
    <w:p w14:paraId="0CE34E8E">
      <w:pPr>
        <w:spacing w:line="480" w:lineRule="exact"/>
        <w:rPr>
          <w:rFonts w:ascii="宋体" w:hAnsi="宋体"/>
          <w:color w:val="000000"/>
          <w:sz w:val="24"/>
        </w:rPr>
      </w:pPr>
    </w:p>
    <w:p w14:paraId="3D20A3AC">
      <w:pPr>
        <w:spacing w:line="480" w:lineRule="exact"/>
        <w:rPr>
          <w:rFonts w:ascii="宋体" w:hAnsi="宋体"/>
          <w:color w:val="000000"/>
          <w:sz w:val="24"/>
        </w:rPr>
      </w:pPr>
    </w:p>
    <w:p w14:paraId="1F0A70F8">
      <w:pPr>
        <w:spacing w:line="480" w:lineRule="exact"/>
        <w:rPr>
          <w:rFonts w:ascii="宋体" w:hAnsi="宋体"/>
          <w:color w:val="000000"/>
          <w:sz w:val="24"/>
        </w:rPr>
      </w:pPr>
    </w:p>
    <w:p w14:paraId="6E426E21">
      <w:pPr>
        <w:spacing w:line="560" w:lineRule="exact"/>
        <w:ind w:firstLine="2880" w:firstLineChars="800"/>
        <w:rPr>
          <w:rFonts w:ascii="黑体" w:eastAsia="黑体"/>
          <w:color w:val="000000"/>
          <w:sz w:val="36"/>
        </w:rPr>
      </w:pPr>
      <w:r>
        <w:rPr>
          <w:rFonts w:hint="eastAsia" w:ascii="黑体" w:eastAsia="黑体"/>
          <w:color w:val="000000"/>
          <w:sz w:val="36"/>
        </w:rPr>
        <w:t>2、开标一览表</w:t>
      </w:r>
    </w:p>
    <w:p w14:paraId="140952CF">
      <w:pPr>
        <w:pStyle w:val="17"/>
        <w:ind w:left="0" w:firstLine="0"/>
        <w:rPr>
          <w:color w:val="000000"/>
          <w:lang w:eastAsia="zh-CN"/>
        </w:rPr>
      </w:pPr>
      <w:r>
        <w:rPr>
          <w:rFonts w:hint="eastAsia"/>
          <w:color w:val="000000"/>
          <w:lang w:eastAsia="zh-CN"/>
        </w:rPr>
        <w:t xml:space="preserve">      项目名称:</w:t>
      </w:r>
    </w:p>
    <w:tbl>
      <w:tblPr>
        <w:tblStyle w:val="14"/>
        <w:tblW w:w="7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2310"/>
        <w:gridCol w:w="817"/>
        <w:gridCol w:w="1721"/>
        <w:gridCol w:w="1572"/>
      </w:tblGrid>
      <w:tr w14:paraId="3E76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14:paraId="008F7218">
            <w:pPr>
              <w:spacing w:line="0" w:lineRule="atLeast"/>
              <w:jc w:val="center"/>
              <w:rPr>
                <w:rFonts w:ascii="宋体" w:hAnsi="宋体"/>
                <w:color w:val="000000"/>
                <w:szCs w:val="21"/>
              </w:rPr>
            </w:pPr>
            <w:r>
              <w:rPr>
                <w:rFonts w:hint="eastAsia" w:ascii="宋体" w:hAnsi="宋体"/>
                <w:color w:val="000000"/>
                <w:szCs w:val="21"/>
              </w:rPr>
              <w:t>序号</w:t>
            </w:r>
          </w:p>
        </w:tc>
        <w:tc>
          <w:tcPr>
            <w:tcW w:w="2310" w:type="dxa"/>
            <w:tcBorders>
              <w:top w:val="single" w:color="auto" w:sz="4" w:space="0"/>
              <w:left w:val="single" w:color="auto" w:sz="4" w:space="0"/>
              <w:bottom w:val="single" w:color="auto" w:sz="4" w:space="0"/>
              <w:right w:val="single" w:color="auto" w:sz="4" w:space="0"/>
            </w:tcBorders>
            <w:noWrap/>
            <w:vAlign w:val="center"/>
          </w:tcPr>
          <w:p w14:paraId="159481F4">
            <w:pPr>
              <w:spacing w:line="0" w:lineRule="atLeast"/>
              <w:jc w:val="center"/>
              <w:rPr>
                <w:rFonts w:ascii="宋体" w:hAnsi="宋体"/>
                <w:color w:val="000000"/>
                <w:szCs w:val="21"/>
              </w:rPr>
            </w:pPr>
            <w:r>
              <w:rPr>
                <w:rFonts w:hint="eastAsia" w:ascii="宋体" w:hAnsi="宋体"/>
                <w:color w:val="000000"/>
                <w:szCs w:val="21"/>
              </w:rPr>
              <w:t>类 别</w:t>
            </w:r>
          </w:p>
        </w:tc>
        <w:tc>
          <w:tcPr>
            <w:tcW w:w="817" w:type="dxa"/>
            <w:tcBorders>
              <w:top w:val="single" w:color="auto" w:sz="4" w:space="0"/>
              <w:left w:val="single" w:color="auto" w:sz="4" w:space="0"/>
              <w:bottom w:val="single" w:color="auto" w:sz="4" w:space="0"/>
              <w:right w:val="single" w:color="auto" w:sz="4" w:space="0"/>
            </w:tcBorders>
            <w:noWrap/>
            <w:vAlign w:val="center"/>
          </w:tcPr>
          <w:p w14:paraId="028D6319">
            <w:pPr>
              <w:spacing w:line="0" w:lineRule="atLeast"/>
              <w:jc w:val="center"/>
              <w:rPr>
                <w:rFonts w:ascii="宋体" w:hAnsi="宋体"/>
                <w:color w:val="000000"/>
                <w:szCs w:val="21"/>
              </w:rPr>
            </w:pPr>
            <w:r>
              <w:rPr>
                <w:rFonts w:hint="eastAsia" w:ascii="宋体" w:hAnsi="宋体"/>
                <w:color w:val="000000"/>
                <w:szCs w:val="21"/>
              </w:rPr>
              <w:t>制造厂商</w:t>
            </w:r>
          </w:p>
        </w:tc>
        <w:tc>
          <w:tcPr>
            <w:tcW w:w="1721" w:type="dxa"/>
            <w:tcBorders>
              <w:top w:val="single" w:color="auto" w:sz="4" w:space="0"/>
              <w:left w:val="single" w:color="auto" w:sz="4" w:space="0"/>
              <w:bottom w:val="single" w:color="auto" w:sz="4" w:space="0"/>
              <w:right w:val="single" w:color="auto" w:sz="4" w:space="0"/>
            </w:tcBorders>
            <w:noWrap/>
            <w:vAlign w:val="center"/>
          </w:tcPr>
          <w:p w14:paraId="1D9BF166">
            <w:pPr>
              <w:spacing w:line="0" w:lineRule="atLeast"/>
              <w:jc w:val="center"/>
              <w:rPr>
                <w:rFonts w:ascii="宋体" w:hAnsi="宋体"/>
                <w:color w:val="000000"/>
                <w:szCs w:val="21"/>
              </w:rPr>
            </w:pPr>
            <w:r>
              <w:rPr>
                <w:rFonts w:hint="eastAsia" w:ascii="宋体" w:hAnsi="宋体"/>
                <w:color w:val="000000"/>
                <w:szCs w:val="21"/>
              </w:rPr>
              <w:t>投标人报价</w:t>
            </w:r>
          </w:p>
        </w:tc>
        <w:tc>
          <w:tcPr>
            <w:tcW w:w="1572" w:type="dxa"/>
            <w:tcBorders>
              <w:top w:val="single" w:color="auto" w:sz="4" w:space="0"/>
              <w:left w:val="single" w:color="auto" w:sz="4" w:space="0"/>
              <w:bottom w:val="single" w:color="auto" w:sz="4" w:space="0"/>
              <w:right w:val="single" w:color="auto" w:sz="4" w:space="0"/>
            </w:tcBorders>
            <w:noWrap/>
            <w:vAlign w:val="center"/>
          </w:tcPr>
          <w:p w14:paraId="40901D93">
            <w:pPr>
              <w:spacing w:line="0" w:lineRule="atLeast"/>
              <w:jc w:val="center"/>
              <w:rPr>
                <w:rFonts w:ascii="宋体" w:hAnsi="宋体"/>
                <w:color w:val="000000"/>
                <w:szCs w:val="21"/>
              </w:rPr>
            </w:pPr>
            <w:r>
              <w:rPr>
                <w:rFonts w:hint="eastAsia" w:ascii="宋体" w:hAnsi="宋体"/>
                <w:color w:val="000000"/>
                <w:szCs w:val="21"/>
              </w:rPr>
              <w:t>品牌</w:t>
            </w:r>
          </w:p>
        </w:tc>
      </w:tr>
      <w:tr w14:paraId="4C5D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14:paraId="59AE4642">
            <w:pPr>
              <w:spacing w:line="0" w:lineRule="atLeast"/>
              <w:jc w:val="center"/>
              <w:rPr>
                <w:rFonts w:ascii="宋体" w:hAnsi="宋体"/>
                <w:color w:val="000000"/>
                <w:szCs w:val="21"/>
              </w:rPr>
            </w:pPr>
            <w:r>
              <w:rPr>
                <w:rFonts w:hint="eastAsia" w:ascii="宋体" w:hAnsi="宋体"/>
                <w:color w:val="000000"/>
                <w:szCs w:val="21"/>
              </w:rPr>
              <w:t>1</w:t>
            </w:r>
          </w:p>
        </w:tc>
        <w:tc>
          <w:tcPr>
            <w:tcW w:w="2310" w:type="dxa"/>
            <w:tcBorders>
              <w:top w:val="single" w:color="auto" w:sz="4" w:space="0"/>
              <w:left w:val="single" w:color="auto" w:sz="4" w:space="0"/>
              <w:bottom w:val="single" w:color="auto" w:sz="4" w:space="0"/>
              <w:right w:val="single" w:color="auto" w:sz="4" w:space="0"/>
            </w:tcBorders>
            <w:noWrap/>
            <w:vAlign w:val="center"/>
          </w:tcPr>
          <w:p w14:paraId="16F86F9D">
            <w:pPr>
              <w:widowControl/>
              <w:jc w:val="center"/>
              <w:textAlignment w:val="center"/>
              <w:rPr>
                <w:rFonts w:ascii="宋体" w:hAnsi="宋体" w:cs="宋体"/>
                <w:color w:val="000000"/>
                <w:kern w:val="0"/>
                <w:szCs w:val="21"/>
              </w:rPr>
            </w:pPr>
          </w:p>
        </w:tc>
        <w:tc>
          <w:tcPr>
            <w:tcW w:w="817" w:type="dxa"/>
            <w:tcBorders>
              <w:top w:val="single" w:color="auto" w:sz="4" w:space="0"/>
              <w:left w:val="single" w:color="auto" w:sz="4" w:space="0"/>
              <w:bottom w:val="single" w:color="auto" w:sz="4" w:space="0"/>
              <w:right w:val="single" w:color="auto" w:sz="4" w:space="0"/>
            </w:tcBorders>
            <w:noWrap/>
            <w:vAlign w:val="center"/>
          </w:tcPr>
          <w:p w14:paraId="3409AAF7">
            <w:pPr>
              <w:spacing w:line="0" w:lineRule="atLeast"/>
              <w:jc w:val="center"/>
              <w:rPr>
                <w:rFonts w:ascii="宋体" w:hAnsi="宋体"/>
                <w:color w:val="000000"/>
                <w:szCs w:val="21"/>
              </w:rPr>
            </w:pPr>
          </w:p>
        </w:tc>
        <w:tc>
          <w:tcPr>
            <w:tcW w:w="1721" w:type="dxa"/>
            <w:tcBorders>
              <w:top w:val="single" w:color="auto" w:sz="4" w:space="0"/>
              <w:left w:val="single" w:color="auto" w:sz="4" w:space="0"/>
              <w:bottom w:val="single" w:color="auto" w:sz="4" w:space="0"/>
              <w:right w:val="single" w:color="auto" w:sz="4" w:space="0"/>
            </w:tcBorders>
            <w:noWrap/>
            <w:vAlign w:val="center"/>
          </w:tcPr>
          <w:p w14:paraId="39EF3239">
            <w:pPr>
              <w:widowControl/>
              <w:jc w:val="center"/>
              <w:textAlignment w:val="center"/>
              <w:rPr>
                <w:rFonts w:ascii="宋体" w:hAnsi="宋体"/>
                <w:color w:val="000000"/>
                <w:szCs w:val="21"/>
              </w:rPr>
            </w:pPr>
          </w:p>
        </w:tc>
        <w:tc>
          <w:tcPr>
            <w:tcW w:w="1572" w:type="dxa"/>
            <w:tcBorders>
              <w:top w:val="single" w:color="auto" w:sz="4" w:space="0"/>
              <w:left w:val="single" w:color="auto" w:sz="4" w:space="0"/>
              <w:right w:val="single" w:color="auto" w:sz="4" w:space="0"/>
            </w:tcBorders>
            <w:noWrap/>
            <w:vAlign w:val="center"/>
          </w:tcPr>
          <w:p w14:paraId="2AF0479C">
            <w:pPr>
              <w:tabs>
                <w:tab w:val="left" w:pos="236"/>
              </w:tabs>
              <w:spacing w:line="0" w:lineRule="atLeast"/>
              <w:jc w:val="left"/>
              <w:rPr>
                <w:rFonts w:ascii="宋体" w:hAnsi="宋体"/>
                <w:color w:val="000000"/>
                <w:szCs w:val="21"/>
              </w:rPr>
            </w:pPr>
          </w:p>
        </w:tc>
      </w:tr>
      <w:tr w14:paraId="34FB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14:paraId="6005C47C">
            <w:pPr>
              <w:spacing w:line="0" w:lineRule="atLeast"/>
              <w:jc w:val="center"/>
              <w:rPr>
                <w:rFonts w:ascii="宋体" w:hAnsi="宋体"/>
                <w:color w:val="000000"/>
                <w:szCs w:val="21"/>
              </w:rPr>
            </w:pPr>
            <w:r>
              <w:rPr>
                <w:rFonts w:hint="eastAsia" w:ascii="宋体" w:hAnsi="宋体"/>
                <w:color w:val="000000"/>
                <w:szCs w:val="21"/>
              </w:rPr>
              <w:t>2</w:t>
            </w:r>
          </w:p>
        </w:tc>
        <w:tc>
          <w:tcPr>
            <w:tcW w:w="2310" w:type="dxa"/>
            <w:tcBorders>
              <w:top w:val="single" w:color="auto" w:sz="4" w:space="0"/>
              <w:left w:val="single" w:color="auto" w:sz="4" w:space="0"/>
              <w:bottom w:val="single" w:color="auto" w:sz="4" w:space="0"/>
              <w:right w:val="single" w:color="auto" w:sz="4" w:space="0"/>
            </w:tcBorders>
            <w:noWrap/>
            <w:vAlign w:val="center"/>
          </w:tcPr>
          <w:p w14:paraId="75CB3332">
            <w:pPr>
              <w:widowControl/>
              <w:jc w:val="center"/>
              <w:textAlignment w:val="center"/>
              <w:rPr>
                <w:rFonts w:ascii="宋体" w:hAnsi="宋体" w:cs="宋体"/>
                <w:color w:val="000000"/>
                <w:kern w:val="0"/>
                <w:szCs w:val="21"/>
              </w:rPr>
            </w:pPr>
          </w:p>
        </w:tc>
        <w:tc>
          <w:tcPr>
            <w:tcW w:w="817" w:type="dxa"/>
            <w:tcBorders>
              <w:top w:val="single" w:color="auto" w:sz="4" w:space="0"/>
              <w:left w:val="single" w:color="auto" w:sz="4" w:space="0"/>
              <w:bottom w:val="single" w:color="auto" w:sz="4" w:space="0"/>
              <w:right w:val="single" w:color="auto" w:sz="4" w:space="0"/>
            </w:tcBorders>
            <w:noWrap/>
            <w:vAlign w:val="center"/>
          </w:tcPr>
          <w:p w14:paraId="3F1EB9FA">
            <w:pPr>
              <w:spacing w:line="0" w:lineRule="atLeast"/>
              <w:jc w:val="center"/>
              <w:rPr>
                <w:rFonts w:ascii="宋体" w:hAnsi="宋体"/>
                <w:color w:val="000000"/>
                <w:szCs w:val="21"/>
              </w:rPr>
            </w:pPr>
          </w:p>
        </w:tc>
        <w:tc>
          <w:tcPr>
            <w:tcW w:w="1721" w:type="dxa"/>
            <w:tcBorders>
              <w:top w:val="single" w:color="auto" w:sz="4" w:space="0"/>
              <w:left w:val="single" w:color="auto" w:sz="4" w:space="0"/>
              <w:bottom w:val="single" w:color="auto" w:sz="4" w:space="0"/>
              <w:right w:val="single" w:color="auto" w:sz="4" w:space="0"/>
            </w:tcBorders>
            <w:noWrap/>
            <w:vAlign w:val="center"/>
          </w:tcPr>
          <w:p w14:paraId="74997967">
            <w:pPr>
              <w:widowControl/>
              <w:jc w:val="center"/>
              <w:textAlignment w:val="center"/>
              <w:rPr>
                <w:rFonts w:ascii="宋体" w:hAnsi="宋体"/>
                <w:color w:val="000000"/>
                <w:szCs w:val="21"/>
              </w:rPr>
            </w:pPr>
          </w:p>
        </w:tc>
        <w:tc>
          <w:tcPr>
            <w:tcW w:w="1572" w:type="dxa"/>
            <w:tcBorders>
              <w:left w:val="single" w:color="auto" w:sz="4" w:space="0"/>
              <w:right w:val="single" w:color="auto" w:sz="4" w:space="0"/>
            </w:tcBorders>
            <w:noWrap/>
            <w:vAlign w:val="center"/>
          </w:tcPr>
          <w:p w14:paraId="5F15EA0F">
            <w:pPr>
              <w:spacing w:line="0" w:lineRule="atLeast"/>
              <w:jc w:val="center"/>
              <w:rPr>
                <w:rFonts w:ascii="宋体" w:hAnsi="宋体"/>
                <w:color w:val="000000"/>
                <w:szCs w:val="21"/>
              </w:rPr>
            </w:pPr>
          </w:p>
        </w:tc>
      </w:tr>
      <w:tr w14:paraId="3901A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14:paraId="7B51FF08">
            <w:pPr>
              <w:spacing w:line="0" w:lineRule="atLeast"/>
              <w:jc w:val="center"/>
              <w:rPr>
                <w:rFonts w:ascii="宋体" w:hAnsi="宋体"/>
                <w:color w:val="000000"/>
                <w:szCs w:val="21"/>
              </w:rPr>
            </w:pPr>
            <w:r>
              <w:rPr>
                <w:rFonts w:hint="eastAsia" w:ascii="宋体" w:hAnsi="宋体"/>
                <w:color w:val="000000"/>
                <w:szCs w:val="21"/>
              </w:rPr>
              <w:t>3</w:t>
            </w:r>
          </w:p>
        </w:tc>
        <w:tc>
          <w:tcPr>
            <w:tcW w:w="2310" w:type="dxa"/>
            <w:tcBorders>
              <w:top w:val="single" w:color="auto" w:sz="4" w:space="0"/>
              <w:left w:val="single" w:color="auto" w:sz="4" w:space="0"/>
              <w:bottom w:val="single" w:color="auto" w:sz="4" w:space="0"/>
              <w:right w:val="single" w:color="auto" w:sz="4" w:space="0"/>
            </w:tcBorders>
            <w:noWrap/>
            <w:vAlign w:val="center"/>
          </w:tcPr>
          <w:p w14:paraId="1C19ED4A">
            <w:pPr>
              <w:widowControl/>
              <w:jc w:val="center"/>
              <w:textAlignment w:val="center"/>
              <w:rPr>
                <w:rFonts w:ascii="宋体" w:hAnsi="宋体" w:cs="宋体"/>
                <w:color w:val="000000"/>
                <w:kern w:val="0"/>
                <w:szCs w:val="21"/>
              </w:rPr>
            </w:pPr>
          </w:p>
        </w:tc>
        <w:tc>
          <w:tcPr>
            <w:tcW w:w="817" w:type="dxa"/>
            <w:tcBorders>
              <w:top w:val="single" w:color="auto" w:sz="4" w:space="0"/>
              <w:left w:val="single" w:color="auto" w:sz="4" w:space="0"/>
              <w:bottom w:val="single" w:color="auto" w:sz="4" w:space="0"/>
              <w:right w:val="single" w:color="auto" w:sz="4" w:space="0"/>
            </w:tcBorders>
            <w:noWrap/>
            <w:vAlign w:val="center"/>
          </w:tcPr>
          <w:p w14:paraId="10031742">
            <w:pPr>
              <w:spacing w:line="0" w:lineRule="atLeast"/>
              <w:jc w:val="center"/>
              <w:rPr>
                <w:rFonts w:ascii="宋体" w:hAnsi="宋体"/>
                <w:color w:val="000000"/>
                <w:szCs w:val="21"/>
              </w:rPr>
            </w:pPr>
          </w:p>
        </w:tc>
        <w:tc>
          <w:tcPr>
            <w:tcW w:w="1721" w:type="dxa"/>
            <w:tcBorders>
              <w:top w:val="single" w:color="auto" w:sz="4" w:space="0"/>
              <w:left w:val="single" w:color="auto" w:sz="4" w:space="0"/>
              <w:bottom w:val="single" w:color="auto" w:sz="4" w:space="0"/>
              <w:right w:val="single" w:color="auto" w:sz="4" w:space="0"/>
            </w:tcBorders>
            <w:noWrap/>
            <w:vAlign w:val="center"/>
          </w:tcPr>
          <w:p w14:paraId="69149935">
            <w:pPr>
              <w:widowControl/>
              <w:jc w:val="center"/>
              <w:textAlignment w:val="center"/>
              <w:rPr>
                <w:rFonts w:ascii="宋体" w:hAnsi="宋体"/>
                <w:color w:val="000000"/>
                <w:szCs w:val="21"/>
              </w:rPr>
            </w:pPr>
          </w:p>
        </w:tc>
        <w:tc>
          <w:tcPr>
            <w:tcW w:w="1572" w:type="dxa"/>
            <w:tcBorders>
              <w:left w:val="single" w:color="auto" w:sz="4" w:space="0"/>
              <w:right w:val="single" w:color="auto" w:sz="4" w:space="0"/>
            </w:tcBorders>
            <w:noWrap/>
            <w:vAlign w:val="center"/>
          </w:tcPr>
          <w:p w14:paraId="22CFCB62">
            <w:pPr>
              <w:spacing w:line="0" w:lineRule="atLeast"/>
              <w:jc w:val="center"/>
              <w:rPr>
                <w:rFonts w:ascii="宋体" w:hAnsi="宋体"/>
                <w:color w:val="000000"/>
                <w:szCs w:val="21"/>
              </w:rPr>
            </w:pPr>
          </w:p>
        </w:tc>
      </w:tr>
      <w:tr w14:paraId="67FDD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14:paraId="440E9092">
            <w:pPr>
              <w:spacing w:line="0" w:lineRule="atLeast"/>
              <w:jc w:val="center"/>
              <w:rPr>
                <w:rFonts w:ascii="宋体" w:hAnsi="宋体"/>
                <w:color w:val="000000"/>
                <w:szCs w:val="21"/>
              </w:rPr>
            </w:pPr>
            <w:r>
              <w:rPr>
                <w:rFonts w:hint="eastAsia" w:ascii="宋体" w:hAnsi="宋体"/>
                <w:color w:val="000000"/>
                <w:szCs w:val="21"/>
              </w:rPr>
              <w:t>4</w:t>
            </w:r>
          </w:p>
        </w:tc>
        <w:tc>
          <w:tcPr>
            <w:tcW w:w="2310" w:type="dxa"/>
            <w:tcBorders>
              <w:top w:val="single" w:color="auto" w:sz="4" w:space="0"/>
              <w:left w:val="single" w:color="auto" w:sz="4" w:space="0"/>
              <w:bottom w:val="single" w:color="auto" w:sz="4" w:space="0"/>
              <w:right w:val="single" w:color="auto" w:sz="4" w:space="0"/>
            </w:tcBorders>
            <w:noWrap/>
            <w:vAlign w:val="center"/>
          </w:tcPr>
          <w:p w14:paraId="04A05BFF">
            <w:pPr>
              <w:widowControl/>
              <w:jc w:val="center"/>
              <w:textAlignment w:val="center"/>
              <w:rPr>
                <w:rFonts w:ascii="宋体" w:hAnsi="宋体" w:cs="宋体"/>
                <w:color w:val="000000"/>
                <w:kern w:val="0"/>
                <w:szCs w:val="21"/>
              </w:rPr>
            </w:pPr>
          </w:p>
        </w:tc>
        <w:tc>
          <w:tcPr>
            <w:tcW w:w="817" w:type="dxa"/>
            <w:tcBorders>
              <w:top w:val="single" w:color="auto" w:sz="4" w:space="0"/>
              <w:left w:val="single" w:color="auto" w:sz="4" w:space="0"/>
              <w:bottom w:val="single" w:color="auto" w:sz="4" w:space="0"/>
              <w:right w:val="single" w:color="auto" w:sz="4" w:space="0"/>
            </w:tcBorders>
            <w:noWrap/>
            <w:vAlign w:val="center"/>
          </w:tcPr>
          <w:p w14:paraId="2548850C">
            <w:pPr>
              <w:spacing w:line="0" w:lineRule="atLeast"/>
              <w:jc w:val="center"/>
              <w:rPr>
                <w:rFonts w:ascii="宋体" w:hAnsi="宋体"/>
                <w:color w:val="000000"/>
                <w:szCs w:val="21"/>
              </w:rPr>
            </w:pPr>
          </w:p>
        </w:tc>
        <w:tc>
          <w:tcPr>
            <w:tcW w:w="1721" w:type="dxa"/>
            <w:tcBorders>
              <w:top w:val="single" w:color="auto" w:sz="4" w:space="0"/>
              <w:left w:val="single" w:color="auto" w:sz="4" w:space="0"/>
              <w:bottom w:val="single" w:color="auto" w:sz="4" w:space="0"/>
              <w:right w:val="single" w:color="auto" w:sz="4" w:space="0"/>
            </w:tcBorders>
            <w:noWrap/>
            <w:vAlign w:val="center"/>
          </w:tcPr>
          <w:p w14:paraId="4FA20695">
            <w:pPr>
              <w:widowControl/>
              <w:jc w:val="center"/>
              <w:textAlignment w:val="center"/>
              <w:rPr>
                <w:rFonts w:ascii="宋体" w:hAnsi="宋体"/>
                <w:color w:val="000000"/>
                <w:szCs w:val="21"/>
              </w:rPr>
            </w:pPr>
          </w:p>
        </w:tc>
        <w:tc>
          <w:tcPr>
            <w:tcW w:w="1572" w:type="dxa"/>
            <w:tcBorders>
              <w:left w:val="single" w:color="auto" w:sz="4" w:space="0"/>
              <w:right w:val="single" w:color="auto" w:sz="4" w:space="0"/>
            </w:tcBorders>
            <w:noWrap/>
            <w:vAlign w:val="center"/>
          </w:tcPr>
          <w:p w14:paraId="20C29C13">
            <w:pPr>
              <w:spacing w:line="0" w:lineRule="atLeast"/>
              <w:jc w:val="center"/>
              <w:rPr>
                <w:rFonts w:ascii="宋体" w:hAnsi="宋体"/>
                <w:color w:val="000000"/>
                <w:szCs w:val="21"/>
              </w:rPr>
            </w:pPr>
          </w:p>
        </w:tc>
      </w:tr>
      <w:tr w14:paraId="3C437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14:paraId="31B7D7E6">
            <w:pPr>
              <w:spacing w:line="0" w:lineRule="atLeast"/>
              <w:jc w:val="center"/>
              <w:rPr>
                <w:rFonts w:ascii="宋体" w:hAnsi="宋体"/>
                <w:color w:val="000000"/>
                <w:szCs w:val="21"/>
              </w:rPr>
            </w:pPr>
            <w:r>
              <w:rPr>
                <w:rFonts w:hint="eastAsia" w:ascii="宋体" w:hAnsi="宋体"/>
                <w:color w:val="000000"/>
                <w:szCs w:val="21"/>
              </w:rPr>
              <w:t>5</w:t>
            </w:r>
          </w:p>
        </w:tc>
        <w:tc>
          <w:tcPr>
            <w:tcW w:w="2310" w:type="dxa"/>
            <w:tcBorders>
              <w:top w:val="single" w:color="auto" w:sz="4" w:space="0"/>
              <w:left w:val="single" w:color="auto" w:sz="4" w:space="0"/>
              <w:bottom w:val="single" w:color="auto" w:sz="4" w:space="0"/>
              <w:right w:val="single" w:color="auto" w:sz="4" w:space="0"/>
            </w:tcBorders>
            <w:noWrap/>
            <w:vAlign w:val="center"/>
          </w:tcPr>
          <w:p w14:paraId="4B4135ED">
            <w:pPr>
              <w:widowControl/>
              <w:jc w:val="center"/>
              <w:textAlignment w:val="center"/>
              <w:rPr>
                <w:rFonts w:ascii="宋体" w:hAnsi="宋体" w:cs="宋体"/>
                <w:color w:val="000000"/>
                <w:kern w:val="0"/>
                <w:szCs w:val="21"/>
              </w:rPr>
            </w:pPr>
          </w:p>
        </w:tc>
        <w:tc>
          <w:tcPr>
            <w:tcW w:w="817" w:type="dxa"/>
            <w:tcBorders>
              <w:top w:val="single" w:color="auto" w:sz="4" w:space="0"/>
              <w:left w:val="single" w:color="auto" w:sz="4" w:space="0"/>
              <w:bottom w:val="single" w:color="auto" w:sz="4" w:space="0"/>
              <w:right w:val="single" w:color="auto" w:sz="4" w:space="0"/>
            </w:tcBorders>
            <w:noWrap/>
            <w:vAlign w:val="center"/>
          </w:tcPr>
          <w:p w14:paraId="1FDB19DF">
            <w:pPr>
              <w:spacing w:line="0" w:lineRule="atLeast"/>
              <w:jc w:val="center"/>
              <w:rPr>
                <w:rFonts w:ascii="宋体" w:hAnsi="宋体"/>
                <w:color w:val="000000"/>
                <w:szCs w:val="21"/>
              </w:rPr>
            </w:pPr>
          </w:p>
        </w:tc>
        <w:tc>
          <w:tcPr>
            <w:tcW w:w="1721" w:type="dxa"/>
            <w:tcBorders>
              <w:top w:val="single" w:color="auto" w:sz="4" w:space="0"/>
              <w:left w:val="single" w:color="auto" w:sz="4" w:space="0"/>
              <w:bottom w:val="single" w:color="auto" w:sz="4" w:space="0"/>
              <w:right w:val="single" w:color="auto" w:sz="4" w:space="0"/>
            </w:tcBorders>
            <w:noWrap/>
            <w:vAlign w:val="center"/>
          </w:tcPr>
          <w:p w14:paraId="6ABE30CA">
            <w:pPr>
              <w:widowControl/>
              <w:jc w:val="center"/>
              <w:textAlignment w:val="center"/>
              <w:rPr>
                <w:rFonts w:ascii="宋体" w:hAnsi="宋体"/>
                <w:color w:val="000000"/>
                <w:szCs w:val="21"/>
              </w:rPr>
            </w:pPr>
          </w:p>
        </w:tc>
        <w:tc>
          <w:tcPr>
            <w:tcW w:w="1572" w:type="dxa"/>
            <w:tcBorders>
              <w:left w:val="single" w:color="auto" w:sz="4" w:space="0"/>
              <w:right w:val="single" w:color="auto" w:sz="4" w:space="0"/>
            </w:tcBorders>
            <w:noWrap/>
            <w:vAlign w:val="center"/>
          </w:tcPr>
          <w:p w14:paraId="7AEA94C2">
            <w:pPr>
              <w:spacing w:line="0" w:lineRule="atLeast"/>
              <w:jc w:val="center"/>
              <w:rPr>
                <w:rFonts w:ascii="宋体" w:hAnsi="宋体"/>
                <w:color w:val="000000"/>
                <w:szCs w:val="21"/>
              </w:rPr>
            </w:pPr>
          </w:p>
        </w:tc>
      </w:tr>
      <w:tr w14:paraId="3A2B4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ign w:val="center"/>
          </w:tcPr>
          <w:p w14:paraId="2330CBF9">
            <w:pPr>
              <w:spacing w:line="0" w:lineRule="atLeast"/>
              <w:jc w:val="center"/>
              <w:rPr>
                <w:rFonts w:ascii="宋体" w:hAnsi="宋体"/>
                <w:b/>
                <w:bCs/>
                <w:color w:val="000000"/>
                <w:szCs w:val="21"/>
              </w:rPr>
            </w:pPr>
            <w:r>
              <w:rPr>
                <w:rFonts w:hint="eastAsia" w:ascii="宋体" w:hAnsi="宋体"/>
                <w:color w:val="000000"/>
                <w:szCs w:val="21"/>
              </w:rPr>
              <w:t>总价合计（人民币：元）</w:t>
            </w:r>
          </w:p>
        </w:tc>
        <w:tc>
          <w:tcPr>
            <w:tcW w:w="4110" w:type="dxa"/>
            <w:gridSpan w:val="3"/>
            <w:tcBorders>
              <w:top w:val="single" w:color="auto" w:sz="4" w:space="0"/>
              <w:left w:val="single" w:color="auto" w:sz="4" w:space="0"/>
              <w:bottom w:val="single" w:color="auto" w:sz="4" w:space="0"/>
              <w:right w:val="single" w:color="auto" w:sz="4" w:space="0"/>
            </w:tcBorders>
            <w:noWrap/>
            <w:vAlign w:val="center"/>
          </w:tcPr>
          <w:p w14:paraId="709AED33">
            <w:pPr>
              <w:spacing w:line="0" w:lineRule="atLeast"/>
              <w:jc w:val="center"/>
              <w:rPr>
                <w:rFonts w:ascii="宋体" w:hAnsi="宋体"/>
                <w:color w:val="000000"/>
                <w:szCs w:val="21"/>
              </w:rPr>
            </w:pPr>
          </w:p>
        </w:tc>
      </w:tr>
      <w:tr w14:paraId="7E451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ign w:val="center"/>
          </w:tcPr>
          <w:p w14:paraId="5D809355">
            <w:pPr>
              <w:spacing w:line="0" w:lineRule="atLeast"/>
              <w:jc w:val="center"/>
              <w:rPr>
                <w:rFonts w:ascii="宋体" w:hAnsi="宋体"/>
                <w:color w:val="000000"/>
                <w:szCs w:val="21"/>
              </w:rPr>
            </w:pPr>
            <w:r>
              <w:rPr>
                <w:rFonts w:hint="eastAsia" w:ascii="宋体" w:hAnsi="宋体"/>
                <w:color w:val="000000"/>
                <w:szCs w:val="21"/>
              </w:rPr>
              <w:t>价格条件</w:t>
            </w:r>
          </w:p>
        </w:tc>
        <w:tc>
          <w:tcPr>
            <w:tcW w:w="4110" w:type="dxa"/>
            <w:gridSpan w:val="3"/>
            <w:tcBorders>
              <w:top w:val="single" w:color="auto" w:sz="4" w:space="0"/>
              <w:left w:val="single" w:color="auto" w:sz="4" w:space="0"/>
              <w:bottom w:val="single" w:color="auto" w:sz="4" w:space="0"/>
              <w:right w:val="single" w:color="auto" w:sz="4" w:space="0"/>
            </w:tcBorders>
            <w:noWrap/>
            <w:vAlign w:val="center"/>
          </w:tcPr>
          <w:p w14:paraId="109DC4B5">
            <w:pPr>
              <w:spacing w:line="0" w:lineRule="atLeast"/>
              <w:jc w:val="center"/>
              <w:rPr>
                <w:rFonts w:ascii="宋体" w:hAnsi="宋体"/>
                <w:color w:val="000000"/>
                <w:szCs w:val="21"/>
              </w:rPr>
            </w:pPr>
          </w:p>
        </w:tc>
      </w:tr>
      <w:tr w14:paraId="369DD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ign w:val="center"/>
          </w:tcPr>
          <w:p w14:paraId="6D58125F">
            <w:pPr>
              <w:spacing w:line="0" w:lineRule="atLeast"/>
              <w:jc w:val="center"/>
              <w:rPr>
                <w:rFonts w:ascii="宋体" w:hAnsi="宋体"/>
                <w:color w:val="000000"/>
                <w:szCs w:val="21"/>
              </w:rPr>
            </w:pPr>
            <w:r>
              <w:rPr>
                <w:rFonts w:hint="eastAsia" w:ascii="宋体" w:hAnsi="宋体"/>
                <w:color w:val="000000"/>
                <w:szCs w:val="21"/>
              </w:rPr>
              <w:t>交 货 期</w:t>
            </w:r>
          </w:p>
        </w:tc>
        <w:tc>
          <w:tcPr>
            <w:tcW w:w="4110" w:type="dxa"/>
            <w:gridSpan w:val="3"/>
            <w:tcBorders>
              <w:top w:val="single" w:color="auto" w:sz="4" w:space="0"/>
              <w:left w:val="single" w:color="auto" w:sz="4" w:space="0"/>
              <w:bottom w:val="single" w:color="auto" w:sz="4" w:space="0"/>
              <w:right w:val="single" w:color="auto" w:sz="4" w:space="0"/>
            </w:tcBorders>
            <w:noWrap/>
            <w:vAlign w:val="center"/>
          </w:tcPr>
          <w:p w14:paraId="4D609ED3">
            <w:pPr>
              <w:spacing w:line="0" w:lineRule="atLeast"/>
              <w:jc w:val="center"/>
              <w:rPr>
                <w:rFonts w:ascii="宋体" w:hAnsi="宋体"/>
                <w:color w:val="000000"/>
                <w:szCs w:val="21"/>
              </w:rPr>
            </w:pPr>
          </w:p>
        </w:tc>
      </w:tr>
      <w:tr w14:paraId="1881B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ign w:val="center"/>
          </w:tcPr>
          <w:p w14:paraId="5EE8CC89">
            <w:pPr>
              <w:spacing w:line="0" w:lineRule="atLeast"/>
              <w:jc w:val="center"/>
              <w:rPr>
                <w:rFonts w:ascii="宋体" w:hAnsi="宋体"/>
                <w:color w:val="000000"/>
                <w:szCs w:val="21"/>
              </w:rPr>
            </w:pPr>
            <w:r>
              <w:rPr>
                <w:rFonts w:hint="eastAsia" w:ascii="宋体" w:hAnsi="宋体"/>
                <w:color w:val="000000"/>
                <w:szCs w:val="21"/>
              </w:rPr>
              <w:t>质保期限</w:t>
            </w:r>
          </w:p>
        </w:tc>
        <w:tc>
          <w:tcPr>
            <w:tcW w:w="4110" w:type="dxa"/>
            <w:gridSpan w:val="3"/>
            <w:tcBorders>
              <w:top w:val="single" w:color="auto" w:sz="4" w:space="0"/>
              <w:left w:val="single" w:color="auto" w:sz="4" w:space="0"/>
              <w:bottom w:val="single" w:color="auto" w:sz="4" w:space="0"/>
              <w:right w:val="single" w:color="auto" w:sz="4" w:space="0"/>
            </w:tcBorders>
            <w:noWrap/>
            <w:vAlign w:val="center"/>
          </w:tcPr>
          <w:p w14:paraId="7B9B78B6">
            <w:pPr>
              <w:spacing w:line="0" w:lineRule="atLeast"/>
              <w:jc w:val="center"/>
              <w:rPr>
                <w:rFonts w:ascii="宋体" w:hAnsi="宋体"/>
                <w:color w:val="000000"/>
                <w:szCs w:val="21"/>
              </w:rPr>
            </w:pPr>
          </w:p>
        </w:tc>
      </w:tr>
    </w:tbl>
    <w:p w14:paraId="46BB3E6B">
      <w:pPr>
        <w:spacing w:line="560" w:lineRule="exact"/>
        <w:rPr>
          <w:rFonts w:ascii="宋体" w:hAnsi="宋体"/>
          <w:color w:val="000000"/>
          <w:sz w:val="24"/>
        </w:rPr>
      </w:pPr>
    </w:p>
    <w:p w14:paraId="26F33156">
      <w:pPr>
        <w:spacing w:line="560" w:lineRule="exact"/>
        <w:ind w:firstLine="480" w:firstLineChars="200"/>
        <w:rPr>
          <w:rFonts w:ascii="宋体" w:hAnsi="宋体"/>
          <w:color w:val="000000"/>
          <w:sz w:val="24"/>
        </w:rPr>
      </w:pPr>
      <w:r>
        <w:rPr>
          <w:rFonts w:hint="eastAsia" w:ascii="宋体" w:hAnsi="宋体"/>
          <w:color w:val="000000"/>
          <w:sz w:val="24"/>
        </w:rPr>
        <w:t>投标人全称：（盖章或签字）</w:t>
      </w:r>
    </w:p>
    <w:p w14:paraId="6DF60173">
      <w:pPr>
        <w:spacing w:line="560" w:lineRule="exact"/>
        <w:ind w:firstLine="480" w:firstLineChars="200"/>
        <w:rPr>
          <w:rFonts w:ascii="宋体" w:hAnsi="宋体"/>
          <w:color w:val="000000"/>
          <w:sz w:val="24"/>
        </w:rPr>
      </w:pPr>
      <w:r>
        <w:rPr>
          <w:rFonts w:hint="eastAsia" w:ascii="宋体" w:hAnsi="宋体"/>
          <w:color w:val="000000"/>
          <w:sz w:val="24"/>
        </w:rPr>
        <w:t>授权代表签字：</w:t>
      </w:r>
    </w:p>
    <w:p w14:paraId="257CB381">
      <w:pPr>
        <w:spacing w:line="560" w:lineRule="exact"/>
        <w:ind w:firstLine="480" w:firstLineChars="200"/>
        <w:rPr>
          <w:rFonts w:ascii="宋体" w:hAnsi="宋体"/>
          <w:color w:val="000000"/>
          <w:sz w:val="24"/>
        </w:rPr>
      </w:pPr>
      <w:r>
        <w:rPr>
          <w:rFonts w:hint="eastAsia" w:ascii="宋体" w:hAnsi="宋体"/>
          <w:color w:val="000000"/>
          <w:sz w:val="24"/>
        </w:rPr>
        <w:t>日  期：</w:t>
      </w:r>
    </w:p>
    <w:p w14:paraId="44188AAA">
      <w:pPr>
        <w:spacing w:line="480" w:lineRule="exact"/>
        <w:ind w:firstLine="480" w:firstLineChars="200"/>
        <w:rPr>
          <w:rFonts w:ascii="宋体" w:hAnsi="宋体"/>
          <w:color w:val="000000"/>
          <w:sz w:val="24"/>
        </w:rPr>
      </w:pPr>
      <w:r>
        <w:rPr>
          <w:rFonts w:hint="eastAsia" w:ascii="宋体" w:hAnsi="宋体"/>
          <w:color w:val="000000"/>
          <w:sz w:val="24"/>
        </w:rPr>
        <w:t>说明：1、综合报价包括货物出厂价、辅配件费、运输费、包装费、运输损耗、上车费、安装费、劳务费、抽检费、卸货费、质保期费用、保险、利润、税金及所有风险、责任等各项应有费用。</w:t>
      </w:r>
    </w:p>
    <w:p w14:paraId="1E53AF1E">
      <w:pPr>
        <w:spacing w:line="480" w:lineRule="exact"/>
        <w:ind w:firstLine="480" w:firstLineChars="200"/>
        <w:rPr>
          <w:rFonts w:ascii="宋体" w:hAnsi="宋体"/>
          <w:color w:val="000000"/>
          <w:sz w:val="24"/>
        </w:rPr>
      </w:pPr>
      <w:r>
        <w:rPr>
          <w:rFonts w:hint="eastAsia" w:ascii="宋体" w:hAnsi="宋体"/>
          <w:color w:val="000000"/>
          <w:sz w:val="24"/>
        </w:rPr>
        <w:t>2、此表一式两份，按招标文件要求封装，装入正本袋中；</w:t>
      </w:r>
    </w:p>
    <w:p w14:paraId="54276D4D">
      <w:pPr>
        <w:spacing w:line="480" w:lineRule="exact"/>
        <w:ind w:firstLine="480" w:firstLineChars="200"/>
        <w:rPr>
          <w:rFonts w:ascii="宋体" w:hAnsi="宋体"/>
          <w:color w:val="000000"/>
          <w:sz w:val="24"/>
        </w:rPr>
      </w:pPr>
      <w:r>
        <w:rPr>
          <w:rFonts w:hint="eastAsia" w:ascii="宋体" w:hAnsi="宋体"/>
          <w:color w:val="000000"/>
          <w:sz w:val="24"/>
        </w:rPr>
        <w:t>3、投标单位报价不得高于最高限价。</w:t>
      </w:r>
    </w:p>
    <w:p w14:paraId="03639642">
      <w:pPr>
        <w:spacing w:line="480" w:lineRule="exact"/>
        <w:ind w:firstLine="480" w:firstLineChars="200"/>
        <w:rPr>
          <w:rFonts w:eastAsia="仿宋_GB2312"/>
          <w:color w:val="000000"/>
        </w:rPr>
      </w:pPr>
      <w:r>
        <w:rPr>
          <w:rFonts w:hint="eastAsia" w:ascii="宋体" w:hAnsi="宋体"/>
          <w:color w:val="000000"/>
          <w:sz w:val="24"/>
        </w:rPr>
        <w:t>4、以上报价包含13%增值税，为送达买方指定地点的落地价；</w:t>
      </w:r>
    </w:p>
    <w:p w14:paraId="65107391">
      <w:pPr>
        <w:spacing w:line="560" w:lineRule="exact"/>
        <w:ind w:firstLine="480" w:firstLineChars="200"/>
        <w:rPr>
          <w:rFonts w:ascii="宋体" w:hAnsi="宋体"/>
          <w:color w:val="000000"/>
          <w:sz w:val="24"/>
        </w:rPr>
      </w:pPr>
      <w:r>
        <w:rPr>
          <w:rFonts w:hint="eastAsia" w:ascii="宋体" w:hAnsi="宋体"/>
          <w:color w:val="000000"/>
          <w:sz w:val="24"/>
        </w:rPr>
        <w:t>5、如因投标人填写有误，导致无法唱标，责任由投标人自负。</w:t>
      </w:r>
    </w:p>
    <w:p w14:paraId="6D611938">
      <w:pPr>
        <w:rPr>
          <w:rFonts w:ascii="宋体" w:hAnsi="宋体"/>
          <w:color w:val="000000"/>
          <w:sz w:val="24"/>
        </w:rPr>
      </w:pPr>
      <w:r>
        <w:rPr>
          <w:rFonts w:hint="eastAsia" w:ascii="宋体" w:hAnsi="宋体"/>
          <w:color w:val="000000"/>
          <w:sz w:val="24"/>
        </w:rPr>
        <w:br w:type="page"/>
      </w:r>
    </w:p>
    <w:p w14:paraId="57258E94">
      <w:pPr>
        <w:pStyle w:val="3"/>
        <w:rPr>
          <w:color w:val="000000"/>
        </w:rPr>
      </w:pPr>
    </w:p>
    <w:p w14:paraId="38DF984A">
      <w:pPr>
        <w:spacing w:line="560" w:lineRule="exact"/>
        <w:jc w:val="center"/>
        <w:rPr>
          <w:rFonts w:ascii="楷体_GB2312" w:eastAsia="楷体_GB2312"/>
          <w:b/>
          <w:color w:val="000000"/>
          <w:sz w:val="44"/>
        </w:rPr>
      </w:pPr>
      <w:r>
        <w:rPr>
          <w:rFonts w:hint="eastAsia" w:ascii="楷体_GB2312" w:eastAsia="楷体_GB2312"/>
          <w:b/>
          <w:color w:val="000000"/>
          <w:sz w:val="44"/>
        </w:rPr>
        <w:t>二、投标人资格证明文件</w:t>
      </w:r>
    </w:p>
    <w:p w14:paraId="4FB16A84">
      <w:pPr>
        <w:spacing w:line="560" w:lineRule="exact"/>
        <w:jc w:val="center"/>
        <w:rPr>
          <w:rFonts w:ascii="楷体_GB2312" w:eastAsia="楷体_GB2312"/>
          <w:color w:val="000000"/>
          <w:sz w:val="24"/>
        </w:rPr>
      </w:pPr>
      <w:r>
        <w:rPr>
          <w:rFonts w:hint="eastAsia" w:ascii="黑体" w:eastAsia="黑体"/>
          <w:color w:val="000000"/>
          <w:sz w:val="36"/>
        </w:rPr>
        <w:t>1.投标人概况</w:t>
      </w:r>
    </w:p>
    <w:p w14:paraId="4558C0B9">
      <w:pPr>
        <w:spacing w:line="560" w:lineRule="exact"/>
        <w:rPr>
          <w:rFonts w:ascii="宋体" w:hAnsi="宋体"/>
          <w:color w:val="000000"/>
        </w:rPr>
      </w:pPr>
      <w:r>
        <w:rPr>
          <w:rFonts w:hint="eastAsia" w:ascii="宋体" w:hAnsi="宋体"/>
          <w:color w:val="000000"/>
        </w:rPr>
        <w:t>（注：投标人简要历史、生产的主要产品或经营业务范围；组织机构、所属集（财）团等）</w:t>
      </w:r>
    </w:p>
    <w:p w14:paraId="100B8A1F">
      <w:pPr>
        <w:spacing w:line="560" w:lineRule="exact"/>
        <w:rPr>
          <w:rFonts w:ascii="楷体_GB2312" w:eastAsia="楷体_GB2312"/>
          <w:color w:val="000000"/>
          <w:sz w:val="24"/>
        </w:rPr>
      </w:pPr>
    </w:p>
    <w:p w14:paraId="4611A89C">
      <w:pPr>
        <w:spacing w:line="560" w:lineRule="exact"/>
        <w:jc w:val="center"/>
        <w:rPr>
          <w:rFonts w:ascii="黑体" w:eastAsia="黑体"/>
          <w:color w:val="000000"/>
          <w:sz w:val="36"/>
        </w:rPr>
      </w:pPr>
      <w:r>
        <w:rPr>
          <w:rFonts w:hint="eastAsia" w:ascii="黑体" w:eastAsia="黑体"/>
          <w:color w:val="000000"/>
          <w:sz w:val="36"/>
        </w:rPr>
        <w:t>2.投标人技术能力</w:t>
      </w:r>
    </w:p>
    <w:p w14:paraId="08F25FE6">
      <w:pPr>
        <w:spacing w:line="560" w:lineRule="exact"/>
        <w:jc w:val="center"/>
        <w:rPr>
          <w:rFonts w:ascii="宋体" w:hAnsi="宋体"/>
          <w:color w:val="000000"/>
        </w:rPr>
      </w:pPr>
      <w:r>
        <w:rPr>
          <w:rFonts w:hint="eastAsia" w:ascii="宋体" w:hAnsi="宋体"/>
          <w:color w:val="000000"/>
        </w:rPr>
        <w:t>（注：简要介绍投标人的生产水平、技术力量、装备水平及生产能力等）</w:t>
      </w:r>
    </w:p>
    <w:p w14:paraId="05A4373B">
      <w:pPr>
        <w:spacing w:line="560" w:lineRule="exact"/>
        <w:rPr>
          <w:rFonts w:ascii="楷体_GB2312" w:eastAsia="楷体_GB2312"/>
          <w:color w:val="000000"/>
          <w:sz w:val="24"/>
        </w:rPr>
      </w:pPr>
    </w:p>
    <w:p w14:paraId="12EC1422">
      <w:pPr>
        <w:spacing w:line="560" w:lineRule="exact"/>
        <w:rPr>
          <w:rFonts w:ascii="楷体_GB2312" w:eastAsia="楷体_GB2312"/>
          <w:color w:val="000000"/>
          <w:sz w:val="24"/>
        </w:rPr>
      </w:pPr>
    </w:p>
    <w:p w14:paraId="067CDBB6">
      <w:pPr>
        <w:spacing w:line="560" w:lineRule="exact"/>
        <w:jc w:val="center"/>
        <w:rPr>
          <w:rFonts w:ascii="黑体" w:eastAsia="黑体"/>
          <w:color w:val="000000"/>
          <w:sz w:val="36"/>
        </w:rPr>
      </w:pPr>
      <w:r>
        <w:rPr>
          <w:rFonts w:hint="eastAsia" w:ascii="黑体" w:eastAsia="黑体"/>
          <w:color w:val="000000"/>
          <w:sz w:val="36"/>
        </w:rPr>
        <w:t>3.投标人及制造商财务状况</w:t>
      </w:r>
    </w:p>
    <w:p w14:paraId="415C1B04">
      <w:pPr>
        <w:spacing w:line="400" w:lineRule="exact"/>
        <w:rPr>
          <w:rFonts w:ascii="宋体" w:hAnsi="宋体"/>
          <w:color w:val="000000"/>
        </w:rPr>
      </w:pPr>
      <w:r>
        <w:rPr>
          <w:rFonts w:hint="eastAsia" w:ascii="宋体" w:hAnsi="宋体"/>
          <w:color w:val="000000"/>
        </w:rPr>
        <w:t>（注：请提供开户行名称及由其开具的资信证明；固定资产原值、净值、流动资金、最近三年年产值、销售额或贸易额和利润额）</w:t>
      </w:r>
    </w:p>
    <w:p w14:paraId="49A7B0EB">
      <w:pPr>
        <w:spacing w:line="400" w:lineRule="exact"/>
        <w:rPr>
          <w:rFonts w:ascii="宋体" w:hAnsi="宋体"/>
          <w:color w:val="000000"/>
        </w:rPr>
      </w:pPr>
    </w:p>
    <w:p w14:paraId="4975DA7F">
      <w:pPr>
        <w:spacing w:line="400" w:lineRule="exact"/>
        <w:rPr>
          <w:rFonts w:ascii="宋体" w:hAnsi="宋体"/>
          <w:color w:val="000000"/>
        </w:rPr>
      </w:pPr>
    </w:p>
    <w:p w14:paraId="173100D1">
      <w:pPr>
        <w:spacing w:line="560" w:lineRule="exact"/>
        <w:jc w:val="center"/>
        <w:rPr>
          <w:rFonts w:ascii="黑体" w:eastAsia="黑体"/>
          <w:color w:val="000000"/>
          <w:sz w:val="36"/>
        </w:rPr>
      </w:pPr>
      <w:r>
        <w:rPr>
          <w:rFonts w:hint="eastAsia" w:ascii="黑体" w:eastAsia="黑体"/>
          <w:color w:val="000000"/>
          <w:sz w:val="36"/>
        </w:rPr>
        <w:t>4.营业执照副本</w:t>
      </w:r>
    </w:p>
    <w:p w14:paraId="2FD3C38C">
      <w:pPr>
        <w:spacing w:line="560" w:lineRule="exact"/>
        <w:rPr>
          <w:rFonts w:ascii="楷体_GB2312" w:eastAsia="楷体_GB2312"/>
          <w:color w:val="000000"/>
          <w:sz w:val="24"/>
        </w:rPr>
      </w:pPr>
    </w:p>
    <w:p w14:paraId="1546CC6F">
      <w:pPr>
        <w:spacing w:line="560" w:lineRule="exact"/>
        <w:jc w:val="center"/>
        <w:rPr>
          <w:rFonts w:ascii="黑体" w:eastAsia="黑体"/>
          <w:color w:val="000000"/>
          <w:sz w:val="36"/>
        </w:rPr>
      </w:pPr>
    </w:p>
    <w:p w14:paraId="2827EDE1">
      <w:pPr>
        <w:spacing w:line="560" w:lineRule="exact"/>
        <w:jc w:val="center"/>
        <w:rPr>
          <w:rFonts w:ascii="黑体" w:eastAsia="黑体"/>
          <w:color w:val="000000"/>
          <w:sz w:val="36"/>
        </w:rPr>
      </w:pPr>
    </w:p>
    <w:p w14:paraId="5172C285">
      <w:pPr>
        <w:spacing w:line="560" w:lineRule="exact"/>
        <w:jc w:val="center"/>
        <w:rPr>
          <w:rFonts w:ascii="黑体" w:eastAsia="黑体"/>
          <w:color w:val="000000"/>
          <w:sz w:val="36"/>
        </w:rPr>
      </w:pPr>
    </w:p>
    <w:p w14:paraId="56870A04">
      <w:pPr>
        <w:spacing w:line="560" w:lineRule="exact"/>
        <w:jc w:val="center"/>
        <w:rPr>
          <w:rFonts w:ascii="黑体" w:eastAsia="黑体"/>
          <w:color w:val="000000"/>
          <w:sz w:val="36"/>
        </w:rPr>
      </w:pPr>
    </w:p>
    <w:p w14:paraId="39A68E23">
      <w:pPr>
        <w:spacing w:line="560" w:lineRule="exact"/>
        <w:jc w:val="center"/>
        <w:rPr>
          <w:rFonts w:ascii="黑体" w:eastAsia="黑体"/>
          <w:color w:val="000000"/>
          <w:sz w:val="36"/>
        </w:rPr>
      </w:pPr>
    </w:p>
    <w:p w14:paraId="2DA6B3A8">
      <w:pPr>
        <w:spacing w:line="560" w:lineRule="exact"/>
        <w:jc w:val="center"/>
        <w:rPr>
          <w:rFonts w:ascii="黑体" w:eastAsia="黑体"/>
          <w:color w:val="000000"/>
          <w:sz w:val="36"/>
        </w:rPr>
      </w:pPr>
    </w:p>
    <w:p w14:paraId="158C1DE0">
      <w:pPr>
        <w:spacing w:line="560" w:lineRule="exact"/>
        <w:jc w:val="center"/>
        <w:rPr>
          <w:rFonts w:ascii="黑体" w:eastAsia="黑体"/>
          <w:color w:val="000000"/>
          <w:sz w:val="36"/>
        </w:rPr>
      </w:pPr>
    </w:p>
    <w:p w14:paraId="25998429">
      <w:pPr>
        <w:spacing w:line="560" w:lineRule="exact"/>
        <w:jc w:val="center"/>
        <w:rPr>
          <w:rFonts w:ascii="黑体" w:eastAsia="黑体"/>
          <w:color w:val="000000"/>
          <w:sz w:val="36"/>
        </w:rPr>
      </w:pPr>
    </w:p>
    <w:p w14:paraId="2D9F355F">
      <w:pPr>
        <w:spacing w:line="560" w:lineRule="exact"/>
        <w:jc w:val="center"/>
        <w:rPr>
          <w:rFonts w:ascii="黑体" w:eastAsia="黑体"/>
          <w:color w:val="000000"/>
          <w:sz w:val="36"/>
        </w:rPr>
      </w:pPr>
    </w:p>
    <w:p w14:paraId="1B7B6B9F">
      <w:pPr>
        <w:spacing w:line="560" w:lineRule="exact"/>
        <w:jc w:val="center"/>
        <w:rPr>
          <w:rFonts w:ascii="黑体" w:eastAsia="黑体"/>
          <w:color w:val="000000"/>
          <w:sz w:val="36"/>
        </w:rPr>
      </w:pPr>
    </w:p>
    <w:p w14:paraId="2C6CA24D">
      <w:pPr>
        <w:spacing w:line="560" w:lineRule="exact"/>
        <w:jc w:val="center"/>
        <w:rPr>
          <w:rFonts w:ascii="黑体" w:eastAsia="黑体"/>
          <w:color w:val="000000"/>
          <w:sz w:val="36"/>
        </w:rPr>
      </w:pPr>
    </w:p>
    <w:p w14:paraId="1CE3AD9D">
      <w:pPr>
        <w:spacing w:line="560" w:lineRule="exact"/>
        <w:jc w:val="center"/>
        <w:rPr>
          <w:rFonts w:ascii="黑体" w:eastAsia="黑体"/>
          <w:color w:val="000000"/>
          <w:sz w:val="36"/>
        </w:rPr>
      </w:pPr>
      <w:r>
        <w:rPr>
          <w:rFonts w:hint="eastAsia" w:ascii="黑体" w:eastAsia="黑体"/>
          <w:color w:val="000000"/>
          <w:sz w:val="36"/>
        </w:rPr>
        <w:t>5.授权委托书(如有)</w:t>
      </w:r>
    </w:p>
    <w:p w14:paraId="24371652">
      <w:pPr>
        <w:spacing w:line="560" w:lineRule="exact"/>
        <w:rPr>
          <w:rFonts w:ascii="楷体_GB2312" w:eastAsia="楷体_GB2312"/>
          <w:color w:val="000000"/>
          <w:sz w:val="24"/>
        </w:rPr>
      </w:pPr>
    </w:p>
    <w:p w14:paraId="0B800CC0">
      <w:pPr>
        <w:spacing w:after="240" w:line="360" w:lineRule="auto"/>
        <w:jc w:val="center"/>
        <w:rPr>
          <w:rFonts w:ascii="宋体" w:hAnsi="宋体"/>
          <w:b/>
          <w:color w:val="000000"/>
          <w:sz w:val="32"/>
        </w:rPr>
      </w:pPr>
      <w:r>
        <w:rPr>
          <w:rFonts w:hint="eastAsia" w:ascii="宋体" w:hAnsi="宋体"/>
          <w:b/>
          <w:color w:val="000000"/>
          <w:sz w:val="32"/>
        </w:rPr>
        <w:t>授 权 委 托 书</w:t>
      </w:r>
    </w:p>
    <w:p w14:paraId="6C68D330">
      <w:pPr>
        <w:topLinePunct/>
        <w:spacing w:line="360" w:lineRule="auto"/>
        <w:ind w:firstLine="480" w:firstLineChars="200"/>
        <w:rPr>
          <w:color w:val="000000"/>
          <w:sz w:val="24"/>
          <w:u w:val="single"/>
        </w:rPr>
      </w:pPr>
      <w:r>
        <w:rPr>
          <w:rFonts w:hint="eastAsia"/>
          <w:color w:val="000000"/>
          <w:sz w:val="24"/>
        </w:rPr>
        <w:t>本人（姓名）系（投标人名称）的法定代表人，现委托</w:t>
      </w:r>
    </w:p>
    <w:p w14:paraId="0025BFFA">
      <w:pPr>
        <w:topLinePunct/>
        <w:spacing w:line="360" w:lineRule="auto"/>
        <w:rPr>
          <w:color w:val="000000"/>
          <w:sz w:val="24"/>
        </w:rPr>
      </w:pPr>
      <w:r>
        <w:rPr>
          <w:rFonts w:hint="eastAsia"/>
          <w:color w:val="000000"/>
          <w:sz w:val="24"/>
        </w:rPr>
        <w:t>（姓名）为我方代理人。代理人根据授权，以我方名义签署、澄清、说明、补正、递交、撤回、修改</w:t>
      </w:r>
      <w:r>
        <w:rPr>
          <w:rFonts w:hint="eastAsia" w:ascii="宋体" w:hAnsi="宋体"/>
          <w:color w:val="000000"/>
          <w:sz w:val="24"/>
        </w:rPr>
        <w:t>项目（项目名称）</w:t>
      </w:r>
      <w:r>
        <w:rPr>
          <w:rFonts w:hint="eastAsia"/>
          <w:color w:val="000000"/>
          <w:sz w:val="24"/>
        </w:rPr>
        <w:t>投标文件、签订合同和处理有关事宜，其法律后果由我方承担。</w:t>
      </w:r>
    </w:p>
    <w:p w14:paraId="2941E257">
      <w:pPr>
        <w:spacing w:line="360" w:lineRule="auto"/>
        <w:rPr>
          <w:color w:val="000000"/>
          <w:sz w:val="24"/>
        </w:rPr>
      </w:pPr>
      <w:r>
        <w:rPr>
          <w:rFonts w:hint="eastAsia"/>
          <w:color w:val="000000"/>
          <w:sz w:val="24"/>
        </w:rPr>
        <w:t>代理人无转委托权。</w:t>
      </w:r>
    </w:p>
    <w:p w14:paraId="2D5242FE">
      <w:pPr>
        <w:spacing w:line="360" w:lineRule="auto"/>
        <w:rPr>
          <w:color w:val="000000"/>
          <w:sz w:val="24"/>
        </w:rPr>
      </w:pPr>
    </w:p>
    <w:p w14:paraId="63CB7B4E">
      <w:pPr>
        <w:spacing w:line="440" w:lineRule="exact"/>
        <w:rPr>
          <w:color w:val="000000"/>
          <w:sz w:val="24"/>
        </w:rPr>
      </w:pPr>
      <w:r>
        <w:rPr>
          <w:rFonts w:hint="eastAsia"/>
          <w:color w:val="000000"/>
          <w:sz w:val="24"/>
        </w:rPr>
        <w:t>投标人：（盖单位章）</w:t>
      </w:r>
    </w:p>
    <w:p w14:paraId="3DEC2086">
      <w:pPr>
        <w:spacing w:line="440" w:lineRule="exact"/>
        <w:rPr>
          <w:color w:val="000000"/>
          <w:sz w:val="24"/>
        </w:rPr>
      </w:pPr>
    </w:p>
    <w:p w14:paraId="5581D54A">
      <w:pPr>
        <w:spacing w:line="440" w:lineRule="exact"/>
        <w:rPr>
          <w:color w:val="000000"/>
          <w:sz w:val="24"/>
        </w:rPr>
      </w:pPr>
      <w:r>
        <w:rPr>
          <w:rFonts w:hint="eastAsia"/>
          <w:color w:val="000000"/>
          <w:sz w:val="24"/>
        </w:rPr>
        <w:t>法定代表人：（签字）</w:t>
      </w:r>
    </w:p>
    <w:p w14:paraId="19B41344">
      <w:pPr>
        <w:spacing w:line="440" w:lineRule="exact"/>
        <w:rPr>
          <w:color w:val="000000"/>
          <w:sz w:val="24"/>
        </w:rPr>
      </w:pPr>
    </w:p>
    <w:p w14:paraId="29FF42BE">
      <w:pPr>
        <w:spacing w:line="440" w:lineRule="exact"/>
        <w:rPr>
          <w:color w:val="000000"/>
          <w:sz w:val="24"/>
        </w:rPr>
      </w:pPr>
      <w:r>
        <w:rPr>
          <w:rFonts w:hint="eastAsia"/>
          <w:color w:val="000000"/>
          <w:sz w:val="24"/>
        </w:rPr>
        <w:t>身份证号码：</w:t>
      </w:r>
    </w:p>
    <w:p w14:paraId="4083B095">
      <w:pPr>
        <w:spacing w:line="440" w:lineRule="exact"/>
        <w:rPr>
          <w:color w:val="000000"/>
          <w:sz w:val="24"/>
        </w:rPr>
      </w:pPr>
    </w:p>
    <w:p w14:paraId="3CDB35A5">
      <w:pPr>
        <w:spacing w:line="440" w:lineRule="exact"/>
        <w:rPr>
          <w:color w:val="000000"/>
          <w:sz w:val="24"/>
        </w:rPr>
      </w:pPr>
      <w:r>
        <w:rPr>
          <w:rFonts w:hint="eastAsia"/>
          <w:color w:val="000000"/>
          <w:sz w:val="24"/>
        </w:rPr>
        <w:t>委托代理人：（签字）</w:t>
      </w:r>
    </w:p>
    <w:p w14:paraId="68F05B79">
      <w:pPr>
        <w:spacing w:line="440" w:lineRule="exact"/>
        <w:rPr>
          <w:color w:val="000000"/>
          <w:sz w:val="24"/>
        </w:rPr>
      </w:pPr>
    </w:p>
    <w:p w14:paraId="37E0C1BA">
      <w:pPr>
        <w:spacing w:line="440" w:lineRule="exact"/>
        <w:rPr>
          <w:color w:val="000000"/>
          <w:sz w:val="24"/>
        </w:rPr>
      </w:pPr>
      <w:r>
        <w:rPr>
          <w:rFonts w:hint="eastAsia"/>
          <w:color w:val="000000"/>
          <w:sz w:val="24"/>
        </w:rPr>
        <w:t>身份证号码：附身份证复印件</w:t>
      </w:r>
    </w:p>
    <w:p w14:paraId="23BE5021">
      <w:pPr>
        <w:spacing w:line="440" w:lineRule="exact"/>
        <w:rPr>
          <w:color w:val="000000"/>
          <w:sz w:val="24"/>
        </w:rPr>
      </w:pPr>
    </w:p>
    <w:p w14:paraId="6EE78011">
      <w:pPr>
        <w:spacing w:line="440" w:lineRule="exact"/>
        <w:rPr>
          <w:color w:val="000000"/>
          <w:sz w:val="24"/>
        </w:rPr>
      </w:pPr>
    </w:p>
    <w:p w14:paraId="356EE1C7">
      <w:pPr>
        <w:spacing w:line="560" w:lineRule="exact"/>
        <w:rPr>
          <w:rFonts w:ascii="楷体_GB2312" w:eastAsia="楷体_GB2312"/>
          <w:color w:val="000000"/>
          <w:sz w:val="24"/>
        </w:rPr>
      </w:pPr>
      <w:r>
        <w:rPr>
          <w:rFonts w:hint="eastAsia"/>
          <w:color w:val="000000"/>
          <w:sz w:val="24"/>
        </w:rPr>
        <w:t>年月日</w:t>
      </w:r>
    </w:p>
    <w:p w14:paraId="316C47E5">
      <w:pPr>
        <w:spacing w:line="560" w:lineRule="exact"/>
        <w:rPr>
          <w:rFonts w:ascii="楷体_GB2312" w:eastAsia="楷体_GB2312"/>
          <w:color w:val="000000"/>
          <w:sz w:val="24"/>
        </w:rPr>
      </w:pPr>
    </w:p>
    <w:p w14:paraId="035A058A">
      <w:pPr>
        <w:spacing w:line="560" w:lineRule="exact"/>
        <w:rPr>
          <w:rFonts w:ascii="楷体_GB2312" w:eastAsia="楷体_GB2312"/>
          <w:color w:val="000000"/>
          <w:sz w:val="24"/>
        </w:rPr>
      </w:pPr>
    </w:p>
    <w:p w14:paraId="3BBCCCED">
      <w:pPr>
        <w:spacing w:line="560" w:lineRule="exact"/>
        <w:rPr>
          <w:rFonts w:ascii="楷体_GB2312" w:eastAsia="楷体_GB2312"/>
          <w:color w:val="000000"/>
          <w:sz w:val="24"/>
        </w:rPr>
      </w:pPr>
    </w:p>
    <w:p w14:paraId="4C1643FE">
      <w:pPr>
        <w:spacing w:line="560" w:lineRule="exact"/>
        <w:rPr>
          <w:rFonts w:ascii="楷体_GB2312" w:eastAsia="楷体_GB2312"/>
          <w:color w:val="000000"/>
          <w:sz w:val="24"/>
        </w:rPr>
      </w:pPr>
    </w:p>
    <w:p w14:paraId="18E972D8">
      <w:pPr>
        <w:spacing w:line="560" w:lineRule="exact"/>
        <w:rPr>
          <w:rFonts w:ascii="楷体_GB2312" w:eastAsia="楷体_GB2312"/>
          <w:color w:val="000000"/>
          <w:sz w:val="24"/>
        </w:rPr>
      </w:pPr>
    </w:p>
    <w:p w14:paraId="3A757ADD">
      <w:pPr>
        <w:spacing w:line="560" w:lineRule="exact"/>
        <w:rPr>
          <w:rFonts w:ascii="楷体_GB2312" w:eastAsia="楷体_GB2312"/>
          <w:color w:val="000000"/>
          <w:sz w:val="24"/>
        </w:rPr>
      </w:pPr>
    </w:p>
    <w:p w14:paraId="6AFFB50B">
      <w:pPr>
        <w:spacing w:line="720" w:lineRule="exact"/>
        <w:jc w:val="center"/>
        <w:rPr>
          <w:rFonts w:ascii="黑体" w:eastAsia="黑体"/>
          <w:color w:val="000000"/>
          <w:sz w:val="36"/>
        </w:rPr>
      </w:pPr>
    </w:p>
    <w:p w14:paraId="5792106E">
      <w:pPr>
        <w:spacing w:line="720" w:lineRule="exact"/>
        <w:jc w:val="center"/>
        <w:rPr>
          <w:rFonts w:ascii="楷体_GB2312" w:eastAsia="楷体_GB2312"/>
          <w:color w:val="000000"/>
          <w:sz w:val="36"/>
        </w:rPr>
      </w:pPr>
      <w:r>
        <w:rPr>
          <w:rFonts w:hint="eastAsia" w:ascii="黑体" w:eastAsia="黑体"/>
          <w:color w:val="000000"/>
          <w:sz w:val="36"/>
        </w:rPr>
        <w:t>6.制造商授权书格式(如有)</w:t>
      </w:r>
    </w:p>
    <w:p w14:paraId="6EAC9850">
      <w:pPr>
        <w:spacing w:line="720" w:lineRule="exact"/>
        <w:jc w:val="center"/>
        <w:rPr>
          <w:rFonts w:ascii="楷体_GB2312" w:eastAsia="楷体_GB2312"/>
          <w:b/>
          <w:color w:val="000000"/>
          <w:sz w:val="30"/>
        </w:rPr>
      </w:pPr>
      <w:r>
        <w:rPr>
          <w:rFonts w:hint="eastAsia" w:ascii="楷体_GB2312" w:eastAsia="楷体_GB2312"/>
          <w:b/>
          <w:color w:val="000000"/>
          <w:sz w:val="30"/>
        </w:rPr>
        <w:t>制造商授权书</w:t>
      </w:r>
    </w:p>
    <w:p w14:paraId="5EAF97EB">
      <w:pPr>
        <w:spacing w:line="480" w:lineRule="exact"/>
        <w:rPr>
          <w:rFonts w:ascii="楷体_GB2312" w:eastAsia="楷体_GB2312"/>
          <w:color w:val="000000"/>
          <w:sz w:val="24"/>
        </w:rPr>
      </w:pPr>
      <w:r>
        <w:rPr>
          <w:rFonts w:hint="eastAsia" w:ascii="宋体" w:hAnsi="宋体"/>
          <w:color w:val="000000"/>
          <w:spacing w:val="28"/>
          <w:sz w:val="24"/>
        </w:rPr>
        <w:t>江苏长江水务股份有限公司</w:t>
      </w:r>
      <w:r>
        <w:rPr>
          <w:rFonts w:hint="eastAsia" w:ascii="楷体_GB2312" w:eastAsia="楷体_GB2312"/>
          <w:color w:val="000000"/>
          <w:sz w:val="24"/>
        </w:rPr>
        <w:t>：</w:t>
      </w:r>
    </w:p>
    <w:p w14:paraId="1FA085DB">
      <w:pPr>
        <w:spacing w:line="560" w:lineRule="exact"/>
        <w:rPr>
          <w:rFonts w:ascii="宋体" w:hAnsi="宋体"/>
          <w:color w:val="000000"/>
          <w:sz w:val="24"/>
        </w:rPr>
      </w:pPr>
      <w:r>
        <w:rPr>
          <w:rFonts w:hint="eastAsia" w:ascii="宋体" w:hAnsi="宋体"/>
          <w:color w:val="000000"/>
          <w:sz w:val="24"/>
        </w:rPr>
        <w:t xml:space="preserve">    位于</w:t>
      </w:r>
      <w:r>
        <w:rPr>
          <w:rFonts w:hint="eastAsia" w:ascii="宋体" w:hAnsi="宋体"/>
          <w:color w:val="000000"/>
          <w:sz w:val="24"/>
          <w:u w:val="single"/>
        </w:rPr>
        <w:t>（制造厂家地址）</w:t>
      </w:r>
      <w:r>
        <w:rPr>
          <w:rFonts w:hint="eastAsia" w:ascii="宋体" w:hAnsi="宋体"/>
          <w:color w:val="000000"/>
          <w:sz w:val="24"/>
        </w:rPr>
        <w:t>的</w:t>
      </w:r>
      <w:r>
        <w:rPr>
          <w:rFonts w:hint="eastAsia" w:ascii="宋体" w:hAnsi="宋体"/>
          <w:color w:val="000000"/>
          <w:sz w:val="24"/>
          <w:u w:val="single"/>
        </w:rPr>
        <w:t>（制造厂家名称）</w:t>
      </w:r>
      <w:r>
        <w:rPr>
          <w:rFonts w:hint="eastAsia" w:ascii="宋体" w:hAnsi="宋体"/>
          <w:color w:val="000000"/>
          <w:sz w:val="24"/>
        </w:rPr>
        <w:t>是有声望的制造（货物名称和描述）的制造者，在此授权</w:t>
      </w:r>
      <w:r>
        <w:rPr>
          <w:rFonts w:hint="eastAsia" w:ascii="宋体" w:hAnsi="宋体"/>
          <w:color w:val="000000"/>
          <w:sz w:val="24"/>
          <w:u w:val="single"/>
        </w:rPr>
        <w:t>（代理机构名称和地址）</w:t>
      </w:r>
      <w:r>
        <w:rPr>
          <w:rFonts w:hint="eastAsia" w:ascii="宋体" w:hAnsi="宋体"/>
          <w:color w:val="000000"/>
          <w:sz w:val="24"/>
        </w:rPr>
        <w:t>就</w:t>
      </w:r>
      <w:r>
        <w:rPr>
          <w:rFonts w:hint="eastAsia"/>
          <w:color w:val="000000"/>
          <w:sz w:val="24"/>
        </w:rPr>
        <w:t>江苏长江水务股份有限公司</w:t>
      </w:r>
      <w:r>
        <w:rPr>
          <w:rFonts w:hint="eastAsia" w:ascii="宋体" w:hAnsi="宋体"/>
          <w:color w:val="000000"/>
          <w:sz w:val="24"/>
        </w:rPr>
        <w:t>招标用我厂制造的货物递交投标文件，并与买方进行后续合同谈判和签订合同。</w:t>
      </w:r>
    </w:p>
    <w:p w14:paraId="45993BCD">
      <w:pPr>
        <w:spacing w:line="560" w:lineRule="exact"/>
        <w:rPr>
          <w:rFonts w:ascii="宋体" w:hAnsi="宋体"/>
          <w:color w:val="000000"/>
          <w:sz w:val="24"/>
        </w:rPr>
      </w:pPr>
      <w:r>
        <w:rPr>
          <w:rFonts w:hint="eastAsia" w:ascii="宋体" w:hAnsi="宋体"/>
          <w:color w:val="000000"/>
          <w:sz w:val="24"/>
        </w:rPr>
        <w:t xml:space="preserve">    我方在此保证为上述公司响应本次招标而提供的货物按照招标文件合同条款的规定提供全部质量保证。</w:t>
      </w:r>
    </w:p>
    <w:p w14:paraId="39FC327D">
      <w:pPr>
        <w:spacing w:line="560" w:lineRule="exact"/>
        <w:rPr>
          <w:rFonts w:ascii="宋体" w:hAnsi="宋体"/>
          <w:color w:val="000000"/>
          <w:sz w:val="24"/>
        </w:rPr>
      </w:pPr>
    </w:p>
    <w:p w14:paraId="162081A7">
      <w:pPr>
        <w:spacing w:line="560" w:lineRule="exact"/>
        <w:rPr>
          <w:rFonts w:ascii="宋体" w:hAnsi="宋体"/>
          <w:color w:val="000000"/>
          <w:sz w:val="24"/>
        </w:rPr>
      </w:pPr>
    </w:p>
    <w:p w14:paraId="516C5F6D">
      <w:pPr>
        <w:spacing w:line="560" w:lineRule="exact"/>
        <w:rPr>
          <w:rFonts w:ascii="宋体" w:hAnsi="宋体"/>
          <w:color w:val="000000"/>
          <w:sz w:val="24"/>
        </w:rPr>
      </w:pPr>
    </w:p>
    <w:p w14:paraId="1BBDB096">
      <w:pPr>
        <w:spacing w:line="560" w:lineRule="exact"/>
        <w:rPr>
          <w:rFonts w:ascii="宋体" w:hAnsi="宋体"/>
          <w:color w:val="000000"/>
          <w:sz w:val="24"/>
        </w:rPr>
      </w:pPr>
      <w:r>
        <w:rPr>
          <w:rFonts w:hint="eastAsia" w:ascii="宋体" w:hAnsi="宋体"/>
          <w:color w:val="000000"/>
          <w:sz w:val="24"/>
        </w:rPr>
        <w:t xml:space="preserve">                                         制造厂家：</w:t>
      </w:r>
    </w:p>
    <w:p w14:paraId="07C6B347">
      <w:pPr>
        <w:spacing w:line="560" w:lineRule="exact"/>
        <w:rPr>
          <w:rFonts w:ascii="宋体" w:hAnsi="宋体"/>
          <w:color w:val="000000"/>
          <w:sz w:val="24"/>
        </w:rPr>
      </w:pPr>
      <w:r>
        <w:rPr>
          <w:rFonts w:hint="eastAsia" w:ascii="宋体" w:hAnsi="宋体"/>
          <w:color w:val="000000"/>
          <w:sz w:val="24"/>
        </w:rPr>
        <w:t xml:space="preserve">                                     授权代表签字：</w:t>
      </w:r>
    </w:p>
    <w:p w14:paraId="6287CB3C">
      <w:pPr>
        <w:spacing w:line="560" w:lineRule="exact"/>
        <w:rPr>
          <w:rFonts w:ascii="宋体" w:hAnsi="宋体"/>
          <w:color w:val="000000"/>
          <w:sz w:val="24"/>
        </w:rPr>
      </w:pPr>
      <w:r>
        <w:rPr>
          <w:rFonts w:hint="eastAsia" w:ascii="宋体" w:hAnsi="宋体"/>
          <w:color w:val="000000"/>
          <w:sz w:val="24"/>
        </w:rPr>
        <w:t xml:space="preserve">                                             职务：</w:t>
      </w:r>
    </w:p>
    <w:p w14:paraId="44B21599">
      <w:pPr>
        <w:spacing w:line="560" w:lineRule="exact"/>
        <w:rPr>
          <w:rFonts w:ascii="宋体" w:hAnsi="宋体"/>
          <w:color w:val="000000"/>
          <w:sz w:val="24"/>
        </w:rPr>
      </w:pPr>
      <w:r>
        <w:rPr>
          <w:rFonts w:hint="eastAsia" w:ascii="宋体" w:hAnsi="宋体"/>
          <w:color w:val="000000"/>
          <w:sz w:val="24"/>
        </w:rPr>
        <w:t xml:space="preserve">                                             日期：</w:t>
      </w:r>
    </w:p>
    <w:p w14:paraId="7CC99DC6">
      <w:pPr>
        <w:spacing w:line="560" w:lineRule="exact"/>
        <w:rPr>
          <w:rFonts w:ascii="楷体_GB2312" w:eastAsia="楷体_GB2312"/>
          <w:color w:val="000000"/>
          <w:sz w:val="24"/>
        </w:rPr>
      </w:pPr>
    </w:p>
    <w:p w14:paraId="099A4BF0">
      <w:pPr>
        <w:spacing w:line="560" w:lineRule="exact"/>
        <w:rPr>
          <w:rFonts w:ascii="楷体_GB2312" w:eastAsia="楷体_GB2312"/>
          <w:color w:val="000000"/>
          <w:sz w:val="24"/>
        </w:rPr>
      </w:pPr>
    </w:p>
    <w:p w14:paraId="0A6BB45E">
      <w:pPr>
        <w:spacing w:line="560" w:lineRule="exact"/>
        <w:rPr>
          <w:rFonts w:ascii="楷体_GB2312" w:eastAsia="楷体_GB2312"/>
          <w:color w:val="000000"/>
          <w:sz w:val="24"/>
        </w:rPr>
      </w:pPr>
    </w:p>
    <w:p w14:paraId="2130EEBB">
      <w:pPr>
        <w:spacing w:line="560" w:lineRule="exact"/>
        <w:rPr>
          <w:rFonts w:ascii="楷体_GB2312" w:eastAsia="楷体_GB2312"/>
          <w:color w:val="000000"/>
          <w:sz w:val="24"/>
        </w:rPr>
      </w:pPr>
    </w:p>
    <w:p w14:paraId="3B1328B8">
      <w:pPr>
        <w:spacing w:line="560" w:lineRule="exact"/>
        <w:rPr>
          <w:rFonts w:ascii="楷体_GB2312" w:eastAsia="楷体_GB2312"/>
          <w:color w:val="000000"/>
          <w:sz w:val="24"/>
        </w:rPr>
      </w:pPr>
    </w:p>
    <w:p w14:paraId="5B8DFE8F">
      <w:pPr>
        <w:spacing w:line="560" w:lineRule="exact"/>
        <w:rPr>
          <w:rFonts w:ascii="楷体_GB2312" w:eastAsia="楷体_GB2312"/>
          <w:color w:val="000000"/>
          <w:sz w:val="24"/>
        </w:rPr>
      </w:pPr>
    </w:p>
    <w:p w14:paraId="08F827EC">
      <w:pPr>
        <w:spacing w:line="560" w:lineRule="exact"/>
        <w:rPr>
          <w:rFonts w:ascii="楷体_GB2312" w:eastAsia="楷体_GB2312"/>
          <w:color w:val="000000"/>
          <w:sz w:val="24"/>
        </w:rPr>
      </w:pPr>
    </w:p>
    <w:p w14:paraId="512C200D">
      <w:pPr>
        <w:spacing w:line="560" w:lineRule="exact"/>
        <w:rPr>
          <w:rFonts w:ascii="楷体_GB2312" w:eastAsia="楷体_GB2312"/>
          <w:color w:val="000000"/>
          <w:sz w:val="24"/>
        </w:rPr>
      </w:pPr>
    </w:p>
    <w:p w14:paraId="153B3617">
      <w:pPr>
        <w:spacing w:line="560" w:lineRule="exact"/>
        <w:jc w:val="center"/>
        <w:rPr>
          <w:rFonts w:ascii="黑体" w:eastAsia="黑体"/>
          <w:color w:val="000000"/>
          <w:sz w:val="36"/>
        </w:rPr>
      </w:pPr>
      <w:r>
        <w:rPr>
          <w:rFonts w:hint="eastAsia" w:ascii="黑体" w:eastAsia="黑体"/>
          <w:color w:val="000000"/>
          <w:sz w:val="36"/>
        </w:rPr>
        <w:br w:type="page"/>
      </w:r>
      <w:r>
        <w:rPr>
          <w:rFonts w:hint="eastAsia" w:ascii="黑体" w:eastAsia="黑体"/>
          <w:color w:val="000000"/>
          <w:sz w:val="36"/>
        </w:rPr>
        <w:t>7.联合投标协议</w:t>
      </w:r>
    </w:p>
    <w:p w14:paraId="2373B021">
      <w:pPr>
        <w:spacing w:line="560" w:lineRule="exact"/>
        <w:jc w:val="center"/>
        <w:rPr>
          <w:rFonts w:ascii="宋体" w:hAnsi="宋体"/>
          <w:color w:val="000000"/>
          <w:sz w:val="24"/>
        </w:rPr>
      </w:pPr>
      <w:r>
        <w:rPr>
          <w:rFonts w:hint="eastAsia" w:ascii="宋体" w:hAnsi="宋体"/>
          <w:color w:val="000000"/>
          <w:sz w:val="24"/>
        </w:rPr>
        <w:t xml:space="preserve">（如果有的话）                    </w:t>
      </w:r>
    </w:p>
    <w:p w14:paraId="4D0D82F5">
      <w:pPr>
        <w:spacing w:line="560" w:lineRule="exact"/>
        <w:jc w:val="center"/>
        <w:rPr>
          <w:rFonts w:ascii="楷体_GB2312" w:eastAsia="楷体_GB2312"/>
          <w:color w:val="000000"/>
          <w:sz w:val="24"/>
        </w:rPr>
      </w:pPr>
    </w:p>
    <w:p w14:paraId="2CB8B51A">
      <w:pPr>
        <w:spacing w:line="560" w:lineRule="exact"/>
        <w:jc w:val="center"/>
        <w:rPr>
          <w:rFonts w:ascii="楷体_GB2312" w:eastAsia="楷体_GB2312"/>
          <w:color w:val="000000"/>
          <w:sz w:val="24"/>
        </w:rPr>
      </w:pPr>
    </w:p>
    <w:p w14:paraId="269D73A3">
      <w:pPr>
        <w:spacing w:line="560" w:lineRule="exact"/>
        <w:jc w:val="center"/>
        <w:rPr>
          <w:rFonts w:ascii="楷体_GB2312" w:eastAsia="楷体_GB2312"/>
          <w:color w:val="000000"/>
          <w:sz w:val="24"/>
        </w:rPr>
      </w:pPr>
    </w:p>
    <w:p w14:paraId="2393BF63">
      <w:pPr>
        <w:spacing w:line="560" w:lineRule="exact"/>
        <w:jc w:val="center"/>
        <w:rPr>
          <w:rFonts w:ascii="楷体_GB2312" w:eastAsia="楷体_GB2312"/>
          <w:color w:val="000000"/>
          <w:sz w:val="24"/>
        </w:rPr>
      </w:pPr>
    </w:p>
    <w:p w14:paraId="43EB2436">
      <w:pPr>
        <w:spacing w:line="560" w:lineRule="exact"/>
        <w:jc w:val="center"/>
        <w:rPr>
          <w:rFonts w:ascii="楷体_GB2312" w:eastAsia="楷体_GB2312"/>
          <w:color w:val="000000"/>
          <w:sz w:val="24"/>
        </w:rPr>
      </w:pPr>
    </w:p>
    <w:p w14:paraId="5B67C692">
      <w:pPr>
        <w:spacing w:line="560" w:lineRule="exact"/>
        <w:jc w:val="center"/>
        <w:rPr>
          <w:rFonts w:ascii="楷体_GB2312" w:eastAsia="楷体_GB2312"/>
          <w:color w:val="000000"/>
          <w:sz w:val="24"/>
        </w:rPr>
      </w:pPr>
    </w:p>
    <w:p w14:paraId="76305539">
      <w:pPr>
        <w:spacing w:line="560" w:lineRule="exact"/>
        <w:jc w:val="center"/>
        <w:rPr>
          <w:rFonts w:ascii="楷体_GB2312" w:eastAsia="楷体_GB2312"/>
          <w:color w:val="000000"/>
          <w:sz w:val="24"/>
        </w:rPr>
      </w:pPr>
    </w:p>
    <w:p w14:paraId="5C9AC8DA">
      <w:pPr>
        <w:spacing w:line="560" w:lineRule="exact"/>
        <w:jc w:val="center"/>
        <w:rPr>
          <w:rFonts w:ascii="楷体_GB2312" w:eastAsia="楷体_GB2312"/>
          <w:color w:val="000000"/>
          <w:sz w:val="24"/>
        </w:rPr>
      </w:pPr>
    </w:p>
    <w:p w14:paraId="4FC6CB0B">
      <w:pPr>
        <w:spacing w:line="560" w:lineRule="exact"/>
        <w:jc w:val="center"/>
        <w:rPr>
          <w:rFonts w:ascii="楷体_GB2312" w:eastAsia="楷体_GB2312"/>
          <w:color w:val="000000"/>
          <w:sz w:val="24"/>
        </w:rPr>
      </w:pPr>
    </w:p>
    <w:p w14:paraId="4019C290">
      <w:pPr>
        <w:spacing w:line="560" w:lineRule="exact"/>
        <w:jc w:val="center"/>
        <w:rPr>
          <w:rFonts w:ascii="楷体_GB2312" w:eastAsia="楷体_GB2312"/>
          <w:color w:val="000000"/>
          <w:sz w:val="24"/>
        </w:rPr>
      </w:pPr>
    </w:p>
    <w:p w14:paraId="2730739A">
      <w:pPr>
        <w:spacing w:line="560" w:lineRule="exact"/>
        <w:jc w:val="center"/>
        <w:rPr>
          <w:rFonts w:ascii="楷体_GB2312" w:eastAsia="楷体_GB2312"/>
          <w:color w:val="000000"/>
          <w:sz w:val="24"/>
        </w:rPr>
      </w:pPr>
    </w:p>
    <w:p w14:paraId="5CD53635">
      <w:pPr>
        <w:spacing w:line="560" w:lineRule="exact"/>
        <w:jc w:val="center"/>
        <w:rPr>
          <w:rFonts w:ascii="楷体_GB2312" w:eastAsia="楷体_GB2312"/>
          <w:color w:val="000000"/>
          <w:sz w:val="24"/>
        </w:rPr>
      </w:pPr>
    </w:p>
    <w:p w14:paraId="352F822E">
      <w:pPr>
        <w:spacing w:line="560" w:lineRule="exact"/>
        <w:jc w:val="center"/>
        <w:rPr>
          <w:rFonts w:ascii="楷体_GB2312" w:eastAsia="楷体_GB2312"/>
          <w:color w:val="000000"/>
          <w:sz w:val="24"/>
        </w:rPr>
      </w:pPr>
    </w:p>
    <w:p w14:paraId="200D44EE">
      <w:pPr>
        <w:spacing w:line="560" w:lineRule="exact"/>
        <w:jc w:val="center"/>
        <w:rPr>
          <w:rFonts w:ascii="楷体_GB2312" w:eastAsia="楷体_GB2312"/>
          <w:color w:val="000000"/>
          <w:sz w:val="24"/>
        </w:rPr>
      </w:pPr>
    </w:p>
    <w:p w14:paraId="2930CA5F">
      <w:pPr>
        <w:spacing w:line="560" w:lineRule="exact"/>
        <w:jc w:val="center"/>
        <w:rPr>
          <w:rFonts w:ascii="楷体_GB2312" w:eastAsia="楷体_GB2312"/>
          <w:color w:val="000000"/>
          <w:sz w:val="24"/>
        </w:rPr>
      </w:pPr>
    </w:p>
    <w:p w14:paraId="19F5AA45">
      <w:pPr>
        <w:spacing w:line="560" w:lineRule="exact"/>
        <w:jc w:val="center"/>
        <w:rPr>
          <w:rFonts w:ascii="楷体_GB2312" w:eastAsia="楷体_GB2312"/>
          <w:color w:val="000000"/>
          <w:sz w:val="24"/>
        </w:rPr>
      </w:pPr>
    </w:p>
    <w:p w14:paraId="27F6A2DF">
      <w:pPr>
        <w:spacing w:line="560" w:lineRule="exact"/>
        <w:jc w:val="center"/>
        <w:rPr>
          <w:rFonts w:ascii="楷体_GB2312" w:eastAsia="楷体_GB2312"/>
          <w:color w:val="000000"/>
          <w:sz w:val="24"/>
        </w:rPr>
      </w:pPr>
    </w:p>
    <w:p w14:paraId="42F00922">
      <w:pPr>
        <w:spacing w:line="560" w:lineRule="exact"/>
        <w:jc w:val="center"/>
        <w:rPr>
          <w:rFonts w:ascii="楷体_GB2312" w:eastAsia="楷体_GB2312"/>
          <w:color w:val="000000"/>
          <w:sz w:val="24"/>
        </w:rPr>
      </w:pPr>
    </w:p>
    <w:p w14:paraId="53EF7BE5">
      <w:pPr>
        <w:spacing w:line="560" w:lineRule="exact"/>
        <w:jc w:val="center"/>
        <w:rPr>
          <w:rFonts w:ascii="楷体_GB2312" w:eastAsia="楷体_GB2312"/>
          <w:color w:val="000000"/>
          <w:sz w:val="24"/>
        </w:rPr>
      </w:pPr>
    </w:p>
    <w:p w14:paraId="36B873EB">
      <w:pPr>
        <w:spacing w:line="560" w:lineRule="exact"/>
        <w:jc w:val="center"/>
        <w:rPr>
          <w:rFonts w:ascii="楷体_GB2312" w:eastAsia="楷体_GB2312"/>
          <w:color w:val="000000"/>
          <w:sz w:val="24"/>
        </w:rPr>
      </w:pPr>
    </w:p>
    <w:p w14:paraId="2AE2859B">
      <w:pPr>
        <w:spacing w:line="560" w:lineRule="exact"/>
        <w:jc w:val="center"/>
        <w:rPr>
          <w:rFonts w:ascii="楷体_GB2312" w:eastAsia="楷体_GB2312"/>
          <w:color w:val="000000"/>
          <w:sz w:val="24"/>
        </w:rPr>
      </w:pPr>
    </w:p>
    <w:p w14:paraId="679E20D6">
      <w:pPr>
        <w:spacing w:line="560" w:lineRule="exact"/>
        <w:jc w:val="center"/>
        <w:rPr>
          <w:rFonts w:ascii="楷体_GB2312" w:eastAsia="楷体_GB2312"/>
          <w:color w:val="000000"/>
          <w:sz w:val="24"/>
        </w:rPr>
      </w:pPr>
    </w:p>
    <w:p w14:paraId="58FC18D1">
      <w:pPr>
        <w:spacing w:line="560" w:lineRule="exact"/>
        <w:jc w:val="center"/>
        <w:rPr>
          <w:rFonts w:ascii="楷体_GB2312" w:eastAsia="楷体_GB2312"/>
          <w:color w:val="000000"/>
          <w:sz w:val="24"/>
        </w:rPr>
      </w:pPr>
    </w:p>
    <w:p w14:paraId="74DA0314">
      <w:pPr>
        <w:spacing w:line="560" w:lineRule="exact"/>
        <w:rPr>
          <w:rFonts w:ascii="楷体_GB2312" w:eastAsia="楷体_GB2312"/>
          <w:b/>
          <w:color w:val="000000"/>
          <w:sz w:val="36"/>
        </w:rPr>
      </w:pPr>
      <w:r>
        <w:rPr>
          <w:rFonts w:hint="eastAsia" w:ascii="楷体_GB2312" w:eastAsia="楷体_GB2312"/>
          <w:b/>
          <w:color w:val="000000"/>
          <w:sz w:val="36"/>
        </w:rPr>
        <w:t>三、证明货物的合格性和符合招标文件规定的文件</w:t>
      </w:r>
    </w:p>
    <w:p w14:paraId="658AE0E0">
      <w:pPr>
        <w:spacing w:line="560" w:lineRule="exact"/>
        <w:rPr>
          <w:rFonts w:ascii="楷体_GB2312" w:eastAsia="楷体_GB2312"/>
          <w:color w:val="000000"/>
          <w:sz w:val="24"/>
        </w:rPr>
      </w:pPr>
    </w:p>
    <w:p w14:paraId="067E8B49">
      <w:pPr>
        <w:numPr>
          <w:ilvl w:val="0"/>
          <w:numId w:val="18"/>
        </w:numPr>
        <w:spacing w:line="560" w:lineRule="exact"/>
        <w:jc w:val="center"/>
        <w:rPr>
          <w:rFonts w:ascii="黑体" w:eastAsia="黑体"/>
          <w:color w:val="000000"/>
          <w:sz w:val="36"/>
        </w:rPr>
      </w:pPr>
      <w:r>
        <w:rPr>
          <w:rFonts w:hint="eastAsia" w:ascii="黑体" w:eastAsia="黑体"/>
          <w:color w:val="000000"/>
          <w:sz w:val="36"/>
        </w:rPr>
        <w:t>质量保证书</w:t>
      </w:r>
    </w:p>
    <w:p w14:paraId="1F8A7282">
      <w:pPr>
        <w:spacing w:line="560" w:lineRule="exact"/>
        <w:rPr>
          <w:rFonts w:ascii="楷体_GB2312" w:eastAsia="楷体_GB2312"/>
          <w:color w:val="000000"/>
          <w:sz w:val="24"/>
        </w:rPr>
      </w:pPr>
    </w:p>
    <w:p w14:paraId="10038C7E">
      <w:pPr>
        <w:numPr>
          <w:ilvl w:val="0"/>
          <w:numId w:val="18"/>
        </w:numPr>
        <w:spacing w:line="560" w:lineRule="exact"/>
        <w:jc w:val="center"/>
        <w:rPr>
          <w:rFonts w:ascii="黑体" w:eastAsia="黑体"/>
          <w:color w:val="000000"/>
          <w:sz w:val="36"/>
        </w:rPr>
      </w:pPr>
      <w:r>
        <w:rPr>
          <w:rFonts w:hint="eastAsia" w:ascii="黑体" w:eastAsia="黑体"/>
          <w:color w:val="000000"/>
          <w:sz w:val="36"/>
        </w:rPr>
        <w:t>有关部门的检测报告</w:t>
      </w:r>
    </w:p>
    <w:p w14:paraId="169E2B03">
      <w:pPr>
        <w:spacing w:line="560" w:lineRule="exact"/>
        <w:jc w:val="center"/>
        <w:rPr>
          <w:rFonts w:ascii="黑体" w:eastAsia="黑体"/>
          <w:color w:val="000000"/>
          <w:sz w:val="36"/>
        </w:rPr>
      </w:pPr>
    </w:p>
    <w:p w14:paraId="3E6D39DD">
      <w:pPr>
        <w:spacing w:line="560" w:lineRule="exact"/>
        <w:ind w:firstLine="3060" w:firstLineChars="850"/>
        <w:rPr>
          <w:rFonts w:ascii="黑体" w:eastAsia="黑体"/>
          <w:color w:val="000000"/>
          <w:sz w:val="36"/>
        </w:rPr>
      </w:pPr>
      <w:r>
        <w:rPr>
          <w:rFonts w:hint="eastAsia" w:ascii="黑体" w:eastAsia="黑体"/>
          <w:color w:val="000000"/>
          <w:sz w:val="36"/>
        </w:rPr>
        <w:t>3．生产资质证书</w:t>
      </w:r>
      <w:r>
        <w:rPr>
          <w:rFonts w:hint="eastAsia" w:ascii="黑体" w:eastAsia="黑体"/>
          <w:color w:val="000000"/>
          <w:sz w:val="36"/>
        </w:rPr>
        <w:br w:type="page"/>
      </w:r>
      <w:r>
        <w:rPr>
          <w:rFonts w:hint="eastAsia" w:ascii="黑体" w:eastAsia="黑体"/>
          <w:color w:val="000000"/>
          <w:sz w:val="36"/>
        </w:rPr>
        <w:t xml:space="preserve"> 4.投标货物规格响应表格式</w:t>
      </w:r>
    </w:p>
    <w:p w14:paraId="1C5AEB6F">
      <w:pPr>
        <w:spacing w:line="560" w:lineRule="exact"/>
        <w:jc w:val="center"/>
        <w:rPr>
          <w:rFonts w:ascii="宋体" w:hAnsi="宋体"/>
          <w:color w:val="000000"/>
          <w:sz w:val="24"/>
        </w:rPr>
      </w:pPr>
      <w:r>
        <w:rPr>
          <w:rFonts w:hint="eastAsia" w:ascii="宋体" w:hAnsi="宋体"/>
          <w:color w:val="000000"/>
          <w:sz w:val="24"/>
        </w:rPr>
        <w:t>投标货物技术规格响应表</w:t>
      </w:r>
    </w:p>
    <w:p w14:paraId="4CCF0F67">
      <w:pPr>
        <w:spacing w:line="560" w:lineRule="exact"/>
        <w:rPr>
          <w:rFonts w:ascii="宋体" w:hAnsi="宋体"/>
          <w:color w:val="000000"/>
          <w:sz w:val="24"/>
          <w:u w:val="single"/>
        </w:rPr>
      </w:pPr>
      <w:r>
        <w:rPr>
          <w:rFonts w:hint="eastAsia" w:ascii="宋体" w:hAnsi="宋体"/>
          <w:color w:val="000000"/>
          <w:sz w:val="24"/>
        </w:rPr>
        <w:t>投标人名称：   招标编号： 标段号：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14:paraId="7F59E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14:paraId="028B1263">
            <w:pPr>
              <w:spacing w:line="560" w:lineRule="exact"/>
              <w:jc w:val="center"/>
              <w:rPr>
                <w:rFonts w:ascii="宋体" w:hAnsi="宋体"/>
                <w:color w:val="000000"/>
                <w:sz w:val="24"/>
              </w:rPr>
            </w:pPr>
            <w:r>
              <w:rPr>
                <w:rFonts w:hint="eastAsia" w:ascii="宋体" w:hAnsi="宋体"/>
                <w:color w:val="000000"/>
                <w:sz w:val="24"/>
              </w:rPr>
              <w:t>序号</w:t>
            </w:r>
          </w:p>
        </w:tc>
        <w:tc>
          <w:tcPr>
            <w:tcW w:w="1890" w:type="dxa"/>
            <w:tcBorders>
              <w:top w:val="single" w:color="auto" w:sz="4" w:space="0"/>
              <w:left w:val="single" w:color="auto" w:sz="4" w:space="0"/>
              <w:bottom w:val="single" w:color="auto" w:sz="4" w:space="0"/>
              <w:right w:val="single" w:color="auto" w:sz="4" w:space="0"/>
            </w:tcBorders>
            <w:noWrap/>
          </w:tcPr>
          <w:p w14:paraId="313D7C9D">
            <w:pPr>
              <w:spacing w:line="560" w:lineRule="exact"/>
              <w:jc w:val="center"/>
              <w:rPr>
                <w:rFonts w:ascii="宋体" w:hAnsi="宋体"/>
                <w:color w:val="000000"/>
                <w:sz w:val="24"/>
              </w:rPr>
            </w:pPr>
            <w:r>
              <w:rPr>
                <w:rFonts w:hint="eastAsia" w:ascii="宋体" w:hAnsi="宋体"/>
                <w:color w:val="000000"/>
                <w:sz w:val="24"/>
              </w:rPr>
              <w:t>标书规格</w:t>
            </w:r>
          </w:p>
        </w:tc>
        <w:tc>
          <w:tcPr>
            <w:tcW w:w="1890" w:type="dxa"/>
            <w:tcBorders>
              <w:top w:val="single" w:color="auto" w:sz="4" w:space="0"/>
              <w:left w:val="single" w:color="auto" w:sz="4" w:space="0"/>
              <w:bottom w:val="single" w:color="auto" w:sz="4" w:space="0"/>
              <w:right w:val="single" w:color="auto" w:sz="4" w:space="0"/>
            </w:tcBorders>
            <w:noWrap/>
          </w:tcPr>
          <w:p w14:paraId="06CEFC60">
            <w:pPr>
              <w:spacing w:line="560" w:lineRule="exact"/>
              <w:jc w:val="center"/>
              <w:rPr>
                <w:rFonts w:ascii="宋体" w:hAnsi="宋体"/>
                <w:color w:val="000000"/>
                <w:sz w:val="24"/>
              </w:rPr>
            </w:pPr>
            <w:r>
              <w:rPr>
                <w:rFonts w:hint="eastAsia" w:ascii="宋体" w:hAnsi="宋体"/>
                <w:color w:val="000000"/>
                <w:sz w:val="24"/>
              </w:rPr>
              <w:t>投标规格</w:t>
            </w:r>
          </w:p>
        </w:tc>
        <w:tc>
          <w:tcPr>
            <w:tcW w:w="1605" w:type="dxa"/>
            <w:tcBorders>
              <w:top w:val="single" w:color="auto" w:sz="4" w:space="0"/>
              <w:left w:val="single" w:color="auto" w:sz="4" w:space="0"/>
              <w:bottom w:val="single" w:color="auto" w:sz="4" w:space="0"/>
              <w:right w:val="single" w:color="auto" w:sz="4" w:space="0"/>
            </w:tcBorders>
            <w:noWrap/>
          </w:tcPr>
          <w:p w14:paraId="6AC4923F">
            <w:pPr>
              <w:spacing w:line="560" w:lineRule="exact"/>
              <w:jc w:val="center"/>
              <w:rPr>
                <w:rFonts w:ascii="宋体" w:hAnsi="宋体"/>
                <w:color w:val="000000"/>
                <w:sz w:val="24"/>
              </w:rPr>
            </w:pPr>
            <w:r>
              <w:rPr>
                <w:rFonts w:hint="eastAsia" w:ascii="宋体" w:hAnsi="宋体"/>
                <w:color w:val="000000"/>
                <w:sz w:val="24"/>
              </w:rPr>
              <w:t>偏离与否</w:t>
            </w:r>
          </w:p>
        </w:tc>
        <w:tc>
          <w:tcPr>
            <w:tcW w:w="2300" w:type="dxa"/>
            <w:tcBorders>
              <w:top w:val="single" w:color="auto" w:sz="4" w:space="0"/>
              <w:left w:val="single" w:color="auto" w:sz="4" w:space="0"/>
              <w:bottom w:val="single" w:color="auto" w:sz="4" w:space="0"/>
              <w:right w:val="single" w:color="auto" w:sz="4" w:space="0"/>
            </w:tcBorders>
            <w:noWrap/>
          </w:tcPr>
          <w:p w14:paraId="5E22E4E5">
            <w:pPr>
              <w:spacing w:line="560" w:lineRule="exact"/>
              <w:jc w:val="center"/>
              <w:rPr>
                <w:rFonts w:ascii="宋体" w:hAnsi="宋体"/>
                <w:color w:val="000000"/>
                <w:sz w:val="24"/>
              </w:rPr>
            </w:pPr>
            <w:r>
              <w:rPr>
                <w:rFonts w:hint="eastAsia" w:ascii="宋体" w:hAnsi="宋体"/>
                <w:color w:val="000000"/>
                <w:sz w:val="24"/>
              </w:rPr>
              <w:t>说 明</w:t>
            </w:r>
          </w:p>
        </w:tc>
      </w:tr>
      <w:tr w14:paraId="5ED9A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14:paraId="3BA5E9C0">
            <w:pPr>
              <w:spacing w:line="560" w:lineRule="exact"/>
              <w:rPr>
                <w:rFonts w:ascii="宋体" w:hAnsi="宋体"/>
                <w:color w:val="000000"/>
                <w:sz w:val="24"/>
              </w:rPr>
            </w:pPr>
          </w:p>
        </w:tc>
        <w:tc>
          <w:tcPr>
            <w:tcW w:w="1890" w:type="dxa"/>
            <w:tcBorders>
              <w:top w:val="single" w:color="auto" w:sz="4" w:space="0"/>
              <w:left w:val="single" w:color="auto" w:sz="4" w:space="0"/>
              <w:bottom w:val="single" w:color="auto" w:sz="4" w:space="0"/>
              <w:right w:val="single" w:color="auto" w:sz="4" w:space="0"/>
            </w:tcBorders>
            <w:noWrap/>
          </w:tcPr>
          <w:p w14:paraId="04317FF9">
            <w:pPr>
              <w:spacing w:line="560" w:lineRule="exact"/>
              <w:rPr>
                <w:rFonts w:ascii="宋体" w:hAnsi="宋体"/>
                <w:color w:val="000000"/>
                <w:sz w:val="24"/>
              </w:rPr>
            </w:pPr>
          </w:p>
        </w:tc>
        <w:tc>
          <w:tcPr>
            <w:tcW w:w="1890" w:type="dxa"/>
            <w:tcBorders>
              <w:top w:val="single" w:color="auto" w:sz="4" w:space="0"/>
              <w:left w:val="single" w:color="auto" w:sz="4" w:space="0"/>
              <w:bottom w:val="single" w:color="auto" w:sz="4" w:space="0"/>
              <w:right w:val="single" w:color="auto" w:sz="4" w:space="0"/>
            </w:tcBorders>
            <w:noWrap/>
          </w:tcPr>
          <w:p w14:paraId="1A866A9B">
            <w:pPr>
              <w:spacing w:line="560" w:lineRule="exact"/>
              <w:rPr>
                <w:rFonts w:ascii="宋体" w:hAnsi="宋体"/>
                <w:color w:val="000000"/>
                <w:sz w:val="24"/>
              </w:rPr>
            </w:pPr>
          </w:p>
        </w:tc>
        <w:tc>
          <w:tcPr>
            <w:tcW w:w="1605" w:type="dxa"/>
            <w:tcBorders>
              <w:top w:val="single" w:color="auto" w:sz="4" w:space="0"/>
              <w:left w:val="single" w:color="auto" w:sz="4" w:space="0"/>
              <w:bottom w:val="single" w:color="auto" w:sz="4" w:space="0"/>
              <w:right w:val="single" w:color="auto" w:sz="4" w:space="0"/>
            </w:tcBorders>
            <w:noWrap/>
          </w:tcPr>
          <w:p w14:paraId="26688534">
            <w:pPr>
              <w:spacing w:line="560" w:lineRule="exact"/>
              <w:rPr>
                <w:rFonts w:ascii="宋体" w:hAnsi="宋体"/>
                <w:color w:val="000000"/>
                <w:sz w:val="24"/>
              </w:rPr>
            </w:pPr>
          </w:p>
          <w:p w14:paraId="3E20CC3B">
            <w:pPr>
              <w:spacing w:line="560" w:lineRule="exact"/>
              <w:rPr>
                <w:rFonts w:ascii="宋体" w:hAnsi="宋体"/>
                <w:color w:val="000000"/>
                <w:sz w:val="24"/>
              </w:rPr>
            </w:pPr>
          </w:p>
          <w:p w14:paraId="48319E5B">
            <w:pPr>
              <w:spacing w:line="560" w:lineRule="exact"/>
              <w:rPr>
                <w:rFonts w:ascii="宋体" w:hAnsi="宋体"/>
                <w:color w:val="000000"/>
                <w:sz w:val="24"/>
              </w:rPr>
            </w:pPr>
          </w:p>
          <w:p w14:paraId="348DA999">
            <w:pPr>
              <w:spacing w:line="560" w:lineRule="exact"/>
              <w:rPr>
                <w:rFonts w:ascii="宋体" w:hAnsi="宋体"/>
                <w:color w:val="000000"/>
                <w:sz w:val="24"/>
              </w:rPr>
            </w:pPr>
          </w:p>
          <w:p w14:paraId="743311D8">
            <w:pPr>
              <w:spacing w:line="560" w:lineRule="exact"/>
              <w:rPr>
                <w:rFonts w:ascii="宋体" w:hAnsi="宋体"/>
                <w:color w:val="000000"/>
                <w:sz w:val="24"/>
              </w:rPr>
            </w:pPr>
          </w:p>
          <w:p w14:paraId="7F1FB85C">
            <w:pPr>
              <w:spacing w:line="560" w:lineRule="exact"/>
              <w:rPr>
                <w:rFonts w:ascii="宋体" w:hAnsi="宋体"/>
                <w:color w:val="000000"/>
                <w:sz w:val="24"/>
              </w:rPr>
            </w:pPr>
          </w:p>
          <w:p w14:paraId="05960A9A">
            <w:pPr>
              <w:spacing w:line="560" w:lineRule="exact"/>
              <w:rPr>
                <w:rFonts w:ascii="宋体" w:hAnsi="宋体"/>
                <w:color w:val="000000"/>
                <w:sz w:val="24"/>
              </w:rPr>
            </w:pPr>
          </w:p>
          <w:p w14:paraId="55D1AE89">
            <w:pPr>
              <w:spacing w:line="560" w:lineRule="exact"/>
              <w:rPr>
                <w:rFonts w:ascii="宋体" w:hAnsi="宋体"/>
                <w:color w:val="000000"/>
                <w:sz w:val="24"/>
              </w:rPr>
            </w:pPr>
          </w:p>
          <w:p w14:paraId="40769CF7">
            <w:pPr>
              <w:spacing w:line="560" w:lineRule="exact"/>
              <w:rPr>
                <w:rFonts w:ascii="宋体" w:hAnsi="宋体"/>
                <w:color w:val="000000"/>
                <w:sz w:val="24"/>
              </w:rPr>
            </w:pPr>
          </w:p>
          <w:p w14:paraId="68DC12C0">
            <w:pPr>
              <w:spacing w:line="560" w:lineRule="exact"/>
              <w:rPr>
                <w:rFonts w:ascii="宋体" w:hAnsi="宋体"/>
                <w:color w:val="000000"/>
                <w:sz w:val="24"/>
              </w:rPr>
            </w:pPr>
          </w:p>
          <w:p w14:paraId="4A27C6CF">
            <w:pPr>
              <w:spacing w:line="560" w:lineRule="exact"/>
              <w:rPr>
                <w:rFonts w:ascii="宋体" w:hAnsi="宋体"/>
                <w:color w:val="000000"/>
                <w:sz w:val="24"/>
              </w:rPr>
            </w:pPr>
          </w:p>
          <w:p w14:paraId="688E65A2">
            <w:pPr>
              <w:spacing w:line="560" w:lineRule="exact"/>
              <w:rPr>
                <w:rFonts w:ascii="宋体" w:hAnsi="宋体"/>
                <w:color w:val="000000"/>
                <w:sz w:val="24"/>
              </w:rPr>
            </w:pPr>
          </w:p>
          <w:p w14:paraId="473F5D1F">
            <w:pPr>
              <w:spacing w:line="560" w:lineRule="exact"/>
              <w:rPr>
                <w:rFonts w:ascii="宋体" w:hAnsi="宋体"/>
                <w:color w:val="000000"/>
                <w:sz w:val="24"/>
              </w:rPr>
            </w:pPr>
          </w:p>
          <w:p w14:paraId="13DBBA2A">
            <w:pPr>
              <w:spacing w:line="560" w:lineRule="exact"/>
              <w:rPr>
                <w:rFonts w:ascii="宋体" w:hAnsi="宋体"/>
                <w:color w:val="000000"/>
                <w:sz w:val="24"/>
              </w:rPr>
            </w:pPr>
          </w:p>
          <w:p w14:paraId="082C84D0">
            <w:pPr>
              <w:spacing w:line="560" w:lineRule="exact"/>
              <w:rPr>
                <w:rFonts w:ascii="宋体" w:hAnsi="宋体"/>
                <w:color w:val="000000"/>
                <w:sz w:val="24"/>
              </w:rPr>
            </w:pPr>
          </w:p>
          <w:p w14:paraId="22EC6905">
            <w:pPr>
              <w:spacing w:line="560" w:lineRule="exact"/>
              <w:rPr>
                <w:rFonts w:ascii="宋体" w:hAnsi="宋体"/>
                <w:color w:val="000000"/>
                <w:sz w:val="24"/>
              </w:rPr>
            </w:pPr>
          </w:p>
          <w:p w14:paraId="083A4712">
            <w:pPr>
              <w:spacing w:line="560" w:lineRule="exact"/>
              <w:rPr>
                <w:rFonts w:ascii="宋体" w:hAnsi="宋体"/>
                <w:color w:val="000000"/>
                <w:sz w:val="24"/>
              </w:rPr>
            </w:pPr>
          </w:p>
        </w:tc>
        <w:tc>
          <w:tcPr>
            <w:tcW w:w="2300" w:type="dxa"/>
            <w:tcBorders>
              <w:top w:val="single" w:color="auto" w:sz="4" w:space="0"/>
              <w:left w:val="single" w:color="auto" w:sz="4" w:space="0"/>
              <w:bottom w:val="single" w:color="auto" w:sz="4" w:space="0"/>
              <w:right w:val="single" w:color="auto" w:sz="4" w:space="0"/>
            </w:tcBorders>
            <w:noWrap/>
          </w:tcPr>
          <w:p w14:paraId="33357D2C">
            <w:pPr>
              <w:widowControl/>
              <w:jc w:val="left"/>
              <w:rPr>
                <w:rFonts w:ascii="宋体" w:hAnsi="宋体"/>
                <w:color w:val="000000"/>
                <w:sz w:val="24"/>
              </w:rPr>
            </w:pPr>
          </w:p>
          <w:p w14:paraId="71D445F1">
            <w:pPr>
              <w:widowControl/>
              <w:jc w:val="left"/>
              <w:rPr>
                <w:rFonts w:ascii="宋体" w:hAnsi="宋体"/>
                <w:color w:val="000000"/>
                <w:sz w:val="24"/>
              </w:rPr>
            </w:pPr>
          </w:p>
          <w:p w14:paraId="5867D1C5">
            <w:pPr>
              <w:widowControl/>
              <w:jc w:val="left"/>
              <w:rPr>
                <w:rFonts w:ascii="宋体" w:hAnsi="宋体"/>
                <w:color w:val="000000"/>
                <w:sz w:val="24"/>
              </w:rPr>
            </w:pPr>
          </w:p>
          <w:p w14:paraId="7A476960">
            <w:pPr>
              <w:widowControl/>
              <w:jc w:val="left"/>
              <w:rPr>
                <w:rFonts w:ascii="宋体" w:hAnsi="宋体"/>
                <w:color w:val="000000"/>
                <w:sz w:val="24"/>
              </w:rPr>
            </w:pPr>
          </w:p>
          <w:p w14:paraId="669887BD">
            <w:pPr>
              <w:widowControl/>
              <w:jc w:val="left"/>
              <w:rPr>
                <w:rFonts w:ascii="宋体" w:hAnsi="宋体"/>
                <w:color w:val="000000"/>
                <w:sz w:val="24"/>
              </w:rPr>
            </w:pPr>
          </w:p>
          <w:p w14:paraId="6C8480C1">
            <w:pPr>
              <w:widowControl/>
              <w:jc w:val="left"/>
              <w:rPr>
                <w:rFonts w:ascii="宋体" w:hAnsi="宋体"/>
                <w:color w:val="000000"/>
                <w:sz w:val="24"/>
              </w:rPr>
            </w:pPr>
          </w:p>
          <w:p w14:paraId="2C2E9A77">
            <w:pPr>
              <w:widowControl/>
              <w:jc w:val="left"/>
              <w:rPr>
                <w:rFonts w:ascii="宋体" w:hAnsi="宋体"/>
                <w:color w:val="000000"/>
                <w:sz w:val="24"/>
              </w:rPr>
            </w:pPr>
          </w:p>
          <w:p w14:paraId="53AE0A12">
            <w:pPr>
              <w:widowControl/>
              <w:jc w:val="left"/>
              <w:rPr>
                <w:rFonts w:ascii="宋体" w:hAnsi="宋体"/>
                <w:color w:val="000000"/>
                <w:sz w:val="24"/>
              </w:rPr>
            </w:pPr>
          </w:p>
          <w:p w14:paraId="09AF990B">
            <w:pPr>
              <w:widowControl/>
              <w:jc w:val="left"/>
              <w:rPr>
                <w:rFonts w:ascii="宋体" w:hAnsi="宋体"/>
                <w:color w:val="000000"/>
                <w:sz w:val="24"/>
              </w:rPr>
            </w:pPr>
          </w:p>
          <w:p w14:paraId="2E21722D">
            <w:pPr>
              <w:widowControl/>
              <w:jc w:val="left"/>
              <w:rPr>
                <w:rFonts w:ascii="宋体" w:hAnsi="宋体"/>
                <w:color w:val="000000"/>
                <w:sz w:val="24"/>
              </w:rPr>
            </w:pPr>
          </w:p>
          <w:p w14:paraId="7D6423D7">
            <w:pPr>
              <w:widowControl/>
              <w:jc w:val="left"/>
              <w:rPr>
                <w:rFonts w:ascii="宋体" w:hAnsi="宋体"/>
                <w:color w:val="000000"/>
                <w:sz w:val="24"/>
              </w:rPr>
            </w:pPr>
          </w:p>
          <w:p w14:paraId="3F9B9CA7">
            <w:pPr>
              <w:widowControl/>
              <w:jc w:val="left"/>
              <w:rPr>
                <w:rFonts w:ascii="宋体" w:hAnsi="宋体"/>
                <w:color w:val="000000"/>
                <w:sz w:val="24"/>
              </w:rPr>
            </w:pPr>
          </w:p>
          <w:p w14:paraId="668AD724">
            <w:pPr>
              <w:widowControl/>
              <w:jc w:val="left"/>
              <w:rPr>
                <w:rFonts w:ascii="宋体" w:hAnsi="宋体"/>
                <w:color w:val="000000"/>
                <w:sz w:val="24"/>
              </w:rPr>
            </w:pPr>
          </w:p>
          <w:p w14:paraId="2F14AF3E">
            <w:pPr>
              <w:widowControl/>
              <w:jc w:val="left"/>
              <w:rPr>
                <w:rFonts w:ascii="宋体" w:hAnsi="宋体"/>
                <w:color w:val="000000"/>
                <w:sz w:val="24"/>
              </w:rPr>
            </w:pPr>
          </w:p>
          <w:p w14:paraId="403DEDF1">
            <w:pPr>
              <w:widowControl/>
              <w:jc w:val="left"/>
              <w:rPr>
                <w:rFonts w:ascii="宋体" w:hAnsi="宋体"/>
                <w:color w:val="000000"/>
                <w:sz w:val="24"/>
              </w:rPr>
            </w:pPr>
          </w:p>
          <w:p w14:paraId="36934EC9">
            <w:pPr>
              <w:widowControl/>
              <w:jc w:val="left"/>
              <w:rPr>
                <w:rFonts w:ascii="宋体" w:hAnsi="宋体"/>
                <w:color w:val="000000"/>
                <w:sz w:val="24"/>
              </w:rPr>
            </w:pPr>
          </w:p>
          <w:p w14:paraId="5604867C">
            <w:pPr>
              <w:widowControl/>
              <w:jc w:val="left"/>
              <w:rPr>
                <w:rFonts w:ascii="宋体" w:hAnsi="宋体"/>
                <w:color w:val="000000"/>
                <w:sz w:val="24"/>
              </w:rPr>
            </w:pPr>
          </w:p>
          <w:p w14:paraId="52C6A2E3">
            <w:pPr>
              <w:widowControl/>
              <w:jc w:val="left"/>
              <w:rPr>
                <w:rFonts w:ascii="宋体" w:hAnsi="宋体"/>
                <w:color w:val="000000"/>
                <w:sz w:val="24"/>
              </w:rPr>
            </w:pPr>
          </w:p>
          <w:p w14:paraId="11710AB0">
            <w:pPr>
              <w:widowControl/>
              <w:jc w:val="left"/>
              <w:rPr>
                <w:rFonts w:ascii="宋体" w:hAnsi="宋体"/>
                <w:color w:val="000000"/>
                <w:sz w:val="24"/>
              </w:rPr>
            </w:pPr>
          </w:p>
          <w:p w14:paraId="7BD99E60">
            <w:pPr>
              <w:spacing w:line="560" w:lineRule="exact"/>
              <w:rPr>
                <w:rFonts w:ascii="宋体" w:hAnsi="宋体"/>
                <w:color w:val="000000"/>
                <w:sz w:val="24"/>
              </w:rPr>
            </w:pPr>
          </w:p>
        </w:tc>
      </w:tr>
    </w:tbl>
    <w:p w14:paraId="696704DF">
      <w:pPr>
        <w:spacing w:line="560" w:lineRule="exact"/>
        <w:jc w:val="center"/>
        <w:rPr>
          <w:rFonts w:ascii="宋体" w:hAnsi="宋体"/>
          <w:color w:val="000000"/>
          <w:sz w:val="36"/>
        </w:rPr>
      </w:pPr>
    </w:p>
    <w:p w14:paraId="36B8713F">
      <w:pPr>
        <w:spacing w:line="560" w:lineRule="exact"/>
        <w:rPr>
          <w:rFonts w:ascii="楷体_GB2312" w:eastAsia="楷体_GB2312"/>
          <w:color w:val="000000"/>
          <w:sz w:val="24"/>
          <w:u w:val="single"/>
        </w:rPr>
      </w:pPr>
      <w:r>
        <w:rPr>
          <w:rFonts w:hint="eastAsia" w:ascii="宋体" w:hAnsi="宋体"/>
          <w:color w:val="000000"/>
          <w:sz w:val="24"/>
        </w:rPr>
        <w:t>投标人代表签字：</w:t>
      </w:r>
    </w:p>
    <w:p w14:paraId="7DE11991">
      <w:pPr>
        <w:spacing w:line="560" w:lineRule="exact"/>
        <w:jc w:val="center"/>
        <w:rPr>
          <w:rFonts w:ascii="黑体" w:eastAsia="黑体"/>
          <w:color w:val="000000"/>
          <w:sz w:val="36"/>
        </w:rPr>
      </w:pPr>
      <w:r>
        <w:rPr>
          <w:rFonts w:hint="eastAsia" w:ascii="黑体" w:eastAsia="黑体"/>
          <w:color w:val="000000"/>
          <w:sz w:val="36"/>
        </w:rPr>
        <w:br w:type="page"/>
      </w:r>
      <w:r>
        <w:rPr>
          <w:rFonts w:hint="eastAsia" w:ascii="黑体" w:eastAsia="黑体"/>
          <w:color w:val="000000"/>
          <w:sz w:val="36"/>
        </w:rPr>
        <w:t>5.商务条款偏离表</w:t>
      </w:r>
    </w:p>
    <w:p w14:paraId="2F9EC703">
      <w:pPr>
        <w:spacing w:line="560" w:lineRule="exact"/>
        <w:rPr>
          <w:rFonts w:ascii="宋体" w:hAnsi="宋体"/>
          <w:color w:val="000000"/>
          <w:sz w:val="24"/>
          <w:u w:val="single"/>
        </w:rPr>
      </w:pPr>
      <w:r>
        <w:rPr>
          <w:rFonts w:hint="eastAsia" w:ascii="宋体" w:hAnsi="宋体"/>
          <w:color w:val="000000"/>
          <w:sz w:val="24"/>
        </w:rPr>
        <w:t>投标人名称：   招标编号：   标度号：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14:paraId="5B605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5C3571B">
            <w:pPr>
              <w:spacing w:line="560" w:lineRule="exact"/>
              <w:jc w:val="center"/>
              <w:rPr>
                <w:rFonts w:ascii="宋体" w:hAnsi="宋体"/>
                <w:color w:val="000000"/>
                <w:sz w:val="24"/>
              </w:rPr>
            </w:pPr>
            <w:r>
              <w:rPr>
                <w:rFonts w:hint="eastAsia" w:ascii="宋体" w:hAnsi="宋体"/>
                <w:color w:val="000000"/>
                <w:sz w:val="24"/>
              </w:rPr>
              <w:t>序  号</w:t>
            </w:r>
          </w:p>
        </w:tc>
        <w:tc>
          <w:tcPr>
            <w:tcW w:w="1705" w:type="dxa"/>
            <w:tcBorders>
              <w:top w:val="single" w:color="auto" w:sz="4" w:space="0"/>
              <w:left w:val="single" w:color="auto" w:sz="4" w:space="0"/>
              <w:bottom w:val="single" w:color="auto" w:sz="4" w:space="0"/>
              <w:right w:val="single" w:color="auto" w:sz="4" w:space="0"/>
            </w:tcBorders>
            <w:noWrap/>
          </w:tcPr>
          <w:p w14:paraId="0DBF4E38">
            <w:pPr>
              <w:spacing w:line="560" w:lineRule="exact"/>
              <w:jc w:val="center"/>
              <w:rPr>
                <w:rFonts w:ascii="宋体" w:hAnsi="宋体"/>
                <w:color w:val="000000"/>
                <w:sz w:val="24"/>
              </w:rPr>
            </w:pPr>
            <w:r>
              <w:rPr>
                <w:rFonts w:hint="eastAsia" w:ascii="宋体" w:hAnsi="宋体"/>
                <w:color w:val="000000"/>
                <w:sz w:val="24"/>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14:paraId="72456AE0">
            <w:pPr>
              <w:spacing w:line="560" w:lineRule="exact"/>
              <w:jc w:val="center"/>
              <w:rPr>
                <w:rFonts w:ascii="宋体" w:hAnsi="宋体"/>
                <w:color w:val="000000"/>
                <w:sz w:val="24"/>
              </w:rPr>
            </w:pPr>
            <w:r>
              <w:rPr>
                <w:rFonts w:hint="eastAsia" w:ascii="宋体" w:hAnsi="宋体"/>
                <w:color w:val="000000"/>
                <w:sz w:val="24"/>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14:paraId="0241013B">
            <w:pPr>
              <w:spacing w:line="560" w:lineRule="exact"/>
              <w:jc w:val="center"/>
              <w:rPr>
                <w:rFonts w:ascii="宋体" w:hAnsi="宋体"/>
                <w:color w:val="000000"/>
                <w:sz w:val="24"/>
              </w:rPr>
            </w:pPr>
            <w:r>
              <w:rPr>
                <w:rFonts w:hint="eastAsia" w:ascii="宋体" w:hAnsi="宋体"/>
                <w:color w:val="000000"/>
                <w:sz w:val="24"/>
              </w:rPr>
              <w:t>偏离与否</w:t>
            </w:r>
          </w:p>
        </w:tc>
        <w:tc>
          <w:tcPr>
            <w:tcW w:w="1705" w:type="dxa"/>
            <w:tcBorders>
              <w:top w:val="single" w:color="auto" w:sz="4" w:space="0"/>
              <w:left w:val="single" w:color="auto" w:sz="4" w:space="0"/>
              <w:bottom w:val="single" w:color="auto" w:sz="4" w:space="0"/>
              <w:right w:val="single" w:color="auto" w:sz="4" w:space="0"/>
            </w:tcBorders>
            <w:noWrap/>
          </w:tcPr>
          <w:p w14:paraId="763F7444">
            <w:pPr>
              <w:spacing w:line="560" w:lineRule="exact"/>
              <w:jc w:val="center"/>
              <w:rPr>
                <w:rFonts w:ascii="宋体" w:hAnsi="宋体"/>
                <w:color w:val="000000"/>
                <w:sz w:val="24"/>
              </w:rPr>
            </w:pPr>
            <w:r>
              <w:rPr>
                <w:rFonts w:hint="eastAsia" w:ascii="宋体" w:hAnsi="宋体"/>
                <w:color w:val="000000"/>
                <w:sz w:val="24"/>
              </w:rPr>
              <w:t>说 明</w:t>
            </w:r>
          </w:p>
        </w:tc>
      </w:tr>
      <w:tr w14:paraId="2584F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6F3D716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05FA758A">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B5AF61B">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041E805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3EC148A">
            <w:pPr>
              <w:spacing w:line="560" w:lineRule="exact"/>
              <w:rPr>
                <w:rFonts w:ascii="宋体" w:hAnsi="宋体"/>
                <w:color w:val="000000"/>
                <w:sz w:val="36"/>
              </w:rPr>
            </w:pPr>
          </w:p>
        </w:tc>
      </w:tr>
      <w:tr w14:paraId="763E2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0BF4AFB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0CBFA42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EE47340">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3E9A4A3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FD63BDE">
            <w:pPr>
              <w:spacing w:line="560" w:lineRule="exact"/>
              <w:rPr>
                <w:rFonts w:ascii="宋体" w:hAnsi="宋体"/>
                <w:color w:val="000000"/>
                <w:sz w:val="36"/>
              </w:rPr>
            </w:pPr>
          </w:p>
        </w:tc>
      </w:tr>
      <w:tr w14:paraId="36034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B8D1AA5">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098FA0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339114E3">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0DE3A8A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A2AFD0D">
            <w:pPr>
              <w:spacing w:line="560" w:lineRule="exact"/>
              <w:rPr>
                <w:rFonts w:ascii="宋体" w:hAnsi="宋体"/>
                <w:color w:val="000000"/>
                <w:sz w:val="36"/>
              </w:rPr>
            </w:pPr>
          </w:p>
        </w:tc>
      </w:tr>
      <w:tr w14:paraId="2AD3A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62DE6F0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D66DDA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32447F6">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35C11BDB">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9D08D06">
            <w:pPr>
              <w:spacing w:line="560" w:lineRule="exact"/>
              <w:rPr>
                <w:rFonts w:ascii="宋体" w:hAnsi="宋体"/>
                <w:color w:val="000000"/>
                <w:sz w:val="36"/>
              </w:rPr>
            </w:pPr>
          </w:p>
        </w:tc>
      </w:tr>
      <w:tr w14:paraId="5BF63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48326E44">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A2F470F">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031EBF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D7CDEF9">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1454F43B">
            <w:pPr>
              <w:spacing w:line="560" w:lineRule="exact"/>
              <w:rPr>
                <w:rFonts w:ascii="宋体" w:hAnsi="宋体"/>
                <w:color w:val="000000"/>
                <w:sz w:val="36"/>
              </w:rPr>
            </w:pPr>
          </w:p>
        </w:tc>
      </w:tr>
      <w:tr w14:paraId="1A41C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1E4A5169">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6BC4BAF">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6F559B9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0DAC9FF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A217BB3">
            <w:pPr>
              <w:spacing w:line="560" w:lineRule="exact"/>
              <w:rPr>
                <w:rFonts w:ascii="宋体" w:hAnsi="宋体"/>
                <w:color w:val="000000"/>
                <w:sz w:val="36"/>
              </w:rPr>
            </w:pPr>
          </w:p>
        </w:tc>
      </w:tr>
      <w:tr w14:paraId="7AB66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3CDC6790">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008022C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0C0159F">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AFFB5A4">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65B60041">
            <w:pPr>
              <w:spacing w:line="560" w:lineRule="exact"/>
              <w:rPr>
                <w:rFonts w:ascii="宋体" w:hAnsi="宋体"/>
                <w:color w:val="000000"/>
                <w:sz w:val="36"/>
              </w:rPr>
            </w:pPr>
          </w:p>
        </w:tc>
      </w:tr>
      <w:tr w14:paraId="4A520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6DE0DF93">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6D95DEE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1347672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3867790F">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4BEC77B">
            <w:pPr>
              <w:spacing w:line="560" w:lineRule="exact"/>
              <w:rPr>
                <w:rFonts w:ascii="宋体" w:hAnsi="宋体"/>
                <w:color w:val="000000"/>
                <w:sz w:val="36"/>
              </w:rPr>
            </w:pPr>
          </w:p>
        </w:tc>
      </w:tr>
      <w:tr w14:paraId="77BB0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1C4988F">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2F5752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08107E7A">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62C7D2B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66C9D28">
            <w:pPr>
              <w:spacing w:line="560" w:lineRule="exact"/>
              <w:rPr>
                <w:rFonts w:ascii="宋体" w:hAnsi="宋体"/>
                <w:color w:val="000000"/>
                <w:sz w:val="36"/>
              </w:rPr>
            </w:pPr>
          </w:p>
        </w:tc>
      </w:tr>
      <w:tr w14:paraId="168D9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795376C5">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8607E5B">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6D2A8E30">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32FD929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7B39708">
            <w:pPr>
              <w:spacing w:line="560" w:lineRule="exact"/>
              <w:rPr>
                <w:rFonts w:ascii="宋体" w:hAnsi="宋体"/>
                <w:color w:val="000000"/>
                <w:sz w:val="36"/>
              </w:rPr>
            </w:pPr>
          </w:p>
        </w:tc>
      </w:tr>
      <w:tr w14:paraId="2D978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1F38013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2DB52A8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522827A">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3DA224B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07E4E97">
            <w:pPr>
              <w:spacing w:line="560" w:lineRule="exact"/>
              <w:rPr>
                <w:rFonts w:ascii="宋体" w:hAnsi="宋体"/>
                <w:color w:val="000000"/>
                <w:sz w:val="36"/>
              </w:rPr>
            </w:pPr>
          </w:p>
        </w:tc>
      </w:tr>
      <w:tr w14:paraId="3009A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3EFC0874">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86FB71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2CA61854">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E64218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328CB044">
            <w:pPr>
              <w:spacing w:line="560" w:lineRule="exact"/>
              <w:rPr>
                <w:rFonts w:ascii="宋体" w:hAnsi="宋体"/>
                <w:color w:val="000000"/>
                <w:sz w:val="36"/>
              </w:rPr>
            </w:pPr>
          </w:p>
        </w:tc>
      </w:tr>
      <w:tr w14:paraId="00158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43B62A7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2B3CCD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1E45B502">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092ABD76">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7250433">
            <w:pPr>
              <w:spacing w:line="560" w:lineRule="exact"/>
              <w:rPr>
                <w:rFonts w:ascii="宋体" w:hAnsi="宋体"/>
                <w:color w:val="000000"/>
                <w:sz w:val="36"/>
              </w:rPr>
            </w:pPr>
          </w:p>
        </w:tc>
      </w:tr>
      <w:tr w14:paraId="3F8BD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176CCC56">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1A4641D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B2C7F5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62A5E22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9628795">
            <w:pPr>
              <w:spacing w:line="560" w:lineRule="exact"/>
              <w:rPr>
                <w:rFonts w:ascii="宋体" w:hAnsi="宋体"/>
                <w:color w:val="000000"/>
                <w:sz w:val="36"/>
              </w:rPr>
            </w:pPr>
          </w:p>
        </w:tc>
      </w:tr>
      <w:tr w14:paraId="7C21D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46DA32E9">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15C2538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61B91DF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B61D3D3">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7BE87DB6">
            <w:pPr>
              <w:spacing w:line="560" w:lineRule="exact"/>
              <w:rPr>
                <w:rFonts w:ascii="宋体" w:hAnsi="宋体"/>
                <w:color w:val="000000"/>
                <w:sz w:val="36"/>
              </w:rPr>
            </w:pPr>
          </w:p>
        </w:tc>
      </w:tr>
      <w:tr w14:paraId="7A58B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0759EE4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066BDC0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5847E412">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403BC0F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noWrap/>
          </w:tcPr>
          <w:p w14:paraId="1470F80C">
            <w:pPr>
              <w:spacing w:line="560" w:lineRule="exact"/>
              <w:rPr>
                <w:rFonts w:ascii="宋体" w:hAnsi="宋体"/>
                <w:color w:val="000000"/>
                <w:sz w:val="36"/>
              </w:rPr>
            </w:pPr>
          </w:p>
        </w:tc>
      </w:tr>
    </w:tbl>
    <w:p w14:paraId="25E672C2">
      <w:pPr>
        <w:pStyle w:val="2"/>
        <w:rPr>
          <w:rFonts w:ascii="黑体" w:eastAsia="黑体"/>
          <w:color w:val="000000"/>
          <w:sz w:val="36"/>
        </w:rPr>
      </w:pPr>
      <w:r>
        <w:rPr>
          <w:rFonts w:hint="eastAsia" w:ascii="宋体" w:hAnsi="宋体" w:eastAsia="宋体"/>
          <w:color w:val="000000"/>
        </w:rPr>
        <w:t>投标人名称：</w:t>
      </w:r>
      <w:r>
        <w:rPr>
          <w:rFonts w:hint="eastAsia" w:ascii="黑体" w:eastAsia="黑体"/>
          <w:color w:val="000000"/>
          <w:sz w:val="36"/>
        </w:rPr>
        <w:br w:type="page"/>
      </w:r>
    </w:p>
    <w:p w14:paraId="3A6FBBDD">
      <w:pPr>
        <w:pStyle w:val="2"/>
        <w:jc w:val="center"/>
        <w:rPr>
          <w:rFonts w:ascii="黑体" w:eastAsia="黑体"/>
          <w:color w:val="000000"/>
          <w:sz w:val="36"/>
        </w:rPr>
      </w:pPr>
      <w:r>
        <w:rPr>
          <w:rFonts w:hint="eastAsia" w:ascii="黑体" w:eastAsia="黑体"/>
          <w:color w:val="000000"/>
          <w:sz w:val="36"/>
        </w:rPr>
        <w:t>6.服  务</w:t>
      </w:r>
    </w:p>
    <w:p w14:paraId="57490198">
      <w:pPr>
        <w:spacing w:line="560" w:lineRule="exact"/>
        <w:rPr>
          <w:rFonts w:ascii="宋体" w:hAnsi="宋体"/>
          <w:color w:val="000000"/>
          <w:sz w:val="24"/>
        </w:rPr>
      </w:pPr>
      <w:r>
        <w:rPr>
          <w:rFonts w:hint="eastAsia" w:ascii="宋体" w:hAnsi="宋体"/>
          <w:color w:val="000000"/>
          <w:sz w:val="24"/>
        </w:rPr>
        <w:t>注：1、投标人可提供的培训、售后服务等技术服务情况。</w:t>
      </w:r>
    </w:p>
    <w:p w14:paraId="34E1C494">
      <w:pPr>
        <w:spacing w:line="560" w:lineRule="exact"/>
        <w:rPr>
          <w:rFonts w:ascii="宋体" w:hAnsi="宋体"/>
          <w:color w:val="000000"/>
          <w:sz w:val="24"/>
        </w:rPr>
      </w:pPr>
      <w:r>
        <w:rPr>
          <w:rFonts w:hint="eastAsia" w:ascii="宋体" w:hAnsi="宋体"/>
          <w:color w:val="000000"/>
          <w:sz w:val="24"/>
        </w:rPr>
        <w:t xml:space="preserve">    2、须提供培训、售后服务等详细计划，包括时间、人员等安排，及须买方预先做的准备工作等（如有）。</w:t>
      </w:r>
    </w:p>
    <w:p w14:paraId="57283C9F">
      <w:pPr>
        <w:spacing w:line="560" w:lineRule="exact"/>
        <w:jc w:val="center"/>
        <w:outlineLvl w:val="1"/>
        <w:rPr>
          <w:rFonts w:ascii="黑体" w:eastAsia="黑体"/>
          <w:color w:val="000000"/>
          <w:sz w:val="36"/>
        </w:rPr>
      </w:pPr>
      <w:r>
        <w:rPr>
          <w:rFonts w:hint="eastAsia" w:ascii="黑体" w:eastAsia="黑体"/>
          <w:color w:val="000000"/>
          <w:sz w:val="36"/>
        </w:rPr>
        <w:br w:type="page"/>
      </w:r>
      <w:r>
        <w:rPr>
          <w:rFonts w:hint="eastAsia" w:ascii="黑体" w:eastAsia="黑体"/>
          <w:color w:val="000000"/>
          <w:sz w:val="36"/>
        </w:rPr>
        <w:t>7.经营业绩</w:t>
      </w:r>
    </w:p>
    <w:p w14:paraId="6469EE3B">
      <w:pPr>
        <w:spacing w:line="560" w:lineRule="exact"/>
        <w:rPr>
          <w:rFonts w:ascii="宋体" w:hAnsi="宋体"/>
          <w:color w:val="000000"/>
          <w:sz w:val="24"/>
        </w:rPr>
      </w:pPr>
      <w:r>
        <w:rPr>
          <w:rFonts w:hint="eastAsia" w:ascii="宋体" w:hAnsi="宋体"/>
          <w:color w:val="000000"/>
          <w:sz w:val="24"/>
        </w:rPr>
        <w:t>（注：投标货物的制造及销售业绩，提供近三年同类货物的规模及销售情况，以及在用户名单、联系方法、合同复印件等。）</w:t>
      </w:r>
    </w:p>
    <w:p w14:paraId="41A2ABDD">
      <w:pPr>
        <w:spacing w:line="440" w:lineRule="exact"/>
        <w:ind w:firstLine="723" w:firstLineChars="200"/>
        <w:jc w:val="center"/>
        <w:rPr>
          <w:rFonts w:ascii="仿宋_GB2312" w:hAnsi="宋体" w:eastAsia="仿宋_GB2312"/>
          <w:b/>
          <w:color w:val="000000"/>
          <w:sz w:val="36"/>
          <w:szCs w:val="36"/>
        </w:rPr>
      </w:pPr>
    </w:p>
    <w:p w14:paraId="12022B77">
      <w:pPr>
        <w:spacing w:line="460" w:lineRule="exact"/>
        <w:ind w:firstLine="2160" w:firstLineChars="600"/>
        <w:rPr>
          <w:rFonts w:ascii="黑体" w:hAnsi="黑体" w:eastAsia="黑体" w:cs="黑体"/>
          <w:color w:val="000000"/>
          <w:sz w:val="36"/>
          <w:szCs w:val="36"/>
        </w:rPr>
      </w:pPr>
      <w:r>
        <w:rPr>
          <w:rFonts w:hint="eastAsia" w:ascii="黑体" w:hAnsi="黑体" w:eastAsia="黑体" w:cs="黑体"/>
          <w:color w:val="000000"/>
          <w:sz w:val="36"/>
          <w:szCs w:val="36"/>
        </w:rPr>
        <w:t>8.投标人认为需要提供的其他资料</w:t>
      </w:r>
    </w:p>
    <w:p w14:paraId="39F0FE6A">
      <w:pPr>
        <w:spacing w:line="440" w:lineRule="exact"/>
        <w:ind w:firstLine="723" w:firstLineChars="200"/>
        <w:jc w:val="center"/>
        <w:rPr>
          <w:rFonts w:ascii="仿宋_GB2312" w:hAnsi="宋体" w:eastAsia="仿宋_GB2312"/>
          <w:b/>
          <w:color w:val="000000"/>
          <w:sz w:val="36"/>
          <w:szCs w:val="36"/>
        </w:rPr>
      </w:pPr>
    </w:p>
    <w:p w14:paraId="350EA04D">
      <w:pPr>
        <w:spacing w:line="440" w:lineRule="exact"/>
        <w:ind w:firstLine="723" w:firstLineChars="200"/>
        <w:jc w:val="center"/>
        <w:rPr>
          <w:rFonts w:ascii="仿宋_GB2312" w:hAnsi="宋体" w:eastAsia="仿宋_GB2312"/>
          <w:b/>
          <w:color w:val="000000"/>
          <w:sz w:val="36"/>
          <w:szCs w:val="36"/>
        </w:rPr>
      </w:pPr>
    </w:p>
    <w:p w14:paraId="58CD63BC">
      <w:pPr>
        <w:spacing w:line="440" w:lineRule="exact"/>
        <w:ind w:firstLine="723" w:firstLineChars="200"/>
        <w:jc w:val="center"/>
        <w:rPr>
          <w:rFonts w:ascii="仿宋_GB2312" w:hAnsi="宋体" w:eastAsia="仿宋_GB2312"/>
          <w:b/>
          <w:color w:val="000000"/>
          <w:sz w:val="36"/>
          <w:szCs w:val="36"/>
        </w:rPr>
      </w:pPr>
    </w:p>
    <w:p w14:paraId="0A1DC8C2">
      <w:pPr>
        <w:spacing w:line="440" w:lineRule="exact"/>
        <w:ind w:firstLine="723" w:firstLineChars="200"/>
        <w:jc w:val="center"/>
        <w:rPr>
          <w:rFonts w:ascii="仿宋_GB2312" w:hAnsi="宋体" w:eastAsia="仿宋_GB2312"/>
          <w:b/>
          <w:color w:val="000000"/>
          <w:sz w:val="36"/>
          <w:szCs w:val="36"/>
        </w:rPr>
      </w:pPr>
    </w:p>
    <w:p w14:paraId="64477C98">
      <w:pPr>
        <w:spacing w:line="440" w:lineRule="exact"/>
        <w:ind w:firstLine="723" w:firstLineChars="200"/>
        <w:jc w:val="center"/>
        <w:rPr>
          <w:rFonts w:ascii="仿宋_GB2312" w:hAnsi="宋体" w:eastAsia="仿宋_GB2312"/>
          <w:b/>
          <w:color w:val="000000"/>
          <w:sz w:val="36"/>
          <w:szCs w:val="36"/>
        </w:rPr>
      </w:pPr>
    </w:p>
    <w:p w14:paraId="57769D67">
      <w:pPr>
        <w:spacing w:line="440" w:lineRule="exact"/>
        <w:ind w:firstLine="723" w:firstLineChars="200"/>
        <w:jc w:val="center"/>
        <w:rPr>
          <w:rFonts w:ascii="仿宋_GB2312" w:hAnsi="宋体" w:eastAsia="仿宋_GB2312"/>
          <w:b/>
          <w:color w:val="000000"/>
          <w:sz w:val="36"/>
          <w:szCs w:val="36"/>
        </w:rPr>
      </w:pPr>
    </w:p>
    <w:p w14:paraId="5A4D81C6">
      <w:pPr>
        <w:spacing w:line="440" w:lineRule="exact"/>
        <w:ind w:firstLine="723" w:firstLineChars="200"/>
        <w:jc w:val="center"/>
        <w:rPr>
          <w:rFonts w:ascii="仿宋_GB2312" w:hAnsi="宋体" w:eastAsia="仿宋_GB2312"/>
          <w:b/>
          <w:color w:val="000000"/>
          <w:sz w:val="36"/>
          <w:szCs w:val="36"/>
        </w:rPr>
      </w:pPr>
    </w:p>
    <w:p w14:paraId="5ED464F7">
      <w:pPr>
        <w:spacing w:line="440" w:lineRule="exact"/>
        <w:ind w:firstLine="723" w:firstLineChars="200"/>
        <w:jc w:val="center"/>
        <w:rPr>
          <w:rFonts w:ascii="仿宋_GB2312" w:hAnsi="宋体" w:eastAsia="仿宋_GB2312"/>
          <w:b/>
          <w:color w:val="000000"/>
          <w:sz w:val="36"/>
          <w:szCs w:val="36"/>
        </w:rPr>
      </w:pPr>
    </w:p>
    <w:p w14:paraId="6335CC96">
      <w:pPr>
        <w:spacing w:line="440" w:lineRule="exact"/>
        <w:ind w:firstLine="723" w:firstLineChars="200"/>
        <w:jc w:val="center"/>
        <w:rPr>
          <w:rFonts w:ascii="仿宋_GB2312" w:hAnsi="宋体" w:eastAsia="仿宋_GB2312"/>
          <w:b/>
          <w:color w:val="000000"/>
          <w:sz w:val="36"/>
          <w:szCs w:val="36"/>
        </w:rPr>
      </w:pPr>
    </w:p>
    <w:p w14:paraId="009B0F21">
      <w:pPr>
        <w:spacing w:line="440" w:lineRule="exact"/>
        <w:ind w:firstLine="723" w:firstLineChars="200"/>
        <w:jc w:val="center"/>
        <w:rPr>
          <w:rFonts w:ascii="仿宋_GB2312" w:hAnsi="宋体" w:eastAsia="仿宋_GB2312"/>
          <w:b/>
          <w:color w:val="000000"/>
          <w:sz w:val="36"/>
          <w:szCs w:val="36"/>
        </w:rPr>
      </w:pPr>
    </w:p>
    <w:p w14:paraId="30D65440">
      <w:pPr>
        <w:spacing w:line="440" w:lineRule="exact"/>
        <w:ind w:firstLine="723" w:firstLineChars="200"/>
        <w:jc w:val="center"/>
        <w:rPr>
          <w:rFonts w:ascii="仿宋_GB2312" w:hAnsi="宋体" w:eastAsia="仿宋_GB2312"/>
          <w:b/>
          <w:color w:val="000000"/>
          <w:sz w:val="36"/>
          <w:szCs w:val="36"/>
        </w:rPr>
      </w:pPr>
    </w:p>
    <w:p w14:paraId="5A3D620F">
      <w:pPr>
        <w:spacing w:line="440" w:lineRule="exact"/>
        <w:ind w:firstLine="723" w:firstLineChars="200"/>
        <w:jc w:val="center"/>
        <w:rPr>
          <w:rFonts w:ascii="仿宋_GB2312" w:hAnsi="宋体" w:eastAsia="仿宋_GB2312"/>
          <w:b/>
          <w:color w:val="000000"/>
          <w:sz w:val="36"/>
          <w:szCs w:val="36"/>
        </w:rPr>
      </w:pPr>
    </w:p>
    <w:p w14:paraId="74B30041">
      <w:pPr>
        <w:spacing w:line="440" w:lineRule="exact"/>
        <w:ind w:firstLine="723" w:firstLineChars="200"/>
        <w:jc w:val="center"/>
        <w:rPr>
          <w:rFonts w:ascii="仿宋_GB2312" w:hAnsi="宋体" w:eastAsia="仿宋_GB2312"/>
          <w:b/>
          <w:color w:val="000000"/>
          <w:sz w:val="36"/>
          <w:szCs w:val="36"/>
        </w:rPr>
      </w:pPr>
    </w:p>
    <w:p w14:paraId="525FD8A5">
      <w:pPr>
        <w:spacing w:line="440" w:lineRule="exact"/>
        <w:ind w:firstLine="723" w:firstLineChars="200"/>
        <w:jc w:val="center"/>
        <w:rPr>
          <w:rFonts w:ascii="仿宋_GB2312" w:hAnsi="宋体" w:eastAsia="仿宋_GB2312"/>
          <w:b/>
          <w:color w:val="000000"/>
          <w:sz w:val="36"/>
          <w:szCs w:val="36"/>
        </w:rPr>
      </w:pPr>
    </w:p>
    <w:p w14:paraId="671911DE">
      <w:pPr>
        <w:spacing w:line="440" w:lineRule="exact"/>
        <w:ind w:firstLine="723" w:firstLineChars="200"/>
        <w:jc w:val="center"/>
        <w:rPr>
          <w:rFonts w:ascii="仿宋_GB2312" w:hAnsi="宋体" w:eastAsia="仿宋_GB2312"/>
          <w:b/>
          <w:color w:val="000000"/>
          <w:sz w:val="36"/>
          <w:szCs w:val="36"/>
        </w:rPr>
      </w:pPr>
    </w:p>
    <w:p w14:paraId="2CA1818F">
      <w:pPr>
        <w:spacing w:line="440" w:lineRule="exact"/>
        <w:ind w:firstLine="723" w:firstLineChars="200"/>
        <w:jc w:val="center"/>
        <w:rPr>
          <w:rFonts w:ascii="仿宋_GB2312" w:hAnsi="宋体" w:eastAsia="仿宋_GB2312"/>
          <w:b/>
          <w:color w:val="000000"/>
          <w:sz w:val="36"/>
          <w:szCs w:val="36"/>
        </w:rPr>
      </w:pPr>
    </w:p>
    <w:p w14:paraId="0EF5DA78">
      <w:pPr>
        <w:spacing w:line="440" w:lineRule="exact"/>
        <w:ind w:firstLine="723" w:firstLineChars="200"/>
        <w:jc w:val="center"/>
        <w:rPr>
          <w:rFonts w:ascii="仿宋_GB2312" w:hAnsi="宋体" w:eastAsia="仿宋_GB2312"/>
          <w:b/>
          <w:color w:val="000000"/>
          <w:sz w:val="36"/>
          <w:szCs w:val="36"/>
        </w:rPr>
      </w:pPr>
    </w:p>
    <w:p w14:paraId="199AB3A0">
      <w:pPr>
        <w:spacing w:line="440" w:lineRule="exact"/>
        <w:ind w:firstLine="723" w:firstLineChars="200"/>
        <w:jc w:val="center"/>
        <w:rPr>
          <w:rFonts w:ascii="仿宋_GB2312" w:hAnsi="宋体" w:eastAsia="仿宋_GB2312"/>
          <w:b/>
          <w:color w:val="000000"/>
          <w:sz w:val="36"/>
          <w:szCs w:val="36"/>
        </w:rPr>
      </w:pPr>
    </w:p>
    <w:p w14:paraId="200D55CC">
      <w:pPr>
        <w:spacing w:line="440" w:lineRule="exact"/>
        <w:ind w:firstLine="723" w:firstLineChars="200"/>
        <w:jc w:val="center"/>
        <w:rPr>
          <w:rFonts w:ascii="仿宋_GB2312" w:hAnsi="宋体" w:eastAsia="仿宋_GB2312"/>
          <w:b/>
          <w:color w:val="000000"/>
          <w:sz w:val="36"/>
          <w:szCs w:val="36"/>
        </w:rPr>
      </w:pPr>
    </w:p>
    <w:p w14:paraId="5A9C1746">
      <w:pPr>
        <w:spacing w:line="440" w:lineRule="exact"/>
        <w:ind w:firstLine="723" w:firstLineChars="200"/>
        <w:jc w:val="center"/>
        <w:rPr>
          <w:rFonts w:ascii="仿宋_GB2312" w:hAnsi="宋体" w:eastAsia="仿宋_GB2312"/>
          <w:b/>
          <w:color w:val="000000"/>
          <w:sz w:val="36"/>
          <w:szCs w:val="36"/>
        </w:rPr>
      </w:pPr>
    </w:p>
    <w:p w14:paraId="3CB93261">
      <w:pPr>
        <w:spacing w:line="440" w:lineRule="exact"/>
        <w:ind w:firstLine="723" w:firstLineChars="200"/>
        <w:jc w:val="center"/>
        <w:rPr>
          <w:rFonts w:ascii="仿宋_GB2312" w:hAnsi="宋体" w:eastAsia="仿宋_GB2312"/>
          <w:b/>
          <w:color w:val="000000"/>
          <w:sz w:val="36"/>
          <w:szCs w:val="36"/>
        </w:rPr>
      </w:pPr>
    </w:p>
    <w:p w14:paraId="70EF4CB7">
      <w:pPr>
        <w:spacing w:line="440" w:lineRule="exact"/>
        <w:ind w:firstLine="723" w:firstLineChars="200"/>
        <w:jc w:val="center"/>
        <w:rPr>
          <w:rFonts w:ascii="仿宋_GB2312" w:hAnsi="宋体" w:eastAsia="仿宋_GB2312"/>
          <w:b/>
          <w:color w:val="000000"/>
          <w:sz w:val="36"/>
          <w:szCs w:val="36"/>
        </w:rPr>
      </w:pPr>
    </w:p>
    <w:p w14:paraId="71EC43AF">
      <w:pPr>
        <w:spacing w:line="440" w:lineRule="exact"/>
        <w:ind w:firstLine="723" w:firstLineChars="200"/>
        <w:jc w:val="center"/>
        <w:rPr>
          <w:rFonts w:ascii="仿宋_GB2312" w:hAnsi="宋体" w:eastAsia="仿宋_GB2312"/>
          <w:b/>
          <w:color w:val="000000"/>
          <w:sz w:val="36"/>
          <w:szCs w:val="36"/>
        </w:rPr>
      </w:pPr>
    </w:p>
    <w:p w14:paraId="21434E84">
      <w:pPr>
        <w:spacing w:line="440" w:lineRule="exact"/>
        <w:ind w:firstLine="723" w:firstLineChars="200"/>
        <w:jc w:val="center"/>
        <w:rPr>
          <w:rFonts w:ascii="仿宋_GB2312" w:hAnsi="宋体" w:eastAsia="仿宋_GB2312"/>
          <w:b/>
          <w:color w:val="000000"/>
          <w:sz w:val="36"/>
          <w:szCs w:val="36"/>
        </w:rPr>
      </w:pPr>
    </w:p>
    <w:p w14:paraId="053632C9">
      <w:pPr>
        <w:autoSpaceDE w:val="0"/>
        <w:autoSpaceDN w:val="0"/>
        <w:adjustRightInd w:val="0"/>
        <w:snapToGrid w:val="0"/>
        <w:spacing w:line="360" w:lineRule="auto"/>
        <w:rPr>
          <w:rFonts w:ascii="宋体" w:hAnsi="宋体"/>
          <w:color w:val="000000"/>
          <w:szCs w:val="21"/>
        </w:rPr>
      </w:pPr>
    </w:p>
    <w:p w14:paraId="7C8A75BD">
      <w:pPr>
        <w:autoSpaceDE w:val="0"/>
        <w:autoSpaceDN w:val="0"/>
        <w:adjustRightInd w:val="0"/>
        <w:snapToGrid w:val="0"/>
        <w:spacing w:line="360" w:lineRule="auto"/>
        <w:rPr>
          <w:rFonts w:ascii="宋体" w:hAnsi="宋体"/>
          <w:color w:val="000000"/>
          <w:szCs w:val="21"/>
        </w:rPr>
      </w:pPr>
    </w:p>
    <w:p w14:paraId="4097B2BA">
      <w:pPr>
        <w:autoSpaceDE w:val="0"/>
        <w:autoSpaceDN w:val="0"/>
        <w:adjustRightInd w:val="0"/>
        <w:snapToGrid w:val="0"/>
        <w:spacing w:line="360" w:lineRule="auto"/>
        <w:rPr>
          <w:rFonts w:ascii="宋体" w:hAnsi="宋体"/>
          <w:color w:val="000000"/>
          <w:szCs w:val="21"/>
        </w:rPr>
      </w:pPr>
    </w:p>
    <w:p w14:paraId="3E42157B"/>
    <w:p w14:paraId="3DBD5521"/>
    <w:sectPr>
      <w:headerReference r:id="rId5" w:type="default"/>
      <w:pgSz w:w="11907" w:h="16840"/>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方正小标宋简体">
    <w:altName w:val="方正舒体"/>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FC1E8">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14:paraId="2965788E">
                          <w:pPr>
                            <w:pStyle w:val="5"/>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AIRidbTAQAApQMAAA4AAAAAAAAAAQAgAAAAHwEA&#10;AGRycy9lMm9Eb2MueG1sUEsFBgAAAAAGAAYAWQEAAGQFAAAAAA==&#10;">
              <v:fill on="f" focussize="0,0"/>
              <v:stroke on="f"/>
              <v:imagedata o:title=""/>
              <o:lock v:ext="edit" aspectratio="f"/>
              <v:textbox inset="0mm,0mm,0mm,0mm" style="mso-fit-shape-to-text:t;">
                <w:txbxContent>
                  <w:p w14:paraId="2965788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1A2AE">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53022">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0000000D"/>
    <w:multiLevelType w:val="multilevel"/>
    <w:tmpl w:val="0000000D"/>
    <w:lvl w:ilvl="0" w:tentative="0">
      <w:start w:val="1"/>
      <w:numFmt w:val="decimal"/>
      <w:lvlText w:val="7.%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16"/>
    <w:multiLevelType w:val="multilevel"/>
    <w:tmpl w:val="00000016"/>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3">
    <w:nsid w:val="0000001E"/>
    <w:multiLevelType w:val="multilevel"/>
    <w:tmpl w:val="0000001E"/>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4">
    <w:nsid w:val="00000021"/>
    <w:multiLevelType w:val="multilevel"/>
    <w:tmpl w:val="00000021"/>
    <w:lvl w:ilvl="0" w:tentative="0">
      <w:start w:val="1"/>
      <w:numFmt w:val="decimal"/>
      <w:lvlText w:val="4.%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25"/>
    <w:multiLevelType w:val="multilevel"/>
    <w:tmpl w:val="00000025"/>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6">
    <w:nsid w:val="0000002E"/>
    <w:multiLevelType w:val="multilevel"/>
    <w:tmpl w:val="0000002E"/>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30"/>
    <w:multiLevelType w:val="multilevel"/>
    <w:tmpl w:val="00000030"/>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31"/>
    <w:multiLevelType w:val="multilevel"/>
    <w:tmpl w:val="00000031"/>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9">
    <w:nsid w:val="00000035"/>
    <w:multiLevelType w:val="multilevel"/>
    <w:tmpl w:val="00000035"/>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0">
    <w:nsid w:val="00000036"/>
    <w:multiLevelType w:val="multilevel"/>
    <w:tmpl w:val="00000036"/>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679"/>
        </w:tabs>
        <w:ind w:left="679" w:hanging="420"/>
      </w:pPr>
    </w:lvl>
    <w:lvl w:ilvl="2" w:tentative="0">
      <w:start w:val="1"/>
      <w:numFmt w:val="lowerRoman"/>
      <w:lvlText w:val="%3."/>
      <w:lvlJc w:val="right"/>
      <w:pPr>
        <w:tabs>
          <w:tab w:val="left" w:pos="1099"/>
        </w:tabs>
        <w:ind w:left="1099" w:hanging="420"/>
      </w:pPr>
    </w:lvl>
    <w:lvl w:ilvl="3" w:tentative="0">
      <w:start w:val="1"/>
      <w:numFmt w:val="decimal"/>
      <w:lvlText w:val="%4."/>
      <w:lvlJc w:val="left"/>
      <w:pPr>
        <w:tabs>
          <w:tab w:val="left" w:pos="1519"/>
        </w:tabs>
        <w:ind w:left="1519" w:hanging="420"/>
      </w:pPr>
    </w:lvl>
    <w:lvl w:ilvl="4" w:tentative="0">
      <w:start w:val="1"/>
      <w:numFmt w:val="lowerLetter"/>
      <w:lvlText w:val="%5)"/>
      <w:lvlJc w:val="left"/>
      <w:pPr>
        <w:tabs>
          <w:tab w:val="left" w:pos="1939"/>
        </w:tabs>
        <w:ind w:left="1939" w:hanging="420"/>
      </w:pPr>
    </w:lvl>
    <w:lvl w:ilvl="5" w:tentative="0">
      <w:start w:val="1"/>
      <w:numFmt w:val="lowerRoman"/>
      <w:lvlText w:val="%6."/>
      <w:lvlJc w:val="right"/>
      <w:pPr>
        <w:tabs>
          <w:tab w:val="left" w:pos="2359"/>
        </w:tabs>
        <w:ind w:left="2359" w:hanging="420"/>
      </w:pPr>
    </w:lvl>
    <w:lvl w:ilvl="6" w:tentative="0">
      <w:start w:val="1"/>
      <w:numFmt w:val="decimal"/>
      <w:lvlText w:val="%7."/>
      <w:lvlJc w:val="left"/>
      <w:pPr>
        <w:tabs>
          <w:tab w:val="left" w:pos="2779"/>
        </w:tabs>
        <w:ind w:left="2779" w:hanging="420"/>
      </w:pPr>
    </w:lvl>
    <w:lvl w:ilvl="7" w:tentative="0">
      <w:start w:val="1"/>
      <w:numFmt w:val="lowerLetter"/>
      <w:lvlText w:val="%8)"/>
      <w:lvlJc w:val="left"/>
      <w:pPr>
        <w:tabs>
          <w:tab w:val="left" w:pos="3199"/>
        </w:tabs>
        <w:ind w:left="3199" w:hanging="420"/>
      </w:pPr>
    </w:lvl>
    <w:lvl w:ilvl="8" w:tentative="0">
      <w:start w:val="1"/>
      <w:numFmt w:val="lowerRoman"/>
      <w:lvlText w:val="%9."/>
      <w:lvlJc w:val="right"/>
      <w:pPr>
        <w:tabs>
          <w:tab w:val="left" w:pos="3619"/>
        </w:tabs>
        <w:ind w:left="3619" w:hanging="420"/>
      </w:pPr>
    </w:lvl>
  </w:abstractNum>
  <w:abstractNum w:abstractNumId="11">
    <w:nsid w:val="00000037"/>
    <w:multiLevelType w:val="multilevel"/>
    <w:tmpl w:val="00000037"/>
    <w:lvl w:ilvl="0" w:tentative="0">
      <w:start w:val="1"/>
      <w:numFmt w:val="decimal"/>
      <w:lvlText w:val="6.%1"/>
      <w:lvlJc w:val="left"/>
      <w:pPr>
        <w:tabs>
          <w:tab w:val="left" w:pos="900"/>
        </w:tabs>
        <w:ind w:left="900" w:hanging="360"/>
      </w:pPr>
      <w:rPr>
        <w:rFonts w:hint="eastAsia" w:ascii="宋体" w:hAnsi="宋体" w:eastAsia="宋体"/>
        <w:b w:val="0"/>
        <w:i w:val="0"/>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12">
    <w:nsid w:val="00000038"/>
    <w:multiLevelType w:val="multilevel"/>
    <w:tmpl w:val="00000038"/>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7B26DC7"/>
    <w:multiLevelType w:val="singleLevel"/>
    <w:tmpl w:val="07B26DC7"/>
    <w:lvl w:ilvl="0" w:tentative="0">
      <w:start w:val="1"/>
      <w:numFmt w:val="decimal"/>
      <w:lvlText w:val="%1、"/>
      <w:lvlJc w:val="left"/>
      <w:pPr>
        <w:tabs>
          <w:tab w:val="left" w:pos="720"/>
        </w:tabs>
        <w:ind w:left="720" w:hanging="720"/>
      </w:pPr>
    </w:lvl>
  </w:abstractNum>
  <w:abstractNum w:abstractNumId="14">
    <w:nsid w:val="1F9A7D71"/>
    <w:multiLevelType w:val="singleLevel"/>
    <w:tmpl w:val="1F9A7D71"/>
    <w:lvl w:ilvl="0" w:tentative="0">
      <w:start w:val="1"/>
      <w:numFmt w:val="none"/>
      <w:lvlText w:val="一、"/>
      <w:lvlJc w:val="left"/>
      <w:pPr>
        <w:tabs>
          <w:tab w:val="left" w:pos="480"/>
        </w:tabs>
        <w:ind w:left="480" w:hanging="480"/>
      </w:pPr>
    </w:lvl>
  </w:abstractNum>
  <w:abstractNum w:abstractNumId="15">
    <w:nsid w:val="2B5F13CB"/>
    <w:multiLevelType w:val="singleLevel"/>
    <w:tmpl w:val="2B5F13CB"/>
    <w:lvl w:ilvl="0" w:tentative="0">
      <w:start w:val="1"/>
      <w:numFmt w:val="decimal"/>
      <w:lvlText w:val="%1．"/>
      <w:lvlJc w:val="left"/>
      <w:pPr>
        <w:tabs>
          <w:tab w:val="left" w:pos="1080"/>
        </w:tabs>
        <w:ind w:left="1080" w:hanging="360"/>
      </w:pPr>
    </w:lvl>
  </w:abstractNum>
  <w:abstractNum w:abstractNumId="16">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17">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7"/>
  </w:num>
  <w:num w:numId="2">
    <w:abstractNumId w:val="10"/>
  </w:num>
  <w:num w:numId="3">
    <w:abstractNumId w:val="6"/>
  </w:num>
  <w:num w:numId="4">
    <w:abstractNumId w:val="4"/>
  </w:num>
  <w:num w:numId="5">
    <w:abstractNumId w:val="11"/>
  </w:num>
  <w:num w:numId="6">
    <w:abstractNumId w:val="12"/>
  </w:num>
  <w:num w:numId="7">
    <w:abstractNumId w:val="7"/>
  </w:num>
  <w:num w:numId="8">
    <w:abstractNumId w:val="1"/>
  </w:num>
  <w:num w:numId="9">
    <w:abstractNumId w:val="5"/>
  </w:num>
  <w:num w:numId="10">
    <w:abstractNumId w:val="8"/>
  </w:num>
  <w:num w:numId="11">
    <w:abstractNumId w:val="9"/>
  </w:num>
  <w:num w:numId="12">
    <w:abstractNumId w:val="2"/>
  </w:num>
  <w:num w:numId="13">
    <w:abstractNumId w:val="3"/>
  </w:num>
  <w:num w:numId="14">
    <w:abstractNumId w:val="0"/>
  </w:num>
  <w:num w:numId="15">
    <w:abstractNumId w:val="15"/>
    <w:lvlOverride w:ilvl="0">
      <w:startOverride w:val="1"/>
    </w:lvlOverride>
  </w:num>
  <w:num w:numId="16">
    <w:abstractNumId w:val="14"/>
    <w:lvlOverride w:ilvl="0">
      <w:startOverride w:val="1"/>
    </w:lvlOverride>
  </w:num>
  <w:num w:numId="17">
    <w:abstractNumId w:val="13"/>
    <w:lvlOverride w:ilvl="0">
      <w:startOverride w:val="1"/>
    </w:lvlOverride>
  </w:num>
  <w:num w:numId="18">
    <w:abstractNumId w:val="1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045C8E"/>
    <w:rsid w:val="005B63DD"/>
    <w:rsid w:val="006529EB"/>
    <w:rsid w:val="00912928"/>
    <w:rsid w:val="009A489F"/>
    <w:rsid w:val="00C76DF2"/>
    <w:rsid w:val="00E16E7A"/>
    <w:rsid w:val="00F60D22"/>
    <w:rsid w:val="0591738A"/>
    <w:rsid w:val="0E3B58C3"/>
    <w:rsid w:val="11494223"/>
    <w:rsid w:val="28045C8E"/>
    <w:rsid w:val="2A0F547E"/>
    <w:rsid w:val="2E136F43"/>
    <w:rsid w:val="36200A61"/>
    <w:rsid w:val="41C66245"/>
    <w:rsid w:val="4BA21192"/>
    <w:rsid w:val="50AE763B"/>
    <w:rsid w:val="5C9270D4"/>
    <w:rsid w:val="761516C8"/>
    <w:rsid w:val="783645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ind w:left="678"/>
      <w:outlineLvl w:val="0"/>
    </w:pPr>
    <w:rPr>
      <w:rFonts w:ascii="Microsoft JhengHei" w:hAnsi="Microsoft JhengHei" w:eastAsia="Microsoft JhengHei"/>
      <w:b/>
      <w:bCs/>
      <w:sz w:val="28"/>
      <w:szCs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eastAsia="仿宋_GB2312"/>
      <w:sz w:val="30"/>
    </w:rPr>
  </w:style>
  <w:style w:type="paragraph" w:styleId="4">
    <w:name w:val="Body Text Indent"/>
    <w:basedOn w:val="1"/>
    <w:next w:val="1"/>
    <w:qFormat/>
    <w:uiPriority w:val="0"/>
    <w:pPr>
      <w:tabs>
        <w:tab w:val="left" w:pos="0"/>
        <w:tab w:val="left" w:pos="993"/>
        <w:tab w:val="left" w:pos="1134"/>
      </w:tabs>
      <w:spacing w:line="500" w:lineRule="exact"/>
      <w:ind w:firstLine="567"/>
    </w:pPr>
    <w:rPr>
      <w:rFonts w:ascii="宋体" w:hAnsi="Calibri"/>
      <w:sz w:val="28"/>
      <w:szCs w:val="2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envelope return"/>
    <w:basedOn w:val="1"/>
    <w:next w:val="7"/>
    <w:qFormat/>
    <w:uiPriority w:val="0"/>
    <w:pPr>
      <w:snapToGrid w:val="0"/>
    </w:pPr>
    <w:rPr>
      <w:rFonts w:ascii="Calibri Light" w:hAnsi="Calibri Light"/>
    </w:rPr>
  </w:style>
  <w:style w:type="paragraph" w:styleId="7">
    <w:name w:val="Title"/>
    <w:basedOn w:val="1"/>
    <w:next w:val="1"/>
    <w:qFormat/>
    <w:uiPriority w:val="10"/>
    <w:pPr>
      <w:spacing w:before="240" w:after="60"/>
      <w:jc w:val="center"/>
      <w:outlineLvl w:val="0"/>
    </w:pPr>
    <w:rPr>
      <w:rFonts w:ascii="Cambria" w:hAnsi="Cambria"/>
      <w:b/>
      <w:bCs/>
      <w:kern w:val="0"/>
      <w:sz w:val="32"/>
      <w:szCs w:val="32"/>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List"/>
    <w:basedOn w:val="1"/>
    <w:unhideWhenUsed/>
    <w:qFormat/>
    <w:uiPriority w:val="0"/>
    <w:pPr>
      <w:ind w:left="200" w:hanging="200" w:hangingChars="200"/>
    </w:pPr>
    <w:rPr>
      <w:szCs w:val="22"/>
    </w:rPr>
  </w:style>
  <w:style w:type="paragraph" w:styleId="10">
    <w:name w:val="Body Text 2"/>
    <w:basedOn w:val="1"/>
    <w:qFormat/>
    <w:uiPriority w:val="0"/>
    <w:rPr>
      <w:rFonts w:ascii="华文细黑" w:hAnsi="华文细黑" w:eastAsia="华文细黑"/>
      <w:b/>
      <w:bCs/>
      <w:sz w:val="24"/>
    </w:rPr>
  </w:style>
  <w:style w:type="paragraph" w:styleId="11">
    <w:name w:val="Normal (Web)"/>
    <w:basedOn w:val="1"/>
    <w:semiHidden/>
    <w:unhideWhenUsed/>
    <w:qFormat/>
    <w:uiPriority w:val="0"/>
    <w:rPr>
      <w:rFonts w:ascii="Calibri" w:hAnsi="Calibri"/>
      <w:sz w:val="24"/>
    </w:rPr>
  </w:style>
  <w:style w:type="paragraph" w:styleId="12">
    <w:name w:val="Body Text First Indent"/>
    <w:basedOn w:val="2"/>
    <w:next w:val="13"/>
    <w:qFormat/>
    <w:uiPriority w:val="0"/>
    <w:pPr>
      <w:spacing w:after="120"/>
      <w:ind w:left="300" w:firstLine="420"/>
    </w:pPr>
    <w:rPr>
      <w:rFonts w:ascii="宋体" w:hAnsi="Verdana"/>
      <w:lang w:val="en-GB"/>
    </w:rPr>
  </w:style>
  <w:style w:type="paragraph" w:styleId="13">
    <w:name w:val="Body Text First Indent 2"/>
    <w:basedOn w:val="4"/>
    <w:next w:val="1"/>
    <w:qFormat/>
    <w:uiPriority w:val="0"/>
    <w:pPr>
      <w:ind w:firstLine="420"/>
    </w:pPr>
  </w:style>
  <w:style w:type="paragraph" w:customStyle="1" w:styleId="16">
    <w:name w:val="正文1"/>
    <w:next w:val="4"/>
    <w:qFormat/>
    <w:uiPriority w:val="0"/>
    <w:pPr>
      <w:widowControl w:val="0"/>
      <w:jc w:val="both"/>
    </w:pPr>
    <w:rPr>
      <w:rFonts w:ascii="Times New Roman" w:hAnsi="Times New Roman" w:eastAsia="宋体" w:cs="Times New Roman"/>
      <w:kern w:val="2"/>
      <w:sz w:val="21"/>
      <w:lang w:val="en-US" w:eastAsia="zh-CN" w:bidi="ar-SA"/>
    </w:rPr>
  </w:style>
  <w:style w:type="paragraph" w:styleId="17">
    <w:name w:val="List Paragraph"/>
    <w:basedOn w:val="1"/>
    <w:qFormat/>
    <w:uiPriority w:val="0"/>
    <w:pPr>
      <w:widowControl/>
      <w:suppressAutoHyphens/>
      <w:spacing w:line="440" w:lineRule="exact"/>
      <w:ind w:left="720" w:firstLine="200"/>
      <w:jc w:val="left"/>
    </w:pPr>
    <w:rPr>
      <w:rFonts w:ascii="Calibri" w:hAnsi="Calibri" w:cs="宋体"/>
      <w:sz w:val="24"/>
      <w:lang w:eastAsia="ar-SA"/>
    </w:rPr>
  </w:style>
  <w:style w:type="paragraph" w:customStyle="1" w:styleId="18">
    <w:name w:val="正文（缩进）"/>
    <w:basedOn w:val="1"/>
    <w:qFormat/>
    <w:uiPriority w:val="99"/>
    <w:pPr>
      <w:ind w:firstLine="48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20352</Words>
  <Characters>21331</Characters>
  <Lines>180</Lines>
  <Paragraphs>50</Paragraphs>
  <TotalTime>77</TotalTime>
  <ScaleCrop>false</ScaleCrop>
  <LinksUpToDate>false</LinksUpToDate>
  <CharactersWithSpaces>22141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2025-03-24T08:41:00Z</dcterms:created>
  <dc:creator>朱华卿</dc:creator>
  <cp:lastModifiedBy>杨继业</cp:lastModifiedBy>
  <cp:lastPrinted>2025-04-07T09:18:50Z</cp:lastPrinted>
  <dcterms:modified xsi:type="dcterms:W3CDTF">2025-04-07T09:50:25Z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80099490076547A0A06E8C4C6CA9369D_13</vt:lpwstr>
  </property>
  <property fmtid="{D5CDD505-2E9C-101B-9397-08002B2CF9AE}" pid="4" name="KSOTemplateDocerSaveRecord">
    <vt:lpwstr>eyJoZGlkIjoiYzY1NzliYTg4OTAwY2QzYTAwZmJiY2I0OGViMmU5ZTIiLCJ1c2VySWQiOiIxNjU5Nzk0MDE0In0=</vt:lpwstr>
  </property>
</Properties>
</file>