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F82BD9">
      <w:pPr>
        <w:snapToGrid w:val="0"/>
        <w:spacing w:line="360" w:lineRule="auto"/>
        <w:ind w:firstLine="0" w:firstLineChars="0"/>
        <w:jc w:val="center"/>
        <w:rPr>
          <w:rFonts w:ascii="宋体" w:hAnsi="宋体" w:cs="宋体"/>
          <w:b/>
          <w:bCs w:val="0"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 w:val="0"/>
          <w:color w:val="auto"/>
          <w:kern w:val="0"/>
          <w:sz w:val="28"/>
          <w:szCs w:val="28"/>
          <w:highlight w:val="none"/>
        </w:rPr>
        <w:t>江苏长江水务股份有限公司</w:t>
      </w:r>
      <w:r>
        <w:rPr>
          <w:rFonts w:hint="eastAsia" w:ascii="宋体" w:hAnsi="宋体" w:cs="宋体"/>
          <w:b/>
          <w:bCs w:val="0"/>
          <w:color w:val="auto"/>
          <w:kern w:val="0"/>
          <w:sz w:val="28"/>
          <w:szCs w:val="28"/>
          <w:highlight w:val="none"/>
          <w:lang w:eastAsia="zh-CN"/>
        </w:rPr>
        <w:t>202</w:t>
      </w:r>
      <w:r>
        <w:rPr>
          <w:rFonts w:hint="eastAsia" w:ascii="宋体" w:hAnsi="宋体" w:cs="宋体"/>
          <w:b/>
          <w:bCs w:val="0"/>
          <w:color w:val="auto"/>
          <w:kern w:val="0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宋体" w:hAnsi="宋体" w:cs="宋体"/>
          <w:b/>
          <w:bCs w:val="0"/>
          <w:color w:val="auto"/>
          <w:kern w:val="0"/>
          <w:sz w:val="28"/>
          <w:szCs w:val="28"/>
          <w:highlight w:val="none"/>
        </w:rPr>
        <w:t>年度二次供水泵房改造所需设备及相关服务项目</w:t>
      </w:r>
    </w:p>
    <w:p w14:paraId="1D7D0109">
      <w:pPr>
        <w:snapToGrid w:val="0"/>
        <w:spacing w:line="360" w:lineRule="auto"/>
        <w:ind w:firstLine="0" w:firstLineChars="0"/>
        <w:jc w:val="center"/>
        <w:rPr>
          <w:rFonts w:ascii="宋体" w:hAnsi="宋体" w:cs="宋体"/>
          <w:color w:val="auto"/>
          <w:kern w:val="0"/>
          <w:highlight w:val="none"/>
        </w:rPr>
      </w:pPr>
      <w:r>
        <w:rPr>
          <w:rFonts w:hint="eastAsia" w:ascii="宋体" w:hAnsi="宋体" w:cs="宋体"/>
          <w:b/>
          <w:bCs w:val="0"/>
          <w:color w:val="auto"/>
          <w:kern w:val="0"/>
          <w:sz w:val="28"/>
          <w:szCs w:val="28"/>
          <w:highlight w:val="none"/>
        </w:rPr>
        <w:t>招标公告</w:t>
      </w:r>
    </w:p>
    <w:p w14:paraId="3C60D283">
      <w:pPr>
        <w:snapToGrid w:val="0"/>
        <w:spacing w:line="360" w:lineRule="auto"/>
        <w:ind w:firstLine="0" w:firstLineChars="0"/>
        <w:jc w:val="center"/>
        <w:rPr>
          <w:rFonts w:hint="default" w:ascii="宋体" w:hAnsi="宋体" w:eastAsia="宋体" w:cs="宋体"/>
          <w:color w:val="auto"/>
          <w:kern w:val="0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highlight w:val="none"/>
        </w:rPr>
        <w:t>招标编号：</w:t>
      </w:r>
      <w:r>
        <w:rPr>
          <w:rFonts w:hint="eastAsia" w:ascii="宋体" w:hAnsi="宋体" w:cs="宋体"/>
          <w:color w:val="auto"/>
          <w:kern w:val="0"/>
          <w:highlight w:val="none"/>
          <w:lang w:val="en-US" w:eastAsia="zh-CN"/>
        </w:rPr>
        <w:t>JSMC-20250503</w:t>
      </w:r>
    </w:p>
    <w:p w14:paraId="1E5EF173">
      <w:pPr>
        <w:wordWrap w:val="0"/>
        <w:snapToGrid w:val="0"/>
        <w:spacing w:line="360" w:lineRule="auto"/>
        <w:ind w:firstLine="422"/>
        <w:outlineLvl w:val="1"/>
        <w:rPr>
          <w:rFonts w:ascii="宋体" w:hAnsi="宋体" w:cs="宋体"/>
          <w:b/>
          <w:bCs/>
          <w:color w:val="auto"/>
          <w:kern w:val="0"/>
          <w:szCs w:val="21"/>
          <w:highlight w:val="none"/>
        </w:rPr>
      </w:pPr>
      <w:bookmarkStart w:id="0" w:name="_Toc90931723"/>
      <w:r>
        <w:rPr>
          <w:rFonts w:hint="eastAsia" w:ascii="宋体" w:hAnsi="宋体" w:cs="宋体"/>
          <w:b/>
          <w:bCs/>
          <w:color w:val="auto"/>
          <w:kern w:val="0"/>
          <w:szCs w:val="21"/>
          <w:highlight w:val="none"/>
        </w:rPr>
        <w:t>一、招标条件</w:t>
      </w:r>
      <w:bookmarkEnd w:id="0"/>
    </w:p>
    <w:p w14:paraId="2DC54EBC">
      <w:pPr>
        <w:wordWrap w:val="0"/>
        <w:snapToGrid w:val="0"/>
        <w:spacing w:line="360" w:lineRule="auto"/>
        <w:rPr>
          <w:rFonts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本招标项目</w:t>
      </w:r>
      <w:r>
        <w:rPr>
          <w:rFonts w:hint="eastAsia" w:ascii="宋体" w:hAnsi="宋体" w:cs="宋体"/>
          <w:bCs/>
          <w:color w:val="auto"/>
          <w:kern w:val="0"/>
          <w:szCs w:val="21"/>
          <w:highlight w:val="none"/>
        </w:rPr>
        <w:t>江苏长江水务股份有限公司</w:t>
      </w:r>
      <w:r>
        <w:rPr>
          <w:rFonts w:hint="eastAsia" w:ascii="宋体" w:hAnsi="宋体" w:cs="宋体"/>
          <w:bCs/>
          <w:color w:val="auto"/>
          <w:kern w:val="0"/>
          <w:szCs w:val="21"/>
          <w:highlight w:val="none"/>
          <w:lang w:eastAsia="zh-CN"/>
        </w:rPr>
        <w:t>202</w:t>
      </w:r>
      <w:r>
        <w:rPr>
          <w:rFonts w:hint="eastAsia" w:ascii="宋体" w:hAnsi="宋体" w:cs="宋体"/>
          <w:bCs/>
          <w:color w:val="auto"/>
          <w:kern w:val="0"/>
          <w:szCs w:val="21"/>
          <w:highlight w:val="none"/>
          <w:lang w:val="en-US" w:eastAsia="zh-CN"/>
        </w:rPr>
        <w:t>5</w:t>
      </w:r>
      <w:r>
        <w:rPr>
          <w:rFonts w:hint="eastAsia" w:ascii="宋体" w:hAnsi="宋体" w:cs="宋体"/>
          <w:bCs/>
          <w:color w:val="auto"/>
          <w:kern w:val="0"/>
          <w:szCs w:val="21"/>
          <w:highlight w:val="none"/>
        </w:rPr>
        <w:t>年度二次供水泵房改造所需设备及相关服务项目,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招标人为</w:t>
      </w:r>
      <w:r>
        <w:rPr>
          <w:rFonts w:hint="eastAsia" w:ascii="宋体" w:hAnsi="宋体" w:cs="宋体"/>
          <w:bCs/>
          <w:color w:val="auto"/>
          <w:kern w:val="0"/>
          <w:szCs w:val="21"/>
          <w:highlight w:val="none"/>
        </w:rPr>
        <w:t>江苏长江水务股份有限公司，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项目资金来源为自筹。本项目已具备招标条件，现招标方式为公开招标。</w:t>
      </w:r>
    </w:p>
    <w:p w14:paraId="0295E69F">
      <w:pPr>
        <w:snapToGrid w:val="0"/>
        <w:spacing w:line="360" w:lineRule="auto"/>
        <w:ind w:firstLine="422"/>
        <w:outlineLvl w:val="1"/>
        <w:rPr>
          <w:rFonts w:ascii="宋体" w:hAnsi="宋体" w:cs="宋体"/>
          <w:b/>
          <w:bCs/>
          <w:color w:val="auto"/>
          <w:kern w:val="0"/>
          <w:szCs w:val="21"/>
          <w:highlight w:val="none"/>
        </w:rPr>
      </w:pPr>
      <w:bookmarkStart w:id="1" w:name="_Toc90931724"/>
      <w:r>
        <w:rPr>
          <w:rFonts w:hint="eastAsia" w:ascii="宋体" w:hAnsi="宋体" w:cs="宋体"/>
          <w:b/>
          <w:bCs/>
          <w:color w:val="auto"/>
          <w:kern w:val="0"/>
          <w:szCs w:val="21"/>
          <w:highlight w:val="none"/>
        </w:rPr>
        <w:t>二、项目概况和招标范围</w:t>
      </w:r>
      <w:bookmarkEnd w:id="1"/>
    </w:p>
    <w:p w14:paraId="66BDA0E8">
      <w:pPr>
        <w:snapToGrid w:val="0"/>
        <w:spacing w:line="360" w:lineRule="auto"/>
        <w:jc w:val="left"/>
        <w:rPr>
          <w:rFonts w:ascii="宋体" w:hAnsi="宋体"/>
          <w:color w:val="auto"/>
          <w:kern w:val="0"/>
          <w:szCs w:val="21"/>
          <w:highlight w:val="none"/>
        </w:rPr>
      </w:pPr>
      <w:r>
        <w:rPr>
          <w:rFonts w:hint="eastAsia" w:ascii="宋体" w:hAnsi="宋体"/>
          <w:color w:val="auto"/>
          <w:kern w:val="0"/>
          <w:szCs w:val="21"/>
          <w:highlight w:val="none"/>
        </w:rPr>
        <w:t>项目简要说明：本次招标的是江苏长江水务股份有限公司202</w:t>
      </w:r>
      <w:r>
        <w:rPr>
          <w:rFonts w:hint="eastAsia" w:ascii="宋体" w:hAnsi="宋体"/>
          <w:color w:val="auto"/>
          <w:kern w:val="0"/>
          <w:szCs w:val="21"/>
          <w:highlight w:val="none"/>
          <w:lang w:val="en-US" w:eastAsia="zh-CN"/>
        </w:rPr>
        <w:t>5</w:t>
      </w:r>
      <w:r>
        <w:rPr>
          <w:rFonts w:hint="eastAsia" w:ascii="宋体" w:hAnsi="宋体"/>
          <w:color w:val="auto"/>
          <w:kern w:val="0"/>
          <w:szCs w:val="21"/>
          <w:highlight w:val="none"/>
        </w:rPr>
        <w:t>年度二次供水泵房改造所需设备采购项目。采购内容包括江苏长江水务股份有限公司3</w:t>
      </w:r>
      <w:r>
        <w:rPr>
          <w:rFonts w:hint="eastAsia" w:ascii="宋体" w:hAnsi="宋体"/>
          <w:color w:val="auto"/>
          <w:kern w:val="0"/>
          <w:szCs w:val="21"/>
          <w:highlight w:val="none"/>
          <w:lang w:val="en-US" w:eastAsia="zh-CN"/>
        </w:rPr>
        <w:t>0</w:t>
      </w:r>
      <w:r>
        <w:rPr>
          <w:rFonts w:hint="eastAsia" w:ascii="宋体" w:hAnsi="宋体"/>
          <w:color w:val="auto"/>
          <w:kern w:val="0"/>
          <w:szCs w:val="21"/>
          <w:highlight w:val="none"/>
        </w:rPr>
        <w:t>座二次供水泵房加压控制柜改造及反恐技防系统所需设备、材料，随设备提供的备品配件及专用工具等。</w:t>
      </w:r>
    </w:p>
    <w:p w14:paraId="3D8714B0">
      <w:pPr>
        <w:snapToGrid w:val="0"/>
        <w:spacing w:line="360" w:lineRule="auto"/>
        <w:jc w:val="left"/>
        <w:rPr>
          <w:rFonts w:ascii="宋体" w:hAnsi="宋体" w:cs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kern w:val="0"/>
          <w:szCs w:val="21"/>
          <w:highlight w:val="none"/>
        </w:rPr>
        <w:t>交付时间：合同签订后90日内完成采购范围全部内容，调试验收合格，交付招标人使用。</w:t>
      </w:r>
    </w:p>
    <w:p w14:paraId="536A1E62">
      <w:pPr>
        <w:snapToGrid w:val="0"/>
        <w:spacing w:line="360" w:lineRule="auto"/>
        <w:jc w:val="left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服务期限：</w:t>
      </w:r>
      <w:r>
        <w:rPr>
          <w:rFonts w:hint="eastAsia" w:ascii="宋体" w:hAnsi="宋体" w:cs="宋体"/>
          <w:color w:val="auto"/>
          <w:szCs w:val="21"/>
          <w:highlight w:val="none"/>
        </w:rPr>
        <w:t>合同签订后，供方自收到需方电话通知或传真后90日内设备、材料全部运抵需方指定的使用现场，并按需方要求负责安装、调试指导工作，直至供、需双方共同验收合格，交付使用。</w:t>
      </w:r>
    </w:p>
    <w:p w14:paraId="2E4F9460">
      <w:pPr>
        <w:snapToGrid w:val="0"/>
        <w:spacing w:line="360" w:lineRule="auto"/>
        <w:jc w:val="left"/>
        <w:rPr>
          <w:rFonts w:ascii="宋体" w:hAnsi="宋体" w:cs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kern w:val="0"/>
          <w:szCs w:val="21"/>
          <w:highlight w:val="none"/>
        </w:rPr>
        <w:t>报价有效期限：2年（从签订合同之日起计算）</w:t>
      </w:r>
    </w:p>
    <w:p w14:paraId="03268AF7">
      <w:pPr>
        <w:wordWrap w:val="0"/>
        <w:overflowPunct w:val="0"/>
        <w:topLinePunct/>
        <w:snapToGrid w:val="0"/>
        <w:spacing w:line="360" w:lineRule="auto"/>
        <w:jc w:val="left"/>
        <w:textAlignment w:val="top"/>
        <w:rPr>
          <w:rFonts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标包划分：1个标包。</w:t>
      </w:r>
    </w:p>
    <w:p w14:paraId="5B792104">
      <w:pPr>
        <w:snapToGrid w:val="0"/>
        <w:spacing w:line="360" w:lineRule="auto"/>
        <w:ind w:firstLineChars="0"/>
        <w:outlineLvl w:val="1"/>
        <w:rPr>
          <w:rFonts w:ascii="宋体" w:hAnsi="宋体" w:cs="宋体"/>
          <w:b/>
          <w:bCs/>
          <w:color w:val="auto"/>
          <w:kern w:val="0"/>
          <w:szCs w:val="21"/>
          <w:highlight w:val="none"/>
        </w:rPr>
      </w:pPr>
      <w:bookmarkStart w:id="2" w:name="_Toc90931725"/>
      <w:r>
        <w:rPr>
          <w:rFonts w:hint="eastAsia" w:ascii="宋体" w:hAnsi="宋体" w:cs="宋体"/>
          <w:b/>
          <w:bCs/>
          <w:color w:val="auto"/>
          <w:kern w:val="0"/>
          <w:szCs w:val="21"/>
          <w:highlight w:val="none"/>
        </w:rPr>
        <w:t>三、投标人资格要求</w:t>
      </w:r>
      <w:bookmarkEnd w:id="2"/>
    </w:p>
    <w:p w14:paraId="71338424">
      <w:pPr>
        <w:snapToGrid w:val="0"/>
        <w:spacing w:line="360" w:lineRule="auto"/>
        <w:rPr>
          <w:rFonts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1、投标人具有独立订立合同的能力。（提供营业执照复印件）。</w:t>
      </w:r>
    </w:p>
    <w:p w14:paraId="5FFB7284">
      <w:pPr>
        <w:snapToGrid w:val="0"/>
        <w:spacing w:line="360" w:lineRule="auto"/>
        <w:rPr>
          <w:rFonts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2、投标人具有低压电气3C证书（提供证书复印件）或提供强制性产品认证自我声明。（提供证书复印件）。</w:t>
      </w:r>
    </w:p>
    <w:p w14:paraId="011B7E1E">
      <w:pPr>
        <w:snapToGrid w:val="0"/>
        <w:spacing w:line="360" w:lineRule="auto"/>
        <w:rPr>
          <w:rFonts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3、投标人应具有良好的银行资信和商业信誉，未处于被责令停业或破产状态，且资产未被重组、接管和冻结，未被“信用中国”网站（www.creditchina.gov.cn）列入失信被执行人、重大税收违法案件当事人名单、政府采购严重失信行为记录名单。提供承诺书（格式自拟）及网站截图。</w:t>
      </w:r>
    </w:p>
    <w:p w14:paraId="5205D521">
      <w:pPr>
        <w:snapToGrid w:val="0"/>
        <w:spacing w:line="360" w:lineRule="auto"/>
        <w:rPr>
          <w:rFonts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4、投标人须提供能接入现有二次供水泵站监控平台数据融合承诺书。</w:t>
      </w:r>
    </w:p>
    <w:p w14:paraId="14EA6C03">
      <w:pPr>
        <w:snapToGrid w:val="0"/>
        <w:spacing w:line="360" w:lineRule="auto"/>
        <w:rPr>
          <w:rFonts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5、本项目不接受代理商投标。</w:t>
      </w:r>
    </w:p>
    <w:p w14:paraId="64F68788">
      <w:pPr>
        <w:snapToGrid w:val="0"/>
        <w:spacing w:line="360" w:lineRule="auto"/>
        <w:rPr>
          <w:rFonts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6、本项目不接受联合体。</w:t>
      </w:r>
    </w:p>
    <w:p w14:paraId="2E82C8CD">
      <w:pPr>
        <w:snapToGrid w:val="0"/>
        <w:spacing w:line="360" w:lineRule="auto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7、本次招标实行资格后审，资格后审不合格的投标人投标文件将按否决投标处理。</w:t>
      </w:r>
    </w:p>
    <w:p w14:paraId="34A528D4">
      <w:pPr>
        <w:snapToGrid w:val="0"/>
        <w:spacing w:line="360" w:lineRule="auto"/>
        <w:ind w:firstLine="422"/>
        <w:outlineLvl w:val="1"/>
        <w:rPr>
          <w:rFonts w:ascii="宋体" w:hAnsi="宋体" w:cs="宋体"/>
          <w:b/>
          <w:bCs/>
          <w:color w:val="auto"/>
          <w:kern w:val="0"/>
          <w:szCs w:val="21"/>
          <w:highlight w:val="none"/>
        </w:rPr>
      </w:pPr>
      <w:bookmarkStart w:id="3" w:name="_Toc90931726"/>
      <w:r>
        <w:rPr>
          <w:rFonts w:hint="eastAsia" w:ascii="宋体" w:hAnsi="宋体" w:cs="宋体"/>
          <w:b/>
          <w:bCs/>
          <w:color w:val="auto"/>
          <w:kern w:val="0"/>
          <w:szCs w:val="21"/>
          <w:highlight w:val="none"/>
        </w:rPr>
        <w:t>四、招标文件的获取</w:t>
      </w:r>
      <w:bookmarkEnd w:id="3"/>
    </w:p>
    <w:p w14:paraId="66E5A20F">
      <w:pPr>
        <w:snapToGrid w:val="0"/>
        <w:spacing w:line="360" w:lineRule="auto"/>
        <w:rPr>
          <w:rFonts w:hint="eastAsia" w:ascii="宋体" w:hAnsi="宋体" w:eastAsia="宋体" w:cs="宋体"/>
          <w:color w:val="auto"/>
          <w:kern w:val="0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获取时间：从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eastAsia="zh-CN"/>
        </w:rPr>
        <w:t>202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5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年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6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月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11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日到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eastAsia="zh-CN"/>
        </w:rPr>
        <w:t>202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5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年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6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月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18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日每天上午9:00-11:30，下午2:30-5：30（法定节假日除外）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 xml:space="preserve"> </w:t>
      </w:r>
    </w:p>
    <w:p w14:paraId="69150CFC">
      <w:pPr>
        <w:snapToGrid w:val="0"/>
        <w:spacing w:line="360" w:lineRule="auto"/>
        <w:rPr>
          <w:rFonts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获取方式：供应商携带营业执照副本复印件（盖章）、法定代表人授权委托书原件、委托代理人居民身份证原件到江苏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明诚工程管理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有限公司招标代理部（扬州市邗江区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鸿扬路20号文汇工业园9号楼4楼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）报名领取招标文件。</w:t>
      </w:r>
    </w:p>
    <w:p w14:paraId="6F5B5A8B">
      <w:pPr>
        <w:snapToGrid w:val="0"/>
        <w:spacing w:line="360" w:lineRule="auto"/>
        <w:ind w:firstLine="422"/>
        <w:outlineLvl w:val="1"/>
        <w:rPr>
          <w:rFonts w:ascii="宋体" w:hAnsi="宋体" w:cs="宋体"/>
          <w:b/>
          <w:bCs/>
          <w:color w:val="auto"/>
          <w:kern w:val="0"/>
          <w:szCs w:val="21"/>
          <w:highlight w:val="none"/>
        </w:rPr>
      </w:pPr>
      <w:bookmarkStart w:id="4" w:name="_Toc90931727"/>
      <w:r>
        <w:rPr>
          <w:rFonts w:hint="eastAsia" w:ascii="宋体" w:hAnsi="宋体" w:cs="宋体"/>
          <w:b/>
          <w:bCs/>
          <w:color w:val="auto"/>
          <w:kern w:val="0"/>
          <w:szCs w:val="21"/>
          <w:highlight w:val="none"/>
        </w:rPr>
        <w:t>五、投标文件的递交</w:t>
      </w:r>
      <w:bookmarkEnd w:id="4"/>
    </w:p>
    <w:p w14:paraId="0648D91D">
      <w:pPr>
        <w:adjustRightInd w:val="0"/>
        <w:snapToGrid w:val="0"/>
        <w:spacing w:line="360" w:lineRule="auto"/>
        <w:ind w:firstLine="424" w:firstLineChars="202"/>
        <w:rPr>
          <w:rFonts w:ascii="宋体" w:hAnsi="宋体" w:cs="宋体"/>
          <w:bCs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bCs/>
          <w:color w:val="auto"/>
          <w:kern w:val="0"/>
          <w:szCs w:val="21"/>
          <w:highlight w:val="none"/>
        </w:rPr>
        <w:t>纸质投标文件递交截止时间：</w:t>
      </w:r>
      <w:r>
        <w:rPr>
          <w:rFonts w:hint="eastAsia" w:ascii="宋体" w:hAnsi="宋体" w:cs="宋体"/>
          <w:bCs/>
          <w:color w:val="auto"/>
          <w:kern w:val="0"/>
          <w:szCs w:val="21"/>
          <w:highlight w:val="none"/>
          <w:lang w:eastAsia="zh-CN"/>
        </w:rPr>
        <w:t>202</w:t>
      </w:r>
      <w:r>
        <w:rPr>
          <w:rFonts w:hint="eastAsia" w:ascii="宋体" w:hAnsi="宋体" w:cs="宋体"/>
          <w:bCs/>
          <w:color w:val="auto"/>
          <w:kern w:val="0"/>
          <w:szCs w:val="21"/>
          <w:highlight w:val="none"/>
          <w:lang w:val="en-US" w:eastAsia="zh-CN"/>
        </w:rPr>
        <w:t>5</w:t>
      </w:r>
      <w:r>
        <w:rPr>
          <w:rFonts w:hint="eastAsia" w:ascii="宋体" w:hAnsi="宋体" w:cs="宋体"/>
          <w:bCs/>
          <w:color w:val="auto"/>
          <w:kern w:val="0"/>
          <w:szCs w:val="21"/>
          <w:highlight w:val="none"/>
        </w:rPr>
        <w:t>年</w:t>
      </w:r>
      <w:r>
        <w:rPr>
          <w:rFonts w:hint="eastAsia" w:ascii="宋体" w:hAnsi="宋体" w:cs="宋体"/>
          <w:bCs/>
          <w:color w:val="auto"/>
          <w:kern w:val="0"/>
          <w:szCs w:val="21"/>
          <w:highlight w:val="none"/>
          <w:u w:val="single"/>
          <w:lang w:val="en-US" w:eastAsia="zh-CN"/>
        </w:rPr>
        <w:t xml:space="preserve"> 7 </w:t>
      </w:r>
      <w:r>
        <w:rPr>
          <w:rFonts w:hint="eastAsia" w:ascii="宋体" w:hAnsi="宋体" w:cs="宋体"/>
          <w:bCs/>
          <w:color w:val="auto"/>
          <w:kern w:val="0"/>
          <w:szCs w:val="21"/>
          <w:highlight w:val="none"/>
        </w:rPr>
        <w:t>月</w:t>
      </w:r>
      <w:r>
        <w:rPr>
          <w:rFonts w:hint="eastAsia" w:ascii="宋体" w:hAnsi="宋体" w:cs="宋体"/>
          <w:bCs/>
          <w:color w:val="auto"/>
          <w:kern w:val="0"/>
          <w:szCs w:val="21"/>
          <w:highlight w:val="none"/>
          <w:u w:val="single"/>
          <w:lang w:val="en-US" w:eastAsia="zh-CN"/>
        </w:rPr>
        <w:t xml:space="preserve"> 2 </w:t>
      </w:r>
      <w:r>
        <w:rPr>
          <w:rFonts w:hint="eastAsia" w:ascii="宋体" w:hAnsi="宋体" w:cs="宋体"/>
          <w:bCs/>
          <w:color w:val="auto"/>
          <w:kern w:val="0"/>
          <w:szCs w:val="21"/>
          <w:highlight w:val="none"/>
        </w:rPr>
        <w:t>日</w:t>
      </w:r>
      <w:r>
        <w:rPr>
          <w:rFonts w:hint="eastAsia" w:ascii="宋体" w:hAnsi="宋体" w:cs="宋体"/>
          <w:bCs/>
          <w:color w:val="auto"/>
          <w:kern w:val="0"/>
          <w:szCs w:val="21"/>
          <w:highlight w:val="none"/>
          <w:lang w:val="en-US" w:eastAsia="zh-CN"/>
        </w:rPr>
        <w:t>下</w:t>
      </w:r>
      <w:r>
        <w:rPr>
          <w:rFonts w:hint="eastAsia" w:ascii="宋体" w:hAnsi="宋体" w:cs="宋体"/>
          <w:bCs/>
          <w:color w:val="auto"/>
          <w:kern w:val="0"/>
          <w:szCs w:val="21"/>
          <w:highlight w:val="none"/>
        </w:rPr>
        <w:t>午</w:t>
      </w:r>
      <w:r>
        <w:rPr>
          <w:rFonts w:hint="eastAsia" w:ascii="宋体" w:hAnsi="宋体" w:cs="宋体"/>
          <w:bCs/>
          <w:color w:val="auto"/>
          <w:kern w:val="0"/>
          <w:szCs w:val="21"/>
          <w:highlight w:val="none"/>
          <w:lang w:val="en-US" w:eastAsia="zh-CN"/>
        </w:rPr>
        <w:t>14</w:t>
      </w:r>
      <w:r>
        <w:rPr>
          <w:rFonts w:hint="eastAsia" w:ascii="宋体" w:hAnsi="宋体" w:cs="宋体"/>
          <w:bCs/>
          <w:color w:val="auto"/>
          <w:kern w:val="0"/>
          <w:szCs w:val="21"/>
          <w:highlight w:val="none"/>
        </w:rPr>
        <w:t>：30（北京时间，下同）</w:t>
      </w:r>
    </w:p>
    <w:p w14:paraId="7F5E5640">
      <w:pPr>
        <w:adjustRightInd w:val="0"/>
        <w:snapToGrid w:val="0"/>
        <w:spacing w:line="360" w:lineRule="auto"/>
        <w:ind w:firstLine="424" w:firstLineChars="202"/>
        <w:rPr>
          <w:rFonts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bCs/>
          <w:color w:val="auto"/>
          <w:kern w:val="0"/>
          <w:szCs w:val="21"/>
          <w:highlight w:val="none"/>
        </w:rPr>
        <w:t>纸质及电子版投标文件递交地点：</w:t>
      </w:r>
      <w:bookmarkStart w:id="5" w:name="_Toc90931729"/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江苏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明诚工程管理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有限公司开标室（扬州市邗江区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鸿扬路20号文汇工业园9号楼4楼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）</w:t>
      </w:r>
    </w:p>
    <w:p w14:paraId="68697FBB">
      <w:pPr>
        <w:adjustRightInd w:val="0"/>
        <w:snapToGrid w:val="0"/>
        <w:spacing w:line="360" w:lineRule="auto"/>
        <w:ind w:firstLine="426" w:firstLineChars="202"/>
        <w:rPr>
          <w:rFonts w:ascii="宋体" w:hAnsi="宋体" w:cs="宋体"/>
          <w:b/>
          <w:bCs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Cs w:val="21"/>
          <w:highlight w:val="none"/>
        </w:rPr>
        <w:t>六、开标信息</w:t>
      </w:r>
      <w:bookmarkEnd w:id="5"/>
    </w:p>
    <w:p w14:paraId="458D6A2E">
      <w:pPr>
        <w:snapToGrid w:val="0"/>
        <w:spacing w:line="360" w:lineRule="auto"/>
        <w:rPr>
          <w:rFonts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开标时间：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eastAsia="zh-CN"/>
        </w:rPr>
        <w:t>202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5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年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7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月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2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日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下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午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 xml:space="preserve">14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：30</w:t>
      </w:r>
    </w:p>
    <w:p w14:paraId="7FCC0315">
      <w:pPr>
        <w:pStyle w:val="2"/>
        <w:rPr>
          <w:color w:val="auto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开标地点：江苏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明诚工程管理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有限公司开标室（扬州市邗江区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鸿扬路20号文汇工业园9号楼4楼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）</w:t>
      </w:r>
    </w:p>
    <w:p w14:paraId="5EEE419F">
      <w:pPr>
        <w:snapToGrid w:val="0"/>
        <w:spacing w:line="360" w:lineRule="auto"/>
        <w:ind w:firstLine="422"/>
        <w:outlineLvl w:val="1"/>
        <w:rPr>
          <w:rFonts w:ascii="宋体" w:hAnsi="宋体" w:cs="宋体"/>
          <w:b/>
          <w:bCs/>
          <w:color w:val="auto"/>
          <w:kern w:val="0"/>
          <w:szCs w:val="21"/>
          <w:highlight w:val="none"/>
        </w:rPr>
      </w:pPr>
      <w:bookmarkStart w:id="6" w:name="_Toc90931730"/>
      <w:r>
        <w:rPr>
          <w:rFonts w:hint="eastAsia" w:ascii="宋体" w:hAnsi="宋体" w:cs="宋体"/>
          <w:b/>
          <w:bCs/>
          <w:color w:val="auto"/>
          <w:kern w:val="0"/>
          <w:szCs w:val="21"/>
          <w:highlight w:val="none"/>
        </w:rPr>
        <w:t>七、其他</w:t>
      </w:r>
      <w:bookmarkEnd w:id="6"/>
    </w:p>
    <w:p w14:paraId="68235B36">
      <w:pPr>
        <w:snapToGrid w:val="0"/>
        <w:spacing w:line="360" w:lineRule="auto"/>
        <w:rPr>
          <w:rFonts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（一）逾期送达的、未送达指定地点的或者不按照招标文件要求密封的投标文件，招标人将予以拒收。</w:t>
      </w:r>
    </w:p>
    <w:p w14:paraId="680D0C42">
      <w:pPr>
        <w:snapToGrid w:val="0"/>
        <w:spacing w:line="360" w:lineRule="auto"/>
        <w:rPr>
          <w:rFonts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（二）发布公告的媒介：</w:t>
      </w:r>
      <w:bookmarkStart w:id="7" w:name="_Toc90931731"/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“扬州市公共资源交易服务平台、扬州市城建国有资产控股（集团）有限责任公司网站、江苏长江水务股份有限公司网站”</w:t>
      </w:r>
    </w:p>
    <w:p w14:paraId="2BF6F927">
      <w:pPr>
        <w:snapToGrid w:val="0"/>
        <w:spacing w:line="360" w:lineRule="auto"/>
        <w:ind w:firstLine="422"/>
        <w:rPr>
          <w:rFonts w:ascii="宋体" w:hAnsi="宋体" w:cs="宋体"/>
          <w:b/>
          <w:bCs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Cs w:val="21"/>
          <w:highlight w:val="none"/>
        </w:rPr>
        <w:t>八、联系方式</w:t>
      </w:r>
      <w:bookmarkEnd w:id="7"/>
    </w:p>
    <w:p w14:paraId="553635CB">
      <w:pPr>
        <w:snapToGrid w:val="0"/>
        <w:spacing w:line="360" w:lineRule="auto"/>
        <w:ind w:firstLine="422"/>
        <w:rPr>
          <w:rFonts w:ascii="宋体" w:hAnsi="宋体" w:cs="宋体"/>
          <w:b/>
          <w:bCs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Cs w:val="21"/>
          <w:highlight w:val="none"/>
        </w:rPr>
        <w:t>招标人：</w:t>
      </w:r>
      <w:r>
        <w:rPr>
          <w:rFonts w:hint="eastAsia" w:ascii="宋体" w:hAnsi="宋体" w:cs="宋体"/>
          <w:b/>
          <w:bCs/>
          <w:color w:val="auto"/>
          <w:kern w:val="0"/>
          <w:szCs w:val="21"/>
          <w:highlight w:val="none"/>
          <w:shd w:val="clear" w:color="auto" w:fill="FFFFFF"/>
        </w:rPr>
        <w:t>江苏长江水务股份有限公司</w:t>
      </w:r>
    </w:p>
    <w:p w14:paraId="3C5E8718">
      <w:pPr>
        <w:snapToGrid w:val="0"/>
        <w:spacing w:line="360" w:lineRule="auto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地址：扬州文汇东路249号</w:t>
      </w:r>
    </w:p>
    <w:p w14:paraId="46DDC0FF">
      <w:pPr>
        <w:snapToGrid w:val="0"/>
        <w:spacing w:line="360" w:lineRule="auto"/>
        <w:rPr>
          <w:rFonts w:hint="default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联系人：</w:t>
      </w:r>
      <w:r>
        <w:rPr>
          <w:rFonts w:hint="eastAsia" w:ascii="宋体" w:hAnsi="宋体" w:cs="宋体"/>
          <w:color w:val="auto"/>
          <w:szCs w:val="21"/>
          <w:highlight w:val="none"/>
          <w:u w:val="none"/>
          <w:lang w:val="en-US" w:eastAsia="zh-CN"/>
        </w:rPr>
        <w:t xml:space="preserve">朱工   </w:t>
      </w:r>
    </w:p>
    <w:p w14:paraId="55DFD21B">
      <w:pPr>
        <w:snapToGrid w:val="0"/>
        <w:spacing w:line="360" w:lineRule="auto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电 话：</w:t>
      </w:r>
      <w:r>
        <w:rPr>
          <w:rFonts w:ascii="宋体" w:hAnsi="宋体" w:cs="宋体"/>
          <w:color w:val="auto"/>
          <w:szCs w:val="21"/>
          <w:highlight w:val="none"/>
        </w:rPr>
        <w:t>0514-82981760</w:t>
      </w:r>
    </w:p>
    <w:p w14:paraId="49E921F2">
      <w:pPr>
        <w:snapToGrid w:val="0"/>
        <w:spacing w:line="360" w:lineRule="auto"/>
        <w:ind w:firstLine="422"/>
        <w:rPr>
          <w:rFonts w:hint="default" w:ascii="宋体" w:hAnsi="宋体" w:eastAsia="宋体" w:cs="宋体"/>
          <w:b/>
          <w:bCs/>
          <w:color w:val="auto"/>
          <w:kern w:val="0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kern w:val="0"/>
          <w:szCs w:val="21"/>
          <w:highlight w:val="none"/>
        </w:rPr>
        <w:t>招标代理机构：</w:t>
      </w:r>
      <w:r>
        <w:rPr>
          <w:rFonts w:hint="eastAsia" w:ascii="宋体" w:hAnsi="宋体" w:cs="宋体"/>
          <w:b/>
          <w:bCs/>
          <w:color w:val="auto"/>
          <w:kern w:val="0"/>
          <w:szCs w:val="21"/>
          <w:highlight w:val="none"/>
          <w:lang w:val="en-US" w:eastAsia="zh-CN"/>
        </w:rPr>
        <w:t>江苏明诚工程管理有限公司</w:t>
      </w:r>
    </w:p>
    <w:p w14:paraId="43BC216F">
      <w:pPr>
        <w:snapToGrid w:val="0"/>
        <w:spacing w:line="360" w:lineRule="auto"/>
        <w:rPr>
          <w:rFonts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地址：扬州市邗江区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鸿扬路20号文汇工业园9号楼4楼</w:t>
      </w:r>
    </w:p>
    <w:p w14:paraId="09818685">
      <w:pPr>
        <w:autoSpaceDE w:val="0"/>
        <w:autoSpaceDN w:val="0"/>
        <w:adjustRightInd w:val="0"/>
        <w:snapToGrid w:val="0"/>
        <w:spacing w:line="360" w:lineRule="auto"/>
        <w:rPr>
          <w:rFonts w:hint="default" w:ascii="宋体" w:hAnsi="宋体" w:eastAsia="宋体" w:cs="宋体"/>
          <w:color w:val="auto"/>
          <w:kern w:val="0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  <w:lang w:val="zh-CN"/>
        </w:rPr>
        <w:t>电话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18936223571</w:t>
      </w:r>
    </w:p>
    <w:p w14:paraId="7BD04699">
      <w:pPr>
        <w:snapToGrid w:val="0"/>
        <w:spacing w:line="360" w:lineRule="auto"/>
        <w:rPr>
          <w:rFonts w:hint="eastAsia" w:ascii="宋体" w:hAnsi="宋体" w:eastAsia="宋体" w:cs="宋体"/>
          <w:color w:val="auto"/>
          <w:kern w:val="0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联系人：</w:t>
      </w:r>
      <w:r>
        <w:rPr>
          <w:rFonts w:ascii="宋体" w:hAnsi="宋体" w:cs="宋体"/>
          <w:color w:val="auto"/>
          <w:kern w:val="0"/>
          <w:szCs w:val="21"/>
          <w:highlight w:val="none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王工</w:t>
      </w:r>
    </w:p>
    <w:p w14:paraId="2FA77C42">
      <w:pPr>
        <w:snapToGrid w:val="0"/>
        <w:spacing w:line="360" w:lineRule="auto"/>
        <w:rPr>
          <w:rFonts w:hint="default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电子邮件：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lang w:val="en-US" w:eastAsia="zh-CN"/>
        </w:rPr>
        <w:t>348165035@qq.com</w:t>
      </w:r>
    </w:p>
    <w:p w14:paraId="1232D3CC"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72B6D"/>
    <w:rsid w:val="072526B4"/>
    <w:rsid w:val="2E27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  <w:style w:type="paragraph" w:customStyle="1" w:styleId="5">
    <w:name w:val="首行缩进"/>
    <w:basedOn w:val="1"/>
    <w:autoRedefine/>
    <w:qFormat/>
    <w:uiPriority w:val="99"/>
    <w:pPr>
      <w:spacing w:line="360" w:lineRule="auto"/>
      <w:ind w:firstLine="480"/>
      <w:jc w:val="lef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1235</Words>
  <Characters>1355</Characters>
  <Lines>0</Lines>
  <Paragraphs>0</Paragraphs>
  <TotalTime>0</TotalTime>
  <ScaleCrop>false</ScaleCrop>
  <LinksUpToDate>false</LinksUpToDate>
  <CharactersWithSpaces>1378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2025-06-11T02:13:00Z</dcterms:created>
  <dc:creator>朱华卿</dc:creator>
  <cp:lastModifiedBy>朱华卿</cp:lastModifiedBy>
  <cp:lastPrinted>2025-06-11T02:33:26Z</cp:lastPrinted>
  <dcterms:modified xsi:type="dcterms:W3CDTF">2025-06-11T02:34:43Z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5F9109A3940443AA9ED37EA8ABFA129D_11</vt:lpwstr>
  </property>
  <property fmtid="{D5CDD505-2E9C-101B-9397-08002B2CF9AE}" pid="4" name="KSOTemplateDocerSaveRecord">
    <vt:lpwstr>eyJoZGlkIjoiMTdmZjMyMDhiY2RkZTYxNmZmYTdjOWU1MjI2YzIzZTciLCJ1c2VySWQiOiIxNjc1OTg2MDQ3In0=</vt:lpwstr>
  </property>
</Properties>
</file>