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8AF7D">
      <w:pPr>
        <w:adjustRightInd w:val="0"/>
        <w:snapToGrid w:val="0"/>
        <w:spacing w:line="1100" w:lineRule="exact"/>
        <w:jc w:val="center"/>
        <w:rPr>
          <w:rFonts w:ascii="宋体" w:hAnsi="宋体" w:eastAsia="宋体"/>
          <w:b/>
          <w:spacing w:val="28"/>
          <w:sz w:val="32"/>
          <w:szCs w:val="32"/>
        </w:rPr>
      </w:pPr>
      <w:r>
        <w:rPr>
          <w:rFonts w:hint="eastAsia" w:ascii="宋体" w:hAnsi="宋体" w:eastAsia="宋体"/>
          <w:b/>
          <w:spacing w:val="28"/>
          <w:sz w:val="32"/>
          <w:szCs w:val="32"/>
        </w:rPr>
        <w:t xml:space="preserve">                 </w:t>
      </w:r>
    </w:p>
    <w:p w14:paraId="49BA6C9A">
      <w:pPr>
        <w:adjustRightInd w:val="0"/>
        <w:snapToGrid w:val="0"/>
        <w:spacing w:line="1100" w:lineRule="exact"/>
        <w:jc w:val="center"/>
        <w:rPr>
          <w:rFonts w:ascii="仿宋_GB2312" w:hAnsi="宋体" w:eastAsia="仿宋_GB2312"/>
          <w:b/>
          <w:color w:val="000000"/>
          <w:spacing w:val="28"/>
          <w:sz w:val="52"/>
          <w:szCs w:val="48"/>
          <w:highlight w:val="none"/>
        </w:rPr>
      </w:pPr>
      <w:r>
        <w:rPr>
          <w:rFonts w:ascii="仿宋_GB2312" w:hAnsi="宋体" w:eastAsia="仿宋_GB2312"/>
          <w:b/>
          <w:color w:val="000000"/>
          <w:spacing w:val="28"/>
          <w:sz w:val="52"/>
          <w:szCs w:val="48"/>
          <w:highlight w:val="none"/>
        </w:rPr>
        <w:t>江苏长江水务股份有限公司</w:t>
      </w:r>
    </w:p>
    <w:p w14:paraId="098BE0F9">
      <w:pPr>
        <w:adjustRightInd w:val="0"/>
        <w:snapToGrid w:val="0"/>
        <w:spacing w:line="1100" w:lineRule="exact"/>
        <w:jc w:val="center"/>
        <w:rPr>
          <w:rFonts w:hint="eastAsia" w:ascii="仿宋_GB2312" w:hAnsi="宋体" w:eastAsia="仿宋_GB2312"/>
          <w:b/>
          <w:color w:val="000000"/>
          <w:spacing w:val="-2"/>
          <w:sz w:val="52"/>
          <w:szCs w:val="48"/>
          <w:highlight w:val="none"/>
          <w:lang w:eastAsia="zh-CN"/>
        </w:rPr>
      </w:pPr>
      <w:r>
        <w:rPr>
          <w:rFonts w:hint="eastAsia" w:ascii="仿宋_GB2312" w:hAnsi="宋体" w:eastAsia="仿宋_GB2312"/>
          <w:b/>
          <w:color w:val="000000"/>
          <w:spacing w:val="-2"/>
          <w:sz w:val="52"/>
          <w:szCs w:val="48"/>
          <w:highlight w:val="none"/>
          <w:lang w:eastAsia="zh-CN"/>
        </w:rPr>
        <w:t>原子吸收光谱仪</w:t>
      </w:r>
    </w:p>
    <w:p w14:paraId="46668870">
      <w:pPr>
        <w:adjustRightInd w:val="0"/>
        <w:snapToGrid w:val="0"/>
        <w:spacing w:line="1100" w:lineRule="exact"/>
        <w:rPr>
          <w:rFonts w:ascii="仿宋_GB2312" w:hAnsi="宋体" w:eastAsia="仿宋_GB2312"/>
          <w:b/>
          <w:color w:val="000000"/>
          <w:spacing w:val="28"/>
          <w:sz w:val="52"/>
          <w:szCs w:val="48"/>
          <w:highlight w:val="none"/>
        </w:rPr>
      </w:pPr>
    </w:p>
    <w:p w14:paraId="29438285">
      <w:pPr>
        <w:adjustRightInd w:val="0"/>
        <w:snapToGrid w:val="0"/>
        <w:spacing w:line="1100" w:lineRule="exact"/>
        <w:jc w:val="center"/>
        <w:rPr>
          <w:rFonts w:ascii="仿宋_GB2312" w:hAnsi="宋体" w:eastAsia="仿宋_GB2312"/>
          <w:b/>
          <w:snapToGrid w:val="0"/>
          <w:color w:val="000000"/>
          <w:sz w:val="52"/>
          <w:szCs w:val="52"/>
          <w:highlight w:val="none"/>
        </w:rPr>
      </w:pPr>
      <w:r>
        <w:rPr>
          <w:rFonts w:hint="eastAsia" w:ascii="仿宋_GB2312" w:hAnsi="宋体" w:eastAsia="仿宋_GB2312"/>
          <w:b/>
          <w:color w:val="000000"/>
          <w:spacing w:val="28"/>
          <w:sz w:val="52"/>
          <w:szCs w:val="48"/>
          <w:highlight w:val="none"/>
        </w:rPr>
        <w:t>招标文件</w:t>
      </w:r>
    </w:p>
    <w:p w14:paraId="1302C0B8">
      <w:pPr>
        <w:adjustRightInd w:val="0"/>
        <w:snapToGrid w:val="0"/>
        <w:spacing w:line="360" w:lineRule="auto"/>
        <w:ind w:firstLine="1446" w:firstLineChars="200"/>
        <w:jc w:val="center"/>
        <w:rPr>
          <w:rFonts w:ascii="仿宋_GB2312" w:hAnsi="宋体" w:eastAsia="仿宋_GB2312"/>
          <w:b/>
          <w:snapToGrid w:val="0"/>
          <w:color w:val="000000"/>
          <w:sz w:val="72"/>
          <w:highlight w:val="none"/>
        </w:rPr>
      </w:pPr>
    </w:p>
    <w:p w14:paraId="4C682339">
      <w:pPr>
        <w:adjustRightInd w:val="0"/>
        <w:snapToGrid w:val="0"/>
        <w:spacing w:line="360" w:lineRule="auto"/>
        <w:ind w:firstLine="1446" w:firstLineChars="200"/>
        <w:jc w:val="center"/>
        <w:rPr>
          <w:rFonts w:ascii="仿宋_GB2312" w:hAnsi="宋体" w:eastAsia="仿宋_GB2312"/>
          <w:b/>
          <w:snapToGrid w:val="0"/>
          <w:color w:val="000000"/>
          <w:sz w:val="72"/>
          <w:highlight w:val="none"/>
        </w:rPr>
      </w:pPr>
    </w:p>
    <w:p w14:paraId="461D770A">
      <w:pPr>
        <w:adjustRightInd w:val="0"/>
        <w:snapToGrid w:val="0"/>
        <w:spacing w:line="360" w:lineRule="auto"/>
        <w:ind w:firstLine="1446" w:firstLineChars="200"/>
        <w:jc w:val="center"/>
        <w:rPr>
          <w:rFonts w:ascii="仿宋_GB2312" w:hAnsi="宋体" w:eastAsia="仿宋_GB2312"/>
          <w:b/>
          <w:snapToGrid w:val="0"/>
          <w:color w:val="000000"/>
          <w:sz w:val="72"/>
          <w:highlight w:val="none"/>
        </w:rPr>
      </w:pPr>
    </w:p>
    <w:p w14:paraId="1CEC0D69">
      <w:pPr>
        <w:adjustRightInd w:val="0"/>
        <w:snapToGrid w:val="0"/>
        <w:spacing w:line="480" w:lineRule="auto"/>
        <w:ind w:firstLine="1193" w:firstLineChars="396"/>
        <w:rPr>
          <w:rFonts w:ascii="仿宋_GB2312" w:hAnsi="宋体" w:eastAsia="仿宋_GB2312"/>
          <w:b/>
          <w:bCs/>
          <w:snapToGrid w:val="0"/>
          <w:color w:val="000000"/>
          <w:sz w:val="30"/>
          <w:highlight w:val="none"/>
        </w:rPr>
      </w:pPr>
    </w:p>
    <w:p w14:paraId="47FEF97E">
      <w:pPr>
        <w:adjustRightInd w:val="0"/>
        <w:snapToGrid w:val="0"/>
        <w:spacing w:line="480" w:lineRule="auto"/>
        <w:ind w:firstLine="1193" w:firstLineChars="396"/>
        <w:rPr>
          <w:rFonts w:ascii="仿宋_GB2312" w:hAnsi="宋体" w:eastAsia="仿宋_GB2312"/>
          <w:b/>
          <w:bCs/>
          <w:snapToGrid w:val="0"/>
          <w:color w:val="000000"/>
          <w:sz w:val="30"/>
          <w:highlight w:val="none"/>
        </w:rPr>
      </w:pPr>
    </w:p>
    <w:p w14:paraId="7AE7E4FC">
      <w:pPr>
        <w:adjustRightInd w:val="0"/>
        <w:snapToGrid w:val="0"/>
        <w:spacing w:line="480" w:lineRule="auto"/>
        <w:ind w:firstLine="1193" w:firstLineChars="396"/>
        <w:rPr>
          <w:rFonts w:ascii="仿宋_GB2312" w:hAnsi="宋体" w:eastAsia="仿宋_GB2312"/>
          <w:b/>
          <w:bCs/>
          <w:snapToGrid w:val="0"/>
          <w:color w:val="000000"/>
          <w:sz w:val="28"/>
          <w:highlight w:val="none"/>
        </w:rPr>
      </w:pPr>
      <w:r>
        <w:rPr>
          <w:rFonts w:hint="eastAsia" w:ascii="仿宋_GB2312" w:hAnsi="宋体" w:eastAsia="仿宋_GB2312"/>
          <w:b/>
          <w:bCs/>
          <w:snapToGrid w:val="0"/>
          <w:color w:val="000000"/>
          <w:sz w:val="30"/>
          <w:highlight w:val="none"/>
        </w:rPr>
        <w:t>招     标      人：江苏长江水务股份有限公司</w:t>
      </w:r>
    </w:p>
    <w:p w14:paraId="4E66CAE6">
      <w:pPr>
        <w:spacing w:line="460" w:lineRule="exact"/>
        <w:jc w:val="center"/>
        <w:rPr>
          <w:rFonts w:ascii="仿宋_GB2312" w:hAnsi="宋体" w:eastAsia="仿宋_GB2312"/>
          <w:b/>
          <w:bCs/>
          <w:snapToGrid w:val="0"/>
          <w:color w:val="000000"/>
          <w:sz w:val="30"/>
          <w:highlight w:val="none"/>
        </w:rPr>
      </w:pPr>
      <w:r>
        <w:rPr>
          <w:rFonts w:hint="eastAsia" w:ascii="仿宋_GB2312" w:hAnsi="宋体" w:eastAsia="仿宋_GB2312"/>
          <w:b/>
          <w:bCs/>
          <w:snapToGrid w:val="0"/>
          <w:color w:val="000000"/>
          <w:sz w:val="30"/>
          <w:highlight w:val="none"/>
          <w:lang w:val="en-US" w:eastAsia="zh-CN"/>
        </w:rPr>
        <w:t xml:space="preserve">  </w:t>
      </w:r>
      <w:r>
        <w:rPr>
          <w:rFonts w:hint="eastAsia" w:ascii="仿宋_GB2312" w:hAnsi="宋体" w:eastAsia="仿宋_GB2312"/>
          <w:b/>
          <w:bCs/>
          <w:snapToGrid w:val="0"/>
          <w:color w:val="000000"/>
          <w:sz w:val="30"/>
          <w:highlight w:val="none"/>
        </w:rPr>
        <w:t xml:space="preserve">发    放    日   期： </w:t>
      </w:r>
      <w:r>
        <w:rPr>
          <w:rFonts w:hint="eastAsia" w:ascii="仿宋_GB2312" w:hAnsi="宋体" w:eastAsia="仿宋_GB2312"/>
          <w:b/>
          <w:bCs/>
          <w:snapToGrid w:val="0"/>
          <w:color w:val="000000"/>
          <w:sz w:val="30"/>
          <w:highlight w:val="none"/>
          <w:u w:val="single"/>
        </w:rPr>
        <w:t xml:space="preserve"> 202</w:t>
      </w:r>
      <w:r>
        <w:rPr>
          <w:rFonts w:hint="eastAsia" w:ascii="仿宋_GB2312" w:hAnsi="宋体" w:eastAsia="仿宋_GB2312"/>
          <w:b/>
          <w:bCs/>
          <w:snapToGrid w:val="0"/>
          <w:color w:val="000000"/>
          <w:sz w:val="30"/>
          <w:highlight w:val="none"/>
          <w:u w:val="single"/>
          <w:lang w:val="en-US" w:eastAsia="zh-CN"/>
        </w:rPr>
        <w:t>5</w:t>
      </w:r>
      <w:r>
        <w:rPr>
          <w:rFonts w:hint="eastAsia" w:ascii="仿宋_GB2312" w:hAnsi="宋体" w:eastAsia="仿宋_GB2312"/>
          <w:b/>
          <w:bCs/>
          <w:snapToGrid w:val="0"/>
          <w:color w:val="000000"/>
          <w:sz w:val="30"/>
          <w:highlight w:val="none"/>
        </w:rPr>
        <w:t>年</w:t>
      </w:r>
      <w:r>
        <w:rPr>
          <w:rFonts w:hint="eastAsia" w:ascii="仿宋_GB2312" w:hAnsi="宋体" w:eastAsia="仿宋_GB2312"/>
          <w:b/>
          <w:bCs/>
          <w:snapToGrid w:val="0"/>
          <w:color w:val="000000"/>
          <w:sz w:val="30"/>
          <w:highlight w:val="none"/>
          <w:u w:val="single"/>
          <w:lang w:val="en-US" w:eastAsia="zh-CN"/>
        </w:rPr>
        <w:t>4</w:t>
      </w:r>
      <w:r>
        <w:rPr>
          <w:rFonts w:hint="eastAsia" w:ascii="仿宋_GB2312" w:hAnsi="宋体" w:eastAsia="仿宋_GB2312"/>
          <w:b/>
          <w:bCs/>
          <w:snapToGrid w:val="0"/>
          <w:color w:val="000000"/>
          <w:sz w:val="30"/>
          <w:highlight w:val="none"/>
        </w:rPr>
        <w:t>月</w:t>
      </w:r>
      <w:r>
        <w:rPr>
          <w:rFonts w:hint="eastAsia" w:ascii="仿宋_GB2312" w:hAnsi="宋体" w:eastAsia="仿宋_GB2312"/>
          <w:b/>
          <w:bCs/>
          <w:snapToGrid w:val="0"/>
          <w:color w:val="000000"/>
          <w:sz w:val="30"/>
          <w:highlight w:val="none"/>
          <w:u w:val="single"/>
          <w:lang w:val="en-US" w:eastAsia="zh-CN"/>
        </w:rPr>
        <w:t>8</w:t>
      </w:r>
      <w:r>
        <w:rPr>
          <w:rFonts w:hint="eastAsia" w:ascii="仿宋_GB2312" w:hAnsi="宋体" w:eastAsia="仿宋_GB2312"/>
          <w:b/>
          <w:bCs/>
          <w:snapToGrid w:val="0"/>
          <w:color w:val="000000"/>
          <w:sz w:val="30"/>
          <w:highlight w:val="none"/>
        </w:rPr>
        <w:t>日</w:t>
      </w:r>
    </w:p>
    <w:p w14:paraId="6197EAB1">
      <w:pPr>
        <w:rPr>
          <w:rFonts w:ascii="仿宋_GB2312" w:hAnsi="宋体" w:eastAsia="仿宋_GB2312"/>
          <w:b/>
          <w:bCs/>
          <w:snapToGrid w:val="0"/>
          <w:color w:val="000000"/>
          <w:sz w:val="30"/>
          <w:highlight w:val="none"/>
        </w:rPr>
      </w:pPr>
      <w:r>
        <w:rPr>
          <w:rFonts w:hint="eastAsia" w:ascii="仿宋_GB2312" w:hAnsi="宋体" w:eastAsia="仿宋_GB2312"/>
          <w:b/>
          <w:bCs/>
          <w:snapToGrid w:val="0"/>
          <w:color w:val="000000"/>
          <w:sz w:val="30"/>
          <w:highlight w:val="none"/>
        </w:rPr>
        <w:br w:type="page"/>
      </w:r>
    </w:p>
    <w:p w14:paraId="497E2087">
      <w:pPr>
        <w:pStyle w:val="18"/>
        <w:rPr>
          <w:color w:val="000000"/>
          <w:highlight w:val="none"/>
        </w:rPr>
      </w:pPr>
    </w:p>
    <w:p w14:paraId="6F2D9DE4">
      <w:pPr>
        <w:spacing w:line="360" w:lineRule="auto"/>
        <w:jc w:val="center"/>
        <w:outlineLvl w:val="0"/>
        <w:rPr>
          <w:rFonts w:ascii="宋体" w:hAnsi="宋体"/>
          <w:b/>
          <w:color w:val="000000"/>
          <w:sz w:val="36"/>
          <w:szCs w:val="36"/>
          <w:highlight w:val="none"/>
        </w:rPr>
      </w:pPr>
      <w:r>
        <w:rPr>
          <w:rFonts w:hint="eastAsia" w:ascii="宋体" w:hAnsi="宋体"/>
          <w:b/>
          <w:color w:val="000000"/>
          <w:sz w:val="36"/>
          <w:szCs w:val="36"/>
          <w:highlight w:val="none"/>
        </w:rPr>
        <w:t>前  附  表</w:t>
      </w:r>
    </w:p>
    <w:tbl>
      <w:tblPr>
        <w:tblStyle w:val="15"/>
        <w:tblW w:w="5391" w:type="pct"/>
        <w:tblInd w:w="-3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759"/>
        <w:gridCol w:w="869"/>
        <w:gridCol w:w="2659"/>
        <w:gridCol w:w="820"/>
        <w:gridCol w:w="2415"/>
      </w:tblGrid>
      <w:tr w14:paraId="7E65A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4F6197E0">
            <w:pPr>
              <w:spacing w:line="360" w:lineRule="auto"/>
              <w:jc w:val="center"/>
              <w:rPr>
                <w:rFonts w:ascii="宋体" w:hAnsi="宋体"/>
                <w:color w:val="000000"/>
                <w:szCs w:val="21"/>
                <w:highlight w:val="none"/>
              </w:rPr>
            </w:pPr>
            <w:r>
              <w:rPr>
                <w:rFonts w:hint="eastAsia" w:ascii="宋体" w:hAnsi="宋体"/>
                <w:color w:val="000000"/>
                <w:szCs w:val="21"/>
                <w:highlight w:val="none"/>
              </w:rPr>
              <w:t>序号</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379ACE4F">
            <w:pPr>
              <w:spacing w:line="360" w:lineRule="auto"/>
              <w:jc w:val="center"/>
              <w:rPr>
                <w:rFonts w:ascii="宋体" w:hAnsi="宋体"/>
                <w:color w:val="000000"/>
                <w:szCs w:val="21"/>
                <w:highlight w:val="none"/>
              </w:rPr>
            </w:pPr>
            <w:r>
              <w:rPr>
                <w:rFonts w:hint="eastAsia" w:ascii="宋体" w:hAnsi="宋体"/>
                <w:color w:val="000000"/>
                <w:szCs w:val="21"/>
                <w:highlight w:val="none"/>
              </w:rPr>
              <w:t>项    目</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0914407C">
            <w:pPr>
              <w:spacing w:line="360" w:lineRule="auto"/>
              <w:ind w:firstLine="2415" w:firstLineChars="1150"/>
              <w:rPr>
                <w:rFonts w:ascii="宋体" w:hAnsi="宋体"/>
                <w:color w:val="000000"/>
                <w:szCs w:val="21"/>
                <w:highlight w:val="none"/>
              </w:rPr>
            </w:pPr>
            <w:r>
              <w:rPr>
                <w:rFonts w:hint="eastAsia" w:ascii="宋体" w:hAnsi="宋体"/>
                <w:color w:val="000000"/>
                <w:szCs w:val="21"/>
                <w:highlight w:val="none"/>
              </w:rPr>
              <w:t>内    容</w:t>
            </w:r>
          </w:p>
        </w:tc>
      </w:tr>
      <w:tr w14:paraId="44DFE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6"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693AB26A">
            <w:pPr>
              <w:spacing w:line="360" w:lineRule="auto"/>
              <w:jc w:val="center"/>
              <w:rPr>
                <w:rFonts w:ascii="宋体" w:hAnsi="宋体"/>
                <w:color w:val="000000"/>
                <w:szCs w:val="21"/>
                <w:highlight w:val="none"/>
              </w:rPr>
            </w:pPr>
            <w:r>
              <w:rPr>
                <w:rFonts w:hint="eastAsia" w:ascii="宋体" w:hAnsi="宋体"/>
                <w:color w:val="000000"/>
                <w:szCs w:val="21"/>
                <w:highlight w:val="none"/>
              </w:rPr>
              <w:t>1</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6E73F306">
            <w:pPr>
              <w:spacing w:line="360" w:lineRule="auto"/>
              <w:jc w:val="center"/>
              <w:rPr>
                <w:rFonts w:ascii="宋体" w:hAnsi="宋体"/>
                <w:color w:val="000000"/>
                <w:szCs w:val="21"/>
                <w:highlight w:val="none"/>
              </w:rPr>
            </w:pPr>
            <w:r>
              <w:rPr>
                <w:rFonts w:hint="eastAsia" w:ascii="宋体" w:hAnsi="宋体"/>
                <w:color w:val="000000"/>
                <w:szCs w:val="21"/>
                <w:highlight w:val="none"/>
              </w:rPr>
              <w:t>项目名称</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4AD8EF0">
            <w:pPr>
              <w:adjustRightInd w:val="0"/>
              <w:snapToGrid w:val="0"/>
              <w:rPr>
                <w:rFonts w:ascii="宋体" w:hAnsi="宋体"/>
                <w:color w:val="000000"/>
                <w:szCs w:val="21"/>
                <w:highlight w:val="none"/>
              </w:rPr>
            </w:pPr>
            <w:r>
              <w:rPr>
                <w:rFonts w:hint="eastAsia" w:ascii="宋体" w:hAnsi="宋体"/>
                <w:color w:val="000000"/>
                <w:szCs w:val="21"/>
                <w:highlight w:val="none"/>
              </w:rPr>
              <w:t>江苏长江水务股份有限公</w:t>
            </w:r>
            <w:r>
              <w:rPr>
                <w:rFonts w:hint="eastAsia" w:ascii="宋体" w:hAnsi="宋体" w:cs="宋体"/>
                <w:color w:val="000000"/>
                <w:szCs w:val="21"/>
                <w:highlight w:val="none"/>
              </w:rPr>
              <w:t>司</w:t>
            </w:r>
            <w:r>
              <w:rPr>
                <w:rFonts w:hint="eastAsia" w:ascii="宋体" w:hAnsi="宋体" w:cs="宋体"/>
                <w:bCs/>
                <w:color w:val="000000"/>
                <w:spacing w:val="-2"/>
                <w:szCs w:val="21"/>
                <w:highlight w:val="none"/>
                <w:lang w:eastAsia="zh-CN"/>
              </w:rPr>
              <w:t>原子吸收光谱仪</w:t>
            </w:r>
            <w:r>
              <w:rPr>
                <w:rFonts w:hint="eastAsia" w:ascii="宋体" w:hAnsi="宋体" w:cs="宋体"/>
                <w:bCs/>
                <w:color w:val="000000"/>
                <w:spacing w:val="-2"/>
                <w:szCs w:val="21"/>
                <w:highlight w:val="none"/>
              </w:rPr>
              <w:t>采购</w:t>
            </w:r>
          </w:p>
        </w:tc>
      </w:tr>
      <w:tr w14:paraId="60AF3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1EC3E391">
            <w:pPr>
              <w:spacing w:line="360" w:lineRule="auto"/>
              <w:jc w:val="center"/>
              <w:rPr>
                <w:rFonts w:ascii="宋体" w:hAnsi="宋体"/>
                <w:color w:val="000000"/>
                <w:szCs w:val="21"/>
                <w:highlight w:val="none"/>
              </w:rPr>
            </w:pPr>
            <w:r>
              <w:rPr>
                <w:rFonts w:hint="eastAsia" w:ascii="宋体" w:hAnsi="宋体"/>
                <w:color w:val="000000"/>
                <w:szCs w:val="21"/>
                <w:highlight w:val="none"/>
              </w:rPr>
              <w:t>2</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061DA670">
            <w:pPr>
              <w:spacing w:line="360" w:lineRule="auto"/>
              <w:jc w:val="center"/>
              <w:rPr>
                <w:rFonts w:ascii="宋体" w:hAnsi="宋体"/>
                <w:color w:val="000000"/>
                <w:szCs w:val="21"/>
                <w:highlight w:val="none"/>
              </w:rPr>
            </w:pPr>
            <w:r>
              <w:rPr>
                <w:rFonts w:hint="eastAsia" w:ascii="宋体" w:hAnsi="宋体"/>
                <w:color w:val="000000"/>
                <w:szCs w:val="21"/>
                <w:highlight w:val="none"/>
              </w:rPr>
              <w:t>招标方式</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F7756BD">
            <w:pPr>
              <w:spacing w:line="288" w:lineRule="auto"/>
              <w:rPr>
                <w:rFonts w:ascii="宋体" w:hAnsi="宋体"/>
                <w:color w:val="000000"/>
                <w:szCs w:val="21"/>
                <w:highlight w:val="none"/>
              </w:rPr>
            </w:pPr>
            <w:r>
              <w:rPr>
                <w:rFonts w:hint="eastAsia" w:ascii="宋体" w:hAnsi="宋体"/>
                <w:color w:val="000000"/>
                <w:szCs w:val="21"/>
                <w:highlight w:val="none"/>
              </w:rPr>
              <w:t>公开招标</w:t>
            </w:r>
          </w:p>
        </w:tc>
      </w:tr>
      <w:tr w14:paraId="760C8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5E6417D0">
            <w:pPr>
              <w:spacing w:line="360" w:lineRule="auto"/>
              <w:jc w:val="center"/>
              <w:rPr>
                <w:rFonts w:ascii="宋体" w:hAnsi="宋体"/>
                <w:color w:val="000000"/>
                <w:szCs w:val="21"/>
                <w:highlight w:val="none"/>
              </w:rPr>
            </w:pPr>
            <w:r>
              <w:rPr>
                <w:rFonts w:hint="eastAsia" w:ascii="宋体" w:hAnsi="宋体"/>
                <w:color w:val="000000"/>
                <w:szCs w:val="21"/>
                <w:highlight w:val="none"/>
              </w:rPr>
              <w:t>3</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24B012A7">
            <w:pPr>
              <w:spacing w:line="360" w:lineRule="auto"/>
              <w:jc w:val="center"/>
              <w:rPr>
                <w:rFonts w:ascii="宋体" w:hAnsi="宋体"/>
                <w:color w:val="000000"/>
                <w:szCs w:val="21"/>
                <w:highlight w:val="none"/>
              </w:rPr>
            </w:pPr>
            <w:r>
              <w:rPr>
                <w:rFonts w:hint="eastAsia" w:ascii="宋体" w:hAnsi="宋体"/>
                <w:color w:val="000000"/>
                <w:szCs w:val="21"/>
                <w:highlight w:val="none"/>
              </w:rPr>
              <w:t>招标内容</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05214737">
            <w:pPr>
              <w:spacing w:line="288" w:lineRule="auto"/>
              <w:rPr>
                <w:rFonts w:ascii="宋体" w:hAnsi="宋体"/>
                <w:color w:val="000000"/>
                <w:spacing w:val="-12"/>
                <w:szCs w:val="21"/>
                <w:highlight w:val="none"/>
              </w:rPr>
            </w:pPr>
            <w:r>
              <w:rPr>
                <w:rFonts w:hint="eastAsia" w:ascii="宋体" w:hAnsi="宋体" w:cs="宋体"/>
                <w:bCs/>
                <w:color w:val="000000"/>
                <w:spacing w:val="-2"/>
                <w:szCs w:val="21"/>
                <w:highlight w:val="none"/>
                <w:lang w:eastAsia="zh-CN"/>
              </w:rPr>
              <w:t>原子吸收光谱仪</w:t>
            </w:r>
            <w:r>
              <w:rPr>
                <w:rFonts w:hint="eastAsia" w:ascii="宋体" w:hAnsi="宋体" w:cs="宋体"/>
                <w:bCs/>
                <w:color w:val="000000"/>
                <w:spacing w:val="-2"/>
                <w:szCs w:val="21"/>
                <w:highlight w:val="none"/>
              </w:rPr>
              <w:t>采购</w:t>
            </w:r>
            <w:r>
              <w:rPr>
                <w:rFonts w:hint="eastAsia" w:ascii="宋体" w:hAnsi="宋体"/>
                <w:color w:val="000000"/>
                <w:szCs w:val="21"/>
                <w:highlight w:val="none"/>
              </w:rPr>
              <w:t xml:space="preserve"> </w:t>
            </w:r>
          </w:p>
        </w:tc>
      </w:tr>
      <w:tr w14:paraId="51AC8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5AFC8075">
            <w:pPr>
              <w:spacing w:line="360" w:lineRule="auto"/>
              <w:jc w:val="center"/>
              <w:rPr>
                <w:rFonts w:ascii="宋体" w:hAnsi="宋体"/>
                <w:color w:val="000000"/>
                <w:szCs w:val="21"/>
                <w:highlight w:val="none"/>
              </w:rPr>
            </w:pPr>
            <w:r>
              <w:rPr>
                <w:rFonts w:hint="eastAsia" w:ascii="宋体" w:hAnsi="宋体"/>
                <w:color w:val="000000"/>
                <w:szCs w:val="21"/>
                <w:highlight w:val="none"/>
              </w:rPr>
              <w:t>4</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3A270C97">
            <w:pPr>
              <w:spacing w:line="360" w:lineRule="auto"/>
              <w:jc w:val="center"/>
              <w:rPr>
                <w:rFonts w:ascii="宋体" w:hAnsi="宋体"/>
                <w:color w:val="000000"/>
                <w:szCs w:val="21"/>
                <w:highlight w:val="none"/>
              </w:rPr>
            </w:pPr>
            <w:r>
              <w:rPr>
                <w:rFonts w:hint="eastAsia" w:ascii="宋体" w:hAnsi="宋体"/>
                <w:color w:val="000000"/>
                <w:szCs w:val="21"/>
                <w:highlight w:val="none"/>
              </w:rPr>
              <w:t>质保期与付款方式</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4BD7B69">
            <w:pPr>
              <w:spacing w:line="288" w:lineRule="auto"/>
              <w:rPr>
                <w:rFonts w:ascii="宋体" w:hAnsi="宋体" w:eastAsia="宋体"/>
                <w:color w:val="000000"/>
                <w:spacing w:val="-8"/>
                <w:szCs w:val="21"/>
                <w:highlight w:val="none"/>
              </w:rPr>
            </w:pPr>
            <w:r>
              <w:rPr>
                <w:rFonts w:hint="eastAsia" w:ascii="宋体" w:hAnsi="宋体" w:eastAsia="宋体"/>
                <w:bCs/>
                <w:iCs/>
                <w:color w:val="000000"/>
                <w:spacing w:val="-8"/>
                <w:szCs w:val="21"/>
                <w:highlight w:val="none"/>
              </w:rPr>
              <w:t>质保期不低于</w:t>
            </w:r>
            <w:r>
              <w:rPr>
                <w:rFonts w:hint="eastAsia" w:ascii="宋体" w:hAnsi="宋体"/>
                <w:bCs/>
                <w:iCs/>
                <w:color w:val="000000"/>
                <w:spacing w:val="-8"/>
                <w:szCs w:val="21"/>
                <w:highlight w:val="none"/>
                <w:lang w:val="en-US" w:eastAsia="zh-CN"/>
              </w:rPr>
              <w:t>1</w:t>
            </w:r>
            <w:r>
              <w:rPr>
                <w:rFonts w:hint="eastAsia" w:ascii="宋体" w:hAnsi="宋体" w:eastAsia="宋体"/>
                <w:bCs/>
                <w:iCs/>
                <w:color w:val="000000"/>
                <w:spacing w:val="-8"/>
                <w:szCs w:val="21"/>
                <w:highlight w:val="none"/>
              </w:rPr>
              <w:t>年（以中标方质保期为准）。无预付款。验收合格后，连续30天试运行无故障且各项技术指标达到合同要求后开全额发票，买受人自收讫发票之日起三个月内</w:t>
            </w:r>
            <w:r>
              <w:rPr>
                <w:rFonts w:hint="eastAsia" w:ascii="宋体" w:hAnsi="宋体"/>
                <w:color w:val="000000"/>
                <w:szCs w:val="21"/>
                <w:highlight w:val="none"/>
              </w:rPr>
              <w:t>支付至合同总价的95%，余款5%作为质保金，在质保期满且无质量问题后无息付清。</w:t>
            </w:r>
          </w:p>
        </w:tc>
      </w:tr>
      <w:tr w14:paraId="001A3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174F45B3">
            <w:pPr>
              <w:spacing w:line="360" w:lineRule="auto"/>
              <w:jc w:val="center"/>
              <w:rPr>
                <w:rFonts w:ascii="宋体" w:hAnsi="宋体"/>
                <w:color w:val="000000"/>
                <w:szCs w:val="21"/>
                <w:highlight w:val="none"/>
              </w:rPr>
            </w:pPr>
            <w:r>
              <w:rPr>
                <w:rFonts w:hint="eastAsia" w:ascii="宋体" w:hAnsi="宋体"/>
                <w:color w:val="000000"/>
                <w:szCs w:val="21"/>
                <w:highlight w:val="none"/>
              </w:rPr>
              <w:t>5</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05CAD6A5">
            <w:pPr>
              <w:spacing w:line="360" w:lineRule="auto"/>
              <w:jc w:val="center"/>
              <w:rPr>
                <w:rFonts w:ascii="宋体" w:hAnsi="宋体"/>
                <w:color w:val="000000"/>
                <w:szCs w:val="21"/>
                <w:highlight w:val="none"/>
              </w:rPr>
            </w:pPr>
            <w:r>
              <w:rPr>
                <w:rFonts w:hint="eastAsia" w:ascii="宋体" w:hAnsi="宋体"/>
                <w:color w:val="000000"/>
                <w:szCs w:val="21"/>
                <w:highlight w:val="none"/>
              </w:rPr>
              <w:t>最高限价</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69865020">
            <w:pPr>
              <w:spacing w:line="360" w:lineRule="auto"/>
              <w:rPr>
                <w:rFonts w:ascii="宋体" w:hAnsi="宋体"/>
                <w:b/>
                <w:color w:val="000000"/>
                <w:szCs w:val="21"/>
                <w:highlight w:val="none"/>
              </w:rPr>
            </w:pPr>
            <w:r>
              <w:rPr>
                <w:rFonts w:hint="eastAsia" w:ascii="宋体" w:hAnsi="宋体"/>
                <w:b/>
                <w:color w:val="000000"/>
                <w:szCs w:val="21"/>
                <w:highlight w:val="none"/>
                <w:lang w:val="en-US" w:eastAsia="zh-CN"/>
              </w:rPr>
              <w:t>75</w:t>
            </w:r>
            <w:r>
              <w:rPr>
                <w:rFonts w:hint="eastAsia" w:ascii="宋体" w:hAnsi="宋体"/>
                <w:b/>
                <w:color w:val="000000"/>
                <w:szCs w:val="21"/>
                <w:highlight w:val="none"/>
              </w:rPr>
              <w:t>万元</w:t>
            </w:r>
          </w:p>
        </w:tc>
      </w:tr>
      <w:tr w14:paraId="2B08C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05D9CA3C">
            <w:pPr>
              <w:spacing w:line="360" w:lineRule="auto"/>
              <w:jc w:val="center"/>
              <w:rPr>
                <w:rFonts w:ascii="宋体" w:hAnsi="宋体"/>
                <w:color w:val="000000"/>
                <w:szCs w:val="21"/>
                <w:highlight w:val="none"/>
              </w:rPr>
            </w:pPr>
            <w:r>
              <w:rPr>
                <w:rFonts w:hint="eastAsia" w:ascii="宋体" w:hAnsi="宋体"/>
                <w:color w:val="000000"/>
                <w:szCs w:val="21"/>
                <w:highlight w:val="none"/>
              </w:rPr>
              <w:t>6</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5DB63E9E">
            <w:pPr>
              <w:spacing w:line="360" w:lineRule="auto"/>
              <w:jc w:val="center"/>
              <w:rPr>
                <w:rFonts w:ascii="宋体" w:hAnsi="宋体"/>
                <w:color w:val="000000"/>
                <w:szCs w:val="21"/>
                <w:highlight w:val="none"/>
              </w:rPr>
            </w:pPr>
            <w:r>
              <w:rPr>
                <w:rFonts w:hint="eastAsia" w:ascii="宋体" w:hAnsi="宋体"/>
                <w:color w:val="000000"/>
                <w:szCs w:val="21"/>
                <w:highlight w:val="none"/>
              </w:rPr>
              <w:t>交货期/供货期</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28948144">
            <w:pPr>
              <w:spacing w:line="360" w:lineRule="auto"/>
              <w:rPr>
                <w:rFonts w:ascii="宋体" w:hAnsi="宋体"/>
                <w:b/>
                <w:color w:val="000000"/>
                <w:szCs w:val="21"/>
                <w:highlight w:val="none"/>
              </w:rPr>
            </w:pPr>
            <w:r>
              <w:rPr>
                <w:rFonts w:hint="eastAsia" w:ascii="宋体" w:hAnsi="宋体"/>
                <w:color w:val="000000"/>
                <w:szCs w:val="21"/>
                <w:highlight w:val="none"/>
              </w:rPr>
              <w:t>中标签订合同后，收到采购方通知之日起30日之内</w:t>
            </w:r>
          </w:p>
        </w:tc>
      </w:tr>
      <w:tr w14:paraId="04FCA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18BDF411">
            <w:pPr>
              <w:spacing w:line="360" w:lineRule="auto"/>
              <w:jc w:val="center"/>
              <w:rPr>
                <w:rFonts w:ascii="宋体" w:hAnsi="宋体"/>
                <w:color w:val="000000"/>
                <w:szCs w:val="21"/>
                <w:highlight w:val="none"/>
              </w:rPr>
            </w:pPr>
            <w:r>
              <w:rPr>
                <w:rFonts w:hint="eastAsia" w:ascii="宋体" w:hAnsi="宋体"/>
                <w:color w:val="000000"/>
                <w:szCs w:val="21"/>
                <w:highlight w:val="none"/>
              </w:rPr>
              <w:t>7</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13DE4B06">
            <w:pPr>
              <w:spacing w:line="360" w:lineRule="auto"/>
              <w:jc w:val="center"/>
              <w:rPr>
                <w:rFonts w:ascii="宋体" w:hAnsi="宋体"/>
                <w:color w:val="000000"/>
                <w:szCs w:val="21"/>
                <w:highlight w:val="none"/>
              </w:rPr>
            </w:pPr>
            <w:r>
              <w:rPr>
                <w:rFonts w:hint="eastAsia" w:ascii="宋体" w:hAnsi="宋体"/>
                <w:color w:val="000000"/>
                <w:szCs w:val="21"/>
                <w:highlight w:val="none"/>
              </w:rPr>
              <w:t>目的地</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81AD808">
            <w:pPr>
              <w:spacing w:line="360" w:lineRule="auto"/>
              <w:rPr>
                <w:rFonts w:ascii="宋体" w:hAnsi="宋体"/>
                <w:color w:val="000000"/>
                <w:szCs w:val="21"/>
                <w:highlight w:val="none"/>
              </w:rPr>
            </w:pPr>
            <w:r>
              <w:rPr>
                <w:rFonts w:hint="eastAsia" w:ascii="宋体" w:hAnsi="宋体"/>
                <w:color w:val="000000"/>
                <w:szCs w:val="21"/>
                <w:highlight w:val="none"/>
              </w:rPr>
              <w:t>招标方指定的地点</w:t>
            </w:r>
          </w:p>
        </w:tc>
      </w:tr>
      <w:tr w14:paraId="295A3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0D02247A">
            <w:pPr>
              <w:spacing w:line="360" w:lineRule="auto"/>
              <w:jc w:val="center"/>
              <w:rPr>
                <w:rFonts w:ascii="宋体" w:hAnsi="宋体"/>
                <w:color w:val="000000"/>
                <w:szCs w:val="21"/>
                <w:highlight w:val="none"/>
              </w:rPr>
            </w:pPr>
            <w:r>
              <w:rPr>
                <w:rFonts w:hint="eastAsia" w:ascii="宋体" w:hAnsi="宋体"/>
                <w:color w:val="000000"/>
                <w:szCs w:val="21"/>
                <w:highlight w:val="none"/>
              </w:rPr>
              <w:t>8</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04651FFA">
            <w:pPr>
              <w:spacing w:line="360" w:lineRule="auto"/>
              <w:jc w:val="center"/>
              <w:rPr>
                <w:rFonts w:ascii="宋体" w:hAnsi="宋体"/>
                <w:color w:val="000000"/>
                <w:szCs w:val="21"/>
                <w:highlight w:val="none"/>
              </w:rPr>
            </w:pPr>
            <w:r>
              <w:rPr>
                <w:rFonts w:hint="eastAsia" w:ascii="宋体" w:hAnsi="宋体"/>
                <w:color w:val="000000"/>
                <w:szCs w:val="21"/>
                <w:highlight w:val="none"/>
              </w:rPr>
              <w:t>采购单位</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4022B9B">
            <w:pPr>
              <w:spacing w:line="360" w:lineRule="auto"/>
              <w:rPr>
                <w:rFonts w:ascii="宋体" w:hAnsi="宋体"/>
                <w:color w:val="000000"/>
                <w:szCs w:val="21"/>
                <w:highlight w:val="none"/>
              </w:rPr>
            </w:pPr>
            <w:r>
              <w:rPr>
                <w:rFonts w:hint="eastAsia" w:ascii="宋体" w:hAnsi="宋体"/>
                <w:color w:val="000000"/>
                <w:szCs w:val="21"/>
                <w:highlight w:val="none"/>
              </w:rPr>
              <w:t>江苏长江水务股份有限公司</w:t>
            </w:r>
          </w:p>
        </w:tc>
      </w:tr>
      <w:tr w14:paraId="67D32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2008E821">
            <w:pPr>
              <w:spacing w:line="360" w:lineRule="auto"/>
              <w:jc w:val="center"/>
              <w:rPr>
                <w:rFonts w:ascii="宋体" w:hAnsi="宋体"/>
                <w:color w:val="000000"/>
                <w:szCs w:val="21"/>
                <w:highlight w:val="none"/>
              </w:rPr>
            </w:pPr>
            <w:r>
              <w:rPr>
                <w:rFonts w:hint="eastAsia" w:ascii="宋体" w:hAnsi="宋体"/>
                <w:color w:val="000000"/>
                <w:szCs w:val="21"/>
                <w:highlight w:val="none"/>
              </w:rPr>
              <w:t>9</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0288AB13">
            <w:pPr>
              <w:spacing w:line="360" w:lineRule="auto"/>
              <w:jc w:val="center"/>
              <w:rPr>
                <w:rFonts w:ascii="宋体" w:hAnsi="宋体"/>
                <w:color w:val="000000"/>
                <w:szCs w:val="21"/>
                <w:highlight w:val="none"/>
              </w:rPr>
            </w:pPr>
            <w:r>
              <w:rPr>
                <w:rFonts w:hint="eastAsia" w:ascii="宋体" w:hAnsi="宋体"/>
                <w:color w:val="000000"/>
                <w:szCs w:val="21"/>
                <w:highlight w:val="none"/>
              </w:rPr>
              <w:t>投标文件份数</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097928AA">
            <w:pPr>
              <w:spacing w:line="360" w:lineRule="auto"/>
              <w:rPr>
                <w:rFonts w:ascii="宋体" w:hAnsi="宋体"/>
                <w:color w:val="000000"/>
                <w:szCs w:val="21"/>
                <w:highlight w:val="none"/>
              </w:rPr>
            </w:pPr>
            <w:r>
              <w:rPr>
                <w:rFonts w:hint="eastAsia" w:ascii="宋体" w:hAnsi="宋体"/>
                <w:color w:val="000000"/>
                <w:szCs w:val="21"/>
                <w:highlight w:val="none"/>
              </w:rPr>
              <w:t>正本一份，副本一份</w:t>
            </w:r>
          </w:p>
        </w:tc>
      </w:tr>
      <w:tr w14:paraId="4615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4E6319FF">
            <w:pPr>
              <w:spacing w:line="360" w:lineRule="auto"/>
              <w:jc w:val="center"/>
              <w:rPr>
                <w:rFonts w:ascii="宋体" w:hAnsi="宋体"/>
                <w:color w:val="000000"/>
                <w:szCs w:val="21"/>
                <w:highlight w:val="none"/>
              </w:rPr>
            </w:pPr>
            <w:r>
              <w:rPr>
                <w:rFonts w:hint="eastAsia" w:ascii="宋体" w:hAnsi="宋体"/>
                <w:color w:val="000000"/>
                <w:szCs w:val="21"/>
                <w:highlight w:val="none"/>
              </w:rPr>
              <w:t>10</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032E34A0">
            <w:pPr>
              <w:spacing w:line="360" w:lineRule="auto"/>
              <w:jc w:val="center"/>
              <w:rPr>
                <w:rFonts w:ascii="宋体" w:hAnsi="宋体"/>
                <w:color w:val="000000"/>
                <w:szCs w:val="21"/>
                <w:highlight w:val="none"/>
              </w:rPr>
            </w:pPr>
            <w:r>
              <w:rPr>
                <w:rFonts w:hint="eastAsia" w:ascii="宋体" w:hAnsi="宋体"/>
                <w:color w:val="000000"/>
                <w:szCs w:val="21"/>
                <w:highlight w:val="none"/>
              </w:rPr>
              <w:t>投标有效期</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430C4693">
            <w:pPr>
              <w:spacing w:line="360" w:lineRule="auto"/>
              <w:jc w:val="left"/>
              <w:rPr>
                <w:rFonts w:ascii="宋体" w:hAnsi="宋体"/>
                <w:color w:val="000000"/>
                <w:szCs w:val="21"/>
                <w:highlight w:val="none"/>
              </w:rPr>
            </w:pPr>
            <w:r>
              <w:rPr>
                <w:rFonts w:hint="eastAsia" w:ascii="宋体" w:hAnsi="宋体"/>
                <w:color w:val="000000"/>
                <w:szCs w:val="21"/>
                <w:highlight w:val="none"/>
              </w:rPr>
              <w:t>从投标截止日起90天内有效，如中标有效期延止合同终止。</w:t>
            </w:r>
          </w:p>
        </w:tc>
      </w:tr>
      <w:tr w14:paraId="3951B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3A234E80">
            <w:pPr>
              <w:spacing w:line="340" w:lineRule="exact"/>
              <w:jc w:val="center"/>
              <w:rPr>
                <w:rFonts w:ascii="宋体" w:hAnsi="宋体"/>
                <w:color w:val="000000"/>
                <w:szCs w:val="21"/>
                <w:highlight w:val="none"/>
              </w:rPr>
            </w:pPr>
            <w:r>
              <w:rPr>
                <w:rFonts w:hint="eastAsia" w:ascii="宋体" w:hAnsi="宋体"/>
                <w:color w:val="000000"/>
                <w:szCs w:val="21"/>
                <w:highlight w:val="none"/>
              </w:rPr>
              <w:t>11</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1A900876">
            <w:pPr>
              <w:spacing w:line="320" w:lineRule="exact"/>
              <w:jc w:val="center"/>
              <w:rPr>
                <w:rFonts w:ascii="宋体" w:hAnsi="宋体"/>
                <w:color w:val="000000"/>
                <w:szCs w:val="21"/>
                <w:highlight w:val="none"/>
              </w:rPr>
            </w:pPr>
            <w:r>
              <w:rPr>
                <w:rFonts w:hint="eastAsia" w:ascii="宋体" w:hAnsi="宋体"/>
                <w:color w:val="000000"/>
                <w:szCs w:val="21"/>
                <w:highlight w:val="none"/>
              </w:rPr>
              <w:t>答疑时间</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4B57894A">
            <w:pPr>
              <w:spacing w:line="320" w:lineRule="exact"/>
              <w:rPr>
                <w:rFonts w:ascii="宋体" w:hAnsi="宋体"/>
                <w:color w:val="000000"/>
                <w:szCs w:val="21"/>
                <w:highlight w:val="none"/>
              </w:rPr>
            </w:pPr>
            <w:r>
              <w:rPr>
                <w:rFonts w:hint="eastAsia" w:ascii="宋体" w:hAnsi="宋体"/>
                <w:color w:val="000000"/>
                <w:szCs w:val="21"/>
                <w:highlight w:val="none"/>
              </w:rPr>
              <w:t>投标截止日前三天</w:t>
            </w:r>
          </w:p>
        </w:tc>
      </w:tr>
      <w:tr w14:paraId="47B72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1F15B638">
            <w:pPr>
              <w:spacing w:line="360" w:lineRule="auto"/>
              <w:jc w:val="center"/>
              <w:rPr>
                <w:rFonts w:ascii="宋体" w:hAnsi="宋体"/>
                <w:color w:val="000000"/>
                <w:szCs w:val="21"/>
                <w:highlight w:val="none"/>
              </w:rPr>
            </w:pPr>
            <w:r>
              <w:rPr>
                <w:rFonts w:hint="eastAsia" w:ascii="宋体" w:hAnsi="宋体"/>
                <w:color w:val="000000"/>
                <w:szCs w:val="21"/>
                <w:highlight w:val="none"/>
              </w:rPr>
              <w:t>12</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64E90CED">
            <w:pPr>
              <w:spacing w:line="360" w:lineRule="auto"/>
              <w:jc w:val="center"/>
              <w:rPr>
                <w:rFonts w:ascii="宋体" w:hAnsi="宋体"/>
                <w:color w:val="000000"/>
                <w:szCs w:val="21"/>
                <w:highlight w:val="none"/>
              </w:rPr>
            </w:pPr>
            <w:r>
              <w:rPr>
                <w:rFonts w:hint="eastAsia" w:ascii="宋体" w:hAnsi="宋体"/>
                <w:color w:val="000000"/>
                <w:szCs w:val="21"/>
                <w:highlight w:val="none"/>
              </w:rPr>
              <w:t>投标截止时间</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1C55153">
            <w:pPr>
              <w:spacing w:line="360" w:lineRule="auto"/>
              <w:rPr>
                <w:rFonts w:ascii="宋体" w:hAnsi="宋体"/>
                <w:color w:val="000000"/>
                <w:szCs w:val="21"/>
                <w:highlight w:val="none"/>
              </w:rPr>
            </w:pPr>
            <w:r>
              <w:rPr>
                <w:rFonts w:hint="eastAsia" w:ascii="宋体" w:hAnsi="宋体"/>
                <w:color w:val="000000"/>
                <w:szCs w:val="21"/>
                <w:highlight w:val="none"/>
              </w:rPr>
              <w:t>202</w:t>
            </w:r>
            <w:r>
              <w:rPr>
                <w:rFonts w:hint="eastAsia" w:ascii="宋体" w:hAnsi="宋体"/>
                <w:color w:val="000000"/>
                <w:szCs w:val="21"/>
                <w:highlight w:val="none"/>
                <w:lang w:val="en-US" w:eastAsia="zh-CN"/>
              </w:rPr>
              <w:t>5</w:t>
            </w:r>
            <w:r>
              <w:rPr>
                <w:rFonts w:hint="eastAsia" w:ascii="宋体" w:hAnsi="宋体"/>
                <w:color w:val="000000"/>
                <w:szCs w:val="21"/>
                <w:highlight w:val="none"/>
              </w:rPr>
              <w:t>年</w:t>
            </w:r>
            <w:r>
              <w:rPr>
                <w:rFonts w:hint="eastAsia" w:ascii="宋体" w:hAnsi="宋体"/>
                <w:color w:val="000000"/>
                <w:szCs w:val="21"/>
                <w:highlight w:val="none"/>
                <w:lang w:val="en-US" w:eastAsia="zh-CN"/>
              </w:rPr>
              <w:t>4</w:t>
            </w:r>
            <w:r>
              <w:rPr>
                <w:rFonts w:hint="eastAsia" w:ascii="宋体" w:hAnsi="宋体"/>
                <w:color w:val="000000"/>
                <w:szCs w:val="21"/>
                <w:highlight w:val="none"/>
              </w:rPr>
              <w:t>月</w:t>
            </w:r>
            <w:r>
              <w:rPr>
                <w:rFonts w:hint="eastAsia" w:ascii="宋体" w:hAnsi="宋体"/>
                <w:color w:val="000000"/>
                <w:szCs w:val="21"/>
                <w:highlight w:val="none"/>
                <w:lang w:val="en-US" w:eastAsia="zh-CN"/>
              </w:rPr>
              <w:t>16</w:t>
            </w:r>
            <w:r>
              <w:rPr>
                <w:rFonts w:hint="eastAsia" w:ascii="宋体" w:hAnsi="宋体"/>
                <w:color w:val="000000"/>
                <w:szCs w:val="21"/>
                <w:highlight w:val="none"/>
              </w:rPr>
              <w:t>日</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lang w:eastAsia="zh-CN"/>
              </w:rPr>
              <w:t>上</w:t>
            </w:r>
            <w:r>
              <w:rPr>
                <w:rFonts w:hint="eastAsia" w:ascii="宋体" w:hAnsi="宋体"/>
                <w:color w:val="000000"/>
                <w:szCs w:val="21"/>
                <w:highlight w:val="none"/>
              </w:rPr>
              <w:t xml:space="preserve">午 </w:t>
            </w:r>
            <w:r>
              <w:rPr>
                <w:rFonts w:hint="eastAsia" w:ascii="宋体" w:hAnsi="宋体"/>
                <w:color w:val="000000"/>
                <w:szCs w:val="21"/>
                <w:highlight w:val="none"/>
                <w:lang w:val="en-US" w:eastAsia="zh-CN"/>
              </w:rPr>
              <w:t>9</w:t>
            </w:r>
            <w:r>
              <w:rPr>
                <w:rFonts w:hint="eastAsia" w:ascii="宋体" w:hAnsi="宋体"/>
                <w:color w:val="000000"/>
                <w:szCs w:val="21"/>
                <w:highlight w:val="none"/>
              </w:rPr>
              <w:t xml:space="preserve">:00  </w:t>
            </w:r>
            <w:r>
              <w:rPr>
                <w:rFonts w:hint="eastAsia" w:ascii="宋体" w:hAnsi="宋体" w:cs="宋体"/>
                <w:color w:val="000000"/>
                <w:kern w:val="0"/>
                <w:szCs w:val="21"/>
                <w:highlight w:val="none"/>
              </w:rPr>
              <w:t>（北京时间）</w:t>
            </w:r>
          </w:p>
        </w:tc>
      </w:tr>
      <w:tr w14:paraId="4593BFC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362" w:type="pct"/>
            <w:tcBorders>
              <w:top w:val="single" w:color="auto" w:sz="4" w:space="0"/>
              <w:left w:val="single" w:color="auto" w:sz="8" w:space="0"/>
              <w:bottom w:val="single" w:color="auto" w:sz="4" w:space="0"/>
              <w:right w:val="single" w:color="auto" w:sz="4" w:space="0"/>
            </w:tcBorders>
            <w:noWrap w:val="0"/>
            <w:vAlign w:val="center"/>
          </w:tcPr>
          <w:p w14:paraId="454E00E0">
            <w:pPr>
              <w:spacing w:line="360" w:lineRule="auto"/>
              <w:jc w:val="center"/>
              <w:rPr>
                <w:rFonts w:ascii="宋体" w:hAnsi="宋体"/>
                <w:color w:val="000000"/>
                <w:szCs w:val="21"/>
                <w:highlight w:val="none"/>
              </w:rPr>
            </w:pPr>
            <w:r>
              <w:rPr>
                <w:rFonts w:hint="eastAsia" w:ascii="宋体" w:hAnsi="宋体"/>
                <w:color w:val="000000"/>
                <w:szCs w:val="21"/>
                <w:highlight w:val="none"/>
              </w:rPr>
              <w:t>13</w:t>
            </w:r>
          </w:p>
        </w:tc>
        <w:tc>
          <w:tcPr>
            <w:tcW w:w="957" w:type="pct"/>
            <w:tcBorders>
              <w:top w:val="single" w:color="auto" w:sz="4" w:space="0"/>
              <w:left w:val="single" w:color="auto" w:sz="8" w:space="0"/>
              <w:bottom w:val="single" w:color="auto" w:sz="4" w:space="0"/>
              <w:right w:val="single" w:color="auto" w:sz="4" w:space="0"/>
            </w:tcBorders>
            <w:noWrap w:val="0"/>
            <w:vAlign w:val="center"/>
          </w:tcPr>
          <w:p w14:paraId="49CC5DA5">
            <w:pPr>
              <w:spacing w:line="360" w:lineRule="auto"/>
              <w:jc w:val="center"/>
              <w:rPr>
                <w:rFonts w:ascii="宋体" w:hAnsi="宋体"/>
                <w:color w:val="000000"/>
                <w:szCs w:val="21"/>
                <w:highlight w:val="none"/>
              </w:rPr>
            </w:pPr>
            <w:r>
              <w:rPr>
                <w:rFonts w:hint="eastAsia" w:ascii="宋体" w:hAnsi="宋体"/>
                <w:color w:val="000000"/>
                <w:szCs w:val="21"/>
                <w:highlight w:val="none"/>
              </w:rPr>
              <w:t>投标文件递交</w:t>
            </w:r>
          </w:p>
        </w:tc>
        <w:tc>
          <w:tcPr>
            <w:tcW w:w="3680" w:type="pct"/>
            <w:gridSpan w:val="4"/>
            <w:tcBorders>
              <w:top w:val="single" w:color="auto" w:sz="4" w:space="0"/>
              <w:left w:val="single" w:color="auto" w:sz="4" w:space="0"/>
              <w:bottom w:val="single" w:color="auto" w:sz="4" w:space="0"/>
              <w:right w:val="single" w:color="auto" w:sz="8" w:space="0"/>
            </w:tcBorders>
            <w:noWrap w:val="0"/>
            <w:vAlign w:val="center"/>
          </w:tcPr>
          <w:p w14:paraId="77A719CF">
            <w:pPr>
              <w:spacing w:line="360" w:lineRule="auto"/>
              <w:rPr>
                <w:rFonts w:ascii="宋体" w:hAnsi="宋体"/>
                <w:color w:val="000000"/>
                <w:szCs w:val="21"/>
                <w:highlight w:val="none"/>
              </w:rPr>
            </w:pPr>
            <w:r>
              <w:rPr>
                <w:rFonts w:hint="eastAsia" w:ascii="宋体" w:hAnsi="宋体"/>
                <w:color w:val="000000"/>
                <w:szCs w:val="21"/>
                <w:highlight w:val="none"/>
              </w:rPr>
              <w:t>扬州市文汇东路249号 江苏长江水务股份有限公司物资供应处</w:t>
            </w:r>
          </w:p>
        </w:tc>
      </w:tr>
      <w:tr w14:paraId="6E1B67C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362" w:type="pct"/>
            <w:tcBorders>
              <w:top w:val="single" w:color="auto" w:sz="4" w:space="0"/>
              <w:left w:val="single" w:color="auto" w:sz="8" w:space="0"/>
              <w:bottom w:val="single" w:color="auto" w:sz="4" w:space="0"/>
              <w:right w:val="single" w:color="auto" w:sz="4" w:space="0"/>
            </w:tcBorders>
            <w:noWrap w:val="0"/>
            <w:vAlign w:val="center"/>
          </w:tcPr>
          <w:p w14:paraId="228B48F7">
            <w:pPr>
              <w:jc w:val="center"/>
              <w:rPr>
                <w:rFonts w:ascii="宋体" w:hAnsi="宋体"/>
                <w:color w:val="000000"/>
                <w:szCs w:val="21"/>
                <w:highlight w:val="none"/>
              </w:rPr>
            </w:pPr>
            <w:r>
              <w:rPr>
                <w:rFonts w:hint="eastAsia" w:ascii="宋体" w:hAnsi="宋体"/>
                <w:color w:val="000000"/>
                <w:szCs w:val="21"/>
                <w:highlight w:val="none"/>
              </w:rPr>
              <w:t>14</w:t>
            </w:r>
          </w:p>
        </w:tc>
        <w:tc>
          <w:tcPr>
            <w:tcW w:w="957" w:type="pct"/>
            <w:tcBorders>
              <w:top w:val="single" w:color="auto" w:sz="4" w:space="0"/>
              <w:left w:val="single" w:color="auto" w:sz="8" w:space="0"/>
              <w:bottom w:val="single" w:color="auto" w:sz="4" w:space="0"/>
              <w:right w:val="single" w:color="auto" w:sz="4" w:space="0"/>
            </w:tcBorders>
            <w:noWrap w:val="0"/>
            <w:vAlign w:val="center"/>
          </w:tcPr>
          <w:p w14:paraId="0731E105">
            <w:pPr>
              <w:jc w:val="center"/>
              <w:rPr>
                <w:rFonts w:ascii="宋体" w:hAnsi="宋体"/>
                <w:color w:val="000000"/>
                <w:szCs w:val="21"/>
                <w:highlight w:val="none"/>
              </w:rPr>
            </w:pPr>
            <w:r>
              <w:rPr>
                <w:rFonts w:hint="eastAsia" w:ascii="宋体" w:hAnsi="宋体"/>
                <w:color w:val="000000"/>
                <w:szCs w:val="21"/>
                <w:highlight w:val="none"/>
              </w:rPr>
              <w:t>开标时间</w:t>
            </w:r>
          </w:p>
        </w:tc>
        <w:tc>
          <w:tcPr>
            <w:tcW w:w="473" w:type="pct"/>
            <w:tcBorders>
              <w:top w:val="single" w:color="auto" w:sz="4" w:space="0"/>
              <w:left w:val="single" w:color="auto" w:sz="4" w:space="0"/>
              <w:bottom w:val="single" w:color="auto" w:sz="4" w:space="0"/>
              <w:right w:val="single" w:color="auto" w:sz="4" w:space="0"/>
            </w:tcBorders>
            <w:noWrap w:val="0"/>
            <w:vAlign w:val="center"/>
          </w:tcPr>
          <w:p w14:paraId="7A776069">
            <w:pPr>
              <w:jc w:val="center"/>
              <w:rPr>
                <w:rFonts w:ascii="宋体" w:hAnsi="宋体"/>
                <w:color w:val="000000"/>
                <w:szCs w:val="21"/>
                <w:highlight w:val="none"/>
              </w:rPr>
            </w:pPr>
            <w:r>
              <w:rPr>
                <w:rFonts w:hint="eastAsia" w:ascii="宋体" w:hAnsi="宋体"/>
                <w:color w:val="000000"/>
                <w:szCs w:val="21"/>
                <w:highlight w:val="none"/>
              </w:rPr>
              <w:t>时间</w:t>
            </w:r>
          </w:p>
        </w:tc>
        <w:tc>
          <w:tcPr>
            <w:tcW w:w="1447" w:type="pct"/>
            <w:tcBorders>
              <w:top w:val="single" w:color="auto" w:sz="4" w:space="0"/>
              <w:left w:val="single" w:color="auto" w:sz="4" w:space="0"/>
              <w:bottom w:val="single" w:color="auto" w:sz="4" w:space="0"/>
              <w:right w:val="single" w:color="auto" w:sz="4" w:space="0"/>
            </w:tcBorders>
            <w:noWrap w:val="0"/>
            <w:vAlign w:val="center"/>
          </w:tcPr>
          <w:p w14:paraId="331BB336">
            <w:pPr>
              <w:rPr>
                <w:rFonts w:ascii="宋体" w:hAnsi="宋体"/>
                <w:color w:val="000000"/>
                <w:szCs w:val="21"/>
                <w:highlight w:val="none"/>
              </w:rPr>
            </w:pPr>
            <w:r>
              <w:rPr>
                <w:rFonts w:ascii="宋体" w:hAnsi="宋体"/>
                <w:color w:val="000000"/>
                <w:szCs w:val="21"/>
                <w:highlight w:val="none"/>
              </w:rPr>
              <w:t>20</w:t>
            </w:r>
            <w:r>
              <w:rPr>
                <w:rFonts w:hint="eastAsia" w:ascii="宋体" w:hAnsi="宋体"/>
                <w:color w:val="000000"/>
                <w:szCs w:val="21"/>
                <w:highlight w:val="none"/>
              </w:rPr>
              <w:t>2</w:t>
            </w:r>
            <w:r>
              <w:rPr>
                <w:rFonts w:hint="eastAsia" w:ascii="宋体" w:hAnsi="宋体"/>
                <w:color w:val="000000"/>
                <w:szCs w:val="21"/>
                <w:highlight w:val="none"/>
                <w:lang w:val="en-US" w:eastAsia="zh-CN"/>
              </w:rPr>
              <w:t>5</w:t>
            </w:r>
            <w:r>
              <w:rPr>
                <w:rFonts w:hint="eastAsia" w:ascii="宋体" w:hAnsi="宋体"/>
                <w:color w:val="000000"/>
                <w:szCs w:val="21"/>
                <w:highlight w:val="none"/>
              </w:rPr>
              <w:t>年</w:t>
            </w:r>
            <w:r>
              <w:rPr>
                <w:rFonts w:hint="eastAsia" w:ascii="宋体" w:hAnsi="宋体"/>
                <w:color w:val="000000"/>
                <w:szCs w:val="21"/>
                <w:highlight w:val="none"/>
                <w:lang w:val="en-US" w:eastAsia="zh-CN"/>
              </w:rPr>
              <w:t>4</w:t>
            </w:r>
            <w:r>
              <w:rPr>
                <w:rFonts w:hint="eastAsia" w:ascii="宋体" w:hAnsi="宋体"/>
                <w:color w:val="000000"/>
                <w:szCs w:val="21"/>
                <w:highlight w:val="none"/>
              </w:rPr>
              <w:t>月</w:t>
            </w:r>
            <w:r>
              <w:rPr>
                <w:rFonts w:hint="eastAsia" w:ascii="宋体" w:hAnsi="宋体"/>
                <w:color w:val="000000"/>
                <w:szCs w:val="21"/>
                <w:highlight w:val="none"/>
                <w:lang w:val="en-US" w:eastAsia="zh-CN"/>
              </w:rPr>
              <w:t>16</w:t>
            </w:r>
            <w:bookmarkStart w:id="4" w:name="_GoBack"/>
            <w:bookmarkEnd w:id="4"/>
            <w:r>
              <w:rPr>
                <w:rFonts w:hint="eastAsia" w:ascii="宋体" w:hAnsi="宋体"/>
                <w:color w:val="000000"/>
                <w:szCs w:val="21"/>
                <w:highlight w:val="none"/>
              </w:rPr>
              <w:t>日上午</w:t>
            </w:r>
            <w:r>
              <w:rPr>
                <w:rFonts w:ascii="宋体" w:hAnsi="宋体"/>
                <w:color w:val="000000"/>
                <w:szCs w:val="21"/>
                <w:highlight w:val="none"/>
              </w:rPr>
              <w:t xml:space="preserve"> </w:t>
            </w:r>
            <w:r>
              <w:rPr>
                <w:rFonts w:hint="eastAsia" w:ascii="宋体" w:hAnsi="宋体"/>
                <w:color w:val="000000"/>
                <w:szCs w:val="21"/>
                <w:highlight w:val="none"/>
              </w:rPr>
              <w:t>9</w:t>
            </w:r>
            <w:r>
              <w:rPr>
                <w:rFonts w:ascii="宋体" w:hAnsi="宋体"/>
                <w:color w:val="000000"/>
                <w:szCs w:val="21"/>
                <w:highlight w:val="none"/>
              </w:rPr>
              <w:t>:</w:t>
            </w:r>
            <w:r>
              <w:rPr>
                <w:rFonts w:hint="eastAsia" w:ascii="宋体" w:hAnsi="宋体"/>
                <w:color w:val="000000"/>
                <w:szCs w:val="21"/>
                <w:highlight w:val="none"/>
              </w:rPr>
              <w:t>3</w:t>
            </w:r>
            <w:r>
              <w:rPr>
                <w:rFonts w:ascii="宋体" w:hAnsi="宋体"/>
                <w:color w:val="000000"/>
                <w:szCs w:val="21"/>
                <w:highlight w:val="none"/>
              </w:rPr>
              <w:t>0</w:t>
            </w:r>
            <w:r>
              <w:rPr>
                <w:rFonts w:hint="eastAsia" w:ascii="宋体" w:hAnsi="宋体" w:cs="宋体"/>
                <w:color w:val="000000"/>
                <w:kern w:val="0"/>
                <w:szCs w:val="21"/>
                <w:highlight w:val="none"/>
              </w:rPr>
              <w:t>（北京时间）</w:t>
            </w:r>
          </w:p>
        </w:tc>
        <w:tc>
          <w:tcPr>
            <w:tcW w:w="446" w:type="pct"/>
            <w:tcBorders>
              <w:top w:val="single" w:color="auto" w:sz="4" w:space="0"/>
              <w:left w:val="single" w:color="auto" w:sz="4" w:space="0"/>
              <w:bottom w:val="single" w:color="auto" w:sz="4" w:space="0"/>
              <w:right w:val="single" w:color="auto" w:sz="4" w:space="0"/>
            </w:tcBorders>
            <w:noWrap w:val="0"/>
            <w:vAlign w:val="center"/>
          </w:tcPr>
          <w:p w14:paraId="3DD8BE21">
            <w:pPr>
              <w:jc w:val="center"/>
              <w:rPr>
                <w:rFonts w:ascii="宋体" w:hAnsi="宋体"/>
                <w:color w:val="000000"/>
                <w:szCs w:val="21"/>
                <w:highlight w:val="none"/>
              </w:rPr>
            </w:pPr>
            <w:r>
              <w:rPr>
                <w:rFonts w:hint="eastAsia" w:ascii="宋体" w:hAnsi="宋体"/>
                <w:color w:val="000000"/>
                <w:szCs w:val="21"/>
                <w:highlight w:val="none"/>
              </w:rPr>
              <w:t>地址</w:t>
            </w:r>
          </w:p>
        </w:tc>
        <w:tc>
          <w:tcPr>
            <w:tcW w:w="1312" w:type="pct"/>
            <w:tcBorders>
              <w:top w:val="single" w:color="auto" w:sz="4" w:space="0"/>
              <w:left w:val="single" w:color="auto" w:sz="4" w:space="0"/>
              <w:bottom w:val="single" w:color="auto" w:sz="4" w:space="0"/>
              <w:right w:val="single" w:color="auto" w:sz="8" w:space="0"/>
            </w:tcBorders>
            <w:noWrap w:val="0"/>
            <w:vAlign w:val="center"/>
          </w:tcPr>
          <w:p w14:paraId="62936D92">
            <w:pPr>
              <w:rPr>
                <w:rFonts w:ascii="宋体" w:hAnsi="宋体"/>
                <w:color w:val="000000"/>
                <w:szCs w:val="21"/>
                <w:highlight w:val="none"/>
              </w:rPr>
            </w:pPr>
            <w:r>
              <w:rPr>
                <w:rFonts w:hint="eastAsia" w:ascii="宋体" w:hAnsi="宋体"/>
                <w:color w:val="000000"/>
                <w:szCs w:val="21"/>
                <w:highlight w:val="none"/>
              </w:rPr>
              <w:t>江苏长江水务股份有限公司东大楼三楼会议室</w:t>
            </w:r>
          </w:p>
        </w:tc>
      </w:tr>
      <w:tr w14:paraId="75361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4"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4261CD28">
            <w:pPr>
              <w:spacing w:line="360" w:lineRule="auto"/>
              <w:jc w:val="center"/>
              <w:rPr>
                <w:rFonts w:ascii="宋体" w:hAnsi="宋体"/>
                <w:color w:val="000000"/>
                <w:szCs w:val="21"/>
                <w:highlight w:val="none"/>
              </w:rPr>
            </w:pPr>
            <w:r>
              <w:rPr>
                <w:rFonts w:hint="eastAsia" w:ascii="宋体" w:hAnsi="宋体"/>
                <w:color w:val="000000"/>
                <w:szCs w:val="21"/>
                <w:highlight w:val="none"/>
              </w:rPr>
              <w:t>15</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1D4E1FA4">
            <w:pPr>
              <w:spacing w:line="360" w:lineRule="auto"/>
              <w:jc w:val="center"/>
              <w:rPr>
                <w:rFonts w:ascii="宋体" w:hAnsi="宋体"/>
                <w:color w:val="000000"/>
                <w:szCs w:val="21"/>
                <w:highlight w:val="none"/>
              </w:rPr>
            </w:pPr>
            <w:r>
              <w:rPr>
                <w:rFonts w:hint="eastAsia" w:ascii="宋体" w:hAnsi="宋体"/>
                <w:color w:val="000000"/>
                <w:szCs w:val="21"/>
                <w:highlight w:val="none"/>
              </w:rPr>
              <w:t>标书装订及密封要求</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53940AE8">
            <w:pPr>
              <w:spacing w:line="288" w:lineRule="auto"/>
              <w:rPr>
                <w:rFonts w:ascii="宋体" w:hAnsi="宋体"/>
                <w:color w:val="000000"/>
                <w:szCs w:val="21"/>
                <w:highlight w:val="none"/>
              </w:rPr>
            </w:pPr>
            <w:r>
              <w:rPr>
                <w:rFonts w:hint="eastAsia" w:ascii="宋体" w:hAnsi="宋体"/>
                <w:color w:val="000000"/>
                <w:szCs w:val="21"/>
                <w:highlight w:val="none"/>
              </w:rPr>
              <w:t>所有封袋上应写明招标人名称、工程名称和标段及投标人的名称。</w:t>
            </w:r>
          </w:p>
          <w:p w14:paraId="5385216C">
            <w:pPr>
              <w:spacing w:line="288" w:lineRule="auto"/>
              <w:rPr>
                <w:rFonts w:ascii="宋体" w:hAnsi="宋体"/>
                <w:color w:val="000000"/>
                <w:szCs w:val="21"/>
                <w:highlight w:val="none"/>
              </w:rPr>
            </w:pPr>
            <w:r>
              <w:rPr>
                <w:rFonts w:hint="eastAsia" w:ascii="宋体" w:hAnsi="宋体"/>
                <w:color w:val="000000"/>
                <w:szCs w:val="21"/>
                <w:highlight w:val="none"/>
              </w:rPr>
              <w:t>所有投标文件都必须在封袋加盖投标单位法人公章及其法定代表人或授权委托人印鉴 。</w:t>
            </w:r>
          </w:p>
        </w:tc>
      </w:tr>
      <w:tr w14:paraId="06289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21B93949">
            <w:pPr>
              <w:spacing w:line="360" w:lineRule="auto"/>
              <w:jc w:val="center"/>
              <w:rPr>
                <w:rFonts w:ascii="宋体" w:hAnsi="宋体"/>
                <w:color w:val="000000"/>
                <w:szCs w:val="21"/>
                <w:highlight w:val="none"/>
              </w:rPr>
            </w:pPr>
            <w:r>
              <w:rPr>
                <w:rFonts w:hint="eastAsia" w:ascii="宋体" w:hAnsi="宋体"/>
                <w:color w:val="000000"/>
                <w:szCs w:val="21"/>
                <w:highlight w:val="none"/>
              </w:rPr>
              <w:t>16</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4227805A">
            <w:pPr>
              <w:spacing w:line="360" w:lineRule="auto"/>
              <w:jc w:val="center"/>
              <w:rPr>
                <w:rFonts w:ascii="宋体" w:hAnsi="宋体"/>
                <w:color w:val="000000"/>
                <w:szCs w:val="21"/>
                <w:highlight w:val="none"/>
              </w:rPr>
            </w:pPr>
            <w:r>
              <w:rPr>
                <w:rFonts w:hint="eastAsia" w:ascii="宋体" w:hAnsi="宋体"/>
                <w:color w:val="000000"/>
                <w:szCs w:val="21"/>
                <w:highlight w:val="none"/>
              </w:rPr>
              <w:t>其他</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3BF18E03">
            <w:pPr>
              <w:numPr>
                <w:ilvl w:val="0"/>
                <w:numId w:val="1"/>
              </w:numPr>
              <w:spacing w:line="288" w:lineRule="auto"/>
              <w:rPr>
                <w:rFonts w:ascii="宋体" w:hAnsi="宋体"/>
                <w:color w:val="000000"/>
                <w:szCs w:val="21"/>
                <w:highlight w:val="none"/>
              </w:rPr>
            </w:pPr>
            <w:r>
              <w:rPr>
                <w:rFonts w:hint="eastAsia" w:ascii="宋体" w:hAnsi="宋体"/>
                <w:color w:val="000000"/>
                <w:szCs w:val="21"/>
                <w:highlight w:val="none"/>
              </w:rPr>
              <w:t>下文中与“前附表”内容不一致的，以“前附表”为准；</w:t>
            </w:r>
          </w:p>
          <w:p w14:paraId="2938B3E9">
            <w:pPr>
              <w:numPr>
                <w:ilvl w:val="0"/>
                <w:numId w:val="1"/>
              </w:numPr>
              <w:spacing w:line="288" w:lineRule="auto"/>
              <w:rPr>
                <w:rFonts w:ascii="宋体" w:hAnsi="宋体"/>
                <w:color w:val="000000"/>
                <w:szCs w:val="21"/>
                <w:highlight w:val="none"/>
              </w:rPr>
            </w:pPr>
            <w:r>
              <w:rPr>
                <w:rFonts w:hint="eastAsia" w:ascii="宋体" w:hAnsi="宋体"/>
                <w:color w:val="000000"/>
                <w:szCs w:val="21"/>
                <w:highlight w:val="none"/>
              </w:rPr>
              <w:t>本招标文件的解释权属于江苏长江水务股份有限公司</w:t>
            </w:r>
          </w:p>
        </w:tc>
      </w:tr>
      <w:tr w14:paraId="54AAA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5" w:hRule="atLeast"/>
        </w:trPr>
        <w:tc>
          <w:tcPr>
            <w:tcW w:w="362" w:type="pct"/>
            <w:tcBorders>
              <w:top w:val="single" w:color="auto" w:sz="4" w:space="0"/>
              <w:left w:val="single" w:color="auto" w:sz="4" w:space="0"/>
              <w:bottom w:val="single" w:color="auto" w:sz="4" w:space="0"/>
              <w:right w:val="single" w:color="auto" w:sz="4" w:space="0"/>
            </w:tcBorders>
            <w:noWrap w:val="0"/>
            <w:vAlign w:val="center"/>
          </w:tcPr>
          <w:p w14:paraId="69B6BB0D">
            <w:pPr>
              <w:spacing w:line="360" w:lineRule="auto"/>
              <w:jc w:val="center"/>
              <w:rPr>
                <w:rFonts w:ascii="宋体" w:hAnsi="宋体"/>
                <w:color w:val="000000"/>
                <w:szCs w:val="21"/>
                <w:highlight w:val="none"/>
              </w:rPr>
            </w:pPr>
            <w:r>
              <w:rPr>
                <w:rFonts w:hint="eastAsia" w:ascii="宋体" w:hAnsi="宋体"/>
                <w:color w:val="000000"/>
                <w:szCs w:val="21"/>
                <w:highlight w:val="none"/>
              </w:rPr>
              <w:t>17</w:t>
            </w:r>
          </w:p>
        </w:tc>
        <w:tc>
          <w:tcPr>
            <w:tcW w:w="957" w:type="pct"/>
            <w:tcBorders>
              <w:top w:val="single" w:color="auto" w:sz="4" w:space="0"/>
              <w:left w:val="single" w:color="auto" w:sz="4" w:space="0"/>
              <w:bottom w:val="single" w:color="auto" w:sz="4" w:space="0"/>
              <w:right w:val="single" w:color="auto" w:sz="4" w:space="0"/>
            </w:tcBorders>
            <w:noWrap w:val="0"/>
            <w:vAlign w:val="center"/>
          </w:tcPr>
          <w:p w14:paraId="17850527">
            <w:pPr>
              <w:spacing w:line="360" w:lineRule="auto"/>
              <w:jc w:val="center"/>
              <w:rPr>
                <w:rFonts w:ascii="宋体" w:hAnsi="宋体"/>
                <w:color w:val="000000"/>
                <w:szCs w:val="21"/>
                <w:highlight w:val="none"/>
              </w:rPr>
            </w:pPr>
            <w:r>
              <w:rPr>
                <w:rFonts w:hint="eastAsia" w:ascii="宋体" w:hAnsi="宋体"/>
                <w:color w:val="000000"/>
                <w:szCs w:val="21"/>
                <w:highlight w:val="none"/>
              </w:rPr>
              <w:t>联系方式</w:t>
            </w:r>
          </w:p>
        </w:tc>
        <w:tc>
          <w:tcPr>
            <w:tcW w:w="3680" w:type="pct"/>
            <w:gridSpan w:val="4"/>
            <w:tcBorders>
              <w:top w:val="single" w:color="auto" w:sz="4" w:space="0"/>
              <w:left w:val="single" w:color="auto" w:sz="4" w:space="0"/>
              <w:bottom w:val="single" w:color="auto" w:sz="4" w:space="0"/>
              <w:right w:val="single" w:color="auto" w:sz="4" w:space="0"/>
            </w:tcBorders>
            <w:noWrap w:val="0"/>
            <w:vAlign w:val="center"/>
          </w:tcPr>
          <w:p w14:paraId="3034D4D7">
            <w:pPr>
              <w:adjustRightInd w:val="0"/>
              <w:spacing w:line="288" w:lineRule="auto"/>
              <w:rPr>
                <w:rFonts w:ascii="宋体" w:hAnsi="宋体"/>
                <w:color w:val="000000"/>
                <w:szCs w:val="21"/>
                <w:highlight w:val="none"/>
              </w:rPr>
            </w:pPr>
            <w:r>
              <w:rPr>
                <w:rFonts w:hint="eastAsia" w:ascii="宋体" w:hAnsi="宋体"/>
                <w:color w:val="000000"/>
                <w:szCs w:val="21"/>
                <w:highlight w:val="none"/>
              </w:rPr>
              <w:t xml:space="preserve">招标人：江苏长江水务股份有限公司 </w:t>
            </w:r>
          </w:p>
          <w:p w14:paraId="1DCA0E8B">
            <w:pPr>
              <w:adjustRightInd w:val="0"/>
              <w:spacing w:line="288" w:lineRule="auto"/>
              <w:rPr>
                <w:rFonts w:ascii="宋体" w:hAnsi="宋体"/>
                <w:color w:val="000000"/>
                <w:szCs w:val="21"/>
                <w:highlight w:val="none"/>
              </w:rPr>
            </w:pPr>
            <w:r>
              <w:rPr>
                <w:rFonts w:hint="eastAsia" w:ascii="宋体" w:hAnsi="宋体"/>
                <w:color w:val="000000"/>
                <w:szCs w:val="21"/>
                <w:highlight w:val="none"/>
              </w:rPr>
              <w:t xml:space="preserve"> 地  址：扬州市文汇东路249号</w:t>
            </w:r>
          </w:p>
          <w:p w14:paraId="717B0843">
            <w:pPr>
              <w:adjustRightInd w:val="0"/>
              <w:spacing w:line="288" w:lineRule="auto"/>
              <w:rPr>
                <w:rFonts w:ascii="宋体" w:hAnsi="宋体"/>
                <w:color w:val="000000"/>
                <w:szCs w:val="21"/>
                <w:highlight w:val="none"/>
              </w:rPr>
            </w:pPr>
            <w:r>
              <w:rPr>
                <w:rFonts w:hint="eastAsia" w:ascii="宋体" w:hAnsi="宋体"/>
                <w:color w:val="000000"/>
                <w:szCs w:val="21"/>
                <w:highlight w:val="none"/>
              </w:rPr>
              <w:t xml:space="preserve">电  话：0514-82980012  </w:t>
            </w:r>
          </w:p>
          <w:p w14:paraId="48BCB17A">
            <w:pPr>
              <w:adjustRightInd w:val="0"/>
              <w:spacing w:line="288" w:lineRule="auto"/>
              <w:rPr>
                <w:rFonts w:hint="eastAsia" w:ascii="宋体" w:hAnsi="宋体" w:eastAsia="宋体"/>
                <w:color w:val="000000"/>
                <w:szCs w:val="21"/>
                <w:highlight w:val="none"/>
                <w:lang w:eastAsia="zh-CN"/>
              </w:rPr>
            </w:pPr>
            <w:r>
              <w:rPr>
                <w:rFonts w:hint="eastAsia" w:ascii="宋体" w:hAnsi="宋体"/>
                <w:color w:val="000000"/>
                <w:szCs w:val="21"/>
                <w:highlight w:val="none"/>
              </w:rPr>
              <w:t xml:space="preserve"> 联系人：</w:t>
            </w:r>
            <w:r>
              <w:rPr>
                <w:rFonts w:hint="eastAsia" w:ascii="宋体" w:hAnsi="宋体"/>
                <w:color w:val="000000"/>
                <w:szCs w:val="21"/>
                <w:highlight w:val="none"/>
                <w:lang w:val="en-US" w:eastAsia="zh-CN"/>
              </w:rPr>
              <w:t>朱华卿</w:t>
            </w:r>
          </w:p>
        </w:tc>
      </w:tr>
    </w:tbl>
    <w:p w14:paraId="41A1D7B4">
      <w:pPr>
        <w:autoSpaceDE w:val="0"/>
        <w:autoSpaceDN w:val="0"/>
        <w:adjustRightInd w:val="0"/>
        <w:snapToGrid w:val="0"/>
        <w:spacing w:line="480" w:lineRule="exact"/>
        <w:ind w:firstLine="527" w:firstLineChars="250"/>
        <w:rPr>
          <w:rFonts w:ascii="宋体" w:hAnsi="宋体"/>
          <w:b/>
          <w:color w:val="000000"/>
          <w:szCs w:val="21"/>
          <w:highlight w:val="none"/>
        </w:rPr>
      </w:pPr>
      <w:r>
        <w:rPr>
          <w:rFonts w:hint="eastAsia" w:ascii="宋体" w:hAnsi="宋体"/>
          <w:b/>
          <w:color w:val="000000"/>
          <w:szCs w:val="21"/>
          <w:highlight w:val="none"/>
        </w:rPr>
        <w:t>一、总    则</w:t>
      </w:r>
    </w:p>
    <w:p w14:paraId="06AACF3C">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1、招标项目概况</w:t>
      </w:r>
    </w:p>
    <w:p w14:paraId="7CACA99B">
      <w:pPr>
        <w:autoSpaceDE w:val="0"/>
        <w:autoSpaceDN w:val="0"/>
        <w:adjustRightInd w:val="0"/>
        <w:snapToGrid w:val="0"/>
        <w:spacing w:line="480" w:lineRule="exact"/>
        <w:ind w:left="105" w:leftChars="50" w:firstLine="455" w:firstLineChars="217"/>
        <w:rPr>
          <w:rFonts w:ascii="宋体" w:hAnsi="宋体"/>
          <w:b/>
          <w:bCs/>
          <w:color w:val="000000"/>
          <w:szCs w:val="21"/>
          <w:highlight w:val="none"/>
        </w:rPr>
      </w:pPr>
      <w:r>
        <w:rPr>
          <w:rFonts w:hint="eastAsia" w:ascii="宋体" w:hAnsi="宋体"/>
          <w:color w:val="000000"/>
          <w:szCs w:val="21"/>
          <w:highlight w:val="none"/>
        </w:rPr>
        <w:t>1.1因我公司水质化验需要，需采购</w:t>
      </w:r>
      <w:r>
        <w:rPr>
          <w:rFonts w:hint="eastAsia" w:ascii="宋体" w:hAnsi="宋体" w:cs="宋体"/>
          <w:bCs/>
          <w:color w:val="000000"/>
          <w:spacing w:val="-2"/>
          <w:szCs w:val="21"/>
          <w:highlight w:val="none"/>
          <w:lang w:eastAsia="zh-CN"/>
        </w:rPr>
        <w:t>原子吸收光谱仪</w:t>
      </w:r>
      <w:r>
        <w:rPr>
          <w:rFonts w:hint="eastAsia" w:ascii="宋体" w:hAnsi="宋体"/>
          <w:color w:val="000000"/>
          <w:szCs w:val="21"/>
          <w:highlight w:val="none"/>
        </w:rPr>
        <w:t>。本招标项目已具备招标条件，现对本项目进行公开招标。</w:t>
      </w:r>
    </w:p>
    <w:p w14:paraId="55086249">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2、投标费用</w:t>
      </w:r>
    </w:p>
    <w:p w14:paraId="10C1577B">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2.1投标人应承担其编制投标文件与递交投标文件所涉及的一切费用。不管投标结果如何，招标人对上述费用不负任何责任。</w:t>
      </w:r>
    </w:p>
    <w:p w14:paraId="037AC188">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3、保密</w:t>
      </w:r>
    </w:p>
    <w:p w14:paraId="0D874F8A">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参与招标投标活动的各方应对招标文件和投标文件中的商业和技术等秘密保密，违者应对由此造成的后果承担法律责任。</w:t>
      </w:r>
    </w:p>
    <w:p w14:paraId="3F43926A">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4、合格的投标人</w:t>
      </w:r>
    </w:p>
    <w:p w14:paraId="6F0510E2">
      <w:pPr>
        <w:spacing w:line="360" w:lineRule="auto"/>
        <w:ind w:firstLine="525" w:firstLineChars="250"/>
        <w:rPr>
          <w:rFonts w:ascii="宋体" w:hAnsi="宋体"/>
          <w:color w:val="000000"/>
          <w:szCs w:val="21"/>
          <w:highlight w:val="none"/>
        </w:rPr>
      </w:pPr>
      <w:r>
        <w:rPr>
          <w:rFonts w:hint="eastAsia" w:ascii="宋体" w:hAnsi="宋体"/>
          <w:color w:val="000000"/>
          <w:szCs w:val="21"/>
          <w:highlight w:val="none"/>
        </w:rPr>
        <w:t>4.1投标人必须是中华人民共和国境内注册的企业法人，应遵守中国有关的法律、法规，严格执行国家标准。</w:t>
      </w:r>
    </w:p>
    <w:p w14:paraId="740F98FE">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4.2代理人具有针对本次投标的投标人法人授权委托书原件。</w:t>
      </w:r>
    </w:p>
    <w:p w14:paraId="7F13585A">
      <w:pPr>
        <w:autoSpaceDE w:val="0"/>
        <w:autoSpaceDN w:val="0"/>
        <w:adjustRightInd w:val="0"/>
        <w:snapToGrid w:val="0"/>
        <w:spacing w:line="480" w:lineRule="exact"/>
        <w:ind w:firstLine="561"/>
        <w:rPr>
          <w:rFonts w:ascii="宋体" w:hAnsi="宋体"/>
          <w:b/>
          <w:color w:val="000000"/>
          <w:szCs w:val="21"/>
          <w:highlight w:val="none"/>
        </w:rPr>
      </w:pPr>
    </w:p>
    <w:p w14:paraId="3931D934">
      <w:pPr>
        <w:autoSpaceDE w:val="0"/>
        <w:autoSpaceDN w:val="0"/>
        <w:adjustRightInd w:val="0"/>
        <w:snapToGrid w:val="0"/>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二、招标货物清单及技术规格要求</w:t>
      </w:r>
    </w:p>
    <w:p w14:paraId="65528A25">
      <w:pPr>
        <w:pStyle w:val="3"/>
        <w:spacing w:line="360" w:lineRule="auto"/>
        <w:rPr>
          <w:rFonts w:ascii="宋体" w:hAnsi="宋体" w:eastAsia="宋体" w:cs="宋体"/>
          <w:b/>
          <w:bCs/>
          <w:color w:val="000000"/>
          <w:sz w:val="21"/>
          <w:szCs w:val="21"/>
          <w:highlight w:val="none"/>
        </w:rPr>
      </w:pPr>
      <w:r>
        <w:rPr>
          <w:rFonts w:hint="eastAsia"/>
          <w:color w:val="000000"/>
          <w:highlight w:val="none"/>
        </w:rPr>
        <w:t xml:space="preserve">   </w:t>
      </w:r>
      <w:r>
        <w:rPr>
          <w:rFonts w:hint="eastAsia" w:ascii="宋体" w:hAnsi="宋体" w:eastAsia="宋体" w:cs="宋体"/>
          <w:b/>
          <w:bCs/>
          <w:color w:val="000000"/>
          <w:sz w:val="21"/>
          <w:szCs w:val="21"/>
          <w:highlight w:val="none"/>
        </w:rPr>
        <w:t>（一）招标货物清单</w:t>
      </w:r>
    </w:p>
    <w:p w14:paraId="63C62E0F">
      <w:pPr>
        <w:pStyle w:val="3"/>
        <w:spacing w:line="360" w:lineRule="auto"/>
        <w:ind w:firstLine="632" w:firstLineChars="300"/>
        <w:rPr>
          <w:rFonts w:hint="eastAsia" w:ascii="宋体" w:hAnsi="宋体" w:eastAsia="宋体" w:cs="宋体"/>
          <w:bCs/>
          <w:color w:val="000000"/>
          <w:spacing w:val="-2"/>
          <w:sz w:val="21"/>
          <w:szCs w:val="21"/>
          <w:highlight w:val="none"/>
          <w:lang w:eastAsia="zh-CN"/>
        </w:rPr>
      </w:pPr>
      <w:r>
        <w:rPr>
          <w:rFonts w:hint="eastAsia" w:ascii="宋体" w:hAnsi="宋体" w:eastAsia="宋体" w:cs="宋体"/>
          <w:b/>
          <w:color w:val="000000"/>
          <w:sz w:val="21"/>
          <w:szCs w:val="21"/>
          <w:highlight w:val="none"/>
        </w:rPr>
        <w:t>1、招标货物名称：</w:t>
      </w:r>
      <w:r>
        <w:rPr>
          <w:rFonts w:hint="eastAsia" w:ascii="宋体" w:hAnsi="宋体" w:eastAsia="宋体" w:cs="宋体"/>
          <w:bCs/>
          <w:color w:val="000000"/>
          <w:spacing w:val="-2"/>
          <w:sz w:val="21"/>
          <w:szCs w:val="21"/>
          <w:highlight w:val="none"/>
          <w:lang w:eastAsia="zh-CN"/>
        </w:rPr>
        <w:t>原子吸收光谱仪</w:t>
      </w:r>
    </w:p>
    <w:p w14:paraId="7C1CC5AA">
      <w:pPr>
        <w:pStyle w:val="10"/>
        <w:spacing w:line="360" w:lineRule="auto"/>
        <w:ind w:left="420" w:leftChars="200" w:firstLine="211" w:firstLineChars="100"/>
        <w:rPr>
          <w:rFonts w:hint="default" w:ascii="宋体" w:hAnsi="宋体" w:cs="宋体"/>
          <w:color w:val="000000"/>
          <w:szCs w:val="21"/>
          <w:highlight w:val="none"/>
          <w:lang w:val="en-US" w:eastAsia="zh-CN"/>
        </w:rPr>
      </w:pPr>
      <w:r>
        <w:rPr>
          <w:rFonts w:hint="eastAsia" w:ascii="宋体" w:hAnsi="宋体" w:cs="宋体"/>
          <w:b/>
          <w:color w:val="000000"/>
          <w:szCs w:val="21"/>
          <w:highlight w:val="none"/>
        </w:rPr>
        <w:t>2、订货量</w:t>
      </w:r>
      <w:r>
        <w:rPr>
          <w:rFonts w:hint="eastAsia" w:ascii="宋体" w:hAnsi="宋体" w:cs="宋体"/>
          <w:color w:val="000000"/>
          <w:szCs w:val="21"/>
          <w:highlight w:val="none"/>
        </w:rPr>
        <w:t>：</w:t>
      </w:r>
      <w:r>
        <w:rPr>
          <w:rFonts w:hint="eastAsia" w:ascii="宋体" w:hAnsi="宋体" w:cs="宋体"/>
          <w:color w:val="000000"/>
          <w:szCs w:val="21"/>
          <w:highlight w:val="none"/>
          <w:lang w:val="en-US" w:eastAsia="zh-CN"/>
        </w:rPr>
        <w:t>详见技术规格要求中仪器配置清单</w:t>
      </w:r>
    </w:p>
    <w:p w14:paraId="6FD46B5F">
      <w:pPr>
        <w:pStyle w:val="10"/>
        <w:spacing w:line="360" w:lineRule="auto"/>
        <w:ind w:left="420" w:leftChars="200" w:firstLine="211" w:firstLineChars="100"/>
        <w:rPr>
          <w:rFonts w:ascii="宋体" w:hAnsi="宋体" w:cs="宋体"/>
          <w:color w:val="000000"/>
          <w:szCs w:val="21"/>
          <w:highlight w:val="none"/>
        </w:rPr>
      </w:pPr>
      <w:r>
        <w:rPr>
          <w:rFonts w:hint="eastAsia" w:ascii="宋体" w:hAnsi="宋体" w:cs="宋体"/>
          <w:b/>
          <w:color w:val="000000"/>
          <w:szCs w:val="21"/>
          <w:highlight w:val="none"/>
        </w:rPr>
        <w:t>3、最高投标限价：</w:t>
      </w:r>
      <w:r>
        <w:rPr>
          <w:rFonts w:hint="eastAsia" w:ascii="宋体" w:hAnsi="宋体" w:cs="宋体"/>
          <w:b/>
          <w:color w:val="000000"/>
          <w:szCs w:val="21"/>
          <w:highlight w:val="none"/>
          <w:lang w:val="en-US" w:eastAsia="zh-CN"/>
        </w:rPr>
        <w:t>75</w:t>
      </w:r>
      <w:r>
        <w:rPr>
          <w:rFonts w:hint="eastAsia" w:ascii="宋体" w:hAnsi="宋体" w:cs="宋体"/>
          <w:color w:val="000000"/>
          <w:szCs w:val="21"/>
          <w:highlight w:val="none"/>
        </w:rPr>
        <w:t>万元，投标报价超过者按否决投标处理。</w:t>
      </w:r>
    </w:p>
    <w:p w14:paraId="52C5D938">
      <w:pPr>
        <w:pStyle w:val="10"/>
        <w:spacing w:line="360" w:lineRule="auto"/>
        <w:ind w:left="420" w:leftChars="200" w:firstLine="211" w:firstLineChars="100"/>
        <w:rPr>
          <w:rFonts w:ascii="宋体" w:hAnsi="宋体" w:cs="宋体"/>
          <w:color w:val="000000"/>
          <w:szCs w:val="21"/>
          <w:highlight w:val="none"/>
        </w:rPr>
      </w:pPr>
      <w:r>
        <w:rPr>
          <w:rFonts w:hint="eastAsia" w:ascii="宋体" w:hAnsi="宋体" w:cs="宋体"/>
          <w:b/>
          <w:color w:val="000000"/>
          <w:szCs w:val="21"/>
          <w:highlight w:val="none"/>
        </w:rPr>
        <w:t>4、交货地点：</w:t>
      </w:r>
      <w:r>
        <w:rPr>
          <w:rFonts w:hint="eastAsia" w:ascii="宋体" w:hAnsi="宋体" w:cs="宋体"/>
          <w:bCs/>
          <w:color w:val="000000"/>
          <w:szCs w:val="21"/>
          <w:highlight w:val="none"/>
        </w:rPr>
        <w:t>用户指定地点</w:t>
      </w:r>
    </w:p>
    <w:p w14:paraId="239FC852">
      <w:pPr>
        <w:pStyle w:val="3"/>
        <w:spacing w:line="360" w:lineRule="auto"/>
        <w:ind w:firstLine="632" w:firstLineChars="300"/>
        <w:rPr>
          <w:rFonts w:hint="eastAsia" w:ascii="宋体" w:hAnsi="宋体" w:eastAsia="宋体" w:cs="宋体"/>
          <w:color w:val="000000"/>
          <w:sz w:val="21"/>
          <w:szCs w:val="21"/>
          <w:highlight w:val="none"/>
        </w:rPr>
      </w:pPr>
      <w:r>
        <w:rPr>
          <w:rFonts w:hint="eastAsia" w:ascii="宋体" w:hAnsi="宋体" w:eastAsia="宋体" w:cs="宋体"/>
          <w:b/>
          <w:color w:val="000000"/>
          <w:sz w:val="21"/>
          <w:szCs w:val="21"/>
          <w:highlight w:val="none"/>
        </w:rPr>
        <w:t xml:space="preserve">5、交货期: </w:t>
      </w:r>
      <w:r>
        <w:rPr>
          <w:rFonts w:hint="eastAsia" w:ascii="宋体" w:hAnsi="宋体" w:eastAsia="宋体" w:cs="宋体"/>
          <w:bCs/>
          <w:color w:val="000000"/>
          <w:sz w:val="21"/>
          <w:szCs w:val="21"/>
          <w:highlight w:val="none"/>
        </w:rPr>
        <w:t>合同签订后</w:t>
      </w:r>
      <w:r>
        <w:rPr>
          <w:rFonts w:hint="eastAsia" w:ascii="宋体" w:hAnsi="宋体" w:eastAsia="宋体" w:cs="宋体"/>
          <w:color w:val="000000"/>
          <w:sz w:val="21"/>
          <w:szCs w:val="21"/>
          <w:highlight w:val="none"/>
        </w:rPr>
        <w:t>1个月内交货，具体时间由合同确定</w:t>
      </w:r>
    </w:p>
    <w:p w14:paraId="5798D6DE">
      <w:pPr>
        <w:ind w:firstLine="632" w:firstLineChars="300"/>
        <w:rPr>
          <w:rFonts w:hint="default" w:ascii="宋体" w:hAnsi="宋体" w:eastAsia="宋体" w:cs="宋体"/>
          <w:b/>
          <w:color w:val="000000"/>
          <w:kern w:val="2"/>
          <w:sz w:val="21"/>
          <w:szCs w:val="21"/>
          <w:highlight w:val="none"/>
          <w:lang w:val="en-US" w:eastAsia="zh-CN" w:bidi="ar-SA"/>
        </w:rPr>
      </w:pPr>
      <w:r>
        <w:rPr>
          <w:rFonts w:hint="eastAsia" w:ascii="宋体" w:hAnsi="宋体" w:eastAsia="宋体" w:cs="宋体"/>
          <w:b/>
          <w:color w:val="000000"/>
          <w:kern w:val="2"/>
          <w:sz w:val="21"/>
          <w:szCs w:val="21"/>
          <w:highlight w:val="none"/>
          <w:lang w:val="en-US" w:eastAsia="zh-CN" w:bidi="ar-SA"/>
        </w:rPr>
        <w:t>6、包安装调试</w:t>
      </w:r>
    </w:p>
    <w:p w14:paraId="116A97E4">
      <w:pPr>
        <w:pStyle w:val="3"/>
        <w:spacing w:line="360" w:lineRule="auto"/>
        <w:ind w:firstLine="422" w:firstLineChars="200"/>
        <w:rPr>
          <w:rFonts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（二）技术规格要求</w:t>
      </w:r>
    </w:p>
    <w:p w14:paraId="45CCEE36">
      <w:pPr>
        <w:pStyle w:val="11"/>
        <w:ind w:firstLine="420" w:firstLineChars="200"/>
        <w:rPr>
          <w:rFonts w:hint="eastAsia" w:ascii="微软雅黑" w:hAnsi="微软雅黑" w:eastAsia="微软雅黑"/>
          <w:sz w:val="21"/>
          <w:szCs w:val="21"/>
        </w:rPr>
      </w:pPr>
      <w:r>
        <w:rPr>
          <w:rFonts w:hint="eastAsia" w:ascii="微软雅黑" w:hAnsi="微软雅黑" w:eastAsia="微软雅黑"/>
          <w:sz w:val="21"/>
          <w:szCs w:val="21"/>
        </w:rPr>
        <w:t>1、技术参数要求</w:t>
      </w:r>
    </w:p>
    <w:p w14:paraId="61DB6A27">
      <w:pPr>
        <w:pStyle w:val="11"/>
        <w:ind w:left="420" w:leftChars="200" w:firstLine="0" w:firstLineChars="0"/>
        <w:rPr>
          <w:rFonts w:hint="eastAsia" w:ascii="微软雅黑" w:hAnsi="微软雅黑" w:eastAsia="微软雅黑"/>
          <w:sz w:val="21"/>
          <w:szCs w:val="21"/>
        </w:rPr>
      </w:pPr>
      <w:r>
        <w:rPr>
          <w:rFonts w:hint="eastAsia" w:ascii="微软雅黑" w:hAnsi="微软雅黑" w:eastAsia="微软雅黑"/>
          <w:sz w:val="21"/>
          <w:szCs w:val="21"/>
        </w:rPr>
        <w:t>1.1光学系统</w:t>
      </w:r>
    </w:p>
    <w:p w14:paraId="39844085">
      <w:pPr>
        <w:ind w:left="420" w:leftChars="200" w:firstLine="0" w:firstLineChars="0"/>
        <w:rPr>
          <w:rFonts w:hint="eastAsia" w:ascii="微软雅黑" w:hAnsi="微软雅黑" w:eastAsia="微软雅黑"/>
          <w:szCs w:val="21"/>
        </w:rPr>
      </w:pPr>
      <w:r>
        <w:rPr>
          <w:rFonts w:hint="eastAsia" w:ascii="微软雅黑" w:hAnsi="微软雅黑" w:eastAsia="微软雅黑"/>
          <w:szCs w:val="21"/>
        </w:rPr>
        <w:t>1.1.1窄光束设计，无透镜全反射的光学系统完全密封，光学部件采用石英涂层；</w:t>
      </w:r>
    </w:p>
    <w:p w14:paraId="21AC0CCE">
      <w:pPr>
        <w:ind w:left="420" w:leftChars="200" w:firstLine="0" w:firstLineChars="0"/>
        <w:rPr>
          <w:rFonts w:hint="eastAsia" w:ascii="微软雅黑" w:hAnsi="微软雅黑" w:eastAsia="微软雅黑"/>
          <w:szCs w:val="21"/>
        </w:rPr>
      </w:pPr>
      <w:r>
        <w:rPr>
          <w:rFonts w:hint="eastAsia" w:ascii="微软雅黑" w:hAnsi="微软雅黑" w:eastAsia="微软雅黑"/>
          <w:szCs w:val="21"/>
        </w:rPr>
        <w:t>1.1.2采用旋转光束合成器（RBC），能够实现最大限度的光通量；</w:t>
      </w:r>
    </w:p>
    <w:p w14:paraId="6073F02F">
      <w:pPr>
        <w:ind w:left="420" w:leftChars="200" w:firstLine="0" w:firstLineChars="0"/>
        <w:rPr>
          <w:rFonts w:hint="eastAsia" w:ascii="微软雅黑" w:hAnsi="微软雅黑" w:eastAsia="微软雅黑"/>
          <w:szCs w:val="21"/>
        </w:rPr>
      </w:pPr>
      <w:r>
        <w:rPr>
          <w:rFonts w:hint="eastAsia" w:ascii="微软雅黑" w:hAnsi="微软雅黑" w:eastAsia="微软雅黑"/>
          <w:szCs w:val="21"/>
        </w:rPr>
        <w:t>1.1.3全铸铝光学底座，特殊的防震设计，保证仪器的坚固可靠和极佳的稳定性；</w:t>
      </w:r>
    </w:p>
    <w:p w14:paraId="5AD22180">
      <w:pPr>
        <w:ind w:left="420" w:leftChars="200" w:firstLine="0" w:firstLineChars="0"/>
        <w:rPr>
          <w:rFonts w:hint="eastAsia" w:ascii="微软雅黑" w:hAnsi="微软雅黑" w:eastAsia="微软雅黑"/>
          <w:szCs w:val="21"/>
        </w:rPr>
      </w:pPr>
      <w:r>
        <w:rPr>
          <w:rFonts w:hint="eastAsia" w:ascii="微软雅黑" w:hAnsi="微软雅黑" w:eastAsia="微软雅黑"/>
          <w:szCs w:val="21"/>
        </w:rPr>
        <w:t>1.1.4 采用Czerny-Turner 单色器，低杂散光，拓宽了线性范围，并降低检出限；</w:t>
      </w:r>
    </w:p>
    <w:p w14:paraId="4A5C10F4">
      <w:pPr>
        <w:ind w:left="420" w:leftChars="200" w:firstLine="0" w:firstLineChars="0"/>
        <w:rPr>
          <w:rFonts w:hint="eastAsia" w:ascii="微软雅黑" w:hAnsi="微软雅黑" w:eastAsia="微软雅黑"/>
          <w:szCs w:val="21"/>
        </w:rPr>
      </w:pPr>
      <w:r>
        <w:rPr>
          <w:rFonts w:hint="eastAsia" w:ascii="微软雅黑" w:hAnsi="微软雅黑" w:eastAsia="微软雅黑"/>
          <w:szCs w:val="21"/>
        </w:rPr>
        <w:t>1.1.5 波长范围：185～900nm。计算机控制：自动选择波长；</w:t>
      </w:r>
    </w:p>
    <w:p w14:paraId="4903383B">
      <w:pPr>
        <w:ind w:left="420" w:leftChars="200" w:firstLine="0" w:firstLineChars="0"/>
        <w:rPr>
          <w:rFonts w:hint="eastAsia" w:ascii="微软雅黑" w:hAnsi="微软雅黑" w:eastAsia="微软雅黑"/>
          <w:szCs w:val="21"/>
        </w:rPr>
      </w:pPr>
      <w:r>
        <w:rPr>
          <w:rFonts w:hint="eastAsia" w:ascii="微软雅黑" w:hAnsi="微软雅黑" w:eastAsia="微软雅黑"/>
          <w:szCs w:val="21"/>
        </w:rPr>
        <w:t>1.1.6波长扫描速度：20</w:t>
      </w:r>
      <w:r>
        <w:rPr>
          <w:rFonts w:ascii="微软雅黑" w:hAnsi="微软雅黑" w:eastAsia="微软雅黑"/>
          <w:szCs w:val="21"/>
        </w:rPr>
        <w:t>25</w:t>
      </w:r>
      <w:r>
        <w:rPr>
          <w:rFonts w:hint="eastAsia" w:ascii="微软雅黑" w:hAnsi="微软雅黑" w:eastAsia="微软雅黑"/>
          <w:szCs w:val="21"/>
        </w:rPr>
        <w:t>nm/min；</w:t>
      </w:r>
    </w:p>
    <w:p w14:paraId="17B722F4">
      <w:pPr>
        <w:ind w:left="420" w:leftChars="200" w:firstLine="0" w:firstLineChars="0"/>
        <w:rPr>
          <w:szCs w:val="21"/>
        </w:rPr>
      </w:pPr>
      <w:r>
        <w:rPr>
          <w:rFonts w:hint="eastAsia" w:ascii="微软雅黑" w:hAnsi="微软雅黑" w:eastAsia="微软雅黑"/>
          <w:szCs w:val="21"/>
        </w:rPr>
        <w:t>1</w:t>
      </w:r>
      <w:r>
        <w:rPr>
          <w:rFonts w:ascii="微软雅黑" w:hAnsi="微软雅黑" w:eastAsia="微软雅黑"/>
          <w:szCs w:val="21"/>
        </w:rPr>
        <w:t xml:space="preserve">.1.7 </w:t>
      </w:r>
      <w:r>
        <w:rPr>
          <w:rFonts w:hint="eastAsia" w:ascii="微软雅黑" w:hAnsi="微软雅黑" w:eastAsia="微软雅黑"/>
          <w:szCs w:val="21"/>
        </w:rPr>
        <w:t>光栅刻线为：1800L/mm；</w:t>
      </w:r>
    </w:p>
    <w:p w14:paraId="1B91163D">
      <w:pPr>
        <w:ind w:left="420" w:leftChars="200" w:firstLine="0" w:firstLineChars="0"/>
        <w:rPr>
          <w:rFonts w:hint="eastAsia" w:ascii="微软雅黑" w:hAnsi="微软雅黑" w:eastAsia="微软雅黑"/>
          <w:szCs w:val="21"/>
        </w:rPr>
      </w:pPr>
      <w:r>
        <w:rPr>
          <w:rFonts w:hint="eastAsia" w:ascii="微软雅黑" w:hAnsi="微软雅黑" w:eastAsia="微软雅黑"/>
          <w:szCs w:val="21"/>
        </w:rPr>
        <w:t>1.1.</w:t>
      </w:r>
      <w:r>
        <w:rPr>
          <w:rFonts w:ascii="微软雅黑" w:hAnsi="微软雅黑" w:eastAsia="微软雅黑"/>
          <w:szCs w:val="21"/>
        </w:rPr>
        <w:t xml:space="preserve">8 </w:t>
      </w:r>
      <w:r>
        <w:rPr>
          <w:rFonts w:hint="eastAsia" w:ascii="微软雅黑" w:hAnsi="微软雅黑" w:eastAsia="微软雅黑"/>
          <w:szCs w:val="21"/>
        </w:rPr>
        <w:t>自动狭缝切换，0.1、0.2、0.5、1.0nm及高低档；</w:t>
      </w:r>
    </w:p>
    <w:p w14:paraId="280EDDBB">
      <w:pPr>
        <w:ind w:left="420" w:leftChars="200" w:firstLine="0" w:firstLineChars="0"/>
        <w:rPr>
          <w:rFonts w:hint="eastAsia" w:ascii="微软雅黑" w:hAnsi="微软雅黑" w:eastAsia="微软雅黑"/>
          <w:szCs w:val="21"/>
        </w:rPr>
      </w:pPr>
      <w:r>
        <w:rPr>
          <w:rFonts w:hint="eastAsia" w:ascii="微软雅黑" w:hAnsi="微软雅黑" w:eastAsia="微软雅黑"/>
          <w:szCs w:val="21"/>
        </w:rPr>
        <w:t>1.1.</w:t>
      </w:r>
      <w:r>
        <w:rPr>
          <w:rFonts w:ascii="微软雅黑" w:hAnsi="微软雅黑" w:eastAsia="微软雅黑"/>
          <w:szCs w:val="21"/>
        </w:rPr>
        <w:t>9</w:t>
      </w:r>
      <w:r>
        <w:rPr>
          <w:rFonts w:hint="eastAsia" w:ascii="微软雅黑" w:hAnsi="微软雅黑" w:eastAsia="微软雅黑"/>
          <w:b/>
          <w:color w:val="FF0000"/>
          <w:szCs w:val="21"/>
        </w:rPr>
        <w:t>＊</w:t>
      </w:r>
      <w:r>
        <w:rPr>
          <w:rFonts w:hint="eastAsia" w:ascii="微软雅黑" w:hAnsi="微软雅黑" w:eastAsia="微软雅黑"/>
          <w:szCs w:val="21"/>
        </w:rPr>
        <w:t>固定</w:t>
      </w:r>
      <w:r>
        <w:rPr>
          <w:rFonts w:ascii="微软雅黑" w:hAnsi="微软雅黑" w:eastAsia="微软雅黑"/>
          <w:szCs w:val="21"/>
        </w:rPr>
        <w:t>16</w:t>
      </w:r>
      <w:r>
        <w:rPr>
          <w:rFonts w:hint="eastAsia" w:ascii="微软雅黑" w:hAnsi="微软雅黑" w:eastAsia="微软雅黑"/>
          <w:szCs w:val="21"/>
        </w:rPr>
        <w:t>灯座，旋转镜面，自动快速选择元素灯；</w:t>
      </w:r>
    </w:p>
    <w:p w14:paraId="5D5D11EB">
      <w:pPr>
        <w:ind w:left="420" w:leftChars="200" w:firstLine="0" w:firstLineChars="0"/>
        <w:rPr>
          <w:rFonts w:hint="eastAsia" w:ascii="微软雅黑" w:hAnsi="微软雅黑" w:eastAsia="微软雅黑"/>
          <w:szCs w:val="21"/>
        </w:rPr>
      </w:pPr>
      <w:r>
        <w:rPr>
          <w:rFonts w:hint="eastAsia" w:ascii="微软雅黑" w:hAnsi="微软雅黑" w:eastAsia="微软雅黑"/>
          <w:szCs w:val="21"/>
        </w:rPr>
        <w:t>1.1.</w:t>
      </w:r>
      <w:bookmarkStart w:id="0" w:name="OLE_LINK2"/>
      <w:bookmarkStart w:id="1" w:name="OLE_LINK1"/>
      <w:r>
        <w:rPr>
          <w:rFonts w:ascii="微软雅黑" w:hAnsi="微软雅黑" w:eastAsia="微软雅黑"/>
          <w:szCs w:val="21"/>
        </w:rPr>
        <w:t>10</w:t>
      </w:r>
      <w:r>
        <w:rPr>
          <w:rFonts w:hint="eastAsia" w:ascii="微软雅黑" w:hAnsi="微软雅黑" w:eastAsia="微软雅黑"/>
          <w:b/>
          <w:color w:val="FF0000"/>
          <w:szCs w:val="21"/>
        </w:rPr>
        <w:t>＊</w:t>
      </w:r>
      <w:bookmarkEnd w:id="0"/>
      <w:bookmarkEnd w:id="1"/>
      <w:r>
        <w:rPr>
          <w:rFonts w:hint="eastAsia" w:ascii="微软雅黑" w:hAnsi="微软雅黑" w:eastAsia="微软雅黑"/>
          <w:szCs w:val="21"/>
        </w:rPr>
        <w:t>火焰和石墨炉都具有独立的光学平台和检测系统,系统为火焰、石墨炉分体机设计</w:t>
      </w:r>
      <w:r>
        <w:rPr>
          <w:rFonts w:ascii="微软雅黑" w:hAnsi="微软雅黑" w:eastAsia="微软雅黑"/>
          <w:szCs w:val="21"/>
        </w:rPr>
        <w:t>,</w:t>
      </w:r>
      <w:r>
        <w:rPr>
          <w:rFonts w:hint="eastAsia" w:ascii="微软雅黑" w:hAnsi="微软雅黑" w:eastAsia="微软雅黑"/>
          <w:szCs w:val="21"/>
        </w:rPr>
        <w:t>石墨炉部分采用纵向加热、横向交流塞曼扣背景；并配置石墨炉自动进样器。火焰与石墨炉功能不采用外部原子化器的切换，完全独立，火焰和石墨炉可以同时分析。</w:t>
      </w:r>
    </w:p>
    <w:p w14:paraId="56854D0B">
      <w:pPr>
        <w:ind w:left="420" w:leftChars="200" w:firstLine="0" w:firstLineChars="0"/>
        <w:rPr>
          <w:rFonts w:hint="eastAsia" w:ascii="微软雅黑" w:hAnsi="微软雅黑" w:eastAsia="微软雅黑"/>
          <w:szCs w:val="21"/>
        </w:rPr>
      </w:pPr>
    </w:p>
    <w:p w14:paraId="52E995AF">
      <w:pPr>
        <w:pStyle w:val="11"/>
        <w:ind w:left="420" w:leftChars="200" w:firstLine="0" w:firstLineChars="0"/>
        <w:rPr>
          <w:rFonts w:hint="eastAsia" w:ascii="微软雅黑" w:hAnsi="微软雅黑" w:eastAsia="微软雅黑"/>
          <w:sz w:val="21"/>
          <w:szCs w:val="21"/>
        </w:rPr>
      </w:pPr>
      <w:r>
        <w:rPr>
          <w:rFonts w:hint="eastAsia" w:ascii="微软雅黑" w:hAnsi="微软雅黑" w:eastAsia="微软雅黑"/>
          <w:sz w:val="21"/>
          <w:szCs w:val="21"/>
        </w:rPr>
        <w:t>1.2火焰部分</w:t>
      </w:r>
      <w:r>
        <w:rPr>
          <w:rFonts w:ascii="微软雅黑" w:hAnsi="微软雅黑" w:eastAsia="微软雅黑"/>
          <w:sz w:val="21"/>
          <w:szCs w:val="21"/>
        </w:rPr>
        <w:t xml:space="preserve"> </w:t>
      </w:r>
    </w:p>
    <w:p w14:paraId="6620299F">
      <w:pPr>
        <w:ind w:left="420" w:leftChars="200" w:firstLine="0" w:firstLineChars="0"/>
        <w:rPr>
          <w:rFonts w:hint="eastAsia" w:ascii="微软雅黑" w:hAnsi="微软雅黑" w:eastAsia="微软雅黑"/>
          <w:b/>
          <w:szCs w:val="21"/>
        </w:rPr>
      </w:pPr>
      <w:r>
        <w:rPr>
          <w:rFonts w:hint="eastAsia" w:ascii="微软雅黑" w:hAnsi="微软雅黑" w:eastAsia="微软雅黑"/>
          <w:b/>
          <w:szCs w:val="21"/>
        </w:rPr>
        <w:t>1.2.1雾化及安全系统：</w:t>
      </w:r>
    </w:p>
    <w:p w14:paraId="7AE9AACD">
      <w:pPr>
        <w:ind w:left="420" w:leftChars="200" w:firstLine="0" w:firstLineChars="0"/>
        <w:rPr>
          <w:rFonts w:hint="eastAsia" w:ascii="微软雅黑" w:hAnsi="微软雅黑" w:eastAsia="微软雅黑"/>
        </w:rPr>
      </w:pPr>
      <w:r>
        <w:rPr>
          <w:rFonts w:hint="eastAsia" w:ascii="微软雅黑" w:hAnsi="微软雅黑" w:eastAsia="微软雅黑"/>
          <w:szCs w:val="21"/>
        </w:rPr>
        <w:t>1.2.1.1</w:t>
      </w:r>
      <w:r>
        <w:rPr>
          <w:rFonts w:hint="eastAsia" w:ascii="微软雅黑" w:hAnsi="微软雅黑" w:eastAsia="微软雅黑"/>
        </w:rPr>
        <w:t>雾化系统由氟塑料制成，能够耐强酸和有机溶剂；雾化器溶液提升量可调节，便于优化方法；</w:t>
      </w:r>
    </w:p>
    <w:p w14:paraId="714A65D8">
      <w:pPr>
        <w:ind w:left="420" w:leftChars="200" w:firstLine="0" w:firstLineChars="0"/>
        <w:rPr>
          <w:rFonts w:hint="eastAsia" w:ascii="微软雅黑" w:hAnsi="微软雅黑" w:eastAsia="微软雅黑"/>
        </w:rPr>
      </w:pPr>
      <w:r>
        <w:rPr>
          <w:rFonts w:hint="eastAsia" w:ascii="微软雅黑" w:hAnsi="微软雅黑" w:eastAsia="微软雅黑"/>
        </w:rPr>
        <w:t>1.2.1.2 燃烧头为I</w:t>
      </w:r>
      <w:r>
        <w:rPr>
          <w:rFonts w:ascii="微软雅黑" w:hAnsi="微软雅黑" w:eastAsia="微软雅黑"/>
        </w:rPr>
        <w:t>ncoloy</w:t>
      </w:r>
      <w:r>
        <w:rPr>
          <w:rFonts w:hint="eastAsia" w:ascii="微软雅黑" w:hAnsi="微软雅黑" w:eastAsia="微软雅黑"/>
        </w:rPr>
        <w:t>合金制造，基座附Teflon防腐蚀屏蔽膜，耐腐蚀，不发脆； 燃烧头防堵效果好，能适合高盐样品分析；</w:t>
      </w:r>
    </w:p>
    <w:p w14:paraId="4E31F48C">
      <w:pPr>
        <w:ind w:left="420" w:leftChars="200" w:firstLine="0" w:firstLineChars="0"/>
        <w:rPr>
          <w:rFonts w:hint="eastAsia" w:ascii="微软雅黑" w:hAnsi="微软雅黑" w:eastAsia="微软雅黑"/>
        </w:rPr>
      </w:pPr>
      <w:r>
        <w:rPr>
          <w:rFonts w:hint="eastAsia" w:ascii="微软雅黑" w:hAnsi="微软雅黑" w:eastAsia="微软雅黑"/>
        </w:rPr>
        <w:t>1.2.1.3</w:t>
      </w:r>
      <w:r>
        <w:rPr>
          <w:rFonts w:ascii="微软雅黑" w:hAnsi="微软雅黑" w:eastAsia="微软雅黑"/>
        </w:rPr>
        <w:t xml:space="preserve"> </w:t>
      </w:r>
      <w:r>
        <w:rPr>
          <w:rFonts w:hint="eastAsia" w:ascii="微软雅黑" w:hAnsi="微软雅黑" w:eastAsia="微软雅黑"/>
        </w:rPr>
        <w:t>撞击球：玻璃撞击球，也可选配耐氢氟酸的撞击球，撞击球前后位置外部可调；</w:t>
      </w:r>
    </w:p>
    <w:p w14:paraId="6D7F7A0B">
      <w:pPr>
        <w:ind w:left="420" w:leftChars="200" w:firstLine="0" w:firstLineChars="0"/>
        <w:rPr>
          <w:rFonts w:hint="eastAsia" w:ascii="微软雅黑" w:hAnsi="微软雅黑" w:eastAsia="微软雅黑"/>
        </w:rPr>
      </w:pPr>
      <w:r>
        <w:rPr>
          <w:rFonts w:hint="eastAsia" w:ascii="微软雅黑" w:hAnsi="微软雅黑" w:eastAsia="微软雅黑"/>
        </w:rPr>
        <w:t xml:space="preserve">1.2.1.4双头扰流器：置于雾化室内的扰流器可以更好的适用于高盐样品的测定，提高测定的准确度和精密度； </w:t>
      </w:r>
    </w:p>
    <w:p w14:paraId="4E79FA5F">
      <w:pPr>
        <w:ind w:left="420" w:leftChars="200" w:firstLine="0" w:firstLineChars="0"/>
        <w:rPr>
          <w:rFonts w:hint="eastAsia" w:ascii="微软雅黑" w:hAnsi="微软雅黑" w:eastAsia="微软雅黑"/>
          <w:szCs w:val="21"/>
        </w:rPr>
      </w:pPr>
      <w:r>
        <w:rPr>
          <w:rFonts w:hint="eastAsia" w:ascii="微软雅黑" w:hAnsi="微软雅黑" w:eastAsia="微软雅黑"/>
          <w:szCs w:val="21"/>
        </w:rPr>
        <w:t>1.2.1.5</w:t>
      </w:r>
      <w:r>
        <w:rPr>
          <w:rFonts w:ascii="微软雅黑" w:hAnsi="微软雅黑" w:eastAsia="微软雅黑"/>
          <w:szCs w:val="21"/>
        </w:rPr>
        <w:t xml:space="preserve"> </w:t>
      </w:r>
      <w:r>
        <w:rPr>
          <w:rFonts w:hint="eastAsia" w:ascii="微软雅黑" w:hAnsi="微软雅黑" w:eastAsia="微软雅黑"/>
          <w:szCs w:val="21"/>
        </w:rPr>
        <w:t>安全联锁监控：燃烧头类型、位置、液阱位置、压力释放塞、火焰屏蔽罩、火焰工作情况、电源、气体压力,多个防紫外辐射和废气排放系统给予操作人员完全的保护；</w:t>
      </w:r>
    </w:p>
    <w:p w14:paraId="3886EA73">
      <w:pPr>
        <w:ind w:left="420" w:leftChars="200" w:firstLine="0" w:firstLineChars="0"/>
        <w:rPr>
          <w:rFonts w:hint="eastAsia" w:ascii="微软雅黑" w:hAnsi="微软雅黑" w:eastAsia="微软雅黑"/>
          <w:szCs w:val="21"/>
        </w:rPr>
      </w:pPr>
      <w:r>
        <w:rPr>
          <w:rFonts w:hint="eastAsia" w:ascii="微软雅黑" w:hAnsi="微软雅黑" w:eastAsia="微软雅黑"/>
          <w:szCs w:val="21"/>
        </w:rPr>
        <w:t>1.2.1.6</w:t>
      </w:r>
      <w:r>
        <w:rPr>
          <w:rFonts w:hint="eastAsia" w:ascii="微软雅黑" w:hAnsi="微软雅黑" w:eastAsia="微软雅黑"/>
          <w:color w:val="FF0000"/>
          <w:szCs w:val="21"/>
        </w:rPr>
        <w:t>＊</w:t>
      </w:r>
      <w:r>
        <w:rPr>
          <w:rFonts w:hint="eastAsia" w:ascii="微软雅黑" w:hAnsi="微软雅黑" w:eastAsia="微软雅黑"/>
          <w:szCs w:val="21"/>
        </w:rPr>
        <w:t>具有快速分析的能力：2分钟内能准确分析样品中10个不同被测元素含量；</w:t>
      </w:r>
    </w:p>
    <w:p w14:paraId="2ADD12BF">
      <w:pPr>
        <w:ind w:left="420" w:leftChars="200" w:firstLine="0" w:firstLineChars="0"/>
        <w:rPr>
          <w:rFonts w:hint="eastAsia" w:ascii="微软雅黑" w:hAnsi="微软雅黑" w:eastAsia="微软雅黑"/>
        </w:rPr>
      </w:pPr>
      <w:r>
        <w:rPr>
          <w:rFonts w:hint="eastAsia" w:ascii="微软雅黑" w:hAnsi="微软雅黑" w:eastAsia="微软雅黑"/>
          <w:szCs w:val="21"/>
        </w:rPr>
        <w:t>1.2.1.7</w:t>
      </w:r>
      <w:r>
        <w:rPr>
          <w:rFonts w:hint="eastAsia" w:ascii="微软雅黑" w:hAnsi="微软雅黑" w:eastAsia="微软雅黑"/>
          <w:b/>
          <w:color w:val="FF0000"/>
          <w:szCs w:val="21"/>
        </w:rPr>
        <w:t>＊</w:t>
      </w:r>
      <w:r>
        <w:rPr>
          <w:rFonts w:hint="eastAsia" w:ascii="微软雅黑" w:hAnsi="微软雅黑" w:eastAsia="微软雅黑"/>
        </w:rPr>
        <w:t>具有内标校正功能：确保测定结果更准确；</w:t>
      </w:r>
    </w:p>
    <w:p w14:paraId="7E250279">
      <w:pPr>
        <w:ind w:left="420" w:leftChars="200" w:firstLine="0" w:firstLineChars="0"/>
        <w:rPr>
          <w:rFonts w:hint="eastAsia" w:ascii="微软雅黑" w:hAnsi="微软雅黑" w:eastAsia="微软雅黑"/>
        </w:rPr>
      </w:pPr>
      <w:r>
        <w:rPr>
          <w:rFonts w:hint="eastAsia" w:ascii="微软雅黑" w:hAnsi="微软雅黑" w:eastAsia="微软雅黑"/>
        </w:rPr>
        <w:t>1.2.1.8  火焰所有元素灯能</w:t>
      </w:r>
      <w:r>
        <w:rPr>
          <w:rFonts w:hint="eastAsia" w:ascii="微软雅黑" w:hAnsi="微软雅黑" w:eastAsia="微软雅黑"/>
          <w:szCs w:val="21"/>
        </w:rPr>
        <w:t>实现同时预热功能</w:t>
      </w:r>
      <w:r>
        <w:rPr>
          <w:rFonts w:hint="eastAsia" w:ascii="微软雅黑" w:hAnsi="微软雅黑" w:eastAsia="微软雅黑"/>
        </w:rPr>
        <w:t>。</w:t>
      </w:r>
    </w:p>
    <w:p w14:paraId="6CDCDB08">
      <w:pPr>
        <w:ind w:left="420" w:leftChars="200" w:firstLine="0" w:firstLineChars="0"/>
        <w:rPr>
          <w:rFonts w:hint="eastAsia" w:ascii="微软雅黑" w:hAnsi="微软雅黑" w:eastAsia="微软雅黑"/>
        </w:rPr>
      </w:pPr>
    </w:p>
    <w:p w14:paraId="6FCBC481">
      <w:pPr>
        <w:ind w:left="420" w:leftChars="200" w:firstLine="0" w:firstLineChars="0"/>
        <w:rPr>
          <w:rFonts w:hint="eastAsia" w:ascii="微软雅黑" w:hAnsi="微软雅黑" w:eastAsia="微软雅黑"/>
          <w:b/>
        </w:rPr>
      </w:pPr>
      <w:r>
        <w:rPr>
          <w:rFonts w:hint="eastAsia" w:ascii="微软雅黑" w:hAnsi="微软雅黑" w:eastAsia="微软雅黑"/>
          <w:b/>
        </w:rPr>
        <w:t>1.2.2检测器及背景校正</w:t>
      </w:r>
    </w:p>
    <w:p w14:paraId="773E79C7">
      <w:pPr>
        <w:ind w:left="420" w:leftChars="200" w:firstLine="0" w:firstLineChars="0"/>
        <w:rPr>
          <w:rFonts w:hint="eastAsia" w:ascii="微软雅黑" w:hAnsi="微软雅黑" w:eastAsia="微软雅黑"/>
        </w:rPr>
      </w:pPr>
      <w:r>
        <w:rPr>
          <w:rFonts w:hint="eastAsia" w:ascii="微软雅黑" w:hAnsi="微软雅黑" w:eastAsia="微软雅黑"/>
        </w:rPr>
        <w:t>1.2.2.1宽范围光电倍增管，可获最大的信噪比；</w:t>
      </w:r>
    </w:p>
    <w:p w14:paraId="32D2BD4E">
      <w:pPr>
        <w:ind w:left="420" w:leftChars="200" w:firstLine="0" w:firstLineChars="0"/>
        <w:rPr>
          <w:rFonts w:hint="eastAsia" w:ascii="微软雅黑" w:hAnsi="微软雅黑" w:eastAsia="微软雅黑"/>
        </w:rPr>
      </w:pPr>
      <w:r>
        <w:rPr>
          <w:rFonts w:hint="eastAsia" w:ascii="微软雅黑" w:hAnsi="微软雅黑" w:eastAsia="微软雅黑"/>
          <w:szCs w:val="21"/>
        </w:rPr>
        <w:t>1.2.2.2</w:t>
      </w:r>
      <w:r>
        <w:rPr>
          <w:rFonts w:hint="eastAsia" w:ascii="微软雅黑" w:hAnsi="微软雅黑" w:eastAsia="微软雅黑"/>
        </w:rPr>
        <w:t>高强度氘灯背景校正，可校正到2.5Abs的背景，响应时间为2ms，准确校正实际背景；带有自动衰减的调节功能；</w:t>
      </w:r>
    </w:p>
    <w:p w14:paraId="59B53678">
      <w:pPr>
        <w:ind w:left="420" w:leftChars="200" w:firstLine="0" w:firstLineChars="0"/>
        <w:rPr>
          <w:rFonts w:hint="eastAsia" w:ascii="微软雅黑" w:hAnsi="微软雅黑" w:eastAsia="微软雅黑"/>
        </w:rPr>
      </w:pPr>
      <w:r>
        <w:rPr>
          <w:rFonts w:hint="eastAsia" w:ascii="微软雅黑" w:hAnsi="微软雅黑" w:eastAsia="微软雅黑"/>
          <w:szCs w:val="21"/>
        </w:rPr>
        <w:t>1.2.2.3</w:t>
      </w:r>
      <w:r>
        <w:rPr>
          <w:rFonts w:hint="eastAsia" w:ascii="微软雅黑" w:hAnsi="微软雅黑" w:eastAsia="微软雅黑"/>
          <w:b/>
          <w:color w:val="FF0000"/>
          <w:szCs w:val="21"/>
        </w:rPr>
        <w:t xml:space="preserve"> </w:t>
      </w:r>
      <w:r>
        <w:rPr>
          <w:rFonts w:hint="eastAsia" w:ascii="微软雅黑" w:hAnsi="微软雅黑" w:eastAsia="微软雅黑"/>
        </w:rPr>
        <w:t>5</w:t>
      </w:r>
      <w:r>
        <w:rPr>
          <w:rFonts w:ascii="微软雅黑" w:hAnsi="微软雅黑" w:eastAsia="微软雅黑"/>
        </w:rPr>
        <w:t>ppm</w:t>
      </w:r>
      <w:r>
        <w:rPr>
          <w:rFonts w:hint="eastAsia" w:ascii="微软雅黑" w:hAnsi="微软雅黑" w:eastAsia="微软雅黑"/>
        </w:rPr>
        <w:t>铜吸光度值大于0.9Abs，精密度RSD小于0.5%。</w:t>
      </w:r>
    </w:p>
    <w:p w14:paraId="17F79155">
      <w:pPr>
        <w:ind w:left="420" w:leftChars="200" w:firstLine="0" w:firstLineChars="0"/>
        <w:rPr>
          <w:rFonts w:hint="eastAsia" w:ascii="微软雅黑" w:hAnsi="微软雅黑" w:eastAsia="微软雅黑"/>
        </w:rPr>
      </w:pPr>
    </w:p>
    <w:p w14:paraId="0F8F2766">
      <w:pPr>
        <w:pStyle w:val="11"/>
        <w:ind w:left="420" w:leftChars="200" w:firstLine="0" w:firstLineChars="0"/>
        <w:rPr>
          <w:rFonts w:hint="eastAsia" w:ascii="微软雅黑" w:hAnsi="微软雅黑" w:eastAsia="微软雅黑"/>
          <w:sz w:val="21"/>
          <w:szCs w:val="21"/>
        </w:rPr>
      </w:pPr>
      <w:r>
        <w:rPr>
          <w:rFonts w:ascii="微软雅黑" w:hAnsi="微软雅黑" w:eastAsia="微软雅黑"/>
          <w:sz w:val="21"/>
          <w:szCs w:val="21"/>
        </w:rPr>
        <w:t>1.</w:t>
      </w:r>
      <w:r>
        <w:rPr>
          <w:rFonts w:hint="eastAsia" w:ascii="微软雅黑" w:hAnsi="微软雅黑" w:eastAsia="微软雅黑"/>
          <w:sz w:val="21"/>
          <w:szCs w:val="21"/>
        </w:rPr>
        <w:t>3石墨炉部分</w:t>
      </w:r>
      <w:r>
        <w:rPr>
          <w:rFonts w:ascii="微软雅黑" w:hAnsi="微软雅黑" w:eastAsia="微软雅黑"/>
          <w:sz w:val="21"/>
          <w:szCs w:val="21"/>
        </w:rPr>
        <w:t xml:space="preserve"> </w:t>
      </w:r>
    </w:p>
    <w:p w14:paraId="01E72C68">
      <w:pPr>
        <w:ind w:left="420" w:leftChars="200" w:firstLine="0" w:firstLineChars="0"/>
        <w:rPr>
          <w:rFonts w:hint="eastAsia" w:ascii="微软雅黑" w:hAnsi="微软雅黑" w:eastAsia="微软雅黑"/>
          <w:b/>
          <w:szCs w:val="21"/>
        </w:rPr>
      </w:pPr>
      <w:r>
        <w:rPr>
          <w:rFonts w:ascii="微软雅黑" w:hAnsi="微软雅黑" w:eastAsia="微软雅黑"/>
          <w:b/>
          <w:szCs w:val="21"/>
        </w:rPr>
        <w:t xml:space="preserve">1.3.1 </w:t>
      </w:r>
      <w:r>
        <w:rPr>
          <w:rFonts w:hint="eastAsia" w:ascii="微软雅黑" w:hAnsi="微软雅黑" w:eastAsia="微软雅黑"/>
          <w:b/>
        </w:rPr>
        <w:t>石墨炉系统</w:t>
      </w:r>
    </w:p>
    <w:p w14:paraId="1C9F35AD">
      <w:pPr>
        <w:ind w:left="420" w:leftChars="200" w:firstLine="0" w:firstLineChars="0"/>
        <w:rPr>
          <w:rFonts w:hint="eastAsia" w:ascii="微软雅黑" w:hAnsi="微软雅黑" w:eastAsia="微软雅黑" w:cstheme="minorBidi"/>
          <w:sz w:val="22"/>
          <w:szCs w:val="21"/>
        </w:rPr>
      </w:pPr>
      <w:r>
        <w:rPr>
          <w:rFonts w:hint="eastAsia" w:ascii="微软雅黑" w:hAnsi="微软雅黑" w:eastAsia="微软雅黑"/>
          <w:szCs w:val="21"/>
        </w:rPr>
        <w:t>1.</w:t>
      </w:r>
      <w:r>
        <w:rPr>
          <w:rFonts w:ascii="微软雅黑" w:hAnsi="微软雅黑" w:eastAsia="微软雅黑"/>
          <w:szCs w:val="21"/>
        </w:rPr>
        <w:t>3</w:t>
      </w:r>
      <w:r>
        <w:rPr>
          <w:rFonts w:hint="eastAsia" w:ascii="微软雅黑" w:hAnsi="微软雅黑" w:eastAsia="微软雅黑"/>
          <w:szCs w:val="21"/>
        </w:rPr>
        <w:t>.1</w:t>
      </w:r>
      <w:r>
        <w:rPr>
          <w:rFonts w:ascii="微软雅黑" w:hAnsi="微软雅黑" w:eastAsia="微软雅黑"/>
          <w:szCs w:val="21"/>
        </w:rPr>
        <w:t>.1</w:t>
      </w:r>
      <w:r>
        <w:rPr>
          <w:rFonts w:hint="eastAsia" w:ascii="微软雅黑" w:hAnsi="微软雅黑" w:eastAsia="微软雅黑"/>
          <w:szCs w:val="21"/>
        </w:rPr>
        <w:t xml:space="preserve"> </w:t>
      </w:r>
      <w:r>
        <w:rPr>
          <w:rFonts w:hint="eastAsia" w:ascii="微软雅黑" w:hAnsi="微软雅黑" w:eastAsia="微软雅黑"/>
          <w:b/>
          <w:color w:val="FF0000"/>
          <w:szCs w:val="21"/>
        </w:rPr>
        <w:t>＊</w:t>
      </w:r>
      <w:r>
        <w:rPr>
          <w:rFonts w:hint="eastAsia" w:ascii="微软雅黑" w:hAnsi="微软雅黑" w:eastAsia="微软雅黑"/>
          <w:szCs w:val="21"/>
        </w:rPr>
        <w:t>稳定温度区域控制技术：40-3000</w:t>
      </w:r>
      <w:r>
        <w:rPr>
          <w:rFonts w:ascii="微软雅黑" w:hAnsi="微软雅黑" w:eastAsia="微软雅黑"/>
          <w:szCs w:val="21"/>
        </w:rPr>
        <w:sym w:font="Symbol" w:char="F0B0"/>
      </w:r>
      <w:r>
        <w:rPr>
          <w:rFonts w:hint="eastAsia" w:ascii="微软雅黑" w:hAnsi="微软雅黑" w:eastAsia="微软雅黑"/>
          <w:szCs w:val="21"/>
        </w:rPr>
        <w:t>C可进行程序升温，最大升温速度为2000 ℃/s；</w:t>
      </w:r>
    </w:p>
    <w:p w14:paraId="22DAE18D">
      <w:pPr>
        <w:ind w:left="420" w:leftChars="200" w:firstLine="0" w:firstLineChars="0"/>
        <w:rPr>
          <w:rFonts w:hint="eastAsia" w:ascii="微软雅黑" w:hAnsi="微软雅黑" w:eastAsia="微软雅黑"/>
          <w:szCs w:val="21"/>
        </w:rPr>
      </w:pPr>
      <w:r>
        <w:rPr>
          <w:rFonts w:hint="eastAsia" w:ascii="微软雅黑" w:hAnsi="微软雅黑" w:eastAsia="微软雅黑"/>
          <w:szCs w:val="21"/>
        </w:rPr>
        <w:t>1.</w:t>
      </w:r>
      <w:r>
        <w:rPr>
          <w:rFonts w:ascii="微软雅黑" w:hAnsi="微软雅黑" w:eastAsia="微软雅黑"/>
          <w:szCs w:val="21"/>
        </w:rPr>
        <w:t>3</w:t>
      </w:r>
      <w:r>
        <w:rPr>
          <w:rFonts w:hint="eastAsia" w:ascii="微软雅黑" w:hAnsi="微软雅黑" w:eastAsia="微软雅黑"/>
          <w:szCs w:val="21"/>
        </w:rPr>
        <w:t>.</w:t>
      </w:r>
      <w:r>
        <w:rPr>
          <w:rFonts w:ascii="微软雅黑" w:hAnsi="微软雅黑" w:eastAsia="微软雅黑"/>
          <w:szCs w:val="21"/>
        </w:rPr>
        <w:t>1.2</w:t>
      </w:r>
      <w:r>
        <w:rPr>
          <w:rFonts w:hint="eastAsia" w:ascii="微软雅黑" w:hAnsi="微软雅黑" w:eastAsia="微软雅黑"/>
          <w:szCs w:val="21"/>
        </w:rPr>
        <w:t xml:space="preserve"> 独立的两路内外气保护设计；</w:t>
      </w:r>
    </w:p>
    <w:p w14:paraId="420BB570">
      <w:pPr>
        <w:ind w:left="420" w:leftChars="200" w:firstLine="0" w:firstLineChars="0"/>
        <w:rPr>
          <w:rFonts w:hint="eastAsia" w:ascii="微软雅黑" w:hAnsi="微软雅黑" w:eastAsia="微软雅黑"/>
          <w:szCs w:val="21"/>
        </w:rPr>
      </w:pPr>
      <w:r>
        <w:rPr>
          <w:rFonts w:hint="eastAsia" w:ascii="微软雅黑" w:hAnsi="微软雅黑" w:eastAsia="微软雅黑"/>
          <w:szCs w:val="21"/>
        </w:rPr>
        <w:t>1.</w:t>
      </w:r>
      <w:r>
        <w:rPr>
          <w:rFonts w:ascii="微软雅黑" w:hAnsi="微软雅黑" w:eastAsia="微软雅黑"/>
          <w:szCs w:val="21"/>
        </w:rPr>
        <w:t>3</w:t>
      </w:r>
      <w:r>
        <w:rPr>
          <w:rFonts w:hint="eastAsia" w:ascii="微软雅黑" w:hAnsi="微软雅黑" w:eastAsia="微软雅黑"/>
          <w:szCs w:val="21"/>
        </w:rPr>
        <w:t>.</w:t>
      </w:r>
      <w:r>
        <w:rPr>
          <w:rFonts w:ascii="微软雅黑" w:hAnsi="微软雅黑" w:eastAsia="微软雅黑"/>
          <w:szCs w:val="21"/>
        </w:rPr>
        <w:t>1.</w:t>
      </w:r>
      <w:r>
        <w:rPr>
          <w:rFonts w:hint="eastAsia" w:ascii="微软雅黑" w:hAnsi="微软雅黑" w:eastAsia="微软雅黑"/>
          <w:szCs w:val="21"/>
        </w:rPr>
        <w:t>3 石墨炉采用动态温度反馈系统（CTZ），控温精确使得石墨炉的精密度高、记忆效应低；</w:t>
      </w:r>
    </w:p>
    <w:p w14:paraId="563C7402">
      <w:pPr>
        <w:ind w:left="420" w:leftChars="200" w:firstLine="0" w:firstLineChars="0"/>
        <w:rPr>
          <w:rFonts w:hint="eastAsia" w:ascii="微软雅黑" w:hAnsi="微软雅黑" w:eastAsia="微软雅黑"/>
          <w:szCs w:val="21"/>
        </w:rPr>
      </w:pPr>
      <w:r>
        <w:rPr>
          <w:rFonts w:hint="eastAsia" w:ascii="微软雅黑" w:hAnsi="微软雅黑" w:eastAsia="微软雅黑"/>
          <w:szCs w:val="21"/>
        </w:rPr>
        <w:t>1.</w:t>
      </w:r>
      <w:r>
        <w:rPr>
          <w:rFonts w:ascii="微软雅黑" w:hAnsi="微软雅黑" w:eastAsia="微软雅黑"/>
          <w:szCs w:val="21"/>
        </w:rPr>
        <w:t>3</w:t>
      </w:r>
      <w:r>
        <w:rPr>
          <w:rFonts w:hint="eastAsia" w:ascii="微软雅黑" w:hAnsi="微软雅黑" w:eastAsia="微软雅黑"/>
          <w:szCs w:val="21"/>
        </w:rPr>
        <w:t>.</w:t>
      </w:r>
      <w:r>
        <w:rPr>
          <w:rFonts w:ascii="微软雅黑" w:hAnsi="微软雅黑" w:eastAsia="微软雅黑"/>
          <w:szCs w:val="21"/>
        </w:rPr>
        <w:t>1.</w:t>
      </w:r>
      <w:r>
        <w:rPr>
          <w:rFonts w:hint="eastAsia" w:ascii="微软雅黑" w:hAnsi="微软雅黑" w:eastAsia="微软雅黑"/>
          <w:szCs w:val="21"/>
        </w:rPr>
        <w:t>4</w:t>
      </w:r>
      <w:r>
        <w:rPr>
          <w:rFonts w:hint="eastAsia" w:ascii="微软雅黑" w:hAnsi="微软雅黑" w:eastAsia="微软雅黑"/>
          <w:b/>
          <w:color w:val="FF0000"/>
          <w:szCs w:val="21"/>
        </w:rPr>
        <w:t>＊</w:t>
      </w:r>
      <w:r>
        <w:rPr>
          <w:rFonts w:hint="eastAsia" w:ascii="微软雅黑" w:hAnsi="微软雅黑" w:eastAsia="微软雅黑"/>
          <w:szCs w:val="21"/>
        </w:rPr>
        <w:t xml:space="preserve">纵向加热设计； </w:t>
      </w:r>
    </w:p>
    <w:p w14:paraId="683B6743">
      <w:pPr>
        <w:ind w:left="420" w:leftChars="200" w:firstLine="0" w:firstLineChars="0"/>
        <w:rPr>
          <w:rFonts w:hint="eastAsia" w:ascii="微软雅黑" w:hAnsi="微软雅黑" w:eastAsia="微软雅黑"/>
        </w:rPr>
      </w:pPr>
      <w:r>
        <w:rPr>
          <w:rFonts w:hint="eastAsia" w:ascii="微软雅黑" w:hAnsi="微软雅黑" w:eastAsia="微软雅黑"/>
        </w:rPr>
        <w:t>1.3.1.5</w:t>
      </w:r>
      <w:r>
        <w:rPr>
          <w:rFonts w:hint="eastAsia" w:ascii="微软雅黑" w:hAnsi="微软雅黑" w:eastAsia="微软雅黑"/>
          <w:b/>
          <w:color w:val="FF0000"/>
          <w:szCs w:val="21"/>
        </w:rPr>
        <w:t>＊</w:t>
      </w:r>
      <w:r>
        <w:rPr>
          <w:rFonts w:hint="eastAsia" w:ascii="微软雅黑" w:hAnsi="微软雅黑" w:eastAsia="微软雅黑"/>
        </w:rPr>
        <w:t>交流横向塞曼扣背景技术；塞曼扣背景响应小于5ms；实时监测背景信号，结果更可靠；</w:t>
      </w:r>
    </w:p>
    <w:p w14:paraId="49F55CD1">
      <w:pPr>
        <w:ind w:left="420" w:leftChars="200" w:firstLine="0" w:firstLineChars="0"/>
        <w:rPr>
          <w:rFonts w:hint="eastAsia" w:ascii="微软雅黑" w:hAnsi="微软雅黑" w:eastAsia="微软雅黑"/>
          <w:szCs w:val="21"/>
        </w:rPr>
      </w:pPr>
      <w:r>
        <w:rPr>
          <w:rFonts w:hint="eastAsia" w:ascii="微软雅黑" w:hAnsi="微软雅黑" w:eastAsia="微软雅黑"/>
        </w:rPr>
        <w:t>1.3.1.6</w:t>
      </w:r>
      <w:r>
        <w:rPr>
          <w:rFonts w:hint="eastAsia" w:ascii="微软雅黑" w:hAnsi="微软雅黑" w:eastAsia="微软雅黑"/>
          <w:b/>
          <w:color w:val="FF0000"/>
          <w:szCs w:val="21"/>
        </w:rPr>
        <w:t xml:space="preserve"> </w:t>
      </w:r>
      <w:r>
        <w:rPr>
          <w:rFonts w:hint="eastAsia" w:ascii="微软雅黑" w:hAnsi="微软雅黑" w:eastAsia="微软雅黑"/>
        </w:rPr>
        <w:t>石墨炉塞曼磁场强度0.1~0.8特斯拉多级可调。</w:t>
      </w:r>
    </w:p>
    <w:p w14:paraId="64F691D8">
      <w:pPr>
        <w:ind w:left="420" w:leftChars="200" w:firstLine="0" w:firstLineChars="0"/>
        <w:rPr>
          <w:rFonts w:hint="eastAsia" w:ascii="微软雅黑" w:hAnsi="微软雅黑" w:eastAsia="微软雅黑"/>
        </w:rPr>
      </w:pPr>
      <w:r>
        <w:rPr>
          <w:rFonts w:hint="eastAsia" w:ascii="微软雅黑" w:hAnsi="微软雅黑" w:eastAsia="微软雅黑"/>
        </w:rPr>
        <w:t>1.3.1.7</w:t>
      </w:r>
      <w:r>
        <w:rPr>
          <w:rFonts w:ascii="微软雅黑" w:hAnsi="微软雅黑" w:eastAsia="微软雅黑"/>
        </w:rPr>
        <w:t xml:space="preserve"> </w:t>
      </w:r>
      <w:r>
        <w:rPr>
          <w:rFonts w:hint="eastAsia" w:ascii="微软雅黑" w:hAnsi="微软雅黑" w:eastAsia="微软雅黑"/>
        </w:rPr>
        <w:t>塞曼背景校正可满足185～900nm全波长范围高达2.5Abs的背景吸收；</w:t>
      </w:r>
    </w:p>
    <w:p w14:paraId="6245F617">
      <w:pPr>
        <w:ind w:left="420" w:leftChars="200" w:firstLine="0" w:firstLineChars="0"/>
        <w:rPr>
          <w:rFonts w:hint="eastAsia" w:ascii="微软雅黑" w:hAnsi="微软雅黑" w:eastAsia="微软雅黑"/>
        </w:rPr>
      </w:pPr>
      <w:r>
        <w:rPr>
          <w:rFonts w:hint="eastAsia" w:ascii="微软雅黑" w:hAnsi="微软雅黑" w:eastAsia="微软雅黑"/>
        </w:rPr>
        <w:t>1.3.</w:t>
      </w:r>
      <w:r>
        <w:rPr>
          <w:rFonts w:ascii="微软雅黑" w:hAnsi="微软雅黑" w:eastAsia="微软雅黑"/>
        </w:rPr>
        <w:t>1.8</w:t>
      </w:r>
      <w:r>
        <w:rPr>
          <w:rFonts w:hint="eastAsia" w:ascii="微软雅黑" w:hAnsi="微软雅黑" w:eastAsia="微软雅黑"/>
          <w:b/>
          <w:color w:val="FF0000"/>
          <w:szCs w:val="21"/>
        </w:rPr>
        <w:t>＊</w:t>
      </w:r>
      <w:r>
        <w:rPr>
          <w:rFonts w:hint="eastAsia" w:ascii="微软雅黑" w:hAnsi="微软雅黑" w:eastAsia="微软雅黑"/>
        </w:rPr>
        <w:t>石墨炉自动优化参数程序，使石墨炉方法开发更加简易；</w:t>
      </w:r>
    </w:p>
    <w:p w14:paraId="30FEBC67">
      <w:pPr>
        <w:ind w:left="420" w:leftChars="200" w:firstLine="0" w:firstLineChars="0"/>
        <w:rPr>
          <w:rFonts w:hint="eastAsia" w:ascii="微软雅黑" w:hAnsi="微软雅黑" w:eastAsia="微软雅黑"/>
        </w:rPr>
      </w:pPr>
      <w:r>
        <w:rPr>
          <w:rFonts w:hint="eastAsia" w:ascii="微软雅黑" w:hAnsi="微软雅黑" w:eastAsia="微软雅黑"/>
        </w:rPr>
        <w:t>1.3.1.</w:t>
      </w:r>
      <w:r>
        <w:rPr>
          <w:rFonts w:ascii="微软雅黑" w:hAnsi="微软雅黑" w:eastAsia="微软雅黑"/>
        </w:rPr>
        <w:t xml:space="preserve">9 </w:t>
      </w:r>
      <w:r>
        <w:rPr>
          <w:rFonts w:hint="eastAsia" w:ascii="微软雅黑" w:hAnsi="微软雅黑" w:eastAsia="微软雅黑"/>
        </w:rPr>
        <w:t>仪器内联锁装置：主电源功率、磁场联接、磁场温度；</w:t>
      </w:r>
    </w:p>
    <w:p w14:paraId="378E9269">
      <w:pPr>
        <w:ind w:left="420" w:leftChars="200" w:firstLine="0" w:firstLineChars="0"/>
        <w:rPr>
          <w:rFonts w:hint="eastAsia" w:ascii="微软雅黑" w:hAnsi="微软雅黑" w:eastAsia="微软雅黑"/>
        </w:rPr>
      </w:pPr>
      <w:r>
        <w:rPr>
          <w:rFonts w:hint="eastAsia" w:ascii="微软雅黑" w:hAnsi="微软雅黑" w:eastAsia="微软雅黑"/>
        </w:rPr>
        <w:t>1.3.1.</w:t>
      </w:r>
      <w:r>
        <w:rPr>
          <w:rFonts w:ascii="微软雅黑" w:hAnsi="微软雅黑" w:eastAsia="微软雅黑"/>
        </w:rPr>
        <w:t>10</w:t>
      </w:r>
      <w:r>
        <w:rPr>
          <w:rFonts w:hint="eastAsia" w:ascii="微软雅黑" w:hAnsi="微软雅黑" w:eastAsia="微软雅黑"/>
          <w:b/>
          <w:color w:val="FF0000"/>
          <w:szCs w:val="21"/>
        </w:rPr>
        <w:t xml:space="preserve"> </w:t>
      </w:r>
      <w:r>
        <w:rPr>
          <w:rFonts w:hint="eastAsia" w:ascii="微软雅黑" w:hAnsi="微软雅黑" w:eastAsia="微软雅黑"/>
        </w:rPr>
        <w:t>外部内联锁装置：石墨炉内、外气气压监控，冷却水压力和温度，石墨管状态。</w:t>
      </w:r>
    </w:p>
    <w:p w14:paraId="73939B8F">
      <w:pPr>
        <w:ind w:left="420" w:leftChars="200" w:firstLine="0" w:firstLineChars="0"/>
        <w:rPr>
          <w:rFonts w:hint="eastAsia" w:ascii="微软雅黑" w:hAnsi="微软雅黑" w:eastAsia="微软雅黑"/>
        </w:rPr>
      </w:pPr>
    </w:p>
    <w:p w14:paraId="00C3BFDA">
      <w:pPr>
        <w:ind w:left="420" w:leftChars="200" w:firstLine="0" w:firstLineChars="0"/>
        <w:rPr>
          <w:rFonts w:hint="eastAsia" w:ascii="微软雅黑" w:hAnsi="微软雅黑" w:eastAsia="微软雅黑"/>
          <w:b/>
        </w:rPr>
      </w:pPr>
      <w:r>
        <w:rPr>
          <w:rFonts w:hint="eastAsia" w:ascii="微软雅黑" w:hAnsi="微软雅黑" w:eastAsia="微软雅黑"/>
          <w:b/>
        </w:rPr>
        <w:t>1.3.2石墨自动进样器:</w:t>
      </w:r>
    </w:p>
    <w:p w14:paraId="70A3CE42">
      <w:pPr>
        <w:ind w:left="420" w:leftChars="200" w:firstLine="0" w:firstLineChars="0"/>
        <w:rPr>
          <w:rFonts w:hint="eastAsia" w:ascii="微软雅黑" w:hAnsi="微软雅黑" w:eastAsia="微软雅黑"/>
        </w:rPr>
      </w:pPr>
      <w:r>
        <w:rPr>
          <w:rFonts w:hint="eastAsia" w:ascii="微软雅黑" w:hAnsi="微软雅黑" w:eastAsia="微软雅黑"/>
        </w:rPr>
        <w:t>1.3.2.1自动进样器，能克服自动进样器易产生气泡的问题；</w:t>
      </w:r>
    </w:p>
    <w:p w14:paraId="572C9F6E">
      <w:pPr>
        <w:ind w:left="420" w:leftChars="200" w:firstLine="0" w:firstLineChars="0"/>
        <w:rPr>
          <w:rFonts w:hint="eastAsia" w:ascii="微软雅黑" w:hAnsi="微软雅黑" w:eastAsia="微软雅黑"/>
        </w:rPr>
      </w:pPr>
      <w:r>
        <w:rPr>
          <w:rFonts w:hint="eastAsia" w:ascii="微软雅黑" w:hAnsi="微软雅黑" w:eastAsia="微软雅黑"/>
        </w:rPr>
        <w:t>1.3.2.2</w:t>
      </w:r>
      <w:r>
        <w:rPr>
          <w:rFonts w:hint="eastAsia" w:ascii="微软雅黑" w:hAnsi="微软雅黑" w:eastAsia="微软雅黑"/>
          <w:b/>
          <w:color w:val="FF0000"/>
          <w:szCs w:val="21"/>
        </w:rPr>
        <w:t>＊</w:t>
      </w:r>
      <w:r>
        <w:rPr>
          <w:rFonts w:hint="eastAsia" w:ascii="微软雅黑" w:hAnsi="微软雅黑" w:eastAsia="微软雅黑"/>
        </w:rPr>
        <w:t>标配石墨炉彩色摄像系统，实时检测石墨管内状况，使自动进样器位置的调整更简单；并且可以确定方法开发中的多个步骤的温度是否合适；</w:t>
      </w:r>
    </w:p>
    <w:p w14:paraId="65ED2217">
      <w:pPr>
        <w:ind w:left="420" w:leftChars="200" w:firstLine="0" w:firstLineChars="0"/>
        <w:rPr>
          <w:rFonts w:hint="eastAsia" w:ascii="微软雅黑" w:hAnsi="微软雅黑" w:eastAsia="微软雅黑"/>
        </w:rPr>
      </w:pPr>
      <w:r>
        <w:rPr>
          <w:rFonts w:hint="eastAsia" w:ascii="微软雅黑" w:hAnsi="微软雅黑" w:eastAsia="微软雅黑"/>
        </w:rPr>
        <w:t>1.3.2.3放置50个2ml样品瓶和5个25ml样品瓶；130位可选；</w:t>
      </w:r>
    </w:p>
    <w:p w14:paraId="5541B21B">
      <w:pPr>
        <w:ind w:left="420" w:leftChars="200" w:firstLine="0" w:firstLineChars="0"/>
        <w:rPr>
          <w:rFonts w:hint="eastAsia" w:ascii="微软雅黑" w:hAnsi="微软雅黑" w:eastAsia="微软雅黑"/>
        </w:rPr>
      </w:pPr>
      <w:r>
        <w:rPr>
          <w:rFonts w:hint="eastAsia" w:ascii="微软雅黑" w:hAnsi="微软雅黑" w:eastAsia="微软雅黑"/>
        </w:rPr>
        <w:t>1.3.2.4样品进样体积：1-70</w:t>
      </w:r>
      <w:r>
        <w:rPr>
          <w:rFonts w:ascii="微软雅黑" w:hAnsi="微软雅黑" w:eastAsia="微软雅黑"/>
        </w:rPr>
        <w:t>ul</w:t>
      </w:r>
      <w:r>
        <w:rPr>
          <w:rFonts w:hint="eastAsia" w:ascii="微软雅黑" w:hAnsi="微软雅黑" w:eastAsia="微软雅黑"/>
        </w:rPr>
        <w:t>；</w:t>
      </w:r>
    </w:p>
    <w:p w14:paraId="545AA946">
      <w:pPr>
        <w:ind w:left="420" w:leftChars="200" w:firstLine="0" w:firstLineChars="0"/>
        <w:rPr>
          <w:rFonts w:hint="eastAsia" w:ascii="微软雅黑" w:hAnsi="微软雅黑" w:eastAsia="微软雅黑"/>
        </w:rPr>
      </w:pPr>
      <w:r>
        <w:rPr>
          <w:rFonts w:hint="eastAsia" w:ascii="微软雅黑" w:hAnsi="微软雅黑" w:eastAsia="微软雅黑"/>
        </w:rPr>
        <w:t>1.3.2.5可由同一个母液自动配置多达10个浓度的溶液或标准曲线；</w:t>
      </w:r>
    </w:p>
    <w:p w14:paraId="351CB8C0">
      <w:pPr>
        <w:ind w:left="420" w:leftChars="200" w:firstLine="0" w:firstLineChars="0"/>
        <w:rPr>
          <w:rFonts w:hint="eastAsia" w:ascii="微软雅黑" w:hAnsi="微软雅黑" w:eastAsia="微软雅黑"/>
        </w:rPr>
      </w:pPr>
      <w:r>
        <w:rPr>
          <w:rFonts w:hint="eastAsia" w:ascii="微软雅黑" w:hAnsi="微软雅黑" w:eastAsia="微软雅黑"/>
        </w:rPr>
        <w:t>1.3.2.6可自动添加3种基体改进剂，预进样/后进样或与样品一起进样。具有自动减少超标样品进样体积功能；</w:t>
      </w:r>
    </w:p>
    <w:p w14:paraId="29E85AD1">
      <w:pPr>
        <w:ind w:left="420" w:leftChars="200" w:firstLine="0" w:firstLineChars="0"/>
        <w:rPr>
          <w:rFonts w:hint="eastAsia" w:ascii="微软雅黑" w:hAnsi="微软雅黑" w:eastAsia="微软雅黑"/>
        </w:rPr>
      </w:pPr>
      <w:r>
        <w:rPr>
          <w:rFonts w:hint="eastAsia" w:ascii="微软雅黑" w:hAnsi="微软雅黑" w:eastAsia="微软雅黑"/>
        </w:rPr>
        <w:t xml:space="preserve">1.3.2.7为了增加灵敏度可多次进样99次，对于快速分析，可进行“热进样”，进样速度和温度在40～200 </w:t>
      </w:r>
      <w:r>
        <w:rPr>
          <w:rFonts w:ascii="微软雅黑" w:hAnsi="微软雅黑" w:eastAsia="微软雅黑"/>
        </w:rPr>
        <w:t>℃</w:t>
      </w:r>
      <w:r>
        <w:rPr>
          <w:rFonts w:hint="eastAsia" w:ascii="微软雅黑" w:hAnsi="微软雅黑" w:eastAsia="微软雅黑"/>
        </w:rPr>
        <w:t>范围内编程；</w:t>
      </w:r>
    </w:p>
    <w:p w14:paraId="51F0DF30">
      <w:pPr>
        <w:ind w:left="420" w:leftChars="200" w:firstLine="0" w:firstLineChars="0"/>
        <w:rPr>
          <w:rFonts w:hint="eastAsia" w:ascii="微软雅黑" w:hAnsi="微软雅黑" w:eastAsia="微软雅黑"/>
        </w:rPr>
      </w:pPr>
      <w:r>
        <w:rPr>
          <w:rFonts w:hint="eastAsia" w:ascii="微软雅黑" w:hAnsi="微软雅黑" w:eastAsia="微软雅黑"/>
          <w:szCs w:val="21"/>
        </w:rPr>
        <w:t>1.3.2.8</w:t>
      </w:r>
      <w:r>
        <w:rPr>
          <w:rFonts w:hint="eastAsia" w:ascii="微软雅黑" w:hAnsi="微软雅黑" w:eastAsia="微软雅黑"/>
          <w:b/>
          <w:color w:val="FF0000"/>
          <w:szCs w:val="21"/>
        </w:rPr>
        <w:t xml:space="preserve"> </w:t>
      </w:r>
      <w:r>
        <w:rPr>
          <w:rFonts w:hint="eastAsia" w:ascii="微软雅黑" w:hAnsi="微软雅黑" w:eastAsia="微软雅黑"/>
        </w:rPr>
        <w:t>样品进样重现性：RSD &lt;1%；</w:t>
      </w:r>
    </w:p>
    <w:p w14:paraId="20AF176C">
      <w:pPr>
        <w:ind w:left="420" w:leftChars="200" w:firstLine="0" w:firstLineChars="0"/>
        <w:rPr>
          <w:rFonts w:hint="eastAsia" w:ascii="微软雅黑" w:hAnsi="微软雅黑" w:eastAsia="微软雅黑"/>
        </w:rPr>
      </w:pPr>
      <w:r>
        <w:rPr>
          <w:rFonts w:hint="eastAsia" w:ascii="微软雅黑" w:hAnsi="微软雅黑" w:eastAsia="微软雅黑"/>
        </w:rPr>
        <w:t>1.3.2.9自动进样器能适用于：水、乙醇、甲醇、丙酮等多种溶剂。</w:t>
      </w:r>
    </w:p>
    <w:p w14:paraId="78223BAF">
      <w:pPr>
        <w:ind w:left="420" w:leftChars="200" w:firstLine="0" w:firstLineChars="0"/>
        <w:rPr>
          <w:rFonts w:hint="eastAsia" w:ascii="微软雅黑" w:hAnsi="微软雅黑" w:eastAsia="微软雅黑"/>
        </w:rPr>
      </w:pPr>
    </w:p>
    <w:p w14:paraId="5458A448">
      <w:pPr>
        <w:pStyle w:val="11"/>
        <w:ind w:left="420" w:leftChars="200" w:firstLine="0" w:firstLineChars="0"/>
        <w:rPr>
          <w:rFonts w:hint="eastAsia" w:ascii="微软雅黑" w:hAnsi="微软雅黑" w:eastAsia="微软雅黑"/>
          <w:sz w:val="21"/>
          <w:szCs w:val="21"/>
        </w:rPr>
      </w:pPr>
      <w:r>
        <w:rPr>
          <w:rFonts w:hint="eastAsia" w:ascii="微软雅黑" w:hAnsi="微软雅黑" w:eastAsia="微软雅黑"/>
          <w:sz w:val="21"/>
          <w:szCs w:val="21"/>
        </w:rPr>
        <w:t>2、仪器配置清单：</w:t>
      </w:r>
    </w:p>
    <w:p w14:paraId="67A333CC">
      <w:pPr>
        <w:pStyle w:val="12"/>
        <w:widowControl/>
        <w:spacing w:line="324" w:lineRule="atLeast"/>
        <w:ind w:left="420" w:leftChars="200" w:firstLine="0" w:firstLineChars="0"/>
        <w:rPr>
          <w:rFonts w:hint="eastAsia" w:ascii="微软雅黑" w:hAnsi="微软雅黑" w:eastAsia="微软雅黑" w:cs="-webkit-standard"/>
          <w:color w:val="000000"/>
          <w:sz w:val="21"/>
          <w:szCs w:val="21"/>
        </w:rPr>
      </w:pPr>
      <w:r>
        <w:rPr>
          <w:rFonts w:ascii="微软雅黑" w:hAnsi="微软雅黑" w:eastAsia="微软雅黑" w:cs="-webkit-standard"/>
          <w:color w:val="000000"/>
          <w:sz w:val="21"/>
          <w:szCs w:val="21"/>
        </w:rPr>
        <w:t xml:space="preserve">2.1 </w:t>
      </w:r>
      <w:r>
        <w:rPr>
          <w:rFonts w:hint="eastAsia" w:ascii="微软雅黑" w:hAnsi="微软雅黑" w:eastAsia="微软雅黑" w:cs="微软雅黑"/>
          <w:color w:val="000000"/>
          <w:sz w:val="21"/>
          <w:szCs w:val="21"/>
        </w:rPr>
        <w:t>原子吸收光谱仪主机（火焰</w:t>
      </w:r>
      <w:r>
        <w:rPr>
          <w:rFonts w:ascii="微软雅黑" w:hAnsi="微软雅黑" w:eastAsia="微软雅黑" w:cs="微软雅黑"/>
          <w:color w:val="000000"/>
          <w:sz w:val="21"/>
          <w:szCs w:val="21"/>
        </w:rPr>
        <w:t>+</w:t>
      </w:r>
      <w:r>
        <w:rPr>
          <w:rFonts w:hint="eastAsia" w:ascii="微软雅黑" w:hAnsi="微软雅黑" w:eastAsia="微软雅黑" w:cs="微软雅黑"/>
          <w:color w:val="000000"/>
          <w:sz w:val="21"/>
          <w:szCs w:val="21"/>
        </w:rPr>
        <w:t>纵向加热、横向交流塞曼扣背景石墨炉）</w:t>
      </w:r>
      <w:r>
        <w:rPr>
          <w:rFonts w:ascii="微软雅黑" w:hAnsi="微软雅黑" w:eastAsia="微软雅黑" w:cs="-webkit-standard"/>
          <w:color w:val="000000"/>
          <w:sz w:val="21"/>
          <w:szCs w:val="21"/>
        </w:rPr>
        <w:t xml:space="preserve">    1</w:t>
      </w:r>
      <w:r>
        <w:rPr>
          <w:rFonts w:hint="eastAsia" w:ascii="微软雅黑" w:hAnsi="微软雅黑" w:eastAsia="微软雅黑" w:cs="宋体"/>
          <w:color w:val="000000"/>
          <w:sz w:val="21"/>
          <w:szCs w:val="21"/>
        </w:rPr>
        <w:t>套</w:t>
      </w:r>
    </w:p>
    <w:p w14:paraId="7B070A8C">
      <w:pPr>
        <w:pStyle w:val="12"/>
        <w:widowControl/>
        <w:spacing w:line="324" w:lineRule="atLeast"/>
        <w:ind w:left="420" w:leftChars="200" w:firstLine="0" w:firstLineChars="0"/>
        <w:rPr>
          <w:rFonts w:hint="eastAsia" w:ascii="微软雅黑" w:hAnsi="微软雅黑" w:eastAsia="微软雅黑" w:cs="-webkit-standard"/>
          <w:color w:val="000000"/>
          <w:sz w:val="21"/>
          <w:szCs w:val="21"/>
        </w:rPr>
      </w:pPr>
      <w:r>
        <w:rPr>
          <w:rFonts w:ascii="微软雅黑" w:hAnsi="微软雅黑" w:eastAsia="微软雅黑" w:cs="-webkit-standard"/>
          <w:color w:val="000000"/>
          <w:sz w:val="21"/>
          <w:szCs w:val="21"/>
        </w:rPr>
        <w:t xml:space="preserve">2.2 </w:t>
      </w:r>
      <w:r>
        <w:rPr>
          <w:rFonts w:hint="eastAsia" w:ascii="微软雅黑" w:hAnsi="微软雅黑" w:eastAsia="微软雅黑" w:cs="微软雅黑"/>
          <w:color w:val="000000"/>
          <w:sz w:val="21"/>
          <w:szCs w:val="21"/>
        </w:rPr>
        <w:t>石墨炉自动进样器</w:t>
      </w:r>
      <w:r>
        <w:rPr>
          <w:rFonts w:ascii="微软雅黑" w:hAnsi="微软雅黑" w:eastAsia="微软雅黑" w:cs="-webkit-standard"/>
          <w:color w:val="000000"/>
          <w:sz w:val="21"/>
          <w:szCs w:val="21"/>
        </w:rPr>
        <w:t xml:space="preserve">                                                        1</w:t>
      </w:r>
      <w:r>
        <w:rPr>
          <w:rFonts w:hint="eastAsia" w:ascii="微软雅黑" w:hAnsi="微软雅黑" w:eastAsia="微软雅黑" w:cs="微软雅黑"/>
          <w:color w:val="000000"/>
          <w:sz w:val="21"/>
          <w:szCs w:val="21"/>
        </w:rPr>
        <w:t>套</w:t>
      </w:r>
    </w:p>
    <w:p w14:paraId="582C9D36">
      <w:pPr>
        <w:pStyle w:val="12"/>
        <w:widowControl/>
        <w:spacing w:line="324" w:lineRule="atLeast"/>
        <w:ind w:left="420" w:leftChars="200" w:firstLine="0" w:firstLineChars="0"/>
        <w:rPr>
          <w:rFonts w:hint="eastAsia" w:ascii="微软雅黑" w:hAnsi="微软雅黑" w:eastAsia="微软雅黑" w:cs="-webkit-standard"/>
          <w:color w:val="000000"/>
          <w:sz w:val="21"/>
          <w:szCs w:val="21"/>
        </w:rPr>
      </w:pPr>
      <w:r>
        <w:rPr>
          <w:rFonts w:ascii="微软雅黑" w:hAnsi="微软雅黑" w:eastAsia="微软雅黑" w:cs="-webkit-standard"/>
          <w:color w:val="000000"/>
          <w:sz w:val="21"/>
          <w:szCs w:val="21"/>
        </w:rPr>
        <w:t xml:space="preserve">2.3 </w:t>
      </w:r>
      <w:r>
        <w:rPr>
          <w:rFonts w:hint="eastAsia" w:ascii="微软雅黑" w:hAnsi="微软雅黑" w:eastAsia="微软雅黑" w:cs="微软雅黑"/>
          <w:color w:val="000000"/>
          <w:sz w:val="21"/>
          <w:szCs w:val="21"/>
        </w:rPr>
        <w:t>石墨炉自动进样彩色可视系统</w:t>
      </w:r>
      <w:r>
        <w:rPr>
          <w:rFonts w:ascii="微软雅黑" w:hAnsi="微软雅黑" w:eastAsia="微软雅黑" w:cs="-webkit-standard"/>
          <w:color w:val="000000"/>
          <w:sz w:val="21"/>
          <w:szCs w:val="21"/>
        </w:rPr>
        <w:t xml:space="preserve">                                              1</w:t>
      </w:r>
      <w:r>
        <w:rPr>
          <w:rFonts w:hint="eastAsia" w:ascii="微软雅黑" w:hAnsi="微软雅黑" w:eastAsia="微软雅黑" w:cs="微软雅黑"/>
          <w:color w:val="000000"/>
          <w:sz w:val="21"/>
          <w:szCs w:val="21"/>
        </w:rPr>
        <w:t>套</w:t>
      </w:r>
    </w:p>
    <w:p w14:paraId="4298004D">
      <w:pPr>
        <w:pStyle w:val="12"/>
        <w:widowControl/>
        <w:spacing w:line="324" w:lineRule="atLeast"/>
        <w:ind w:left="420" w:leftChars="200" w:firstLine="0" w:firstLineChars="0"/>
        <w:rPr>
          <w:rFonts w:hint="eastAsia" w:ascii="微软雅黑" w:hAnsi="微软雅黑" w:eastAsia="微软雅黑" w:cs="-webkit-standard"/>
          <w:color w:val="000000"/>
          <w:sz w:val="21"/>
          <w:szCs w:val="21"/>
        </w:rPr>
      </w:pPr>
      <w:r>
        <w:rPr>
          <w:rFonts w:ascii="微软雅黑" w:hAnsi="微软雅黑" w:eastAsia="微软雅黑" w:cs="-webkit-standard"/>
          <w:color w:val="000000"/>
          <w:sz w:val="21"/>
          <w:szCs w:val="21"/>
        </w:rPr>
        <w:t xml:space="preserve">2.5 </w:t>
      </w:r>
      <w:r>
        <w:rPr>
          <w:rFonts w:hint="eastAsia" w:ascii="微软雅黑" w:hAnsi="微软雅黑" w:eastAsia="微软雅黑" w:cs="微软雅黑"/>
          <w:color w:val="000000"/>
          <w:sz w:val="21"/>
          <w:szCs w:val="21"/>
        </w:rPr>
        <w:t>原子吸收中文软件包、中文使用手册</w:t>
      </w:r>
      <w:r>
        <w:rPr>
          <w:rFonts w:ascii="微软雅黑" w:hAnsi="微软雅黑" w:eastAsia="微软雅黑" w:cs="-webkit-standard"/>
          <w:color w:val="000000"/>
          <w:sz w:val="21"/>
          <w:szCs w:val="21"/>
        </w:rPr>
        <w:t xml:space="preserve">                                     1</w:t>
      </w:r>
      <w:r>
        <w:rPr>
          <w:rFonts w:hint="eastAsia" w:ascii="微软雅黑" w:hAnsi="微软雅黑" w:eastAsia="微软雅黑" w:cs="微软雅黑"/>
          <w:color w:val="000000"/>
          <w:sz w:val="21"/>
          <w:szCs w:val="21"/>
        </w:rPr>
        <w:t>套</w:t>
      </w:r>
    </w:p>
    <w:p w14:paraId="5C506216">
      <w:pPr>
        <w:pStyle w:val="12"/>
        <w:widowControl/>
        <w:spacing w:line="324" w:lineRule="atLeast"/>
        <w:ind w:left="420" w:leftChars="200" w:firstLine="0" w:firstLineChars="0"/>
        <w:rPr>
          <w:rFonts w:hint="eastAsia" w:ascii="微软雅黑" w:hAnsi="微软雅黑" w:eastAsia="微软雅黑" w:cs="-webkit-standard"/>
          <w:color w:val="000000"/>
          <w:sz w:val="21"/>
          <w:szCs w:val="21"/>
        </w:rPr>
      </w:pPr>
      <w:r>
        <w:rPr>
          <w:rFonts w:ascii="微软雅黑" w:hAnsi="微软雅黑" w:eastAsia="微软雅黑" w:cs="-webkit-standard"/>
          <w:color w:val="000000"/>
          <w:sz w:val="21"/>
          <w:szCs w:val="21"/>
        </w:rPr>
        <w:t>2.6</w:t>
      </w:r>
      <w:r>
        <w:rPr>
          <w:rFonts w:hint="eastAsia" w:ascii="微软雅黑" w:hAnsi="微软雅黑" w:eastAsia="微软雅黑" w:cs="-webkit-standard"/>
          <w:color w:val="000000"/>
          <w:sz w:val="21"/>
          <w:szCs w:val="21"/>
        </w:rPr>
        <w:t>热解涂层</w:t>
      </w:r>
      <w:r>
        <w:rPr>
          <w:rFonts w:hint="eastAsia" w:ascii="微软雅黑" w:hAnsi="微软雅黑" w:eastAsia="微软雅黑" w:cs="微软雅黑"/>
          <w:color w:val="000000"/>
          <w:sz w:val="21"/>
          <w:szCs w:val="21"/>
        </w:rPr>
        <w:t>石墨管</w:t>
      </w:r>
      <w:r>
        <w:rPr>
          <w:rFonts w:ascii="微软雅黑" w:hAnsi="微软雅黑" w:eastAsia="微软雅黑" w:cs="-webkit-standard"/>
          <w:color w:val="000000"/>
          <w:sz w:val="21"/>
          <w:szCs w:val="21"/>
        </w:rPr>
        <w:t xml:space="preserve">                                                       10</w:t>
      </w:r>
      <w:r>
        <w:rPr>
          <w:rFonts w:hint="eastAsia" w:ascii="微软雅黑" w:hAnsi="微软雅黑" w:eastAsia="微软雅黑" w:cs="微软雅黑"/>
          <w:color w:val="000000"/>
          <w:sz w:val="21"/>
          <w:szCs w:val="21"/>
        </w:rPr>
        <w:t>支</w:t>
      </w:r>
    </w:p>
    <w:p w14:paraId="12CFD736">
      <w:pPr>
        <w:pStyle w:val="12"/>
        <w:widowControl/>
        <w:spacing w:line="324" w:lineRule="atLeast"/>
        <w:ind w:left="420" w:leftChars="200" w:firstLine="0" w:firstLineChars="0"/>
        <w:rPr>
          <w:rFonts w:hint="eastAsia" w:ascii="微软雅黑" w:hAnsi="微软雅黑" w:eastAsia="微软雅黑" w:cs="-webkit-standard"/>
          <w:color w:val="000000"/>
          <w:sz w:val="21"/>
          <w:szCs w:val="21"/>
        </w:rPr>
      </w:pPr>
      <w:r>
        <w:rPr>
          <w:rFonts w:ascii="微软雅黑" w:hAnsi="微软雅黑" w:eastAsia="微软雅黑" w:cs="-webkit-standard"/>
          <w:color w:val="000000"/>
          <w:sz w:val="21"/>
          <w:szCs w:val="21"/>
        </w:rPr>
        <w:t>2.9</w:t>
      </w:r>
      <w:r>
        <w:rPr>
          <w:rFonts w:hint="eastAsia" w:ascii="微软雅黑" w:hAnsi="微软雅黑" w:eastAsia="微软雅黑" w:cs="微软雅黑"/>
          <w:color w:val="000000"/>
          <w:sz w:val="21"/>
          <w:szCs w:val="21"/>
        </w:rPr>
        <w:t>石墨炉自动进样器样品杯（2ml）</w:t>
      </w:r>
      <w:r>
        <w:rPr>
          <w:rFonts w:ascii="微软雅黑" w:hAnsi="微软雅黑" w:eastAsia="微软雅黑" w:cs="微软雅黑"/>
          <w:color w:val="000000"/>
          <w:sz w:val="21"/>
          <w:szCs w:val="21"/>
        </w:rPr>
        <w:t xml:space="preserve">  </w:t>
      </w:r>
      <w:r>
        <w:rPr>
          <w:rFonts w:ascii="微软雅黑" w:hAnsi="微软雅黑" w:eastAsia="微软雅黑" w:cs="-webkit-standard"/>
          <w:color w:val="000000"/>
          <w:sz w:val="21"/>
          <w:szCs w:val="21"/>
        </w:rPr>
        <w:t xml:space="preserve">                                        1000</w:t>
      </w:r>
      <w:r>
        <w:rPr>
          <w:rFonts w:hint="eastAsia" w:ascii="微软雅黑" w:hAnsi="微软雅黑" w:eastAsia="微软雅黑" w:cs="微软雅黑"/>
          <w:color w:val="000000"/>
          <w:sz w:val="21"/>
          <w:szCs w:val="21"/>
        </w:rPr>
        <w:t>个</w:t>
      </w:r>
    </w:p>
    <w:p w14:paraId="4A7FF7B3">
      <w:pPr>
        <w:pStyle w:val="12"/>
        <w:widowControl/>
        <w:spacing w:line="324" w:lineRule="atLeast"/>
        <w:ind w:left="420" w:leftChars="200" w:firstLine="0" w:firstLineChars="0"/>
        <w:rPr>
          <w:rFonts w:hint="eastAsia" w:ascii="微软雅黑" w:hAnsi="微软雅黑" w:eastAsia="微软雅黑" w:cs="-webkit-standard"/>
          <w:color w:val="000000"/>
          <w:sz w:val="21"/>
          <w:szCs w:val="21"/>
        </w:rPr>
      </w:pPr>
      <w:r>
        <w:rPr>
          <w:rFonts w:ascii="微软雅黑" w:hAnsi="微软雅黑" w:eastAsia="微软雅黑" w:cs="-webkit-standard"/>
          <w:color w:val="000000"/>
          <w:sz w:val="21"/>
          <w:szCs w:val="21"/>
        </w:rPr>
        <w:t>2.10</w:t>
      </w:r>
      <w:r>
        <w:rPr>
          <w:rFonts w:hint="eastAsia" w:ascii="微软雅黑" w:hAnsi="微软雅黑" w:eastAsia="微软雅黑" w:cs="微软雅黑"/>
          <w:color w:val="000000"/>
          <w:sz w:val="21"/>
          <w:szCs w:val="21"/>
        </w:rPr>
        <w:t>石墨炉自动进样器进样组件（含进样针、进样管等）</w:t>
      </w:r>
      <w:r>
        <w:rPr>
          <w:rFonts w:ascii="微软雅黑" w:hAnsi="微软雅黑" w:eastAsia="微软雅黑" w:cs="-webkit-standard"/>
          <w:color w:val="000000"/>
          <w:sz w:val="21"/>
          <w:szCs w:val="21"/>
        </w:rPr>
        <w:t xml:space="preserve">               1</w:t>
      </w:r>
      <w:r>
        <w:rPr>
          <w:rFonts w:hint="eastAsia" w:ascii="微软雅黑" w:hAnsi="微软雅黑" w:eastAsia="微软雅黑" w:cs="微软雅黑"/>
          <w:color w:val="000000"/>
          <w:sz w:val="21"/>
          <w:szCs w:val="21"/>
        </w:rPr>
        <w:t>套</w:t>
      </w:r>
    </w:p>
    <w:p w14:paraId="2A4E7A00">
      <w:pPr>
        <w:pStyle w:val="12"/>
        <w:widowControl/>
        <w:spacing w:line="324" w:lineRule="atLeast"/>
        <w:ind w:left="420" w:leftChars="200" w:firstLine="0" w:firstLineChars="0"/>
        <w:rPr>
          <w:rFonts w:hint="eastAsia" w:ascii="微软雅黑" w:hAnsi="微软雅黑" w:eastAsia="微软雅黑" w:cs="-webkit-standard"/>
          <w:color w:val="000000"/>
          <w:sz w:val="21"/>
          <w:szCs w:val="21"/>
        </w:rPr>
      </w:pPr>
      <w:r>
        <w:rPr>
          <w:rFonts w:ascii="微软雅黑" w:hAnsi="微软雅黑" w:eastAsia="微软雅黑" w:cs="-webkit-standard"/>
          <w:color w:val="000000"/>
          <w:sz w:val="21"/>
          <w:szCs w:val="21"/>
        </w:rPr>
        <w:t>2.11</w:t>
      </w:r>
      <w:r>
        <w:rPr>
          <w:rFonts w:hint="eastAsia" w:ascii="微软雅黑" w:hAnsi="微软雅黑" w:eastAsia="微软雅黑" w:cs="微软雅黑"/>
          <w:color w:val="000000"/>
          <w:sz w:val="21"/>
          <w:szCs w:val="21"/>
        </w:rPr>
        <w:t>元素空心阴极灯</w:t>
      </w:r>
    </w:p>
    <w:p w14:paraId="1FAB2207">
      <w:pPr>
        <w:pStyle w:val="12"/>
        <w:widowControl/>
        <w:spacing w:line="324" w:lineRule="atLeast"/>
        <w:ind w:left="420" w:leftChars="200" w:firstLine="0" w:firstLineChars="0"/>
        <w:rPr>
          <w:rFonts w:hint="eastAsia" w:ascii="微软雅黑" w:hAnsi="微软雅黑" w:eastAsia="微软雅黑" w:cs="-webkit-standard"/>
          <w:color w:val="000000"/>
          <w:sz w:val="21"/>
          <w:szCs w:val="21"/>
        </w:rPr>
      </w:pPr>
      <w:r>
        <w:rPr>
          <w:rFonts w:ascii="微软雅黑" w:hAnsi="微软雅黑" w:eastAsia="微软雅黑" w:cs="-webkit-standard"/>
          <w:color w:val="000000"/>
          <w:sz w:val="21"/>
          <w:szCs w:val="21"/>
        </w:rPr>
        <w:t xml:space="preserve">2.12 </w:t>
      </w:r>
      <w:r>
        <w:rPr>
          <w:rFonts w:hint="eastAsia" w:ascii="微软雅黑" w:hAnsi="微软雅黑" w:eastAsia="微软雅黑" w:cs="微软雅黑"/>
          <w:color w:val="000000"/>
          <w:sz w:val="21"/>
          <w:szCs w:val="21"/>
        </w:rPr>
        <w:t>石墨炉循环水冷却器</w:t>
      </w:r>
      <w:r>
        <w:rPr>
          <w:rFonts w:ascii="微软雅黑" w:hAnsi="微软雅黑" w:eastAsia="微软雅黑" w:cs="-webkit-standard"/>
          <w:color w:val="000000"/>
          <w:sz w:val="21"/>
          <w:szCs w:val="21"/>
        </w:rPr>
        <w:t xml:space="preserve">                                                  1</w:t>
      </w:r>
      <w:r>
        <w:rPr>
          <w:rFonts w:hint="eastAsia" w:ascii="微软雅黑" w:hAnsi="微软雅黑" w:eastAsia="微软雅黑" w:cs="微软雅黑"/>
          <w:color w:val="000000"/>
          <w:sz w:val="21"/>
          <w:szCs w:val="21"/>
        </w:rPr>
        <w:t>台</w:t>
      </w:r>
    </w:p>
    <w:p w14:paraId="034519B9">
      <w:pPr>
        <w:pStyle w:val="12"/>
        <w:widowControl/>
        <w:spacing w:line="324" w:lineRule="atLeast"/>
        <w:ind w:left="420" w:leftChars="200" w:firstLine="0" w:firstLineChars="0"/>
        <w:rPr>
          <w:rFonts w:hint="eastAsia" w:ascii="微软雅黑" w:hAnsi="微软雅黑" w:eastAsia="微软雅黑" w:cs="-webkit-standard"/>
          <w:color w:val="000000"/>
          <w:sz w:val="21"/>
          <w:szCs w:val="21"/>
        </w:rPr>
      </w:pPr>
      <w:r>
        <w:rPr>
          <w:rFonts w:ascii="微软雅黑" w:hAnsi="微软雅黑" w:eastAsia="微软雅黑" w:cs="-webkit-standard"/>
          <w:color w:val="000000"/>
          <w:sz w:val="21"/>
          <w:szCs w:val="21"/>
        </w:rPr>
        <w:t xml:space="preserve">2.13 </w:t>
      </w:r>
      <w:r>
        <w:rPr>
          <w:rFonts w:hint="eastAsia" w:ascii="微软雅黑" w:hAnsi="微软雅黑" w:eastAsia="微软雅黑" w:cs="微软雅黑"/>
          <w:color w:val="000000"/>
          <w:sz w:val="21"/>
          <w:szCs w:val="21"/>
        </w:rPr>
        <w:t>无油静音空气压缩机</w:t>
      </w:r>
      <w:r>
        <w:rPr>
          <w:rFonts w:ascii="微软雅黑" w:hAnsi="微软雅黑" w:eastAsia="微软雅黑" w:cs="-webkit-standard"/>
          <w:color w:val="000000"/>
          <w:sz w:val="21"/>
          <w:szCs w:val="21"/>
        </w:rPr>
        <w:t xml:space="preserve">                                                  1</w:t>
      </w:r>
      <w:r>
        <w:rPr>
          <w:rFonts w:hint="eastAsia" w:ascii="微软雅黑" w:hAnsi="微软雅黑" w:eastAsia="微软雅黑" w:cs="微软雅黑"/>
          <w:color w:val="000000"/>
          <w:sz w:val="21"/>
          <w:szCs w:val="21"/>
        </w:rPr>
        <w:t>套</w:t>
      </w:r>
    </w:p>
    <w:p w14:paraId="0CF88402">
      <w:pPr>
        <w:pStyle w:val="12"/>
        <w:widowControl/>
        <w:spacing w:line="324" w:lineRule="atLeast"/>
        <w:ind w:left="420" w:leftChars="200" w:firstLine="0" w:firstLineChars="0"/>
        <w:rPr>
          <w:rFonts w:hint="eastAsia" w:ascii="微软雅黑" w:hAnsi="微软雅黑" w:eastAsia="微软雅黑" w:cs="-webkit-standard"/>
          <w:color w:val="000000"/>
          <w:sz w:val="21"/>
          <w:szCs w:val="21"/>
        </w:rPr>
      </w:pPr>
      <w:r>
        <w:rPr>
          <w:rFonts w:ascii="微软雅黑" w:hAnsi="微软雅黑" w:eastAsia="微软雅黑" w:cs="-webkit-standard"/>
          <w:color w:val="000000"/>
          <w:sz w:val="21"/>
          <w:szCs w:val="21"/>
        </w:rPr>
        <w:t xml:space="preserve">2.14 </w:t>
      </w:r>
      <w:r>
        <w:rPr>
          <w:rFonts w:hint="eastAsia" w:ascii="微软雅黑" w:hAnsi="微软雅黑" w:eastAsia="微软雅黑" w:cs="微软雅黑"/>
          <w:color w:val="000000"/>
          <w:sz w:val="21"/>
          <w:szCs w:val="21"/>
        </w:rPr>
        <w:t>品牌商务台式电脑+液晶显示器</w:t>
      </w:r>
      <w:r>
        <w:rPr>
          <w:rFonts w:ascii="微软雅黑" w:hAnsi="微软雅黑" w:eastAsia="微软雅黑" w:cs="-webkit-standard"/>
          <w:color w:val="000000"/>
          <w:sz w:val="21"/>
          <w:szCs w:val="21"/>
        </w:rPr>
        <w:t xml:space="preserve">                                        1</w:t>
      </w:r>
      <w:r>
        <w:rPr>
          <w:rFonts w:hint="eastAsia" w:ascii="微软雅黑" w:hAnsi="微软雅黑" w:eastAsia="微软雅黑" w:cs="微软雅黑"/>
          <w:color w:val="000000"/>
          <w:sz w:val="21"/>
          <w:szCs w:val="21"/>
        </w:rPr>
        <w:t>套</w:t>
      </w:r>
    </w:p>
    <w:p w14:paraId="06D1F3B4">
      <w:pPr>
        <w:pStyle w:val="12"/>
        <w:widowControl/>
        <w:spacing w:line="324" w:lineRule="atLeast"/>
        <w:ind w:left="420" w:leftChars="200" w:firstLine="0" w:firstLineChars="0"/>
        <w:rPr>
          <w:rFonts w:ascii="宋体" w:hAnsi="宋体" w:cs="宋体"/>
          <w:color w:val="000000"/>
          <w:szCs w:val="21"/>
          <w:highlight w:val="none"/>
        </w:rPr>
      </w:pPr>
      <w:r>
        <w:rPr>
          <w:rFonts w:ascii="微软雅黑" w:hAnsi="微软雅黑" w:eastAsia="微软雅黑" w:cs="-webkit-standard"/>
          <w:color w:val="000000"/>
          <w:sz w:val="21"/>
          <w:szCs w:val="21"/>
        </w:rPr>
        <w:t xml:space="preserve">2.15 </w:t>
      </w:r>
      <w:r>
        <w:rPr>
          <w:rFonts w:hint="eastAsia" w:ascii="微软雅黑" w:hAnsi="微软雅黑" w:eastAsia="微软雅黑" w:cs="微软雅黑"/>
          <w:color w:val="000000"/>
          <w:sz w:val="21"/>
          <w:szCs w:val="21"/>
        </w:rPr>
        <w:t>激光</w:t>
      </w:r>
      <w:r>
        <w:rPr>
          <w:rFonts w:ascii="微软雅黑" w:hAnsi="微软雅黑" w:eastAsia="微软雅黑" w:cs="-webkit-standard"/>
          <w:color w:val="000000"/>
          <w:sz w:val="21"/>
          <w:szCs w:val="21"/>
        </w:rPr>
        <w:t>A4</w:t>
      </w:r>
      <w:r>
        <w:rPr>
          <w:rFonts w:hint="eastAsia" w:ascii="微软雅黑" w:hAnsi="微软雅黑" w:eastAsia="微软雅黑" w:cs="微软雅黑"/>
          <w:color w:val="000000"/>
          <w:sz w:val="21"/>
          <w:szCs w:val="21"/>
        </w:rPr>
        <w:t>打印机</w:t>
      </w:r>
      <w:r>
        <w:rPr>
          <w:rFonts w:ascii="微软雅黑" w:hAnsi="微软雅黑" w:eastAsia="微软雅黑" w:cs="-webkit-standard"/>
          <w:color w:val="000000"/>
          <w:sz w:val="21"/>
          <w:szCs w:val="21"/>
        </w:rPr>
        <w:t xml:space="preserve">                                                        1</w:t>
      </w:r>
      <w:r>
        <w:rPr>
          <w:rFonts w:hint="eastAsia" w:ascii="微软雅黑" w:hAnsi="微软雅黑" w:eastAsia="微软雅黑" w:cs="微软雅黑"/>
          <w:color w:val="000000"/>
          <w:sz w:val="21"/>
          <w:szCs w:val="21"/>
        </w:rPr>
        <w:t>台</w:t>
      </w:r>
    </w:p>
    <w:p w14:paraId="09B90B0E">
      <w:pPr>
        <w:pStyle w:val="18"/>
        <w:autoSpaceDE w:val="0"/>
        <w:autoSpaceDN w:val="0"/>
        <w:adjustRightInd w:val="0"/>
        <w:snapToGrid w:val="0"/>
        <w:spacing w:line="480" w:lineRule="exact"/>
        <w:ind w:left="561" w:firstLine="0"/>
        <w:rPr>
          <w:rFonts w:ascii="宋体" w:hAnsi="宋体"/>
          <w:b/>
          <w:color w:val="000000"/>
          <w:szCs w:val="21"/>
          <w:highlight w:val="none"/>
        </w:rPr>
      </w:pPr>
      <w:r>
        <w:rPr>
          <w:rFonts w:hint="eastAsia" w:ascii="宋体" w:hAnsi="宋体"/>
          <w:b/>
          <w:color w:val="000000"/>
          <w:szCs w:val="21"/>
          <w:highlight w:val="none"/>
          <w:lang w:eastAsia="zh-CN"/>
        </w:rPr>
        <w:t>三、</w:t>
      </w:r>
      <w:r>
        <w:rPr>
          <w:rFonts w:hint="eastAsia" w:ascii="宋体" w:hAnsi="宋体"/>
          <w:b/>
          <w:color w:val="000000"/>
          <w:szCs w:val="21"/>
          <w:highlight w:val="none"/>
        </w:rPr>
        <w:t>投标须知：</w:t>
      </w:r>
    </w:p>
    <w:p w14:paraId="6E773FD0">
      <w:pPr>
        <w:pStyle w:val="5"/>
        <w:tabs>
          <w:tab w:val="left" w:pos="900"/>
        </w:tabs>
        <w:spacing w:line="360" w:lineRule="auto"/>
        <w:ind w:left="420"/>
        <w:rPr>
          <w:rFonts w:ascii="宋体" w:hAnsi="宋体" w:cs="宋体"/>
          <w:b/>
          <w:bCs/>
          <w:color w:val="auto"/>
          <w:szCs w:val="21"/>
          <w:highlight w:val="none"/>
        </w:rPr>
      </w:pPr>
      <w:r>
        <w:rPr>
          <w:rFonts w:hint="eastAsia" w:ascii="宋体" w:hAnsi="宋体" w:cs="宋体"/>
          <w:b/>
          <w:bCs/>
          <w:color w:val="auto"/>
          <w:szCs w:val="21"/>
          <w:highlight w:val="none"/>
          <w:shd w:val="clear" w:color="auto" w:fill="FFFFFF"/>
        </w:rPr>
        <w:t>1、投标人应具备下列资格条件，并提供证明材料（凡复印件均需加盖公章）（包括但不限于）：</w:t>
      </w:r>
    </w:p>
    <w:p w14:paraId="521A8846">
      <w:pPr>
        <w:pStyle w:val="5"/>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1.1  投标函(原件)</w:t>
      </w:r>
    </w:p>
    <w:p w14:paraId="00F6E3B6">
      <w:pPr>
        <w:pStyle w:val="5"/>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1.2  资格声明(原件)</w:t>
      </w:r>
    </w:p>
    <w:p w14:paraId="5FE2798A">
      <w:pPr>
        <w:pStyle w:val="5"/>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1.3  若法定代表人参加投标的，须提供本人身份证复印件并加盖公章(原件备查)；若授权代表参加的，须提供《法人授权书》原件和授权代表身份证复印件并加盖公章（原件备查）</w:t>
      </w:r>
    </w:p>
    <w:p w14:paraId="535B0BF3">
      <w:pPr>
        <w:pStyle w:val="5"/>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1.4  投标人须为在中华人民共和国境内注册的具有独立法人资格的货物制造商或代理商，需提供营业执照副本(复印件并加盖公章)，如为代理商须提供生产商针对本项目的专项授权书或经销商证书和售后服务承诺书（原件）</w:t>
      </w:r>
    </w:p>
    <w:p w14:paraId="47DEB261">
      <w:pPr>
        <w:pStyle w:val="5"/>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1.5  投标人依法缴纳职工社会保障资金的证明材料(复印件并加盖公章)(税务、银行或社会保险基金管理部门出具的近三个月内任意一份缴纳职工社会保障资金的缴款凭证或缴款证明)</w:t>
      </w:r>
    </w:p>
    <w:p w14:paraId="30E75539">
      <w:pPr>
        <w:pStyle w:val="5"/>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1.6  投标人近三个月内任意一份依法纳税的缴款凭证(复印件并加盖公章)</w:t>
      </w:r>
    </w:p>
    <w:p w14:paraId="42AEA8BF">
      <w:pPr>
        <w:pStyle w:val="5"/>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1.7  与第（6）条相对应的纳税申报表或经会计师事务所审计的2023年度财务报告 (复印件并加盖公章)</w:t>
      </w:r>
    </w:p>
    <w:p w14:paraId="64DA15DB">
      <w:pPr>
        <w:pStyle w:val="5"/>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1.8  投标人参加本次采购活动前3年内在经营活动中没有重大违法记录的书面声明（原件）</w:t>
      </w:r>
    </w:p>
    <w:p w14:paraId="2C24C17C">
      <w:pPr>
        <w:pStyle w:val="5"/>
        <w:spacing w:line="360" w:lineRule="auto"/>
        <w:ind w:firstLine="475"/>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1.9  未被“信用中国”网站（www.creditchina.gov.cn）、“中国政府采购"(www.ccgp.gov.cn)列入失信被执行人、重大税收违法案件当事人名单、政府采购严重违法失信行为记录名单（提供网页截图加盖投标人公章）</w:t>
      </w:r>
    </w:p>
    <w:p w14:paraId="3E06972A">
      <w:pPr>
        <w:autoSpaceDE w:val="0"/>
        <w:autoSpaceDN w:val="0"/>
        <w:adjustRightInd w:val="0"/>
        <w:snapToGrid w:val="0"/>
        <w:spacing w:line="440" w:lineRule="exact"/>
        <w:ind w:firstLine="561"/>
        <w:rPr>
          <w:rFonts w:ascii="宋体" w:hAnsi="宋体"/>
          <w:b/>
          <w:color w:val="auto"/>
          <w:szCs w:val="21"/>
          <w:highlight w:val="none"/>
        </w:rPr>
      </w:pPr>
      <w:r>
        <w:rPr>
          <w:rFonts w:hint="eastAsia" w:ascii="宋体" w:hAnsi="宋体"/>
          <w:b/>
          <w:color w:val="auto"/>
          <w:szCs w:val="21"/>
          <w:highlight w:val="none"/>
        </w:rPr>
        <w:t>2、</w:t>
      </w:r>
      <w:r>
        <w:rPr>
          <w:rFonts w:hint="eastAsia" w:ascii="宋体" w:hAnsi="宋体" w:cs="宋体"/>
          <w:b/>
          <w:color w:val="auto"/>
          <w:szCs w:val="21"/>
          <w:highlight w:val="none"/>
        </w:rPr>
        <w:t>本项目</w:t>
      </w:r>
      <w:r>
        <w:rPr>
          <w:rFonts w:hint="eastAsia" w:ascii="宋体" w:hAnsi="宋体"/>
          <w:b/>
          <w:color w:val="auto"/>
          <w:szCs w:val="21"/>
          <w:highlight w:val="none"/>
        </w:rPr>
        <w:t>不接受联合体投标。</w:t>
      </w:r>
    </w:p>
    <w:p w14:paraId="5E54B512">
      <w:pPr>
        <w:autoSpaceDE w:val="0"/>
        <w:autoSpaceDN w:val="0"/>
        <w:adjustRightInd w:val="0"/>
        <w:snapToGrid w:val="0"/>
        <w:spacing w:line="440" w:lineRule="exact"/>
        <w:ind w:firstLine="561"/>
        <w:rPr>
          <w:rFonts w:ascii="宋体" w:hAnsi="宋体"/>
          <w:b/>
          <w:color w:val="auto"/>
          <w:szCs w:val="21"/>
          <w:highlight w:val="none"/>
        </w:rPr>
      </w:pPr>
      <w:r>
        <w:rPr>
          <w:rFonts w:hint="eastAsia" w:ascii="宋体" w:hAnsi="宋体"/>
          <w:b/>
          <w:color w:val="auto"/>
          <w:szCs w:val="21"/>
          <w:highlight w:val="none"/>
        </w:rPr>
        <w:t>3、报价需按单价和总价分开报价且不得超过最高限价，否则视为无效投标。</w:t>
      </w:r>
    </w:p>
    <w:p w14:paraId="009CB7A4">
      <w:pPr>
        <w:autoSpaceDE w:val="0"/>
        <w:autoSpaceDN w:val="0"/>
        <w:adjustRightInd w:val="0"/>
        <w:snapToGrid w:val="0"/>
        <w:spacing w:line="440" w:lineRule="exact"/>
        <w:ind w:firstLine="561"/>
        <w:rPr>
          <w:rFonts w:ascii="宋体" w:hAnsi="宋体" w:cs="宋体"/>
          <w:b/>
          <w:color w:val="auto"/>
          <w:szCs w:val="21"/>
          <w:highlight w:val="none"/>
        </w:rPr>
      </w:pPr>
      <w:r>
        <w:rPr>
          <w:rFonts w:hint="eastAsia" w:ascii="宋体" w:hAnsi="宋体" w:cs="宋体"/>
          <w:b/>
          <w:color w:val="auto"/>
          <w:szCs w:val="21"/>
          <w:highlight w:val="none"/>
        </w:rPr>
        <w:t>4、为保证设备的完整性及正常运行，所投标货物技术参数须不低于本招标文件中技术参数要求。★部分（如有）技术要求必须满足，如不满足为废标。</w:t>
      </w:r>
    </w:p>
    <w:p w14:paraId="764DB5A0">
      <w:pPr>
        <w:autoSpaceDE w:val="0"/>
        <w:autoSpaceDN w:val="0"/>
        <w:adjustRightInd w:val="0"/>
        <w:snapToGrid w:val="0"/>
        <w:spacing w:line="440" w:lineRule="exact"/>
        <w:ind w:firstLine="561"/>
        <w:rPr>
          <w:rFonts w:ascii="宋体" w:hAnsi="宋体"/>
          <w:b/>
          <w:color w:val="auto"/>
          <w:szCs w:val="21"/>
          <w:highlight w:val="none"/>
        </w:rPr>
      </w:pPr>
      <w:r>
        <w:rPr>
          <w:rFonts w:hint="eastAsia" w:ascii="宋体" w:hAnsi="宋体"/>
          <w:b/>
          <w:color w:val="auto"/>
          <w:szCs w:val="21"/>
          <w:highlight w:val="none"/>
        </w:rPr>
        <w:t>5、包装要求：</w:t>
      </w:r>
    </w:p>
    <w:p w14:paraId="330525B4">
      <w:pPr>
        <w:autoSpaceDE w:val="0"/>
        <w:autoSpaceDN w:val="0"/>
        <w:adjustRightInd w:val="0"/>
        <w:snapToGrid w:val="0"/>
        <w:spacing w:line="400" w:lineRule="exact"/>
        <w:ind w:firstLine="561"/>
        <w:rPr>
          <w:rFonts w:hint="eastAsia" w:ascii="宋体" w:hAnsi="宋体"/>
          <w:bCs/>
          <w:color w:val="auto"/>
          <w:szCs w:val="21"/>
          <w:highlight w:val="none"/>
        </w:rPr>
      </w:pPr>
      <w:r>
        <w:rPr>
          <w:rFonts w:hint="eastAsia" w:ascii="宋体" w:hAnsi="宋体"/>
          <w:bCs/>
          <w:color w:val="auto"/>
          <w:szCs w:val="21"/>
          <w:highlight w:val="none"/>
        </w:rPr>
        <w:t>所有包装必须经得起陆上,水上的运输，供货方应对包装的所供货物负责，使其到达目的地后完整无缺，供货方负责提供所有的包装（注明免费）。</w:t>
      </w:r>
    </w:p>
    <w:p w14:paraId="19F24C66">
      <w:pPr>
        <w:pStyle w:val="3"/>
        <w:rPr>
          <w:color w:val="000000"/>
          <w:highlight w:val="none"/>
        </w:rPr>
      </w:pPr>
    </w:p>
    <w:p w14:paraId="1A42A234">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四、投标文件的密封与递交</w:t>
      </w:r>
    </w:p>
    <w:p w14:paraId="5C84D6F8">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1、投标文件的份数和签署</w:t>
      </w:r>
    </w:p>
    <w:p w14:paraId="404FEE77">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投标文件应使用不能擦去的墨水书写或打印，由投标人加盖法人公章和法定代表人或法定代表人委托的代理人印鉴或签字。</w:t>
      </w:r>
    </w:p>
    <w:p w14:paraId="380324CA">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2、投标文件的密封与标志</w:t>
      </w:r>
    </w:p>
    <w:p w14:paraId="0532CEAE">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所有封袋上都应写明招标人名称、工程项目名称、投标人名称、卷别；</w:t>
      </w:r>
    </w:p>
    <w:p w14:paraId="61D55279">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所有投标文件都必须在封袋上加盖投标单位法人公章及其法定代表人或授权委托人的印鉴。</w:t>
      </w:r>
    </w:p>
    <w:p w14:paraId="53DB6375">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3、投标截止期</w:t>
      </w:r>
    </w:p>
    <w:p w14:paraId="6E31124C">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3.1 投标人应在投标须知中规定的时间之前将投标文件递交到招标文件前附表指定地点。</w:t>
      </w:r>
    </w:p>
    <w:p w14:paraId="4B57E4BD">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3.2 招标人可以按本文件规定以修改通知的方式，延长递交投标文件的截止日期。在上述情况下，招标人与投标人以前的在投标截止期方面的全部权力、责任和义务，将适用于延长后新的投标截止期。</w:t>
      </w:r>
    </w:p>
    <w:p w14:paraId="5C707BD8">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4、投标文件的修改与撤回</w:t>
      </w:r>
    </w:p>
    <w:p w14:paraId="68DF3FA8">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4.1 投标人可以在递交投标文件以后，在规定的投标截止期之前，以书面形式向招标人递交修改或撤回其投标文件的通知。在投标截止期以后，不得更改、撤回投标文件。</w:t>
      </w:r>
    </w:p>
    <w:p w14:paraId="10ADA33A">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4.2 投标文件的修改应按本文件相关条款规定的要求编制、密封、标志和递交（密封袋上应标明“修改”字样）。</w:t>
      </w:r>
    </w:p>
    <w:p w14:paraId="35AE3229">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4.3 投标截止以后,在投标有效期内，未确定中标人前，投标人不得撤回投标文件。</w:t>
      </w:r>
      <w:bookmarkStart w:id="2" w:name="EB66450c37613b4d8bb5d2ef34d49a190f"/>
      <w:r>
        <w:rPr>
          <w:rFonts w:ascii="宋体" w:hAnsi="宋体"/>
          <w:color w:val="000000"/>
          <w:szCs w:val="21"/>
          <w:highlight w:val="none"/>
        </w:rPr>
        <w:t xml:space="preserve"> </w:t>
      </w:r>
      <w:bookmarkEnd w:id="2"/>
      <w:bookmarkStart w:id="3" w:name="EB0f01764a82a04f44abcb858eaf46c6a5"/>
      <w:r>
        <w:rPr>
          <w:rFonts w:ascii="宋体" w:hAnsi="宋体"/>
          <w:color w:val="000000"/>
          <w:szCs w:val="21"/>
          <w:highlight w:val="none"/>
        </w:rPr>
        <w:t xml:space="preserve"> </w:t>
      </w:r>
      <w:bookmarkEnd w:id="3"/>
    </w:p>
    <w:p w14:paraId="4DFC5AC1">
      <w:pPr>
        <w:pStyle w:val="3"/>
        <w:rPr>
          <w:color w:val="000000"/>
          <w:highlight w:val="none"/>
        </w:rPr>
      </w:pPr>
    </w:p>
    <w:p w14:paraId="11675891">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五、评标</w:t>
      </w:r>
    </w:p>
    <w:p w14:paraId="4D9534F6">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5C58B1BE">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1、 评标委员会</w:t>
      </w:r>
    </w:p>
    <w:p w14:paraId="7F4B6820">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评标由招标人依法组建的评标委员会负责。评标委员会由有关技术、经济等方面的专家组成。</w:t>
      </w:r>
    </w:p>
    <w:p w14:paraId="608A615A">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2、 评审程序</w:t>
      </w:r>
    </w:p>
    <w:p w14:paraId="642A9848">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评标按照下列程序进行：1）评标准备；2）初步评审；3）详细评审；4）推荐中标候选人，撰写评标报告。</w:t>
      </w:r>
    </w:p>
    <w:p w14:paraId="1BFFD2A4">
      <w:pPr>
        <w:autoSpaceDE w:val="0"/>
        <w:autoSpaceDN w:val="0"/>
        <w:adjustRightInd w:val="0"/>
        <w:snapToGrid w:val="0"/>
        <w:spacing w:line="480" w:lineRule="exact"/>
        <w:ind w:firstLine="525" w:firstLineChars="250"/>
        <w:rPr>
          <w:rFonts w:ascii="宋体" w:hAnsi="宋体"/>
          <w:color w:val="000000"/>
          <w:szCs w:val="21"/>
          <w:highlight w:val="none"/>
        </w:rPr>
      </w:pPr>
      <w:r>
        <w:rPr>
          <w:rFonts w:hint="eastAsia" w:ascii="宋体" w:hAnsi="宋体"/>
          <w:color w:val="000000"/>
          <w:szCs w:val="21"/>
          <w:highlight w:val="none"/>
        </w:rPr>
        <w:t>3、评标准备</w:t>
      </w:r>
    </w:p>
    <w:p w14:paraId="43B24EF1">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3.1 评标委员会成员签到</w:t>
      </w:r>
    </w:p>
    <w:p w14:paraId="2A9B53E4">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评标委员会成员到达评标现场时应在签到表上签到以证明出席。</w:t>
      </w:r>
    </w:p>
    <w:p w14:paraId="4D632138">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3.2 评标委员会的分工</w:t>
      </w:r>
    </w:p>
    <w:p w14:paraId="49AADA13">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评标委员会首先推选一名评标委员会负责人。评标委员会负责人负责评标活动的组织领导工作。评标委员会负责人在与其他评标委员会成员商议的基础上可以将评标委员会划分为技术组和商务组。</w:t>
      </w:r>
    </w:p>
    <w:p w14:paraId="48A74FE1">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3.3 熟悉文件资料</w:t>
      </w:r>
    </w:p>
    <w:p w14:paraId="4F79B265">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79CC45F9">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 初步评审</w:t>
      </w:r>
    </w:p>
    <w:p w14:paraId="72B3FDAF">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4.1 响应性评审</w:t>
      </w:r>
    </w:p>
    <w:p w14:paraId="541C072C">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4.2 算术错误修正</w:t>
      </w:r>
    </w:p>
    <w:p w14:paraId="64E4B3A2">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4.3 澄清、说明或补正</w:t>
      </w:r>
    </w:p>
    <w:p w14:paraId="6217CDA2">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在初步评审过程中，评标委员会应当就投标文件中不明确的内容要求投标人进行澄清．</w:t>
      </w:r>
    </w:p>
    <w:p w14:paraId="5087A600">
      <w:pPr>
        <w:autoSpaceDE w:val="0"/>
        <w:autoSpaceDN w:val="0"/>
        <w:adjustRightInd w:val="0"/>
        <w:spacing w:line="480" w:lineRule="exact"/>
        <w:ind w:firstLine="561"/>
        <w:rPr>
          <w:rFonts w:ascii="宋体"/>
          <w:color w:val="000000"/>
          <w:szCs w:val="21"/>
          <w:highlight w:val="none"/>
        </w:rPr>
      </w:pPr>
      <w:r>
        <w:rPr>
          <w:rFonts w:ascii="宋体" w:hAnsi="宋体"/>
          <w:color w:val="000000"/>
          <w:szCs w:val="21"/>
          <w:highlight w:val="none"/>
        </w:rPr>
        <w:t>5</w:t>
      </w:r>
      <w:r>
        <w:rPr>
          <w:rFonts w:hint="eastAsia" w:ascii="宋体" w:hAnsi="宋体"/>
          <w:color w:val="000000"/>
          <w:szCs w:val="21"/>
          <w:highlight w:val="none"/>
        </w:rPr>
        <w:t>、投标过程中出现下列情况之一的将作为无效投标处理：</w:t>
      </w:r>
    </w:p>
    <w:p w14:paraId="0E0AB858">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5.1</w:t>
      </w:r>
      <w:r>
        <w:rPr>
          <w:rFonts w:hint="eastAsia" w:ascii="宋体" w:hAnsi="宋体"/>
          <w:color w:val="000000"/>
          <w:szCs w:val="21"/>
          <w:highlight w:val="none"/>
        </w:rPr>
        <w:t xml:space="preserve"> 投标书未加盖单位法人章，无法定代表人或其授权委托人的签字；</w:t>
      </w:r>
    </w:p>
    <w:p w14:paraId="2C54553C">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5.2</w:t>
      </w:r>
      <w:r>
        <w:rPr>
          <w:rFonts w:hint="eastAsia" w:ascii="宋体" w:hAnsi="宋体"/>
          <w:color w:val="000000"/>
          <w:szCs w:val="21"/>
          <w:highlight w:val="none"/>
        </w:rPr>
        <w:t xml:space="preserve"> 投标文件载明的货物包装方式、检验标准和方法等不符合招标文件的要求；</w:t>
      </w:r>
    </w:p>
    <w:p w14:paraId="3FFF56BD">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5.3</w:t>
      </w:r>
      <w:r>
        <w:rPr>
          <w:rFonts w:hint="eastAsia" w:ascii="宋体" w:hAnsi="宋体"/>
          <w:color w:val="000000"/>
          <w:szCs w:val="21"/>
          <w:highlight w:val="none"/>
        </w:rPr>
        <w:t xml:space="preserve"> 投标文件提出了不能满足招标文件要求或招标人不能接受的工程验收、计量、价款结算支付办法；</w:t>
      </w:r>
    </w:p>
    <w:p w14:paraId="2B86C9CB">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5.4</w:t>
      </w:r>
      <w:r>
        <w:rPr>
          <w:rFonts w:hint="eastAsia" w:ascii="宋体" w:hAnsi="宋体"/>
          <w:color w:val="000000"/>
          <w:szCs w:val="21"/>
          <w:highlight w:val="none"/>
        </w:rPr>
        <w:t xml:space="preserve"> 经评标委员会认定投标人的投标报价低于成本价的；</w:t>
      </w:r>
    </w:p>
    <w:p w14:paraId="3E977595">
      <w:pPr>
        <w:autoSpaceDE w:val="0"/>
        <w:autoSpaceDN w:val="0"/>
        <w:adjustRightInd w:val="0"/>
        <w:spacing w:line="480" w:lineRule="exact"/>
        <w:ind w:firstLine="770" w:firstLineChars="367"/>
        <w:rPr>
          <w:rFonts w:ascii="宋体"/>
          <w:color w:val="000000"/>
          <w:szCs w:val="21"/>
          <w:highlight w:val="none"/>
        </w:rPr>
      </w:pPr>
      <w:r>
        <w:rPr>
          <w:rFonts w:ascii="宋体" w:hAnsi="宋体"/>
          <w:color w:val="000000"/>
          <w:szCs w:val="21"/>
          <w:highlight w:val="none"/>
        </w:rPr>
        <w:t>5.5</w:t>
      </w:r>
      <w:r>
        <w:rPr>
          <w:rFonts w:hint="eastAsia" w:ascii="宋体" w:hAnsi="宋体"/>
          <w:color w:val="000000"/>
          <w:szCs w:val="21"/>
          <w:highlight w:val="none"/>
        </w:rPr>
        <w:t xml:space="preserve"> 投标人未按照招标文件的要求提供必须提交的相关资料的；</w:t>
      </w:r>
    </w:p>
    <w:p w14:paraId="6512096E">
      <w:pPr>
        <w:autoSpaceDE w:val="0"/>
        <w:autoSpaceDN w:val="0"/>
        <w:adjustRightInd w:val="0"/>
        <w:spacing w:line="480" w:lineRule="exact"/>
        <w:ind w:firstLine="770" w:firstLineChars="367"/>
        <w:rPr>
          <w:rFonts w:ascii="宋体" w:hAnsi="宋体"/>
          <w:color w:val="000000"/>
          <w:szCs w:val="21"/>
          <w:highlight w:val="none"/>
        </w:rPr>
      </w:pPr>
      <w:r>
        <w:rPr>
          <w:rFonts w:ascii="宋体" w:hAnsi="宋体"/>
          <w:color w:val="000000"/>
          <w:szCs w:val="21"/>
          <w:highlight w:val="none"/>
        </w:rPr>
        <w:t>5.6</w:t>
      </w:r>
      <w:r>
        <w:rPr>
          <w:rFonts w:hint="eastAsia" w:ascii="宋体" w:hAnsi="宋体"/>
          <w:color w:val="000000"/>
          <w:szCs w:val="21"/>
          <w:highlight w:val="none"/>
        </w:rPr>
        <w:t xml:space="preserve"> 投标文件附有招标人不能接受的条件；</w:t>
      </w:r>
    </w:p>
    <w:p w14:paraId="376B847F">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6、有下列情形之一的，属于投标人相互串通投标：</w:t>
      </w:r>
    </w:p>
    <w:p w14:paraId="6F917F13">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6.1 投标人之间协商投标报价等投标文件的实质性内容；</w:t>
      </w:r>
    </w:p>
    <w:p w14:paraId="544F6674">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6.2 投标人之间约定中标人；</w:t>
      </w:r>
    </w:p>
    <w:p w14:paraId="0386A443">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6.3 投标人之间约定部分投标人放弃投标或者中标；</w:t>
      </w:r>
    </w:p>
    <w:p w14:paraId="2E482D96">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6.4 属于同一集团、协会、商会等组织成员的投标人按照该组织要求协同投标；投标人之间为谋取中标或者排斥特定投标人而采取的其他联合行动。</w:t>
      </w:r>
    </w:p>
    <w:p w14:paraId="2CFC349D">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7、有下列情形之一的，视为投标人相互串通投标：</w:t>
      </w:r>
    </w:p>
    <w:p w14:paraId="5A8D2297">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7.1 不同投标人的投标文件由同一单位或者个人编制；</w:t>
      </w:r>
    </w:p>
    <w:p w14:paraId="45ADD0BA">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7.2 不同投标人委托同一单位或者个人办理投标事宜；</w:t>
      </w:r>
    </w:p>
    <w:p w14:paraId="5C96DCDF">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7.3 不同投标人的投标文件载明的项目管理成员为同一人；</w:t>
      </w:r>
    </w:p>
    <w:p w14:paraId="36D72887">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7.4 不同投标人的投标文件异常一致或者投标报价呈规律性差异；</w:t>
      </w:r>
    </w:p>
    <w:p w14:paraId="2EC46A7F">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7.5 不同投标人的投标文件相互混装；</w:t>
      </w:r>
    </w:p>
    <w:p w14:paraId="37A0D45E">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7.6 不同投标人的投标保证金从同一单位或者个人的账户转出。</w:t>
      </w:r>
    </w:p>
    <w:p w14:paraId="036F7CAF">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8、有下列情形之一的，属于招标人与投标人串通投标：</w:t>
      </w:r>
    </w:p>
    <w:p w14:paraId="7758C47F">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8.1 招标人在开标前开启投标文件并将有关信息泄露给其他投标人；</w:t>
      </w:r>
    </w:p>
    <w:p w14:paraId="4BDFE0EF">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8.2 招标人直接或者间接向投标人泄露标底、评标委员会成员等信息；</w:t>
      </w:r>
    </w:p>
    <w:p w14:paraId="25F3C0C6">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8.3 招标人明示或者暗示投标人压低或者抬高投标报价；</w:t>
      </w:r>
    </w:p>
    <w:p w14:paraId="592CBC99">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8.4 招标人授意投标人撤换、修改投标文件；</w:t>
      </w:r>
    </w:p>
    <w:p w14:paraId="0AB3A7DA">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8.5 招标人明示或者暗示投标人为特定投标人中标提供方便；</w:t>
      </w:r>
    </w:p>
    <w:p w14:paraId="4C1A11C0">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8.6 招标人与投标人为谋求特定投标人中标而采取的其他串通行为。</w:t>
      </w:r>
    </w:p>
    <w:p w14:paraId="5087C241">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9、使用通过受让或者租借等方式获取的资格、资质证书投标的，属于以他人名义投标。</w:t>
      </w:r>
    </w:p>
    <w:p w14:paraId="39CD691D">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投标人有下列情形之一的，属于以其他方式弄虚作假的行为：</w:t>
      </w:r>
    </w:p>
    <w:p w14:paraId="5A325047">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9.1 使用伪造、变造的许可证件；</w:t>
      </w:r>
    </w:p>
    <w:p w14:paraId="4BB7D906">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9.2 提供虚假的财务状况或者业绩；</w:t>
      </w:r>
    </w:p>
    <w:p w14:paraId="3206D6E7">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9.3 提供虚假的项目负责人或者主要技术人员简历、劳动关系证明；</w:t>
      </w:r>
    </w:p>
    <w:p w14:paraId="323A1B05">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9.4 提供虚假的信用状况；</w:t>
      </w:r>
    </w:p>
    <w:p w14:paraId="53F2C2A2">
      <w:pPr>
        <w:autoSpaceDE w:val="0"/>
        <w:autoSpaceDN w:val="0"/>
        <w:adjustRightInd w:val="0"/>
        <w:spacing w:line="480" w:lineRule="exact"/>
        <w:ind w:firstLine="770" w:firstLineChars="367"/>
        <w:rPr>
          <w:rFonts w:ascii="宋体"/>
          <w:color w:val="000000"/>
          <w:szCs w:val="21"/>
          <w:highlight w:val="none"/>
        </w:rPr>
      </w:pPr>
      <w:r>
        <w:rPr>
          <w:rFonts w:hint="eastAsia" w:ascii="宋体"/>
          <w:color w:val="000000"/>
          <w:szCs w:val="21"/>
          <w:highlight w:val="none"/>
        </w:rPr>
        <w:t>9.5 其他弄虚作假的行为。</w:t>
      </w:r>
    </w:p>
    <w:p w14:paraId="43A86A9D">
      <w:pPr>
        <w:pStyle w:val="3"/>
        <w:rPr>
          <w:color w:val="000000"/>
          <w:highlight w:val="none"/>
        </w:rPr>
      </w:pPr>
    </w:p>
    <w:p w14:paraId="16394EB5">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六、评标细则（满分100分）</w:t>
      </w:r>
    </w:p>
    <w:p w14:paraId="1D35445B">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本次评标采用综合评分法，评标委员会通过对商务、技术等因素的综合评审进行打分，综合得分最高的投标人排名第一，依此类推确定排名顺序，按排名顺序先后推荐为中标候选人。</w:t>
      </w:r>
    </w:p>
    <w:p w14:paraId="0FF32720">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本次评标按百分制评分，其中商务评审为</w:t>
      </w:r>
      <w:r>
        <w:rPr>
          <w:rFonts w:hint="eastAsia" w:ascii="宋体" w:hAnsi="宋体"/>
          <w:color w:val="000000"/>
          <w:szCs w:val="21"/>
          <w:highlight w:val="none"/>
          <w:lang w:val="en-US" w:eastAsia="zh-CN"/>
        </w:rPr>
        <w:t>6</w:t>
      </w:r>
      <w:r>
        <w:rPr>
          <w:rFonts w:hint="eastAsia" w:ascii="宋体" w:hAnsi="宋体"/>
          <w:color w:val="000000"/>
          <w:szCs w:val="21"/>
          <w:highlight w:val="none"/>
        </w:rPr>
        <w:t>0分，技术评审为</w:t>
      </w:r>
      <w:r>
        <w:rPr>
          <w:rFonts w:hint="eastAsia" w:ascii="宋体" w:hAnsi="宋体"/>
          <w:color w:val="000000"/>
          <w:szCs w:val="21"/>
          <w:highlight w:val="none"/>
          <w:lang w:val="en-US" w:eastAsia="zh-CN"/>
        </w:rPr>
        <w:t>4</w:t>
      </w:r>
      <w:r>
        <w:rPr>
          <w:rFonts w:hint="eastAsia" w:ascii="宋体" w:hAnsi="宋体"/>
          <w:color w:val="000000"/>
          <w:szCs w:val="21"/>
          <w:highlight w:val="none"/>
        </w:rPr>
        <w:t>0分。具体评分细则如下：</w:t>
      </w:r>
    </w:p>
    <w:p w14:paraId="1BAFBB2B">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总 则</w:t>
      </w:r>
    </w:p>
    <w:p w14:paraId="3B4F7A39">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评委会成员应严格按下列具体评审内容及相应分值客观、公正地进行评分。计算每个投标人的得分时，对所有评委的评分计算算术平均值作为该投标人的最终得分。</w:t>
      </w:r>
    </w:p>
    <w:p w14:paraId="566448A2">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一、商务评审得分（满分60分）</w:t>
      </w:r>
    </w:p>
    <w:p w14:paraId="43A56B2F">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 xml:space="preserve">1）报价评审得分   </w:t>
      </w:r>
      <w:r>
        <w:rPr>
          <w:rFonts w:hint="eastAsia" w:ascii="宋体" w:hAnsi="宋体"/>
          <w:color w:val="000000"/>
          <w:szCs w:val="21"/>
          <w:highlight w:val="none"/>
        </w:rPr>
        <w:t xml:space="preserve">                                　          </w:t>
      </w:r>
      <w:r>
        <w:rPr>
          <w:rFonts w:hint="eastAsia" w:ascii="宋体" w:hAnsi="宋体"/>
          <w:b/>
          <w:color w:val="000000"/>
          <w:szCs w:val="21"/>
          <w:highlight w:val="none"/>
        </w:rPr>
        <w:t>（满分4</w:t>
      </w:r>
      <w:r>
        <w:rPr>
          <w:rFonts w:hint="eastAsia" w:ascii="宋体" w:hAnsi="宋体"/>
          <w:b/>
          <w:color w:val="000000"/>
          <w:szCs w:val="21"/>
          <w:highlight w:val="none"/>
          <w:lang w:val="en-US" w:eastAsia="zh-CN"/>
        </w:rPr>
        <w:t>0</w:t>
      </w:r>
      <w:r>
        <w:rPr>
          <w:rFonts w:hint="eastAsia" w:ascii="宋体" w:hAnsi="宋体"/>
          <w:b/>
          <w:color w:val="000000"/>
          <w:szCs w:val="21"/>
          <w:highlight w:val="none"/>
        </w:rPr>
        <w:t>分）</w:t>
      </w:r>
    </w:p>
    <w:p w14:paraId="3FDE64A4">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报价得分（满分40分）：以所有有效投标人评标价的算术平均值（如投标人超过5家（含5家），则去掉一个最高价和一个最低价后计算算术平均值）下浮</w:t>
      </w:r>
      <w:r>
        <w:rPr>
          <w:rFonts w:hint="eastAsia" w:ascii="宋体" w:hAnsi="宋体"/>
          <w:color w:val="000000"/>
          <w:szCs w:val="21"/>
          <w:highlight w:val="none"/>
          <w:lang w:val="en-US" w:eastAsia="zh-CN"/>
        </w:rPr>
        <w:t>2</w:t>
      </w:r>
      <w:r>
        <w:rPr>
          <w:rFonts w:hint="eastAsia" w:ascii="宋体" w:hAnsi="宋体"/>
          <w:color w:val="000000"/>
          <w:szCs w:val="21"/>
          <w:highlight w:val="none"/>
        </w:rPr>
        <w:t>%作为基准价得满分40分，其余投标人的评标价与基准价相比，投标人评标价每高基准价2%扣1分，每低基准价2%的扣0.5分，不足2%按插入法计算（保留两位小数）。</w:t>
      </w:r>
    </w:p>
    <w:p w14:paraId="38088DE7">
      <w:pPr>
        <w:autoSpaceDE w:val="0"/>
        <w:autoSpaceDN w:val="0"/>
        <w:adjustRightInd w:val="0"/>
        <w:spacing w:line="480" w:lineRule="exact"/>
        <w:ind w:firstLine="422" w:firstLineChars="200"/>
        <w:rPr>
          <w:rFonts w:ascii="宋体"/>
          <w:b/>
          <w:color w:val="000000"/>
          <w:szCs w:val="21"/>
          <w:highlight w:val="none"/>
        </w:rPr>
      </w:pPr>
      <w:r>
        <w:rPr>
          <w:rFonts w:hint="eastAsia" w:ascii="宋体" w:hAnsi="宋体"/>
          <w:b/>
          <w:color w:val="000000"/>
          <w:szCs w:val="21"/>
          <w:highlight w:val="none"/>
        </w:rPr>
        <w:t>2、商务条款评审得分</w:t>
      </w:r>
      <w:r>
        <w:rPr>
          <w:rFonts w:ascii="宋体" w:hAnsi="宋体"/>
          <w:color w:val="000000"/>
          <w:szCs w:val="21"/>
          <w:highlight w:val="none"/>
        </w:rPr>
        <w:t xml:space="preserve">                                   </w:t>
      </w:r>
      <w:r>
        <w:rPr>
          <w:rFonts w:hint="eastAsia" w:ascii="宋体" w:hAnsi="宋体"/>
          <w:b/>
          <w:color w:val="000000"/>
          <w:szCs w:val="21"/>
          <w:highlight w:val="none"/>
        </w:rPr>
        <w:t>（满分</w:t>
      </w:r>
      <w:r>
        <w:rPr>
          <w:rFonts w:ascii="宋体" w:hAnsi="宋体"/>
          <w:b/>
          <w:color w:val="000000"/>
          <w:szCs w:val="21"/>
          <w:highlight w:val="none"/>
        </w:rPr>
        <w:t>10</w:t>
      </w:r>
      <w:r>
        <w:rPr>
          <w:rFonts w:hint="eastAsia" w:ascii="宋体" w:hAnsi="宋体"/>
          <w:b/>
          <w:color w:val="000000"/>
          <w:szCs w:val="21"/>
          <w:highlight w:val="none"/>
        </w:rPr>
        <w:t>分）</w:t>
      </w:r>
    </w:p>
    <w:p w14:paraId="6C65431C">
      <w:pPr>
        <w:autoSpaceDE w:val="0"/>
        <w:autoSpaceDN w:val="0"/>
        <w:adjustRightInd w:val="0"/>
        <w:spacing w:line="480" w:lineRule="exact"/>
        <w:ind w:firstLine="561"/>
        <w:rPr>
          <w:rFonts w:ascii="宋体" w:hAnsi="宋体" w:cs="宋体"/>
          <w:bCs/>
          <w:color w:val="000000"/>
          <w:kern w:val="0"/>
          <w:szCs w:val="21"/>
          <w:highlight w:val="none"/>
        </w:rPr>
      </w:pPr>
      <w:r>
        <w:rPr>
          <w:rFonts w:hint="eastAsia" w:ascii="宋体" w:hAnsi="宋体"/>
          <w:color w:val="000000"/>
          <w:szCs w:val="21"/>
          <w:highlight w:val="none"/>
        </w:rPr>
        <w:t>A、投标人或制造商</w:t>
      </w:r>
      <w:r>
        <w:rPr>
          <w:rFonts w:hint="eastAsia" w:ascii="宋体" w:hAnsi="宋体" w:cs="宋体"/>
          <w:color w:val="000000"/>
          <w:kern w:val="0"/>
          <w:szCs w:val="21"/>
          <w:highlight w:val="none"/>
        </w:rPr>
        <w:t>须具有质量管理体系认证、环境管理体系认证和职业健康安全管理体系认证证书，有1份得1分，最高得3分。（提供认证证书复印件加盖公章）</w:t>
      </w:r>
    </w:p>
    <w:p w14:paraId="602094EC">
      <w:pPr>
        <w:autoSpaceDE w:val="0"/>
        <w:autoSpaceDN w:val="0"/>
        <w:adjustRightInd w:val="0"/>
        <w:spacing w:line="480" w:lineRule="exact"/>
        <w:ind w:firstLine="561"/>
        <w:rPr>
          <w:rFonts w:ascii="宋体" w:hAnsi="宋体"/>
          <w:color w:val="000000"/>
          <w:szCs w:val="21"/>
          <w:highlight w:val="none"/>
        </w:rPr>
      </w:pPr>
      <w:r>
        <w:rPr>
          <w:rFonts w:hint="eastAsia" w:ascii="宋体" w:hAnsi="宋体" w:cs="宋体"/>
          <w:bCs/>
          <w:color w:val="000000"/>
          <w:kern w:val="0"/>
          <w:szCs w:val="21"/>
          <w:highlight w:val="none"/>
        </w:rPr>
        <w:t>B、</w:t>
      </w:r>
      <w:r>
        <w:rPr>
          <w:rFonts w:hint="eastAsia" w:ascii="宋体" w:hAnsi="宋体"/>
          <w:color w:val="000000"/>
          <w:szCs w:val="21"/>
          <w:highlight w:val="none"/>
        </w:rPr>
        <w:t>投标人或制造商获得由第三方信用服务机构出具的《企业信用报告》及信用等级证书，信用等级为3A ，得2分，信用等级为2A，得1分，其余不得分。</w:t>
      </w:r>
    </w:p>
    <w:p w14:paraId="0DE679E4">
      <w:pPr>
        <w:autoSpaceDE w:val="0"/>
        <w:autoSpaceDN w:val="0"/>
        <w:adjustRightInd w:val="0"/>
        <w:spacing w:line="480" w:lineRule="exact"/>
        <w:ind w:firstLine="561"/>
        <w:rPr>
          <w:rFonts w:ascii="宋体" w:hAnsi="宋体" w:cs="宋体"/>
          <w:bCs/>
          <w:color w:val="000000"/>
          <w:kern w:val="0"/>
          <w:szCs w:val="21"/>
          <w:highlight w:val="none"/>
        </w:rPr>
      </w:pPr>
      <w:r>
        <w:rPr>
          <w:rFonts w:hint="eastAsia" w:ascii="宋体" w:hAnsi="宋体"/>
          <w:color w:val="000000"/>
          <w:szCs w:val="21"/>
          <w:highlight w:val="none"/>
        </w:rPr>
        <w:t>C、投标人或制造商获得过市级及以上荣誉证书（提供证书复印件，没有提供的不得分），有一项得1分，最多得2分。</w:t>
      </w:r>
    </w:p>
    <w:p w14:paraId="300CC09D">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D、投标人或制造商具有产品或生产技术发明专利、实用专利等证书，每提供一份符合要求的得1分，共3分。（证书复印件装订于投标文件中，原件备查）</w:t>
      </w:r>
    </w:p>
    <w:p w14:paraId="7B50E06C">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b/>
          <w:color w:val="000000"/>
          <w:szCs w:val="21"/>
          <w:highlight w:val="none"/>
        </w:rPr>
        <w:t>3）销售业绩得分</w:t>
      </w:r>
      <w:r>
        <w:rPr>
          <w:rFonts w:hint="eastAsia" w:ascii="宋体" w:hAnsi="宋体"/>
          <w:color w:val="000000"/>
          <w:szCs w:val="21"/>
          <w:highlight w:val="none"/>
        </w:rPr>
        <w:t xml:space="preserve">                                              </w:t>
      </w:r>
      <w:r>
        <w:rPr>
          <w:rFonts w:hint="eastAsia" w:ascii="宋体" w:hAnsi="宋体"/>
          <w:b/>
          <w:color w:val="000000"/>
          <w:szCs w:val="21"/>
          <w:highlight w:val="none"/>
        </w:rPr>
        <w:t>（满分</w:t>
      </w:r>
      <w:r>
        <w:rPr>
          <w:rFonts w:hint="eastAsia" w:ascii="宋体" w:hAnsi="宋体"/>
          <w:b/>
          <w:color w:val="000000"/>
          <w:szCs w:val="21"/>
          <w:highlight w:val="none"/>
          <w:lang w:val="en-US" w:eastAsia="zh-CN"/>
        </w:rPr>
        <w:t>10</w:t>
      </w:r>
      <w:r>
        <w:rPr>
          <w:rFonts w:hint="eastAsia" w:ascii="宋体" w:hAnsi="宋体"/>
          <w:b/>
          <w:color w:val="000000"/>
          <w:szCs w:val="21"/>
          <w:highlight w:val="none"/>
        </w:rPr>
        <w:t>分）</w:t>
      </w:r>
      <w:r>
        <w:rPr>
          <w:rFonts w:hint="eastAsia" w:ascii="宋体" w:hAnsi="宋体"/>
          <w:color w:val="000000"/>
          <w:szCs w:val="21"/>
          <w:highlight w:val="none"/>
        </w:rPr>
        <w:t xml:space="preserve"> </w:t>
      </w:r>
    </w:p>
    <w:p w14:paraId="0E922F63">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货物制造商须具有五年及以上生产经验。根据货物制造商在近三年（</w:t>
      </w:r>
      <w:r>
        <w:rPr>
          <w:rFonts w:ascii="宋体" w:hAnsi="宋体"/>
          <w:color w:val="000000"/>
          <w:szCs w:val="21"/>
          <w:highlight w:val="none"/>
        </w:rPr>
        <w:t>20</w:t>
      </w:r>
      <w:r>
        <w:rPr>
          <w:rFonts w:hint="eastAsia" w:ascii="宋体" w:hAnsi="宋体"/>
          <w:color w:val="000000"/>
          <w:szCs w:val="21"/>
          <w:highlight w:val="none"/>
        </w:rPr>
        <w:t>2</w:t>
      </w:r>
      <w:r>
        <w:rPr>
          <w:rFonts w:hint="eastAsia" w:ascii="宋体" w:hAnsi="宋体"/>
          <w:color w:val="000000"/>
          <w:szCs w:val="21"/>
          <w:highlight w:val="none"/>
          <w:lang w:val="en-US" w:eastAsia="zh-CN"/>
        </w:rPr>
        <w:t>1</w:t>
      </w:r>
      <w:r>
        <w:rPr>
          <w:rFonts w:hint="eastAsia" w:ascii="宋体" w:hAnsi="宋体"/>
          <w:color w:val="000000"/>
          <w:szCs w:val="21"/>
          <w:highlight w:val="none"/>
        </w:rPr>
        <w:t>年1月至今）以来同类品牌货物销售业绩情况，有一个得1分，满分</w:t>
      </w:r>
      <w:r>
        <w:rPr>
          <w:rFonts w:hint="eastAsia" w:ascii="宋体" w:hAnsi="宋体"/>
          <w:color w:val="000000"/>
          <w:szCs w:val="21"/>
          <w:highlight w:val="none"/>
          <w:lang w:val="en-US" w:eastAsia="zh-CN"/>
        </w:rPr>
        <w:t>10</w:t>
      </w:r>
      <w:r>
        <w:rPr>
          <w:rFonts w:hint="eastAsia" w:ascii="宋体" w:hAnsi="宋体"/>
          <w:color w:val="000000"/>
          <w:szCs w:val="21"/>
          <w:highlight w:val="none"/>
        </w:rPr>
        <w:t xml:space="preserve">分。（须提供供货合同复印件等证明材料，原件备查）。 </w:t>
      </w:r>
    </w:p>
    <w:p w14:paraId="606F8604">
      <w:pPr>
        <w:autoSpaceDE w:val="0"/>
        <w:autoSpaceDN w:val="0"/>
        <w:adjustRightInd w:val="0"/>
        <w:snapToGrid w:val="0"/>
        <w:spacing w:line="480" w:lineRule="exact"/>
        <w:ind w:firstLine="517" w:firstLineChars="245"/>
        <w:rPr>
          <w:rFonts w:ascii="宋体" w:hAnsi="宋体"/>
          <w:b/>
          <w:color w:val="000000"/>
          <w:szCs w:val="21"/>
          <w:highlight w:val="none"/>
        </w:rPr>
      </w:pPr>
      <w:r>
        <w:rPr>
          <w:rFonts w:hint="eastAsia" w:ascii="宋体" w:hAnsi="宋体"/>
          <w:b/>
          <w:color w:val="000000"/>
          <w:szCs w:val="21"/>
          <w:highlight w:val="none"/>
        </w:rPr>
        <w:t>二、技术评审得分（满分40分）</w:t>
      </w:r>
    </w:p>
    <w:p w14:paraId="7985C136">
      <w:pPr>
        <w:autoSpaceDE w:val="0"/>
        <w:autoSpaceDN w:val="0"/>
        <w:adjustRightInd w:val="0"/>
        <w:spacing w:line="480" w:lineRule="exact"/>
        <w:ind w:firstLine="561"/>
        <w:rPr>
          <w:rFonts w:ascii="宋体"/>
          <w:b/>
          <w:bCs/>
          <w:color w:val="000000"/>
          <w:szCs w:val="21"/>
          <w:highlight w:val="none"/>
        </w:rPr>
      </w:pPr>
      <w:r>
        <w:rPr>
          <w:rFonts w:ascii="宋体" w:hAnsi="宋体"/>
          <w:b/>
          <w:bCs/>
          <w:color w:val="000000"/>
          <w:szCs w:val="21"/>
          <w:highlight w:val="none"/>
        </w:rPr>
        <w:t>1</w:t>
      </w:r>
      <w:r>
        <w:rPr>
          <w:rFonts w:hint="eastAsia" w:ascii="宋体" w:hAnsi="宋体"/>
          <w:b/>
          <w:bCs/>
          <w:color w:val="000000"/>
          <w:szCs w:val="21"/>
          <w:highlight w:val="none"/>
        </w:rPr>
        <w:t>、技术文件编制齐全性和响应性</w:t>
      </w:r>
      <w:r>
        <w:rPr>
          <w:rFonts w:ascii="宋体" w:hAnsi="宋体"/>
          <w:b/>
          <w:bCs/>
          <w:color w:val="000000"/>
          <w:szCs w:val="21"/>
          <w:highlight w:val="none"/>
        </w:rPr>
        <w:t xml:space="preserve">                              </w:t>
      </w:r>
      <w:r>
        <w:rPr>
          <w:rFonts w:hint="eastAsia" w:ascii="宋体" w:hAnsi="宋体"/>
          <w:b/>
          <w:bCs/>
          <w:color w:val="000000"/>
          <w:szCs w:val="21"/>
          <w:highlight w:val="none"/>
        </w:rPr>
        <w:t>（满分10分）</w:t>
      </w:r>
    </w:p>
    <w:p w14:paraId="2CB4D49F">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（1）有技术参数响应表，得2分，没有不得分。（2分）</w:t>
      </w:r>
    </w:p>
    <w:p w14:paraId="68BB2E66">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2）由评标委员会根据投标货物、功能服务的性能满足招标文件的技术要求的情况打分。所有技术条款满足招标文件要求的，得基本分5分，其中有条款优于招标文件要求的每项加1分（投标文件中有明显标注），满分8分；如不完全满足招标文件要求酌情打分且不高于4分。（8分）</w:t>
      </w:r>
    </w:p>
    <w:p w14:paraId="6735C109">
      <w:pPr>
        <w:autoSpaceDE w:val="0"/>
        <w:autoSpaceDN w:val="0"/>
        <w:adjustRightInd w:val="0"/>
        <w:spacing w:line="480" w:lineRule="exact"/>
        <w:ind w:firstLine="561"/>
        <w:rPr>
          <w:rFonts w:ascii="宋体" w:hAnsi="宋体"/>
          <w:b/>
          <w:bCs/>
          <w:color w:val="000000"/>
          <w:szCs w:val="21"/>
          <w:highlight w:val="none"/>
        </w:rPr>
      </w:pPr>
      <w:r>
        <w:rPr>
          <w:rFonts w:hint="eastAsia" w:ascii="宋体" w:hAnsi="宋体"/>
          <w:b/>
          <w:bCs/>
          <w:color w:val="000000"/>
          <w:szCs w:val="21"/>
          <w:highlight w:val="none"/>
        </w:rPr>
        <w:t>2、技术方案                                                （满分22分）</w:t>
      </w:r>
    </w:p>
    <w:p w14:paraId="5642AF6A">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由评标委员会根据招标文件的功能需求对投标人提供的货物的制造工艺、外观、质量、性能及技术指标、所使用的材质、运营成本、寿命、可靠性方面进行综合评分，</w:t>
      </w:r>
    </w:p>
    <w:p w14:paraId="04BB2B76">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（1）货物的制造工艺、外观、质量、整体结构合理性（5分）</w:t>
      </w:r>
    </w:p>
    <w:p w14:paraId="1404861D">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（2）生产规模水平：根据投标设备制造商的生产装备、规模、制造水平在业内的位置等进行打分（3分）</w:t>
      </w:r>
    </w:p>
    <w:p w14:paraId="3899B041">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（3）货物的备品备件是否合理充足、合理（3分）</w:t>
      </w:r>
    </w:p>
    <w:p w14:paraId="450E2AD4">
      <w:pPr>
        <w:autoSpaceDE w:val="0"/>
        <w:autoSpaceDN w:val="0"/>
        <w:adjustRightInd w:val="0"/>
        <w:spacing w:line="360" w:lineRule="auto"/>
        <w:ind w:firstLine="561"/>
        <w:rPr>
          <w:rFonts w:ascii="宋体" w:hAnsi="宋体"/>
          <w:color w:val="000000"/>
          <w:szCs w:val="21"/>
          <w:highlight w:val="none"/>
        </w:rPr>
      </w:pPr>
      <w:r>
        <w:rPr>
          <w:rFonts w:hint="eastAsia" w:ascii="宋体" w:hAnsi="宋体"/>
          <w:color w:val="000000"/>
          <w:szCs w:val="21"/>
          <w:highlight w:val="none"/>
        </w:rPr>
        <w:t>（4）货物的运营成本、寿命、可靠性、实用性等（4分）</w:t>
      </w:r>
    </w:p>
    <w:p w14:paraId="1F1151C4">
      <w:pPr>
        <w:pStyle w:val="3"/>
        <w:spacing w:line="360" w:lineRule="auto"/>
        <w:rPr>
          <w:rFonts w:ascii="宋体" w:hAnsi="宋体" w:eastAsia="宋体"/>
          <w:color w:val="000000"/>
          <w:sz w:val="21"/>
          <w:szCs w:val="21"/>
          <w:highlight w:val="none"/>
        </w:rPr>
      </w:pPr>
      <w:r>
        <w:rPr>
          <w:rFonts w:hint="eastAsia" w:ascii="宋体" w:hAnsi="宋体"/>
          <w:color w:val="000000"/>
          <w:szCs w:val="21"/>
          <w:highlight w:val="none"/>
        </w:rPr>
        <w:t xml:space="preserve">    </w:t>
      </w:r>
      <w:r>
        <w:rPr>
          <w:rFonts w:hint="eastAsia" w:ascii="宋体" w:hAnsi="宋体" w:eastAsia="宋体"/>
          <w:color w:val="000000"/>
          <w:sz w:val="21"/>
          <w:szCs w:val="21"/>
          <w:highlight w:val="none"/>
        </w:rPr>
        <w:t>（5）设备拆卸安装方案、安全措施的合理性（4分）</w:t>
      </w:r>
    </w:p>
    <w:p w14:paraId="24781C96">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（6）关键设备及零部件的材质性能质量品牌档次（3分）</w:t>
      </w:r>
    </w:p>
    <w:p w14:paraId="18A9E6A4">
      <w:pPr>
        <w:autoSpaceDE w:val="0"/>
        <w:autoSpaceDN w:val="0"/>
        <w:adjustRightInd w:val="0"/>
        <w:spacing w:line="480" w:lineRule="exact"/>
        <w:ind w:firstLine="561"/>
        <w:rPr>
          <w:rFonts w:ascii="宋体" w:hAnsi="宋体"/>
          <w:b/>
          <w:bCs/>
          <w:color w:val="000000"/>
          <w:szCs w:val="21"/>
          <w:highlight w:val="none"/>
        </w:rPr>
      </w:pPr>
      <w:r>
        <w:rPr>
          <w:rFonts w:hint="eastAsia" w:ascii="宋体" w:hAnsi="宋体"/>
          <w:b/>
          <w:bCs/>
          <w:color w:val="000000"/>
          <w:szCs w:val="21"/>
          <w:highlight w:val="none"/>
        </w:rPr>
        <w:t>3、技术服务与培训                                       （满分8分）</w:t>
      </w:r>
      <w:r>
        <w:rPr>
          <w:rFonts w:hint="eastAsia" w:ascii="宋体" w:hAnsi="宋体"/>
          <w:b/>
          <w:bCs/>
          <w:color w:val="000000"/>
          <w:szCs w:val="21"/>
          <w:highlight w:val="none"/>
        </w:rPr>
        <w:tab/>
      </w:r>
    </w:p>
    <w:p w14:paraId="03F493F5">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（1）由评标委员会根据投标人对售后服务的承诺、响应时间、维修技术能力情况进行打分，优得3分，良得2分，一般得1分，无内容不得分。（3分）</w:t>
      </w:r>
    </w:p>
    <w:p w14:paraId="0EA40963">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（2）由评标委员会根据投标人的质保期进行打分。少于</w:t>
      </w:r>
      <w:r>
        <w:rPr>
          <w:rFonts w:hint="eastAsia" w:ascii="宋体" w:hAnsi="宋体"/>
          <w:b/>
          <w:bCs/>
          <w:color w:val="000000"/>
          <w:szCs w:val="21"/>
          <w:highlight w:val="none"/>
          <w:lang w:val="en-US" w:eastAsia="zh-CN"/>
        </w:rPr>
        <w:t>1</w:t>
      </w:r>
      <w:r>
        <w:rPr>
          <w:rFonts w:hint="eastAsia" w:ascii="宋体" w:hAnsi="宋体"/>
          <w:b/>
          <w:bCs/>
          <w:color w:val="000000"/>
          <w:szCs w:val="21"/>
          <w:highlight w:val="none"/>
        </w:rPr>
        <w:t>年</w:t>
      </w:r>
      <w:r>
        <w:rPr>
          <w:rFonts w:hint="eastAsia" w:ascii="宋体" w:hAnsi="宋体"/>
          <w:color w:val="000000"/>
          <w:szCs w:val="21"/>
          <w:highlight w:val="none"/>
        </w:rPr>
        <w:t>的按否决投标处理，承诺质保期每延长半年加1分，最多加2分。（提供承诺书）（2分）</w:t>
      </w:r>
    </w:p>
    <w:p w14:paraId="4AD9576E">
      <w:pPr>
        <w:autoSpaceDE w:val="0"/>
        <w:autoSpaceDN w:val="0"/>
        <w:adjustRightInd w:val="0"/>
        <w:spacing w:line="480" w:lineRule="exact"/>
        <w:ind w:firstLine="561"/>
        <w:rPr>
          <w:rFonts w:ascii="宋体" w:hAnsi="宋体"/>
          <w:color w:val="000000"/>
          <w:szCs w:val="21"/>
          <w:highlight w:val="none"/>
        </w:rPr>
      </w:pPr>
      <w:r>
        <w:rPr>
          <w:rFonts w:hint="eastAsia" w:ascii="宋体" w:hAnsi="宋体"/>
          <w:color w:val="000000"/>
          <w:szCs w:val="21"/>
          <w:highlight w:val="none"/>
        </w:rPr>
        <w:t>（3）由评标委员会根据投标人的培训方案打分，优得（2，3]分，良得（1，2]分，一般得（0，1]，无内容不得分。（3分）</w:t>
      </w:r>
    </w:p>
    <w:p w14:paraId="6373FCA2">
      <w:pPr>
        <w:pStyle w:val="3"/>
        <w:rPr>
          <w:rFonts w:ascii="宋体" w:hAnsi="宋体" w:eastAsia="宋体"/>
          <w:b/>
          <w:bCs/>
          <w:color w:val="000000"/>
          <w:sz w:val="21"/>
          <w:szCs w:val="21"/>
          <w:highlight w:val="none"/>
        </w:rPr>
      </w:pPr>
    </w:p>
    <w:p w14:paraId="5C3AB304">
      <w:pPr>
        <w:autoSpaceDE w:val="0"/>
        <w:autoSpaceDN w:val="0"/>
        <w:adjustRightInd w:val="0"/>
        <w:snapToGrid w:val="0"/>
        <w:spacing w:line="480" w:lineRule="exact"/>
        <w:ind w:firstLine="561"/>
        <w:rPr>
          <w:rFonts w:ascii="宋体" w:hAnsi="宋体"/>
          <w:b/>
          <w:color w:val="000000"/>
          <w:szCs w:val="21"/>
          <w:highlight w:val="none"/>
        </w:rPr>
      </w:pPr>
      <w:r>
        <w:rPr>
          <w:rFonts w:hint="eastAsia" w:ascii="宋体" w:hAnsi="宋体"/>
          <w:b/>
          <w:color w:val="000000"/>
          <w:szCs w:val="21"/>
          <w:highlight w:val="none"/>
        </w:rPr>
        <w:t>七、定标</w:t>
      </w:r>
    </w:p>
    <w:p w14:paraId="102B9122">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1、评标委员会完成评标后，应当向招标人提出书面评标报告，阐明评标委员会对各投标文件的评审和比较意见，并按照招标文件中规定的评标方法，推荐3名有排序的合格中标候选人。</w:t>
      </w:r>
    </w:p>
    <w:p w14:paraId="6AC782EB">
      <w:pPr>
        <w:autoSpaceDE w:val="0"/>
        <w:autoSpaceDN w:val="0"/>
        <w:adjustRightInd w:val="0"/>
        <w:snapToGrid w:val="0"/>
        <w:spacing w:line="480" w:lineRule="exact"/>
        <w:ind w:firstLine="561"/>
        <w:rPr>
          <w:rFonts w:ascii="宋体" w:hAnsi="宋体"/>
          <w:color w:val="000000"/>
          <w:szCs w:val="21"/>
          <w:highlight w:val="none"/>
        </w:rPr>
      </w:pPr>
      <w:r>
        <w:rPr>
          <w:rFonts w:hint="eastAsia" w:ascii="宋体" w:hAnsi="宋体"/>
          <w:color w:val="000000"/>
          <w:szCs w:val="21"/>
          <w:highlight w:val="none"/>
        </w:rPr>
        <w:t>2、排序原则：本次评标采用综合评分法，评标委员会通过对商务、技术等因素的综合评审进行打分，综合得分最高的投标人排名第一，依此类推确定排名顺序，按排名顺序先后推荐为中标候选人。</w:t>
      </w:r>
    </w:p>
    <w:p w14:paraId="71835904">
      <w:pPr>
        <w:autoSpaceDE w:val="0"/>
        <w:autoSpaceDN w:val="0"/>
        <w:adjustRightInd w:val="0"/>
        <w:snapToGrid w:val="0"/>
        <w:spacing w:line="480" w:lineRule="exact"/>
        <w:ind w:firstLine="561"/>
        <w:rPr>
          <w:rFonts w:ascii="宋体" w:hAnsi="宋体"/>
          <w:color w:val="000000"/>
          <w:szCs w:val="21"/>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r>
        <w:rPr>
          <w:rFonts w:hint="eastAsia" w:ascii="宋体" w:hAnsi="宋体"/>
          <w:color w:val="000000"/>
          <w:szCs w:val="21"/>
          <w:highlight w:val="none"/>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1D37EAC4">
      <w:pPr>
        <w:widowControl/>
        <w:spacing w:line="500" w:lineRule="exact"/>
        <w:jc w:val="left"/>
        <w:rPr>
          <w:rFonts w:ascii="宋体" w:hAnsi="宋体"/>
          <w:b/>
          <w:bCs/>
          <w:color w:val="000000"/>
          <w:szCs w:val="21"/>
          <w:highlight w:val="none"/>
        </w:rPr>
      </w:pPr>
      <w:r>
        <w:rPr>
          <w:rFonts w:hint="eastAsia" w:ascii="宋体" w:hAnsi="宋体"/>
          <w:b/>
          <w:bCs/>
          <w:color w:val="000000"/>
          <w:szCs w:val="21"/>
          <w:highlight w:val="none"/>
        </w:rPr>
        <w:t>八、合同模板：</w:t>
      </w:r>
    </w:p>
    <w:p w14:paraId="1556D88F">
      <w:pPr>
        <w:widowControl/>
        <w:spacing w:line="500" w:lineRule="exact"/>
        <w:jc w:val="center"/>
        <w:rPr>
          <w:rFonts w:ascii="宋体" w:hAnsi="宋体"/>
          <w:color w:val="000000"/>
          <w:szCs w:val="21"/>
          <w:highlight w:val="none"/>
        </w:rPr>
      </w:pPr>
    </w:p>
    <w:p w14:paraId="7E3938A7">
      <w:pPr>
        <w:tabs>
          <w:tab w:val="left" w:pos="1400"/>
          <w:tab w:val="center" w:pos="4846"/>
          <w:tab w:val="right" w:pos="9693"/>
        </w:tabs>
        <w:ind w:right="-693" w:rightChars="-330"/>
        <w:jc w:val="center"/>
        <w:rPr>
          <w:b/>
          <w:color w:val="000000"/>
          <w:szCs w:val="21"/>
          <w:highlight w:val="none"/>
        </w:rPr>
      </w:pPr>
      <w:r>
        <w:rPr>
          <w:rFonts w:hint="eastAsia" w:ascii="方正小标宋简体" w:hAnsi="方正小标宋简体" w:eastAsia="方正小标宋简体" w:cs="方正小标宋简体"/>
          <w:bCs/>
          <w:color w:val="000000"/>
          <w:sz w:val="44"/>
          <w:szCs w:val="44"/>
          <w:highlight w:val="none"/>
        </w:rPr>
        <w:t>设 备 采 购 合 同</w:t>
      </w:r>
    </w:p>
    <w:p w14:paraId="6D79B41E">
      <w:pPr>
        <w:tabs>
          <w:tab w:val="left" w:pos="1400"/>
          <w:tab w:val="center" w:pos="4846"/>
          <w:tab w:val="right" w:pos="9693"/>
        </w:tabs>
        <w:ind w:right="-693" w:rightChars="-330"/>
        <w:jc w:val="center"/>
        <w:rPr>
          <w:rFonts w:ascii="宋体" w:hAnsi="宋体"/>
          <w:b/>
          <w:color w:val="000000"/>
          <w:szCs w:val="21"/>
          <w:highlight w:val="none"/>
        </w:rPr>
      </w:pPr>
      <w:r>
        <w:rPr>
          <w:rFonts w:hint="eastAsia" w:ascii="宋体" w:hAnsi="宋体"/>
          <w:b/>
          <w:color w:val="000000"/>
          <w:szCs w:val="21"/>
          <w:highlight w:val="none"/>
        </w:rPr>
        <w:t xml:space="preserve">                     </w:t>
      </w:r>
    </w:p>
    <w:p w14:paraId="64580FD2">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买方：扬州水质检测有限公司</w:t>
      </w:r>
    </w:p>
    <w:p w14:paraId="141C390E">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卖方：</w:t>
      </w:r>
    </w:p>
    <w:p w14:paraId="554A2A79">
      <w:pPr>
        <w:spacing w:line="360" w:lineRule="auto"/>
        <w:ind w:firstLine="420" w:firstLineChars="200"/>
        <w:rPr>
          <w:rFonts w:ascii="宋体" w:hAnsi="宋体"/>
          <w:color w:val="000000"/>
          <w:szCs w:val="21"/>
          <w:highlight w:val="none"/>
        </w:rPr>
      </w:pPr>
    </w:p>
    <w:p w14:paraId="19CFB8D1">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江苏长江水务股份有限公司（以下简称“买方”）通过招标（招标编号：</w:t>
      </w:r>
      <w:r>
        <w:rPr>
          <w:rFonts w:hint="eastAsia" w:ascii="宋体" w:hAnsi="宋体"/>
          <w:color w:val="000000"/>
          <w:szCs w:val="21"/>
          <w:highlight w:val="none"/>
        </w:rPr>
        <w:t>），确定公司（以下简称“卖方”）为扬州水质检测有限公司              设备采购项目</w:t>
      </w:r>
      <w:r>
        <w:rPr>
          <w:rFonts w:ascii="宋体" w:hAnsi="宋体"/>
          <w:color w:val="000000"/>
          <w:szCs w:val="21"/>
          <w:highlight w:val="none"/>
        </w:rPr>
        <w:t>的供应方，经买卖双方协商一致，签订本合同。</w:t>
      </w:r>
    </w:p>
    <w:p w14:paraId="40984066">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第一条　名词和用语</w:t>
      </w:r>
    </w:p>
    <w:p w14:paraId="6FA2D682">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下列名词和用语，除上下文另有规定外，有如下含义：</w:t>
      </w:r>
    </w:p>
    <w:p w14:paraId="609A655E">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“工程”是指江苏长江水务股份有限公司</w:t>
      </w:r>
      <w:r>
        <w:rPr>
          <w:rFonts w:ascii="宋体" w:hAnsi="宋体"/>
          <w:color w:val="000000"/>
          <w:szCs w:val="21"/>
          <w:highlight w:val="none"/>
        </w:rPr>
        <w:t>设备</w:t>
      </w:r>
      <w:r>
        <w:rPr>
          <w:rFonts w:hint="eastAsia" w:ascii="宋体" w:hAnsi="宋体"/>
          <w:color w:val="000000"/>
          <w:szCs w:val="21"/>
          <w:highlight w:val="none"/>
        </w:rPr>
        <w:t>采购、</w:t>
      </w:r>
      <w:r>
        <w:rPr>
          <w:rFonts w:ascii="宋体" w:hAnsi="宋体"/>
          <w:color w:val="000000"/>
          <w:szCs w:val="21"/>
          <w:highlight w:val="none"/>
        </w:rPr>
        <w:t>安装</w:t>
      </w:r>
      <w:r>
        <w:rPr>
          <w:rFonts w:hint="eastAsia" w:ascii="宋体" w:hAnsi="宋体"/>
          <w:color w:val="000000"/>
          <w:szCs w:val="21"/>
          <w:highlight w:val="none"/>
        </w:rPr>
        <w:t>及调试项目</w:t>
      </w:r>
      <w:r>
        <w:rPr>
          <w:rFonts w:ascii="宋体" w:hAnsi="宋体"/>
          <w:color w:val="000000"/>
          <w:szCs w:val="21"/>
          <w:highlight w:val="none"/>
        </w:rPr>
        <w:t>。</w:t>
      </w:r>
    </w:p>
    <w:p w14:paraId="55368FEF">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“买方”指江苏长江水务股份有限公司或其合法承继者。</w:t>
      </w:r>
    </w:p>
    <w:p w14:paraId="023A9A3D">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“卖方”是指公司以及其合法承继者。</w:t>
      </w:r>
    </w:p>
    <w:p w14:paraId="00983DB0">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“中标通知书”：指买方正式接受卖方投标的接受信。</w:t>
      </w:r>
    </w:p>
    <w:p w14:paraId="1A423AD4">
      <w:pPr>
        <w:numPr>
          <w:ilvl w:val="0"/>
          <w:numId w:val="2"/>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“不可抗力”：任何一方都不能预见、对其发生及后果不能避免并且超过合理控制范围、且不能克服的自然事件和社会事件。</w:t>
      </w:r>
    </w:p>
    <w:p w14:paraId="752D9C6F">
      <w:pPr>
        <w:numPr>
          <w:ilvl w:val="0"/>
          <w:numId w:val="2"/>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“合同价款”：指根据合同条款，用以支付卖方在全面正确地履行合同义务后卖方所应得的金额。</w:t>
      </w:r>
    </w:p>
    <w:p w14:paraId="543AD714">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“一方”：指买方或卖方的任何一方。</w:t>
      </w:r>
    </w:p>
    <w:p w14:paraId="6A93DB39">
      <w:pPr>
        <w:numPr>
          <w:ilvl w:val="0"/>
          <w:numId w:val="2"/>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“服务”：系指合同规定卖方需承担的检验、运输、保险、交接验收、技术援助与保障、培训以及其它类似的在合同中所提到的卖方的义务。</w:t>
      </w:r>
    </w:p>
    <w:p w14:paraId="31002766">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“现场”系指将要进行加工或货物使用的地点。</w:t>
      </w:r>
    </w:p>
    <w:p w14:paraId="202482E3">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“技术资料”是指卖方提供的与合同设备及相关的设计、制造、监造、检验、安装、调试、验收、性能验收试验和技术指导等文件</w:t>
      </w:r>
      <w:r>
        <w:rPr>
          <w:rFonts w:ascii="宋体" w:hAnsi="宋体"/>
          <w:color w:val="000000"/>
          <w:szCs w:val="21"/>
          <w:highlight w:val="none"/>
        </w:rPr>
        <w:t>(包括图纸、各种文字说明、标准、各种软件)。</w:t>
      </w:r>
    </w:p>
    <w:p w14:paraId="01E45526">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“合同设备”是指卖方根据合同所供应的机器、装置、材料、物品、专用工具、备品备件等。</w:t>
      </w:r>
    </w:p>
    <w:p w14:paraId="0526AAD4">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“技术服务”是指由卖方提供的与本合同设备有关的工程设计、设备监造、检验、土建、安装、调试、验收、性能验收试验、运行、检修时相应的技术指导、技术配合、技术培训等全过程的服务。</w:t>
      </w:r>
    </w:p>
    <w:p w14:paraId="75C92A04">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“验收”系指买方依据技术规格书规定接受所供货物或/和安装、调试应依据的程序和检验。</w:t>
      </w:r>
    </w:p>
    <w:p w14:paraId="428DA934">
      <w:pPr>
        <w:numPr>
          <w:ilvl w:val="0"/>
          <w:numId w:val="2"/>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“日、月、年”是指公历的日、月、年；“天”是指</w:t>
      </w:r>
      <w:r>
        <w:rPr>
          <w:rFonts w:ascii="宋体" w:hAnsi="宋体"/>
          <w:color w:val="000000"/>
          <w:szCs w:val="21"/>
          <w:highlight w:val="none"/>
        </w:rPr>
        <w:t>24小时；“周”是指7天。</w:t>
      </w:r>
    </w:p>
    <w:p w14:paraId="25F87A18">
      <w:pPr>
        <w:numPr>
          <w:ilvl w:val="0"/>
          <w:numId w:val="2"/>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“备品备件”是指根据本合同提供的随机备用部件。</w:t>
      </w:r>
    </w:p>
    <w:p w14:paraId="5098E829">
      <w:pPr>
        <w:numPr>
          <w:ilvl w:val="0"/>
          <w:numId w:val="2"/>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“设备缺陷”是指卖方因设计、制造错误或疏忽所引起的本合同设备（包括部件、原材料、铸锻件、原器件等）达不到本合同及技术附件规定的性能、质量标准要求的情形。</w:t>
      </w:r>
    </w:p>
    <w:p w14:paraId="322BDEDB">
      <w:pPr>
        <w:numPr>
          <w:ilvl w:val="0"/>
          <w:numId w:val="2"/>
        </w:numPr>
        <w:tabs>
          <w:tab w:val="left" w:pos="540"/>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“初步性能验收”是指当性能验收试验的结果表明已达到了合同附件技术规格书规定的保证值后，买方对合同设备的验收。</w:t>
      </w:r>
    </w:p>
    <w:p w14:paraId="3850C1FF">
      <w:pPr>
        <w:numPr>
          <w:ilvl w:val="0"/>
          <w:numId w:val="2"/>
        </w:numPr>
        <w:tabs>
          <w:tab w:val="left" w:pos="1060"/>
          <w:tab w:val="clear" w:pos="96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“最终性能验收”是指买方对每一合同设备质量保证期满后的验收。</w:t>
      </w:r>
    </w:p>
    <w:p w14:paraId="6D96EFCF">
      <w:pPr>
        <w:spacing w:line="360" w:lineRule="auto"/>
        <w:ind w:firstLine="420" w:firstLineChars="200"/>
        <w:rPr>
          <w:rFonts w:ascii="宋体" w:hAnsi="宋体"/>
          <w:color w:val="000000"/>
          <w:szCs w:val="21"/>
          <w:highlight w:val="none"/>
        </w:rPr>
      </w:pPr>
    </w:p>
    <w:p w14:paraId="58185915">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第二条　合同条件的构成及解释顺序</w:t>
      </w:r>
    </w:p>
    <w:p w14:paraId="3F9A544C">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合同文件应能互相解释，互为说明。除合同另有约定外，其组成和解释顺序如下：</w:t>
      </w:r>
    </w:p>
    <w:p w14:paraId="3B4CE591">
      <w:pPr>
        <w:numPr>
          <w:ilvl w:val="0"/>
          <w:numId w:val="3"/>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双方协商同意的对本合同的变更、补充协议等正式书面文件；</w:t>
      </w:r>
    </w:p>
    <w:p w14:paraId="7C0EDF37">
      <w:pPr>
        <w:numPr>
          <w:ilvl w:val="0"/>
          <w:numId w:val="3"/>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本合同；</w:t>
      </w:r>
    </w:p>
    <w:p w14:paraId="07B1EAEB">
      <w:pPr>
        <w:numPr>
          <w:ilvl w:val="0"/>
          <w:numId w:val="3"/>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中标通知书；</w:t>
      </w:r>
    </w:p>
    <w:p w14:paraId="096206E7">
      <w:pPr>
        <w:numPr>
          <w:ilvl w:val="0"/>
          <w:numId w:val="3"/>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投标文件；</w:t>
      </w:r>
    </w:p>
    <w:p w14:paraId="2B2BFB46">
      <w:pPr>
        <w:numPr>
          <w:ilvl w:val="0"/>
          <w:numId w:val="3"/>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买方提供的工程技术资料和技术要求；</w:t>
      </w:r>
    </w:p>
    <w:p w14:paraId="1D4E8FE2">
      <w:pPr>
        <w:numPr>
          <w:ilvl w:val="0"/>
          <w:numId w:val="3"/>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卖方提供的技术资料；</w:t>
      </w:r>
    </w:p>
    <w:p w14:paraId="704D34AE">
      <w:pPr>
        <w:numPr>
          <w:ilvl w:val="0"/>
          <w:numId w:val="3"/>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招标文件；</w:t>
      </w:r>
    </w:p>
    <w:p w14:paraId="2C1E207E">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当合同文件出现含糊不清或不相一致，并按上述规定不能解决时，由双方协商解决；双方经协商不能达成一致的，按本合同第二十六条约定的办法解决。</w:t>
      </w:r>
    </w:p>
    <w:p w14:paraId="0D20FE12">
      <w:pPr>
        <w:spacing w:line="360" w:lineRule="auto"/>
        <w:ind w:firstLine="420" w:firstLineChars="200"/>
        <w:rPr>
          <w:rFonts w:ascii="宋体" w:hAnsi="宋体"/>
          <w:color w:val="000000"/>
          <w:szCs w:val="21"/>
          <w:highlight w:val="none"/>
        </w:rPr>
      </w:pPr>
    </w:p>
    <w:p w14:paraId="735591D2">
      <w:pPr>
        <w:spacing w:line="360" w:lineRule="auto"/>
        <w:ind w:firstLine="422" w:firstLineChars="200"/>
        <w:rPr>
          <w:rFonts w:ascii="宋体" w:hAnsi="宋体"/>
          <w:b/>
          <w:color w:val="000000"/>
          <w:szCs w:val="21"/>
          <w:highlight w:val="none"/>
        </w:rPr>
      </w:pPr>
    </w:p>
    <w:p w14:paraId="729D13FA">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第三条 适用的法律</w:t>
      </w:r>
    </w:p>
    <w:p w14:paraId="41845D91">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本合同适用的法律是指中华人民共和国的法律、行政法规，以及双方议定的部门规章或设备安装地的地方法规、地方规章。</w:t>
      </w:r>
    </w:p>
    <w:p w14:paraId="076D792D">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本合同文件使用中文书写、解释和说明。除技术规格书中另有规定外，计量单位均使用国际单位制。</w:t>
      </w:r>
    </w:p>
    <w:p w14:paraId="17A33FB8">
      <w:pPr>
        <w:spacing w:line="360" w:lineRule="auto"/>
        <w:ind w:firstLine="420" w:firstLineChars="200"/>
        <w:rPr>
          <w:rFonts w:ascii="宋体" w:hAnsi="宋体"/>
          <w:color w:val="000000"/>
          <w:szCs w:val="21"/>
          <w:highlight w:val="none"/>
        </w:rPr>
      </w:pPr>
    </w:p>
    <w:p w14:paraId="6697892F">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第四条 合同标的</w:t>
      </w:r>
    </w:p>
    <w:p w14:paraId="407F3C70">
      <w:pPr>
        <w:numPr>
          <w:ilvl w:val="0"/>
          <w:numId w:val="4"/>
        </w:numPr>
        <w:tabs>
          <w:tab w:val="left" w:pos="900"/>
          <w:tab w:val="left" w:pos="1440"/>
          <w:tab w:val="clear" w:pos="108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设备名称、规格</w:t>
      </w:r>
      <w:r>
        <w:rPr>
          <w:rFonts w:ascii="宋体" w:hAnsi="宋体"/>
          <w:color w:val="000000"/>
          <w:szCs w:val="21"/>
          <w:highlight w:val="none"/>
        </w:rPr>
        <w:t>(型号)、数量</w:t>
      </w:r>
    </w:p>
    <w:p w14:paraId="06E24B23">
      <w:pPr>
        <w:tabs>
          <w:tab w:val="left" w:pos="90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设备名称：</w:t>
      </w:r>
    </w:p>
    <w:p w14:paraId="6CBABDF2">
      <w:pPr>
        <w:tabs>
          <w:tab w:val="left" w:pos="90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设备规格</w:t>
      </w:r>
      <w:r>
        <w:rPr>
          <w:rFonts w:ascii="宋体" w:hAnsi="宋体"/>
          <w:color w:val="000000"/>
          <w:szCs w:val="21"/>
          <w:highlight w:val="none"/>
        </w:rPr>
        <w:t>(型号)及数量：</w:t>
      </w:r>
    </w:p>
    <w:p w14:paraId="65499C02">
      <w:pPr>
        <w:numPr>
          <w:ilvl w:val="0"/>
          <w:numId w:val="4"/>
        </w:numPr>
        <w:tabs>
          <w:tab w:val="left" w:pos="900"/>
          <w:tab w:val="left" w:pos="1440"/>
          <w:tab w:val="clear" w:pos="108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凡卖方供应的设备应是全新的、安全的、经济的、技术先进并且是成熟可靠的。</w:t>
      </w:r>
    </w:p>
    <w:p w14:paraId="55698F10">
      <w:pPr>
        <w:numPr>
          <w:ilvl w:val="0"/>
          <w:numId w:val="4"/>
        </w:numPr>
        <w:tabs>
          <w:tab w:val="left" w:pos="900"/>
          <w:tab w:val="left" w:pos="1440"/>
          <w:tab w:val="clear" w:pos="108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设备的技术规范、技术经济指标和性能、合同设备的供货范围、卖方提供的技术资料和技术服务。</w:t>
      </w:r>
    </w:p>
    <w:p w14:paraId="73C96AE0">
      <w:pPr>
        <w:numPr>
          <w:ilvl w:val="0"/>
          <w:numId w:val="4"/>
        </w:numPr>
        <w:tabs>
          <w:tab w:val="left" w:pos="900"/>
          <w:tab w:val="left" w:pos="1440"/>
          <w:tab w:val="clear" w:pos="1080"/>
        </w:tabs>
        <w:spacing w:line="360" w:lineRule="auto"/>
        <w:ind w:left="0" w:firstLine="420" w:firstLineChars="200"/>
        <w:rPr>
          <w:rFonts w:ascii="宋体" w:hAnsi="宋体"/>
          <w:color w:val="000000"/>
          <w:szCs w:val="21"/>
          <w:highlight w:val="none"/>
        </w:rPr>
      </w:pPr>
      <w:r>
        <w:rPr>
          <w:rFonts w:ascii="宋体" w:hAnsi="宋体"/>
          <w:color w:val="000000"/>
          <w:szCs w:val="21"/>
          <w:highlight w:val="none"/>
        </w:rPr>
        <w:t>买方有权对采购设备的数量在一定范围内调整，单价仍按投标时的价格。</w:t>
      </w:r>
    </w:p>
    <w:p w14:paraId="13C2C7BF">
      <w:pPr>
        <w:spacing w:line="360" w:lineRule="auto"/>
        <w:ind w:firstLine="420" w:firstLineChars="200"/>
        <w:rPr>
          <w:rFonts w:ascii="宋体" w:hAnsi="宋体"/>
          <w:color w:val="000000"/>
          <w:szCs w:val="21"/>
          <w:highlight w:val="none"/>
        </w:rPr>
      </w:pPr>
    </w:p>
    <w:p w14:paraId="5284C2C0">
      <w:pPr>
        <w:spacing w:line="360" w:lineRule="auto"/>
        <w:ind w:firstLine="422" w:firstLineChars="200"/>
        <w:rPr>
          <w:rFonts w:ascii="宋体" w:hAnsi="宋体"/>
          <w:color w:val="000000"/>
          <w:szCs w:val="21"/>
          <w:highlight w:val="none"/>
        </w:rPr>
      </w:pPr>
      <w:r>
        <w:rPr>
          <w:rFonts w:hint="eastAsia" w:ascii="宋体" w:hAnsi="宋体"/>
          <w:b/>
          <w:color w:val="000000"/>
          <w:szCs w:val="21"/>
          <w:highlight w:val="none"/>
        </w:rPr>
        <w:t>第五条供货范围</w:t>
      </w:r>
    </w:p>
    <w:p w14:paraId="1E8A7F4E">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本合同的供货范围包括了所有设备、技术资料、专用工具、备品备件、人员培训及技术协调、技术服务及调试，但在执行合同过程中如发现有任何漏项和短缺，在发货清单中并未列入而且确实是卖方供货范围中应该有的，并且是满足技术规格书对合同设备的性能保证值要求所必须的，均应由卖方负责将所缺的设备、技术资料、专用工具、备品备件、人员培训及技术协调、技术服务及技术指导等补上，发生的费用由卖方承担。</w:t>
      </w:r>
    </w:p>
    <w:p w14:paraId="161535F5">
      <w:pPr>
        <w:spacing w:line="360" w:lineRule="auto"/>
        <w:ind w:firstLine="420" w:firstLineChars="200"/>
        <w:rPr>
          <w:rFonts w:ascii="宋体" w:hAnsi="宋体"/>
          <w:color w:val="000000"/>
          <w:szCs w:val="21"/>
          <w:highlight w:val="none"/>
        </w:rPr>
      </w:pPr>
    </w:p>
    <w:p w14:paraId="6E16AF83">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第六条包装</w:t>
      </w:r>
    </w:p>
    <w:p w14:paraId="2B66F1AF">
      <w:pPr>
        <w:numPr>
          <w:ilvl w:val="0"/>
          <w:numId w:val="5"/>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除非本合同另有规定外，卖方提供所有货物的包装应符合技术规格书及货物承运部门的有关规定，采用良好的防湿、防潮、防震和防野蛮装卸等保护措施，以确保货物安全运抵现场而不使货物受损。如果由于包装不妥或不合理而引起货物损坏和丢失的责任，卖方应按本合同第十五条的规定承担更换或赔偿的责任。如果因此造成整个工程损失的，卖方应对此类损失承担赔偿责任。</w:t>
      </w:r>
    </w:p>
    <w:p w14:paraId="3490C227">
      <w:pPr>
        <w:numPr>
          <w:ilvl w:val="0"/>
          <w:numId w:val="5"/>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卖方应提供四套详细装箱单和质量证书，其中一套随运输工具发送，两套在货物备妥及运输工具发出</w:t>
      </w:r>
      <w:r>
        <w:rPr>
          <w:rFonts w:ascii="宋体" w:hAnsi="宋体"/>
          <w:color w:val="000000"/>
          <w:szCs w:val="21"/>
          <w:highlight w:val="none"/>
        </w:rPr>
        <w:t>24小时内用特快专递寄送给买方，一套随发票结算。随发票结算的一套应标明货物的单价和总价。</w:t>
      </w:r>
    </w:p>
    <w:p w14:paraId="1FA69412">
      <w:pPr>
        <w:numPr>
          <w:ilvl w:val="0"/>
          <w:numId w:val="5"/>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装箱单因包括如下内容：</w:t>
      </w:r>
    </w:p>
    <w:p w14:paraId="61453F2B">
      <w:pPr>
        <w:numPr>
          <w:ilvl w:val="0"/>
          <w:numId w:val="6"/>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合同号；</w:t>
      </w:r>
    </w:p>
    <w:p w14:paraId="40F86996">
      <w:pPr>
        <w:numPr>
          <w:ilvl w:val="0"/>
          <w:numId w:val="6"/>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设备号；</w:t>
      </w:r>
    </w:p>
    <w:p w14:paraId="6301974E">
      <w:pPr>
        <w:numPr>
          <w:ilvl w:val="0"/>
          <w:numId w:val="6"/>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货物备妥发运日；</w:t>
      </w:r>
    </w:p>
    <w:p w14:paraId="26D7D20F">
      <w:pPr>
        <w:numPr>
          <w:ilvl w:val="0"/>
          <w:numId w:val="6"/>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货物名称及编号；</w:t>
      </w:r>
    </w:p>
    <w:p w14:paraId="366644C3">
      <w:pPr>
        <w:numPr>
          <w:ilvl w:val="0"/>
          <w:numId w:val="6"/>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货物总毛重；</w:t>
      </w:r>
    </w:p>
    <w:p w14:paraId="7BA86672">
      <w:pPr>
        <w:numPr>
          <w:ilvl w:val="0"/>
          <w:numId w:val="6"/>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货物总体积；</w:t>
      </w:r>
    </w:p>
    <w:p w14:paraId="2DB96E78">
      <w:pPr>
        <w:numPr>
          <w:ilvl w:val="0"/>
          <w:numId w:val="6"/>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总包装件数；</w:t>
      </w:r>
    </w:p>
    <w:p w14:paraId="7B2B279E">
      <w:pPr>
        <w:numPr>
          <w:ilvl w:val="0"/>
          <w:numId w:val="6"/>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重量超过二吨（包括二吨）或尺寸超过</w:t>
      </w:r>
      <w:r>
        <w:rPr>
          <w:rFonts w:ascii="宋体" w:hAnsi="宋体"/>
          <w:color w:val="000000"/>
          <w:szCs w:val="21"/>
          <w:highlight w:val="none"/>
        </w:rPr>
        <w:t>9米×3米×3米的每件货物的名称、重量、体积和件数。对每件该类设备(部件)必须标明重心和吊点位置，并附有草图。</w:t>
      </w:r>
    </w:p>
    <w:p w14:paraId="1DFC6467">
      <w:pPr>
        <w:numPr>
          <w:ilvl w:val="0"/>
          <w:numId w:val="6"/>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对于特殊物品</w:t>
      </w:r>
      <w:r>
        <w:rPr>
          <w:rFonts w:ascii="宋体" w:hAnsi="宋体"/>
          <w:color w:val="000000"/>
          <w:szCs w:val="21"/>
          <w:highlight w:val="none"/>
        </w:rPr>
        <w:t>(易燃、易爆、有毒物品及</w:t>
      </w:r>
      <w:r>
        <w:rPr>
          <w:rFonts w:hint="eastAsia" w:ascii="宋体" w:hAnsi="宋体"/>
          <w:color w:val="000000"/>
          <w:szCs w:val="21"/>
          <w:highlight w:val="none"/>
        </w:rPr>
        <w:t>其它危险品和运输过程中对温度等环境因素和震动有特殊要求的设备或物品</w:t>
      </w:r>
      <w:r>
        <w:rPr>
          <w:rFonts w:ascii="宋体" w:hAnsi="宋体"/>
          <w:color w:val="000000"/>
          <w:szCs w:val="21"/>
          <w:highlight w:val="none"/>
        </w:rPr>
        <w:t>)必须特别标明其品名、性质、特殊保护措施、保存方法以及处理意外情况的方法。</w:t>
      </w:r>
    </w:p>
    <w:p w14:paraId="187B084F">
      <w:pPr>
        <w:numPr>
          <w:ilvl w:val="0"/>
          <w:numId w:val="5"/>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对裸装货物应以金属标签</w:t>
      </w:r>
      <w:r>
        <w:rPr>
          <w:rFonts w:ascii="宋体" w:hAnsi="宋体"/>
          <w:color w:val="000000"/>
          <w:szCs w:val="21"/>
          <w:highlight w:val="none"/>
        </w:rPr>
        <w:t>(金属铭牌)或在设备本身上注明上述有关内容。大件货物应带有足够的货物支架或包装垫木。</w:t>
      </w:r>
    </w:p>
    <w:p w14:paraId="373C9014">
      <w:pPr>
        <w:numPr>
          <w:ilvl w:val="0"/>
          <w:numId w:val="5"/>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备品备件、专用工具应与对应设备分别包装，并在包装箱外按</w:t>
      </w:r>
      <w:r>
        <w:rPr>
          <w:rFonts w:ascii="宋体" w:hAnsi="宋体"/>
          <w:color w:val="000000"/>
          <w:szCs w:val="21"/>
          <w:highlight w:val="none"/>
        </w:rPr>
        <w:t>7.2条注明内容，并标明“备品配件”或“专用工具”的字样，一次性发货。</w:t>
      </w:r>
    </w:p>
    <w:p w14:paraId="5BF0E6FC">
      <w:pPr>
        <w:numPr>
          <w:ilvl w:val="0"/>
          <w:numId w:val="5"/>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所有设备的端口必须用保护盖或其它方式妥善防护。</w:t>
      </w:r>
    </w:p>
    <w:p w14:paraId="401F4B95">
      <w:pPr>
        <w:numPr>
          <w:ilvl w:val="0"/>
          <w:numId w:val="5"/>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卖方不得用同一箱号标明任何两个箱件，包装箱应连续编号，而且在全部装运的过程中，装箱编号的顺序始终是连贯的。</w:t>
      </w:r>
    </w:p>
    <w:p w14:paraId="4A9B9A17">
      <w:pPr>
        <w:numPr>
          <w:ilvl w:val="0"/>
          <w:numId w:val="5"/>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对于需要保证精确装配的明亮洁净加工面的货物，加工面应采用优良，耐久的保护层</w:t>
      </w:r>
      <w:r>
        <w:rPr>
          <w:rFonts w:ascii="宋体" w:hAnsi="宋体"/>
          <w:color w:val="000000"/>
          <w:szCs w:val="21"/>
          <w:highlight w:val="none"/>
        </w:rPr>
        <w:t>(不得用油漆)以防止在安装前发生锈蚀和损坏。</w:t>
      </w:r>
    </w:p>
    <w:p w14:paraId="41F075A1">
      <w:pPr>
        <w:numPr>
          <w:ilvl w:val="0"/>
          <w:numId w:val="5"/>
        </w:numPr>
        <w:tabs>
          <w:tab w:val="left" w:pos="14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卖方交付的技术资料应使用适合于长途运输、多次搬运、防雨和防潮的包装，并应防止潮气和水的侵蚀。每包技术资料的封面上应注明下述内容：</w:t>
      </w:r>
    </w:p>
    <w:p w14:paraId="497B2491">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合同号；</w:t>
      </w:r>
    </w:p>
    <w:p w14:paraId="623C4264">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供货、收货单位名称；</w:t>
      </w:r>
    </w:p>
    <w:p w14:paraId="2BA2CA54">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目的地；</w:t>
      </w:r>
    </w:p>
    <w:p w14:paraId="14279603">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毛重；</w:t>
      </w:r>
    </w:p>
    <w:p w14:paraId="00297DE9">
      <w:pPr>
        <w:numPr>
          <w:ilvl w:val="0"/>
          <w:numId w:val="7"/>
        </w:numPr>
        <w:tabs>
          <w:tab w:val="left" w:pos="1060"/>
          <w:tab w:val="left" w:pos="1440"/>
          <w:tab w:val="clear" w:pos="114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箱号</w:t>
      </w:r>
      <w:r>
        <w:rPr>
          <w:rFonts w:ascii="宋体" w:hAnsi="宋体"/>
          <w:color w:val="000000"/>
          <w:szCs w:val="21"/>
          <w:highlight w:val="none"/>
        </w:rPr>
        <w:t>/件号。</w:t>
      </w:r>
    </w:p>
    <w:p w14:paraId="017EB5E3">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每一包资料内应附有技术资料的详细清单一式二份，标明技术资料的序号、文件项号、名称和页数。</w:t>
      </w:r>
    </w:p>
    <w:p w14:paraId="0069C66B">
      <w:pPr>
        <w:spacing w:line="360" w:lineRule="auto"/>
        <w:ind w:firstLine="420" w:firstLineChars="200"/>
        <w:rPr>
          <w:rFonts w:ascii="宋体" w:hAnsi="宋体"/>
          <w:color w:val="000000"/>
          <w:szCs w:val="21"/>
          <w:highlight w:val="none"/>
        </w:rPr>
      </w:pPr>
    </w:p>
    <w:p w14:paraId="04A5FE97">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第七条标记</w:t>
      </w:r>
    </w:p>
    <w:p w14:paraId="7571C2DC">
      <w:pPr>
        <w:numPr>
          <w:ilvl w:val="0"/>
          <w:numId w:val="8"/>
        </w:numPr>
        <w:tabs>
          <w:tab w:val="left" w:pos="900"/>
          <w:tab w:val="left" w:pos="1440"/>
          <w:tab w:val="clear" w:pos="108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合同设备的喷漆、标识、验收文件和运输应符合本合同附件技术规范书所列的各项要求。</w:t>
      </w:r>
    </w:p>
    <w:p w14:paraId="399C7326">
      <w:pPr>
        <w:numPr>
          <w:ilvl w:val="0"/>
          <w:numId w:val="8"/>
        </w:numPr>
        <w:tabs>
          <w:tab w:val="left" w:pos="900"/>
          <w:tab w:val="left" w:pos="1440"/>
          <w:tab w:val="clear" w:pos="108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合同设备若有外包装，卖方应在每件外包装上以醒目的方式用中文印刷字样标明以下各项：</w:t>
      </w:r>
    </w:p>
    <w:p w14:paraId="68A6690D">
      <w:pPr>
        <w:numPr>
          <w:ilvl w:val="1"/>
          <w:numId w:val="9"/>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制造厂名称和产品商标，设备名称；</w:t>
      </w:r>
    </w:p>
    <w:p w14:paraId="4F84D793">
      <w:pPr>
        <w:numPr>
          <w:ilvl w:val="1"/>
          <w:numId w:val="9"/>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毛重／净重（</w:t>
      </w:r>
      <w:r>
        <w:rPr>
          <w:rFonts w:ascii="宋体" w:hAnsi="宋体"/>
          <w:color w:val="000000"/>
          <w:szCs w:val="21"/>
          <w:highlight w:val="none"/>
        </w:rPr>
        <w:t>Kg）；体积(长×宽×高，以毫米表示)；</w:t>
      </w:r>
    </w:p>
    <w:p w14:paraId="1CD8FB92">
      <w:pPr>
        <w:numPr>
          <w:ilvl w:val="1"/>
          <w:numId w:val="9"/>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制造时间</w:t>
      </w:r>
    </w:p>
    <w:p w14:paraId="57857EEE">
      <w:pPr>
        <w:numPr>
          <w:ilvl w:val="1"/>
          <w:numId w:val="9"/>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出厂检验合格标志</w:t>
      </w:r>
    </w:p>
    <w:p w14:paraId="64E0EB7D">
      <w:pPr>
        <w:numPr>
          <w:ilvl w:val="1"/>
          <w:numId w:val="9"/>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表示储运安全的其它标志</w:t>
      </w:r>
    </w:p>
    <w:p w14:paraId="1F8034E7">
      <w:pPr>
        <w:numPr>
          <w:ilvl w:val="1"/>
          <w:numId w:val="9"/>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项目名称</w:t>
      </w:r>
    </w:p>
    <w:p w14:paraId="782C5402">
      <w:pPr>
        <w:numPr>
          <w:ilvl w:val="1"/>
          <w:numId w:val="9"/>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联系方式</w:t>
      </w:r>
    </w:p>
    <w:p w14:paraId="609ACB5F">
      <w:pPr>
        <w:numPr>
          <w:ilvl w:val="1"/>
          <w:numId w:val="9"/>
        </w:numPr>
        <w:tabs>
          <w:tab w:val="left" w:pos="84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箱号</w:t>
      </w:r>
      <w:r>
        <w:rPr>
          <w:rFonts w:ascii="宋体" w:hAnsi="宋体"/>
          <w:color w:val="000000"/>
          <w:szCs w:val="21"/>
          <w:highlight w:val="none"/>
        </w:rPr>
        <w:t>/件号；</w:t>
      </w:r>
    </w:p>
    <w:p w14:paraId="43E2DC25">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凡重量为二吨或超过二吨的货物，应在包装箱的侧面以运输常用的标记和图案标明重心位置及起吊点，以便于装卸和搬运。</w:t>
      </w:r>
    </w:p>
    <w:p w14:paraId="7205C20A">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应按照设备各特性和不同的运输及装卸要求，在箱上明显位置标上“小心”“向上”、“防潮”、“勿倒”、“怕热”、“远离放射源及热源”、“由此起吊”、“重心点”、“堆码重量极限”、“堆码层数极限”、“温度极限”等通用标志。</w:t>
      </w:r>
    </w:p>
    <w:p w14:paraId="12B30081">
      <w:pPr>
        <w:spacing w:line="360" w:lineRule="auto"/>
        <w:ind w:firstLine="420" w:firstLineChars="200"/>
        <w:rPr>
          <w:rFonts w:ascii="宋体" w:hAnsi="宋体"/>
          <w:color w:val="000000"/>
          <w:szCs w:val="21"/>
          <w:highlight w:val="none"/>
        </w:rPr>
      </w:pPr>
    </w:p>
    <w:p w14:paraId="624C3BD5">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第八条 运输和交付</w:t>
      </w:r>
    </w:p>
    <w:p w14:paraId="2CD22802">
      <w:pPr>
        <w:tabs>
          <w:tab w:val="left" w:pos="1440"/>
        </w:tabs>
        <w:spacing w:line="360" w:lineRule="auto"/>
        <w:ind w:firstLine="420" w:firstLineChars="200"/>
        <w:rPr>
          <w:rFonts w:ascii="宋体" w:hAnsi="宋体"/>
          <w:color w:val="000000"/>
          <w:szCs w:val="21"/>
          <w:highlight w:val="none"/>
        </w:rPr>
      </w:pPr>
      <w:r>
        <w:rPr>
          <w:rFonts w:hint="eastAsia" w:ascii="宋体" w:hAnsi="宋体"/>
          <w:bCs/>
          <w:color w:val="000000"/>
          <w:szCs w:val="21"/>
          <w:highlight w:val="none"/>
        </w:rPr>
        <w:t xml:space="preserve">8.1 </w:t>
      </w:r>
      <w:r>
        <w:rPr>
          <w:rFonts w:hint="eastAsia" w:ascii="宋体" w:hAnsi="宋体"/>
          <w:b/>
          <w:color w:val="000000"/>
          <w:szCs w:val="21"/>
          <w:highlight w:val="none"/>
        </w:rPr>
        <w:t>交货期：合同生效后</w:t>
      </w:r>
      <w:r>
        <w:rPr>
          <w:rFonts w:hint="eastAsia" w:ascii="宋体" w:hAnsi="宋体"/>
          <w:b/>
          <w:color w:val="000000"/>
          <w:szCs w:val="21"/>
          <w:highlight w:val="none"/>
          <w:u w:val="single"/>
        </w:rPr>
        <w:t xml:space="preserve">  30  </w:t>
      </w:r>
      <w:r>
        <w:rPr>
          <w:rFonts w:ascii="宋体" w:hAnsi="宋体"/>
          <w:b/>
          <w:color w:val="000000"/>
          <w:szCs w:val="21"/>
          <w:highlight w:val="none"/>
        </w:rPr>
        <w:t>天内货到用户指定地点</w:t>
      </w:r>
      <w:r>
        <w:rPr>
          <w:rFonts w:hint="eastAsia" w:ascii="宋体" w:hAnsi="宋体"/>
          <w:color w:val="000000"/>
          <w:szCs w:val="21"/>
          <w:highlight w:val="none"/>
        </w:rPr>
        <w:t>。卖方应在发货日的</w:t>
      </w:r>
      <w:r>
        <w:rPr>
          <w:rFonts w:ascii="宋体" w:hAnsi="宋体"/>
          <w:color w:val="000000"/>
          <w:szCs w:val="21"/>
          <w:highlight w:val="none"/>
        </w:rPr>
        <w:t>2日前以</w:t>
      </w:r>
      <w:r>
        <w:rPr>
          <w:rFonts w:hint="eastAsia" w:ascii="宋体" w:hAnsi="宋体"/>
          <w:color w:val="000000"/>
          <w:szCs w:val="21"/>
          <w:highlight w:val="none"/>
        </w:rPr>
        <w:t>传真通知买方合同号、货物名称、数量、件数和备妥待运日期。</w:t>
      </w:r>
    </w:p>
    <w:p w14:paraId="23865188">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8.2 卖方在货物装车完成</w:t>
      </w:r>
      <w:r>
        <w:rPr>
          <w:rFonts w:ascii="宋体" w:hAnsi="宋体"/>
          <w:color w:val="000000"/>
          <w:szCs w:val="21"/>
          <w:highlight w:val="none"/>
        </w:rPr>
        <w:t>24小时内以传真或电传通知买方合同号、车号、货物名称、规格、数量、件数、到站及到买方指定地点的时间。</w:t>
      </w:r>
    </w:p>
    <w:p w14:paraId="264B20B2">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8.3 本合同项下货物的交付地点为买方指定位置地面，卖方负责将货物运抵交付地点并负责卸车并搬运到指定地点，在此期间的安全由卖方负责。</w:t>
      </w:r>
    </w:p>
    <w:p w14:paraId="288D37EC">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合同设备所有权自合同设备调试验收合格之日起由卖方转移给买方。合同设备毁损、灭失的风险，在合同设备交付之前由卖方承担，交付之后由买方承担。货物到达目的地后，当场可清点验收的设备，经买卖双方组织人员进行现场验收，由买方负责开箱验收后设备的保管、仓贮（卖方应提出对设备的存放要求）。对未开箱的设备（指需在安装时开箱的设备），经双方清点数量后由买方负责安全保管、仓贮。确定安装时开箱验收的，由双方共同参与对货物进行检验，按开箱清单现场清点核对，并签字确认。如果货物被证明有缺陷，包括潜在缺陷或使用了不适当的材料不符合合同约定的，买方将保留拒收货物和对卖方索赔的权力；</w:t>
      </w:r>
    </w:p>
    <w:p w14:paraId="3968A67B">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8.4 由于卖方未及时按本合同第</w:t>
      </w:r>
      <w:r>
        <w:rPr>
          <w:rFonts w:ascii="宋体" w:hAnsi="宋体"/>
          <w:color w:val="000000"/>
          <w:szCs w:val="21"/>
          <w:highlight w:val="none"/>
        </w:rPr>
        <w:t>8.1款和/或第8.2款向买方发出通知，导致买方遭受损失的，卖方应向买方承担损失赔偿责任。</w:t>
      </w:r>
    </w:p>
    <w:p w14:paraId="37063F01">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8.5 在保证期满后三年内由于卖方的过失或疏忽造成的供应设备（或部件）的损坏或潜在缺陷，而动用了买方库存中的备品备件以调换损坏的设备或部件，则卖方应负责免费将动用的备品备件补齐，最迟不得超过买方通知后</w:t>
      </w:r>
      <w:r>
        <w:rPr>
          <w:rFonts w:ascii="宋体" w:hAnsi="宋体"/>
          <w:color w:val="000000"/>
          <w:szCs w:val="21"/>
          <w:highlight w:val="none"/>
        </w:rPr>
        <w:t>1个月运到指定交付点，并且通知买方。</w:t>
      </w:r>
    </w:p>
    <w:p w14:paraId="20188DA3">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8.6 卖方应按技术规格书规定，向买方提供满足调试、试验、检验、培训、运行和维修所需的技术资料。技术资料的交付时间按买方要求的时间及时提供。</w:t>
      </w:r>
    </w:p>
    <w:p w14:paraId="52F72A6F">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8.7 技术资料以快递邮寄（可直送）方式递交</w:t>
      </w:r>
      <w:r>
        <w:rPr>
          <w:rFonts w:ascii="宋体" w:hAnsi="宋体"/>
          <w:color w:val="000000"/>
          <w:szCs w:val="21"/>
          <w:highlight w:val="none"/>
        </w:rPr>
        <w:t>,每批技术资料交邮后，卖方应在24小时内将技术资料的交邮日期、邮单号、技术资料的详细清单、件数及重量、合同号等以传真通知买方。</w:t>
      </w:r>
    </w:p>
    <w:p w14:paraId="5F2A75D9">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8.8 技术资料可以邮寄方式或专人送达方式递交，如以邮寄方式递交，则以邮政部门提货通知单时间戳记为技术资料的实际交付日期，如以专人送达方式递交，则以买方代表签收日期为技术资料的实际交付日期。此日期将作为按合同第十五条对任何延期交付资料进行延期违约金计算的依据。</w:t>
      </w:r>
    </w:p>
    <w:p w14:paraId="43EEE6F1">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如果技术资料经买方或买方代表检查后发现有缺少、丢失或损坏，且非买方原因，卖方应在收到买方通知后</w:t>
      </w:r>
      <w:r>
        <w:rPr>
          <w:rFonts w:ascii="宋体" w:hAnsi="宋体"/>
          <w:color w:val="000000"/>
          <w:szCs w:val="21"/>
          <w:highlight w:val="none"/>
        </w:rPr>
        <w:t>14天内(对急用者应在3天内)免费向</w:t>
      </w:r>
      <w:r>
        <w:rPr>
          <w:rFonts w:hint="eastAsia" w:ascii="宋体" w:hAnsi="宋体"/>
          <w:color w:val="000000"/>
          <w:szCs w:val="21"/>
          <w:highlight w:val="none"/>
        </w:rPr>
        <w:t>买方</w:t>
      </w:r>
      <w:r>
        <w:rPr>
          <w:rFonts w:ascii="宋体" w:hAnsi="宋体"/>
          <w:color w:val="000000"/>
          <w:szCs w:val="21"/>
          <w:highlight w:val="none"/>
        </w:rPr>
        <w:t>补充提供缺少、丢失或损坏的部分。</w:t>
      </w:r>
    </w:p>
    <w:p w14:paraId="480483DC">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如因买方原因发生缺少、丢失或损坏，卖方应在接到买方通知后</w:t>
      </w:r>
      <w:r>
        <w:rPr>
          <w:rFonts w:ascii="宋体" w:hAnsi="宋体"/>
          <w:color w:val="000000"/>
          <w:szCs w:val="21"/>
          <w:highlight w:val="none"/>
        </w:rPr>
        <w:t>14天内(对急用者应在3天内)，向</w:t>
      </w:r>
      <w:r>
        <w:rPr>
          <w:rFonts w:hint="eastAsia" w:ascii="宋体" w:hAnsi="宋体"/>
          <w:color w:val="000000"/>
          <w:szCs w:val="21"/>
          <w:highlight w:val="none"/>
        </w:rPr>
        <w:t>买方</w:t>
      </w:r>
      <w:r>
        <w:rPr>
          <w:rFonts w:ascii="宋体" w:hAnsi="宋体"/>
          <w:color w:val="000000"/>
          <w:szCs w:val="21"/>
          <w:highlight w:val="none"/>
        </w:rPr>
        <w:t>补充提供缺少、丢失或损坏部分，费用由买方承担。</w:t>
      </w:r>
    </w:p>
    <w:p w14:paraId="38748F7F">
      <w:pPr>
        <w:tabs>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8.8 买方可派遣代表到卖方工厂及装货车站</w:t>
      </w:r>
      <w:r>
        <w:rPr>
          <w:rFonts w:ascii="宋体" w:hAnsi="宋体"/>
          <w:color w:val="000000"/>
          <w:szCs w:val="21"/>
          <w:highlight w:val="none"/>
        </w:rPr>
        <w:t>/码头/机场检查包装质量和监督装车情况。卖方应提前15天通知买方交运日期。买方代表的检查与监督不能免除卖方应负的责任。</w:t>
      </w:r>
    </w:p>
    <w:p w14:paraId="3066FF67">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8.9 技术资料收件单位：江苏长江水务股份有限公司（注明技术资料）</w:t>
      </w:r>
    </w:p>
    <w:p w14:paraId="047A1364">
      <w:pPr>
        <w:spacing w:line="360" w:lineRule="auto"/>
        <w:ind w:firstLine="420" w:firstLineChars="200"/>
        <w:rPr>
          <w:rFonts w:ascii="宋体" w:hAnsi="宋体"/>
          <w:color w:val="000000"/>
          <w:szCs w:val="21"/>
          <w:highlight w:val="none"/>
        </w:rPr>
      </w:pPr>
    </w:p>
    <w:p w14:paraId="46DEAAE7">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第九条 保险</w:t>
      </w:r>
    </w:p>
    <w:p w14:paraId="1464DA9F">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在货物发运前卖方须对货物，根据水运、陆运和空运等运输方式，向保险公司投保以卖方为受益人，金额为发运货物价格</w:t>
      </w:r>
      <w:r>
        <w:rPr>
          <w:rFonts w:ascii="宋体" w:hAnsi="宋体"/>
          <w:color w:val="000000"/>
          <w:szCs w:val="21"/>
          <w:highlight w:val="none"/>
        </w:rPr>
        <w:t>110%的运输一切险(包括卸货至现场地面的最后一吊)，保险区段为卖方仓库到交货地点交货后90天止。</w:t>
      </w:r>
    </w:p>
    <w:p w14:paraId="7669375C">
      <w:pPr>
        <w:spacing w:line="360" w:lineRule="auto"/>
        <w:ind w:firstLine="420" w:firstLineChars="200"/>
        <w:rPr>
          <w:rFonts w:ascii="宋体" w:hAnsi="宋体"/>
          <w:color w:val="000000"/>
          <w:szCs w:val="21"/>
          <w:highlight w:val="none"/>
        </w:rPr>
      </w:pPr>
    </w:p>
    <w:p w14:paraId="18BF21EC">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第十条 风险承担</w:t>
      </w:r>
    </w:p>
    <w:p w14:paraId="6D95A456">
      <w:pPr>
        <w:tabs>
          <w:tab w:val="left" w:pos="900"/>
          <w:tab w:val="left" w:pos="108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所有货物在交付之前的所有风险和责任均由卖方承担。如果在交付之前因运输等问题造成货物毁损、灭失等风险，卖方在本合同项下的义务与责任均不予解除。</w:t>
      </w:r>
    </w:p>
    <w:p w14:paraId="47EA5644">
      <w:pPr>
        <w:spacing w:line="360" w:lineRule="auto"/>
        <w:ind w:firstLine="422" w:firstLineChars="200"/>
        <w:rPr>
          <w:rFonts w:ascii="宋体" w:hAnsi="宋体"/>
          <w:b/>
          <w:color w:val="000000"/>
          <w:szCs w:val="21"/>
          <w:highlight w:val="none"/>
        </w:rPr>
      </w:pPr>
    </w:p>
    <w:p w14:paraId="7F904D11">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第十一条</w:t>
      </w:r>
      <w:r>
        <w:rPr>
          <w:rFonts w:ascii="宋体" w:hAnsi="宋体"/>
          <w:b/>
          <w:color w:val="000000"/>
          <w:szCs w:val="21"/>
          <w:highlight w:val="none"/>
        </w:rPr>
        <w:t xml:space="preserve"> 合同价款与支付 </w:t>
      </w:r>
    </w:p>
    <w:p w14:paraId="26C64DB6">
      <w:pPr>
        <w:tabs>
          <w:tab w:val="left" w:pos="540"/>
          <w:tab w:val="left" w:pos="108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11.1 本合同价款即合同总价为人民币总价：    万元</w:t>
      </w:r>
      <w:r>
        <w:rPr>
          <w:rFonts w:ascii="宋体" w:hAnsi="宋体"/>
          <w:color w:val="000000"/>
          <w:szCs w:val="21"/>
          <w:highlight w:val="none"/>
        </w:rPr>
        <w:t>(大写：        )。</w:t>
      </w:r>
      <w:r>
        <w:rPr>
          <w:rFonts w:hint="eastAsia" w:ascii="宋体" w:hAnsi="宋体"/>
          <w:color w:val="000000"/>
          <w:szCs w:val="21"/>
          <w:highlight w:val="none"/>
        </w:rPr>
        <w:t>合同总价为固定不变价格，投标文件中的清单报价作为质保期外维修或更换的结算依据，除非本合同另有规定，否则在合同期内不因任何原因加以变更或调整。</w:t>
      </w:r>
    </w:p>
    <w:p w14:paraId="279064CF">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本合同价款包括合同设备</w:t>
      </w:r>
      <w:r>
        <w:rPr>
          <w:rFonts w:ascii="宋体" w:hAnsi="宋体"/>
          <w:color w:val="000000"/>
          <w:szCs w:val="21"/>
          <w:highlight w:val="none"/>
        </w:rPr>
        <w:t>(含备品备件、专用工具)、技术资料、</w:t>
      </w:r>
      <w:r>
        <w:rPr>
          <w:rFonts w:hint="eastAsia" w:ascii="宋体" w:hAnsi="宋体"/>
          <w:color w:val="000000"/>
          <w:szCs w:val="21"/>
          <w:highlight w:val="none"/>
        </w:rPr>
        <w:t>安装调试、</w:t>
      </w:r>
      <w:r>
        <w:rPr>
          <w:rFonts w:ascii="宋体" w:hAnsi="宋体"/>
          <w:color w:val="000000"/>
          <w:szCs w:val="21"/>
          <w:highlight w:val="none"/>
        </w:rPr>
        <w:t>技术服务和运输及保险费等费用,还包括合同设备的税费等与本合同中卖方应承担的所有义务和所有工作相关的费用。合同设备的技术服务及备品备件由卖方免费提供。</w:t>
      </w:r>
    </w:p>
    <w:p w14:paraId="116056DB">
      <w:pPr>
        <w:spacing w:line="360" w:lineRule="auto"/>
        <w:ind w:firstLine="420" w:firstLineChars="200"/>
        <w:rPr>
          <w:color w:val="000000"/>
          <w:szCs w:val="21"/>
          <w:highlight w:val="none"/>
        </w:rPr>
      </w:pPr>
      <w:r>
        <w:rPr>
          <w:rFonts w:hint="eastAsia" w:ascii="宋体" w:hAnsi="宋体"/>
          <w:color w:val="000000"/>
          <w:szCs w:val="21"/>
          <w:highlight w:val="none"/>
        </w:rPr>
        <w:t>合同设备运抵项目现场的运输及保险费等杂费已含在合同价款内。运输及保险费是指合同设备从卖方</w:t>
      </w:r>
      <w:r>
        <w:rPr>
          <w:rFonts w:ascii="宋体" w:hAnsi="宋体"/>
          <w:color w:val="000000"/>
          <w:szCs w:val="21"/>
          <w:highlight w:val="none"/>
        </w:rPr>
        <w:t>(包括卖方的分包商)始发站（车上）/码头（船上）到交货地点地面所发生的公路、铁路、水路、航空运费</w:t>
      </w:r>
      <w:r>
        <w:rPr>
          <w:rFonts w:hint="eastAsia" w:ascii="宋体" w:hAnsi="宋体"/>
          <w:color w:val="000000"/>
          <w:szCs w:val="21"/>
          <w:highlight w:val="none"/>
        </w:rPr>
        <w:t>和</w:t>
      </w:r>
      <w:r>
        <w:rPr>
          <w:rFonts w:ascii="宋体" w:hAnsi="宋体"/>
          <w:color w:val="000000"/>
          <w:szCs w:val="21"/>
          <w:highlight w:val="none"/>
        </w:rPr>
        <w:t>保险费等运输过程中发生的各种费用。</w:t>
      </w:r>
    </w:p>
    <w:p w14:paraId="5CAC1FC0">
      <w:pPr>
        <w:tabs>
          <w:tab w:val="left" w:pos="108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11.2 支付</w:t>
      </w:r>
    </w:p>
    <w:p w14:paraId="51D287B9">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无预付款，所有货物经安装调试验收合格且连续无故障运行30</w:t>
      </w:r>
      <w:r>
        <w:rPr>
          <w:rFonts w:ascii="宋体" w:hAnsi="宋体"/>
          <w:color w:val="000000"/>
          <w:szCs w:val="21"/>
          <w:highlight w:val="none"/>
        </w:rPr>
        <w:t>天后</w:t>
      </w:r>
      <w:r>
        <w:rPr>
          <w:rFonts w:hint="eastAsia" w:ascii="宋体" w:hAnsi="宋体"/>
          <w:color w:val="000000"/>
          <w:szCs w:val="21"/>
          <w:highlight w:val="none"/>
        </w:rPr>
        <w:t>，自收讫乙方全额增值税专用发票之日起三个月内通过银行转账付至合同总价款的95%，余款5%作为质保金，在合同约定的质保期满且标的设备无质量问题后根据卖方书面申请2个月内无息付清余额。</w:t>
      </w:r>
      <w:r>
        <w:rPr>
          <w:rFonts w:ascii="宋体" w:hAnsi="宋体"/>
          <w:color w:val="000000"/>
          <w:szCs w:val="21"/>
          <w:highlight w:val="none"/>
        </w:rPr>
        <w:t>（</w:t>
      </w:r>
      <w:r>
        <w:rPr>
          <w:rFonts w:hint="eastAsia" w:ascii="宋体"/>
          <w:color w:val="000000"/>
          <w:szCs w:val="21"/>
          <w:highlight w:val="none"/>
        </w:rPr>
        <w:t>备注：</w:t>
      </w:r>
      <w:r>
        <w:rPr>
          <w:rFonts w:hint="eastAsia" w:ascii="宋体" w:hAnsi="宋体"/>
          <w:color w:val="000000"/>
          <w:szCs w:val="21"/>
          <w:highlight w:val="none"/>
        </w:rPr>
        <w:t>本项目在结算支付时，票据为税率</w:t>
      </w:r>
      <w:r>
        <w:rPr>
          <w:rFonts w:ascii="宋体" w:hAnsi="宋体"/>
          <w:color w:val="000000"/>
          <w:szCs w:val="21"/>
          <w:highlight w:val="none"/>
        </w:rPr>
        <w:t>13%增值税专用发票（国家政策若发生变化以相关政策执行）。</w:t>
      </w:r>
    </w:p>
    <w:p w14:paraId="0F83BD47">
      <w:pPr>
        <w:spacing w:line="360" w:lineRule="auto"/>
        <w:ind w:firstLine="420" w:firstLineChars="200"/>
        <w:rPr>
          <w:rFonts w:ascii="宋体" w:hAnsi="宋体"/>
          <w:color w:val="000000"/>
          <w:szCs w:val="21"/>
          <w:highlight w:val="none"/>
        </w:rPr>
      </w:pPr>
    </w:p>
    <w:p w14:paraId="42100C8C">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第十二条 连带责任</w:t>
      </w:r>
    </w:p>
    <w:p w14:paraId="3903D750">
      <w:pPr>
        <w:spacing w:line="360" w:lineRule="auto"/>
        <w:ind w:firstLine="420" w:firstLineChars="200"/>
        <w:rPr>
          <w:rFonts w:ascii="宋体" w:hAnsi="宋体"/>
          <w:color w:val="000000"/>
          <w:szCs w:val="21"/>
          <w:highlight w:val="none"/>
        </w:rPr>
      </w:pPr>
      <w:r>
        <w:rPr>
          <w:rFonts w:ascii="宋体" w:hAnsi="宋体"/>
          <w:color w:val="000000"/>
          <w:szCs w:val="21"/>
          <w:highlight w:val="none"/>
        </w:rPr>
        <w:t>12.1卖方应对本合同项下设备的制造、运输、装卸、交货、</w:t>
      </w:r>
      <w:r>
        <w:rPr>
          <w:rFonts w:hint="eastAsia" w:ascii="宋体" w:hAnsi="宋体"/>
          <w:color w:val="000000"/>
          <w:szCs w:val="21"/>
          <w:highlight w:val="none"/>
        </w:rPr>
        <w:t>安装、调试等承担全部责任。</w:t>
      </w:r>
    </w:p>
    <w:p w14:paraId="67448657">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12.2 </w:t>
      </w:r>
      <w:r>
        <w:rPr>
          <w:rFonts w:hint="eastAsia" w:ascii="宋体" w:hAnsi="宋体"/>
          <w:color w:val="000000"/>
          <w:szCs w:val="21"/>
          <w:highlight w:val="none"/>
        </w:rPr>
        <w:t>卖方应对本合同项下设备安装过程中影响买方安全生产的任何事宜承担全部责任。</w:t>
      </w:r>
    </w:p>
    <w:p w14:paraId="2764B746">
      <w:pPr>
        <w:spacing w:line="360" w:lineRule="auto"/>
        <w:ind w:firstLine="420" w:firstLineChars="200"/>
        <w:rPr>
          <w:rFonts w:ascii="宋体" w:hAnsi="宋体"/>
          <w:color w:val="000000"/>
          <w:szCs w:val="21"/>
          <w:highlight w:val="none"/>
        </w:rPr>
      </w:pPr>
    </w:p>
    <w:p w14:paraId="044C3BAE">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第十三条 质量保证</w:t>
      </w:r>
    </w:p>
    <w:p w14:paraId="62F7C669">
      <w:pPr>
        <w:tabs>
          <w:tab w:val="left" w:pos="540"/>
          <w:tab w:val="left" w:pos="108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13.1 卖方应保证其提供的货物在各个方面符合技术规格书规定的质量、规格和性能要求。</w:t>
      </w:r>
    </w:p>
    <w:p w14:paraId="17F85BD6">
      <w:pPr>
        <w:tabs>
          <w:tab w:val="left" w:pos="540"/>
          <w:tab w:val="left" w:pos="108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13.2 合同货物的质量保证期为联动调试合格试运行后的18</w:t>
      </w:r>
      <w:r>
        <w:rPr>
          <w:rFonts w:ascii="宋体" w:hAnsi="宋体"/>
          <w:color w:val="000000"/>
          <w:szCs w:val="21"/>
          <w:highlight w:val="none"/>
        </w:rPr>
        <w:t>个月。在质量保证期内，卖方应对由于设计、工艺、生产或运输导致的缺陷负责，出现上述情况，卖方应在7天内对买方提出的要求给予答复并处理。</w:t>
      </w:r>
    </w:p>
    <w:p w14:paraId="5A57E3F3">
      <w:pPr>
        <w:tabs>
          <w:tab w:val="left" w:pos="1080"/>
        </w:tabs>
        <w:spacing w:line="360" w:lineRule="auto"/>
        <w:ind w:firstLine="420" w:firstLineChars="200"/>
        <w:rPr>
          <w:rFonts w:ascii="宋体" w:hAnsi="宋体"/>
          <w:color w:val="000000"/>
          <w:szCs w:val="21"/>
          <w:highlight w:val="none"/>
        </w:rPr>
      </w:pPr>
    </w:p>
    <w:p w14:paraId="0EF227B6">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第十四条 技术服务和检验</w:t>
      </w:r>
    </w:p>
    <w:p w14:paraId="6EB53ECC">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 卖方应及时提供与本合同设备有关的安装、调试、验收、性能验收试验、运行、检修等相应的技术指导、技术配合、技术培训等全过程的服务。</w:t>
      </w:r>
    </w:p>
    <w:p w14:paraId="50631B19">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14.2 卖方根据相关设备的技术资料、检验标准、图纸及说明书进行安装、调试、运行和维修，并负责解决合同设备在安装调试、试运行中发现的制造质量及性能等有关问题。</w:t>
      </w:r>
    </w:p>
    <w:p w14:paraId="6B997DF1">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14.3 卖方应在合同生效后</w:t>
      </w:r>
      <w:r>
        <w:rPr>
          <w:rFonts w:ascii="宋体" w:hAnsi="宋体"/>
          <w:color w:val="000000"/>
          <w:szCs w:val="21"/>
          <w:highlight w:val="none"/>
        </w:rPr>
        <w:t>1个月内以快递邮寄方式向买方提交执行14.2条规定的服务工作的组织计划一式两份。</w:t>
      </w:r>
    </w:p>
    <w:p w14:paraId="3C0B217D">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14.4 如遇有重大问题需要双方立即研究协商时，任何一方均可建议召开会议，在一般情况下，另一方应同意参加。</w:t>
      </w:r>
    </w:p>
    <w:p w14:paraId="66D39025">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14.5 各次会议及其他联络方式双方均应签订会议或联络纪要，所签纪要双方均应执行。如涉及合同条款有修改时，双方需签订补充或更改合同。</w:t>
      </w:r>
    </w:p>
    <w:p w14:paraId="6FF147E3">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14.6 卖方提出并经双方在会议上确定的安装、调试和运行技术服务方案，卖方如有修改，须以书面形式通知买方，经买方确认后方可进行。为适应现场条件的要求，买方有权提出变更或修改意见，并书面通知卖方，卖方应给予充分考虑，应尽量满足买方要求。</w:t>
      </w:r>
    </w:p>
    <w:p w14:paraId="28D663E3">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14.7 买方有权将对方所提供的一切与本合同设备有关的资料分发给与本工程有关的各方，并不由此而构成任何侵权</w:t>
      </w:r>
      <w:r>
        <w:rPr>
          <w:rFonts w:ascii="宋体" w:hAnsi="宋体"/>
          <w:color w:val="000000"/>
          <w:szCs w:val="21"/>
          <w:highlight w:val="none"/>
        </w:rPr>
        <w:t>,但不得向任何与本工程无关的第三方提供。</w:t>
      </w:r>
    </w:p>
    <w:p w14:paraId="5F217947">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14.8 对盖有“密件”印章的卖方、买方的资料，双方都有为其保密的义务。</w:t>
      </w:r>
    </w:p>
    <w:p w14:paraId="179EB430">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14.9 需要卖方的分包商对合同设备的部分技术服务或去现场工作，应由卖方统一组织并征得买方同意，费用应由卖方负担。</w:t>
      </w:r>
    </w:p>
    <w:p w14:paraId="7A907AA2">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14.10 卖方（包括外购）须对一切与本合同有关的供货、设备及技术接口、技术服务等问题负全部责任。</w:t>
      </w:r>
    </w:p>
    <w:p w14:paraId="17228A97">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14.11 凡与本合同设备相连接的其它设备装置，卖方有提供接口和技术配合的义务，并不由此而发生合同价格以外的任何费用。</w:t>
      </w:r>
    </w:p>
    <w:p w14:paraId="664092DA">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14.12 卖方派到现场服务的技术人员应是有实践经验、可胜任此项工作的人员。卖方派到现场服务的技术人员名单在本合同生效后</w:t>
      </w:r>
      <w:r>
        <w:rPr>
          <w:rFonts w:ascii="宋体" w:hAnsi="宋体"/>
          <w:color w:val="000000"/>
          <w:szCs w:val="21"/>
          <w:highlight w:val="none"/>
        </w:rPr>
        <w:t>1个月内提交买方予以确认。</w:t>
      </w:r>
    </w:p>
    <w:p w14:paraId="3892F490">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买方有权提出更换不符合要求的卖方现场服务人员，卖方应根据现场需要，重新选派买方认可的服务人员。如果买方在书面提出该项要求</w:t>
      </w:r>
      <w:r>
        <w:rPr>
          <w:rFonts w:ascii="宋体" w:hAnsi="宋体"/>
          <w:color w:val="000000"/>
          <w:szCs w:val="21"/>
          <w:highlight w:val="none"/>
        </w:rPr>
        <w:t>10天内卖方没有答复，将按第十五条视为延误工期等同处理。</w:t>
      </w:r>
    </w:p>
    <w:p w14:paraId="6307A671">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14.13 由于卖方人员对安装、调试、试运的疏忽和错误以及卖方未按要求派人指导而造成的损失应由卖方负责。</w:t>
      </w:r>
    </w:p>
    <w:p w14:paraId="7E3B439F">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14.14 卖方应在发货之前对货物的有关质量、规格、性能、数量进行准确的全面的检验，并出具其货物符合规定的质量证明书。该证书将作为提交付款单据的一部分。但不应视为是对质量、规格、性能、数量的定论。质量证书应附有写明制造商的出厂检验结果、细节说明。</w:t>
      </w:r>
    </w:p>
    <w:p w14:paraId="15350F42">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由卖方供应的所有合同设备</w:t>
      </w:r>
      <w:r>
        <w:rPr>
          <w:rFonts w:ascii="宋体" w:hAnsi="宋体"/>
          <w:color w:val="000000"/>
          <w:szCs w:val="21"/>
          <w:highlight w:val="none"/>
        </w:rPr>
        <w:t>/部件(包括分包与外购),在生产过程中都须进行严格的检验和试验,出厂前须进行部套和/或整机总装和试验。所有检验、试验和总装(装配)必须有正式的记录文件。以上工作完成之后,合格者才能出厂发运。</w:t>
      </w:r>
    </w:p>
    <w:p w14:paraId="07F6DBD3">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所有这些正式的记录文件及合格证作为技术资料的一部分，卖方要以快递方式邮寄给买方存档。此外</w:t>
      </w:r>
      <w:r>
        <w:rPr>
          <w:rFonts w:ascii="宋体" w:hAnsi="宋体"/>
          <w:color w:val="000000"/>
          <w:szCs w:val="21"/>
          <w:highlight w:val="none"/>
        </w:rPr>
        <w:t>,卖方还应在随机文件中提供合格证和质量证明文件。</w:t>
      </w:r>
    </w:p>
    <w:p w14:paraId="4470A61A">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14.15 货物运抵现场后，卖方在接到买方通知后应及时到现场，与买方将对货物的有关质量、规格、数量</w:t>
      </w:r>
      <w:r>
        <w:rPr>
          <w:rFonts w:ascii="宋体" w:hAnsi="宋体"/>
          <w:color w:val="000000"/>
          <w:szCs w:val="21"/>
          <w:highlight w:val="none"/>
        </w:rPr>
        <w:t>/重量进行检验，并出具检验证书，该检验证书不免除或减轻卖方对货物应承担的任何质量责任。</w:t>
      </w:r>
    </w:p>
    <w:p w14:paraId="4AADEBE2">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在现场开箱检验时，如果卖方人员未按时赴现场，买方有权自行开箱检验，检验结果和记录对双方同样有效，并作为买方向卖方提出索赔的有效证据。</w:t>
      </w:r>
    </w:p>
    <w:p w14:paraId="2BBE505B">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如果经检验发现质量、规格或数量不符合技术规格书的规定时，买方有权在货物运抵现场后</w:t>
      </w:r>
      <w:r>
        <w:rPr>
          <w:rFonts w:ascii="宋体" w:hAnsi="宋体"/>
          <w:color w:val="000000"/>
          <w:szCs w:val="21"/>
          <w:highlight w:val="none"/>
        </w:rPr>
        <w:t>90日内向卖方提出索赔。</w:t>
      </w:r>
    </w:p>
    <w:p w14:paraId="0AA4DFA2">
      <w:pPr>
        <w:tabs>
          <w:tab w:val="left" w:pos="5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14.16 如果在第十三条规定的质量保证期内，发现货物的质量或规格与合同规定不符，或证明货物有缺陷（包括潜在缺陷），买方有权立即将此情况通知卖方，卖方应负责处理，并对买方因此遭受的损失承担赔偿责任。</w:t>
      </w:r>
    </w:p>
    <w:p w14:paraId="4CE0A9C7">
      <w:pPr>
        <w:spacing w:line="360" w:lineRule="auto"/>
        <w:ind w:firstLine="420" w:firstLineChars="200"/>
        <w:rPr>
          <w:rFonts w:ascii="宋体" w:hAnsi="宋体"/>
          <w:color w:val="000000"/>
          <w:szCs w:val="21"/>
          <w:highlight w:val="none"/>
        </w:rPr>
      </w:pPr>
    </w:p>
    <w:p w14:paraId="25A946AB">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第十五条 索赔</w:t>
      </w:r>
    </w:p>
    <w:p w14:paraId="36B97B37">
      <w:pPr>
        <w:tabs>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15.1 如果卖方提供的货物与合同不符，并且买方已于第十三条、第十四条规定的质量保证期内和检验、验收测试期限内提出索赔，卖方应按买方同意的下述一种或多种方法解决索赔事宜。</w:t>
      </w:r>
    </w:p>
    <w:p w14:paraId="7C8E4A3D">
      <w:pPr>
        <w:tabs>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15.1.1 卖方应向买方支付与被拒收货物价值等额的款项，并应负担由此发生的一切损失补偿和费用，包括利息、银行费用、运费和保险费、检验费、仓储费、装卸费以及为保管和保护被拒绝货物所需要的其它必要费用等。如果买方选择按本项解决索赔事宜，则在卖方支付前述款项和费用后，卖方将被免除按本合同交付该批货物的义务。</w:t>
      </w:r>
    </w:p>
    <w:p w14:paraId="70BAD7C5">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15.1.2 </w:t>
      </w:r>
      <w:r>
        <w:rPr>
          <w:rFonts w:hint="eastAsia" w:ascii="宋体" w:hAnsi="宋体"/>
          <w:color w:val="000000"/>
          <w:szCs w:val="21"/>
          <w:highlight w:val="none"/>
        </w:rPr>
        <w:t>更换不合格的货物，以达到合同规定的规格、质量和性能，卖方承担由此产生的一切费用和风险并负担买方遭受的一切直接费用和损失。同时卖方应根据第十三条规定对更换的货物相应地延长质量保证期。</w:t>
      </w:r>
    </w:p>
    <w:p w14:paraId="475AD030">
      <w:pPr>
        <w:tabs>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15.2 由于卖方原因而引起的设备或部件的更换或补齐短少的零部件的时间，以不影响设备安装、调试及运行进度为原则，但最迟不得晚于发现缺陷、损坏或短缺等之后</w:t>
      </w:r>
      <w:r>
        <w:rPr>
          <w:rFonts w:ascii="宋体" w:hAnsi="宋体"/>
          <w:color w:val="000000"/>
          <w:szCs w:val="21"/>
          <w:highlight w:val="none"/>
        </w:rPr>
        <w:t>1周或买卖双方商定的更长时间内，否则按延迟交货处理。</w:t>
      </w:r>
    </w:p>
    <w:p w14:paraId="6E9DA275">
      <w:pPr>
        <w:tabs>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 xml:space="preserve">15.3 </w:t>
      </w:r>
      <w:r>
        <w:rPr>
          <w:rFonts w:ascii="宋体" w:hAnsi="宋体"/>
          <w:color w:val="000000"/>
          <w:szCs w:val="21"/>
          <w:highlight w:val="none"/>
        </w:rPr>
        <w:t>如果买方提出索赔通知后20日内卖方未能答复，该索赔应视为已被卖方接受</w:t>
      </w:r>
      <w:r>
        <w:rPr>
          <w:rFonts w:hint="eastAsia" w:ascii="宋体" w:hAnsi="宋体"/>
          <w:color w:val="000000"/>
          <w:szCs w:val="21"/>
          <w:highlight w:val="none"/>
        </w:rPr>
        <w:t>（以买方寄出通知书的邮戳日期为起算日）</w:t>
      </w:r>
      <w:r>
        <w:rPr>
          <w:rFonts w:ascii="宋体" w:hAnsi="宋体"/>
          <w:color w:val="000000"/>
          <w:szCs w:val="21"/>
          <w:highlight w:val="none"/>
        </w:rPr>
        <w:t>。若卖方未能在买方提出索赔通知的20日内或买方同意的更长一些的时间内，按买方同意的上述任何一种方式处理索赔事宜，买方将从货款或卖方提供的履约保证金或质量保证金中扣回索赔金额，履约保证金或质量保证金金额不足时，买方有权向卖方进行进一步的索赔。</w:t>
      </w:r>
    </w:p>
    <w:p w14:paraId="34C54B71">
      <w:pPr>
        <w:spacing w:line="360" w:lineRule="auto"/>
        <w:ind w:firstLine="420" w:firstLineChars="200"/>
        <w:rPr>
          <w:rFonts w:ascii="宋体" w:hAnsi="宋体"/>
          <w:color w:val="000000"/>
          <w:szCs w:val="21"/>
          <w:highlight w:val="none"/>
        </w:rPr>
      </w:pPr>
    </w:p>
    <w:p w14:paraId="48CC8C5B">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第十六条 安装、调试、试运和验收</w:t>
      </w:r>
    </w:p>
    <w:p w14:paraId="0F7DCE80">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16.1 本合同设备由卖方根据相关设备的技术资料、检验标准、图纸及说明书进行安装、调试、运行和维修；安装调试工期：</w:t>
      </w:r>
      <w:r>
        <w:rPr>
          <w:rFonts w:hint="eastAsia" w:ascii="宋体" w:hAnsi="宋体"/>
          <w:color w:val="000000"/>
          <w:szCs w:val="21"/>
          <w:highlight w:val="none"/>
          <w:u w:val="single"/>
        </w:rPr>
        <w:t xml:space="preserve">    天</w:t>
      </w:r>
      <w:r>
        <w:rPr>
          <w:rFonts w:hint="eastAsia" w:ascii="宋体" w:hAnsi="宋体"/>
          <w:color w:val="000000"/>
          <w:szCs w:val="21"/>
          <w:highlight w:val="none"/>
        </w:rPr>
        <w:t>；具体安装日期由买方另行通知或双方另行商议。重要工序须经卖方现场技术服务人员签字确认。安装、调试过程中，若卖方未按相关设备的技术资料规定和安装规定而出现问题，由卖方负责。</w:t>
      </w:r>
    </w:p>
    <w:p w14:paraId="670A403D">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16.2 在安装之前，卖方技术人员应说明安装方法和要求。</w:t>
      </w:r>
      <w:r>
        <w:rPr>
          <w:rFonts w:ascii="宋体" w:hAnsi="宋体"/>
          <w:color w:val="000000"/>
          <w:szCs w:val="21"/>
          <w:highlight w:val="none"/>
        </w:rPr>
        <w:t>在单套合同设备安装完毕后，买卖双方代表将进一步核实、确认安装工作，并共同签署安装完毕证书一式二份，买卖双方各执一份。但此证书不能解除卖方在试运行、性能验收试验和保证期内的责任，以及技术性能和保证与合同规定不相符的责任。本合同设备安装完毕后的验收工作按照技术规格书的要求进行。</w:t>
      </w:r>
    </w:p>
    <w:p w14:paraId="5A3C8F6C">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16.3 合同设备安装完毕后，卖方应派人参加调试进行指导，并应尽快解决调试中出现的因卖方原因引起的设备问题，其所需时间一般不应超过</w:t>
      </w:r>
      <w:r>
        <w:rPr>
          <w:rFonts w:ascii="宋体" w:hAnsi="宋体"/>
          <w:color w:val="000000"/>
          <w:szCs w:val="21"/>
          <w:highlight w:val="none"/>
        </w:rPr>
        <w:t>1周，对于因卖方原因引起的较大的设备问题，卖方应在双方协商确定的合理期间内解决，否则将视为延误工期进行处理。对于非卖方原因引起的设备问题，卖方应尽快协助买方予以处理。</w:t>
      </w:r>
    </w:p>
    <w:p w14:paraId="55D7C351">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16.4 性能验收试验的目的是为验证合同设备是否能达到各项技术性能和保证指标。验收试验由买方负责，卖方参加。性能验收试验完毕</w:t>
      </w:r>
      <w:r>
        <w:rPr>
          <w:rFonts w:ascii="宋体" w:hAnsi="宋体"/>
          <w:color w:val="000000"/>
          <w:szCs w:val="21"/>
          <w:highlight w:val="none"/>
        </w:rPr>
        <w:t>,每套合同设备达到技术规格书所规定的各项性能保证值指标后，买方应在10天内签署由卖方会签的本合同设备初步性能验收合格证书一式二份，双方各执一份。除合同中另有规定外，各方人员所发生的费用均由该方自行负担。</w:t>
      </w:r>
    </w:p>
    <w:p w14:paraId="4F8C8BBC">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16.5 在不影响本合同设备安全、可靠运行的条件下，如有个别微小缺陷，且此缺陷按本合同条款被定为卖方责任</w:t>
      </w:r>
      <w:r>
        <w:rPr>
          <w:rFonts w:ascii="宋体" w:hAnsi="宋体"/>
          <w:color w:val="000000"/>
          <w:szCs w:val="21"/>
          <w:highlight w:val="none"/>
        </w:rPr>
        <w:t>,卖方在双方商定的时间内免费修理上述的缺陷，买方则可同意签署初步性能验收合格证书。</w:t>
      </w:r>
    </w:p>
    <w:p w14:paraId="42B88C62">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16.6 如果第一次性能验收试验达不到技术规格书所规定的一项或多项性能保证值，则双方应共同分析原因，澄清责任</w:t>
      </w:r>
      <w:r>
        <w:rPr>
          <w:rFonts w:ascii="宋体" w:hAnsi="宋体"/>
          <w:color w:val="000000"/>
          <w:szCs w:val="21"/>
          <w:highlight w:val="none"/>
        </w:rPr>
        <w:t>,由责任一方采取措施，并在第一次验收试验结束后1个月内进行第二次验收试验。</w:t>
      </w:r>
    </w:p>
    <w:p w14:paraId="5029F923">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16.6.1 如属卖方责任，卖方需自费采取有效措施以使第二次性能验收试验能达到技术性能和</w:t>
      </w:r>
      <w:r>
        <w:rPr>
          <w:rFonts w:ascii="宋体" w:hAnsi="宋体"/>
          <w:color w:val="000000"/>
          <w:szCs w:val="21"/>
          <w:highlight w:val="none"/>
        </w:rPr>
        <w:t>/或保证指标，卖方将负担所有直接的费用，包括但不仅限于下列费用：</w:t>
      </w:r>
    </w:p>
    <w:p w14:paraId="2BD0D812">
      <w:pPr>
        <w:numPr>
          <w:ilvl w:val="1"/>
          <w:numId w:val="10"/>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替换和</w:t>
      </w:r>
      <w:r>
        <w:rPr>
          <w:rFonts w:ascii="宋体" w:hAnsi="宋体"/>
          <w:color w:val="000000"/>
          <w:szCs w:val="21"/>
          <w:highlight w:val="none"/>
        </w:rPr>
        <w:t>/或修理的设备和材料的费用；</w:t>
      </w:r>
    </w:p>
    <w:p w14:paraId="15C0D4EE">
      <w:pPr>
        <w:numPr>
          <w:ilvl w:val="1"/>
          <w:numId w:val="10"/>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参与第二次性能验收试验的卖方技术人员的费用；</w:t>
      </w:r>
    </w:p>
    <w:p w14:paraId="7C06E43F">
      <w:pPr>
        <w:numPr>
          <w:ilvl w:val="1"/>
          <w:numId w:val="10"/>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参加修理的买方人员的费用；</w:t>
      </w:r>
    </w:p>
    <w:p w14:paraId="7F8391D0">
      <w:pPr>
        <w:numPr>
          <w:ilvl w:val="1"/>
          <w:numId w:val="10"/>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第二次性能验收试验所使用的工具和设备的费用；</w:t>
      </w:r>
    </w:p>
    <w:p w14:paraId="770239C1">
      <w:pPr>
        <w:numPr>
          <w:ilvl w:val="1"/>
          <w:numId w:val="10"/>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第二次性能验收试验所使用的材料和消耗品的费用；</w:t>
      </w:r>
    </w:p>
    <w:p w14:paraId="006A2AEF">
      <w:pPr>
        <w:numPr>
          <w:ilvl w:val="1"/>
          <w:numId w:val="10"/>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所更换和</w:t>
      </w:r>
      <w:r>
        <w:rPr>
          <w:rFonts w:ascii="宋体" w:hAnsi="宋体"/>
          <w:color w:val="000000"/>
          <w:szCs w:val="21"/>
          <w:highlight w:val="none"/>
        </w:rPr>
        <w:t>/或修理的设备和材料运离/运抵现场的所有运输和保险费用。</w:t>
      </w:r>
    </w:p>
    <w:p w14:paraId="17AB3EBE">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16.7 第二次性能验收试验后，如仍有一项或多项指标未能达到技术规格书所规定的性能保证值，双方应共同研究，分析原因，澄清责任</w:t>
      </w:r>
      <w:r>
        <w:rPr>
          <w:rFonts w:ascii="宋体" w:hAnsi="宋体"/>
          <w:color w:val="000000"/>
          <w:szCs w:val="21"/>
          <w:highlight w:val="none"/>
        </w:rPr>
        <w:t>:</w:t>
      </w:r>
    </w:p>
    <w:p w14:paraId="0CA1437D">
      <w:pPr>
        <w:numPr>
          <w:ilvl w:val="1"/>
          <w:numId w:val="11"/>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如属卖方原因，则应按本合同第十七条执行。</w:t>
      </w:r>
    </w:p>
    <w:p w14:paraId="4B09842B">
      <w:pPr>
        <w:numPr>
          <w:ilvl w:val="1"/>
          <w:numId w:val="11"/>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如属买方原因，本合同设备应被认为初步性能验收通过，此后</w:t>
      </w:r>
      <w:r>
        <w:rPr>
          <w:rFonts w:ascii="宋体" w:hAnsi="宋体"/>
          <w:color w:val="000000"/>
          <w:szCs w:val="21"/>
          <w:highlight w:val="none"/>
        </w:rPr>
        <w:t>10天内由买方代表签署由卖方代表会签的本合同设备初步性能验收合格证书一式二份，双方各执一份。此时卖方仍有义务向买方提供技术帮助,与买方一起采取各种措施，使合同设备达到本合同规定的技术性能和保证指标。</w:t>
      </w:r>
    </w:p>
    <w:p w14:paraId="0E3F1509">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16.8 初步性能验收合格证书只是证明卖方所提供的合同设备性能和参数截至出具初步性能验收证明时可以按合同要求予以接受，但不能视为卖方对合同设备中存在的可能引起合同设备损坏的潜在缺陷所应负的责任解除的证据；同样，最终性能验收合格证书也不能被视为卖方对合同设备中存在可能引起合同设备损坏的潜在缺陷应负责任的解除的证据。</w:t>
      </w:r>
    </w:p>
    <w:p w14:paraId="5FE3A045">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16.9 在合同执行过程中的任何时候，对由于卖方责任需要进行的检查、试验、再试验、修理或调换，在卖方提出请求时，买方应作好安排进行配合以便进行上述工作。卖方应负担修理或调换及其人员的费用。如果卖方委托买方施工人员进行加工和</w:t>
      </w:r>
      <w:r>
        <w:rPr>
          <w:rFonts w:ascii="宋体" w:hAnsi="宋体"/>
          <w:color w:val="000000"/>
          <w:szCs w:val="21"/>
          <w:highlight w:val="none"/>
        </w:rPr>
        <w:t>/或修理、更换设备，或由于卖方设计图纸错误或卖方技术服务人员的指导错误造成返工，卖方应按下列公式向买方支付费用：（所有费用按发生时的费率水平计费）</w:t>
      </w:r>
    </w:p>
    <w:p w14:paraId="0DF5E9C4">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Ｐ＝ ａh + M + c m</w:t>
      </w:r>
    </w:p>
    <w:p w14:paraId="05DDA919">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其中：Ｐ＿＿总费用(元)</w:t>
      </w:r>
    </w:p>
    <w:p w14:paraId="39D741C5">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a ＿＿人工费(元/小时.人)</w:t>
      </w:r>
    </w:p>
    <w:p w14:paraId="251D93FC">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h ＿＿人时(小时.人)</w:t>
      </w:r>
    </w:p>
    <w:p w14:paraId="6DBD727C">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M ＿＿材料费(元)</w:t>
      </w:r>
    </w:p>
    <w:p w14:paraId="3F7320A4">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c ＿＿台班数(台.班)</w:t>
      </w:r>
    </w:p>
    <w:p w14:paraId="26530F52">
      <w:pPr>
        <w:spacing w:line="360" w:lineRule="auto"/>
        <w:ind w:firstLine="420" w:firstLineChars="200"/>
        <w:rPr>
          <w:rFonts w:ascii="宋体" w:hAnsi="宋体"/>
          <w:color w:val="000000"/>
          <w:szCs w:val="21"/>
          <w:highlight w:val="none"/>
        </w:rPr>
      </w:pPr>
      <w:r>
        <w:rPr>
          <w:rFonts w:ascii="宋体" w:hAnsi="宋体"/>
          <w:color w:val="000000"/>
          <w:szCs w:val="21"/>
          <w:highlight w:val="none"/>
        </w:rPr>
        <w:t xml:space="preserve">              m ＿＿每台设备的台班费(元/台.班)</w:t>
      </w:r>
    </w:p>
    <w:p w14:paraId="44D132D7">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16.10 在设备寿命内</w:t>
      </w:r>
      <w:r>
        <w:rPr>
          <w:rFonts w:ascii="宋体" w:hAnsi="宋体"/>
          <w:color w:val="000000"/>
          <w:szCs w:val="21"/>
          <w:highlight w:val="none"/>
        </w:rPr>
        <w:t>,卖方欲停止或不能制造某些备品备件，卖方有义务提前通知买方，以便买方有足够时间从卖方处对所需的备品备件做最后一批订货，并且卖方有义务免费提供制造这些备品备件的图纸、样板、工具、模具及技术说明等，使买方能够为合同设备制造所需的备品备件，且买方制造这些备品备件不构成对专利及工业设计权的侵权。买方在用毕后适当的时候以合理的方式和状况归还以上各项物品。</w:t>
      </w:r>
    </w:p>
    <w:p w14:paraId="57225D4D">
      <w:pPr>
        <w:tabs>
          <w:tab w:val="left" w:pos="540"/>
          <w:tab w:val="left" w:pos="126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16.11 不论合同设备的损失或损坏的责任在买方或是在卖方，卖方应首先尽快交付更换或补充此损失或损坏的设备，然后确定上述设备的费用由哪一方承担。</w:t>
      </w:r>
    </w:p>
    <w:p w14:paraId="5516F794">
      <w:pPr>
        <w:spacing w:line="360" w:lineRule="auto"/>
        <w:ind w:firstLine="420" w:firstLineChars="200"/>
        <w:rPr>
          <w:rFonts w:ascii="宋体" w:hAnsi="宋体"/>
          <w:color w:val="000000"/>
          <w:szCs w:val="21"/>
          <w:highlight w:val="none"/>
        </w:rPr>
      </w:pPr>
    </w:p>
    <w:p w14:paraId="340608B8">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第十七条 保证与违约金</w:t>
      </w:r>
    </w:p>
    <w:p w14:paraId="33D1849D">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 质保期为联动调试合格试运行后的</w:t>
      </w:r>
      <w:r>
        <w:rPr>
          <w:rFonts w:hint="eastAsia" w:ascii="宋体" w:hAnsi="宋体"/>
          <w:color w:val="000000"/>
          <w:szCs w:val="21"/>
          <w:highlight w:val="none"/>
          <w:u w:val="single"/>
        </w:rPr>
        <w:t xml:space="preserve">     </w:t>
      </w:r>
      <w:r>
        <w:rPr>
          <w:rFonts w:hint="eastAsia" w:ascii="宋体" w:hAnsi="宋体"/>
          <w:color w:val="000000"/>
          <w:szCs w:val="21"/>
          <w:highlight w:val="none"/>
        </w:rPr>
        <w:t>个月。</w:t>
      </w:r>
    </w:p>
    <w:p w14:paraId="0669511B">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17.2 卖方保证其供应的本合同设备是全新的，技术水平是先进的、成熟的、质量是优良的，设备的选型均符合安全可靠、经济运行和易于维护的要求。</w:t>
      </w:r>
    </w:p>
    <w:p w14:paraId="602D424C">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17.3 卖方保证所提交技术资料完整统一和内容正确、准确并能满足合同设备的设计、安装、调试、运行和维修的要求。</w:t>
      </w:r>
    </w:p>
    <w:p w14:paraId="46872F4A">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17.4 本合同执行期间，如果卖方提供的设备有缺陷和技术资料有错误，或者由于卖方技术人员指导错误和疏忽，造成合同设备的返工或报废，卖方应立即以最快捷的方式无偿予以更换和修理。如需更换，卖方应负担由此产生的到安装现场更换的一切费用，更换或修理期限应不迟于证实属卖方责任之日起的1周或双方商定的更长时间内。由于买方未按卖方所提供的技术资料、图纸、说明书和卖方现场技术服务人员的指导而进行安装、调试造成的设备损坏，由买方负责修理，更换，但卖方有义务尽快提供所需更换的部件，对于买方要求的紧急部件，卖方应安排最快的方式运输，所有费用均由买方负担。</w:t>
      </w:r>
    </w:p>
    <w:p w14:paraId="08665FBE">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17.5 合同规定的质量保证期满后，由买方在14天内出具合同设备保证期满最终性能验收合格证书交给卖方。条件是：在此期间卖方应完成买方在保证期满前提出的索赔和赔偿。但卖方对非正常维修和误操作以及由于正常磨损造成的损失不负责任。</w:t>
      </w:r>
    </w:p>
    <w:p w14:paraId="5B2F7B40">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17.6 在质量保证期内，如发现设备有缺陷，不符合本合同规定时，如属卖方责任，则买方有权向卖方提出索赔。如卖方对此索赔有异议按第十五条办理。否则卖方在接到买方索赔文件后，应立即无偿修理、更换、赔款或委托买方安排大型修理，由此产生的到安装现场的更换费用、运输费及保险费也由卖方承担。</w:t>
      </w:r>
    </w:p>
    <w:p w14:paraId="37513E37">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17.7 如由于卖方责任需要更换、修理有缺陷的设备，而使合同设备停运或推迟安装时，则保证期应按实际修理或更换所延误的时间做相应的延长。</w:t>
      </w:r>
    </w:p>
    <w:p w14:paraId="117F4E80">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17.8 由于卖方责任，在第十六条规定的性能验收试验后，如经第二次验收试验(由于卖方原因)仍不能达到技术规格书所规定的一项或多项保证指标时，卖方应按下列方式承担违约责任为：卖方应在一周内予以更换设备，同时支付该设备合同价10%的违约金。</w:t>
      </w:r>
    </w:p>
    <w:p w14:paraId="295F275E">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17.9 如合同设备在质量保证期内发现属卖方责任的十分严重的缺陷（如设备性能达不到要求等）则其质量保证期将自该缺陷修正后开始重新计算。</w:t>
      </w:r>
    </w:p>
    <w:p w14:paraId="1278D2AB">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17.10 如果不是由于买方原因或买方没有要求推迟交货而卖方未能按本合同规定的交货期交货时（不可抗力除外），买方有权按下列比例向卖方收取违约金(不满一周按比例计算)：</w:t>
      </w:r>
    </w:p>
    <w:p w14:paraId="1645BAC5">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17.10.1 迟交1－4周，每周违约金金额为迟交货物金额的0.5％；</w:t>
      </w:r>
    </w:p>
    <w:p w14:paraId="2EF8D124">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17.10.2 迟交5－8周，每周违约金金额为迟交货物金额的1％；</w:t>
      </w:r>
    </w:p>
    <w:p w14:paraId="4BC6D1D7">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17.10.3 迟交9周以上，每周违约金金额为迟交货物金额的1.5％；</w:t>
      </w:r>
    </w:p>
    <w:p w14:paraId="46CC8749">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17.11 每套合同设备迟交货物的违约金总金额不超过每套合同设备价格的10％。卖方支付迟交违约金，并不解除卖方按照合同继续交货的义务。</w:t>
      </w:r>
    </w:p>
    <w:p w14:paraId="74517247">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17.12 对安装、运行有重大影响的设备迟延交付达90日时，卖方除应向买方支付合同价款10%的迟延交付违约金外，还应向买方赔偿因此而遭受的损失, 此损失在履约保证金中扣除，履约保证金金额不足时，买方有权向卖方进行进一步的索赔。</w:t>
      </w:r>
    </w:p>
    <w:p w14:paraId="3088A01E">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17.13 如由于确属卖方责任未能按本合同规定按时交付经双方确认属严重影响关键技术资料时，买方有权按下列比例向卖方收取违约金(不满一周按比例计算)：</w:t>
      </w:r>
    </w:p>
    <w:p w14:paraId="0763A993">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17.13.1迟交１周内，违约金金额为人民币2000元/周；</w:t>
      </w:r>
    </w:p>
    <w:p w14:paraId="036381EF">
      <w:pPr>
        <w:tabs>
          <w:tab w:val="left" w:pos="540"/>
          <w:tab w:val="left" w:pos="1260"/>
          <w:tab w:val="left" w:pos="1440"/>
        </w:tabs>
        <w:spacing w:line="360" w:lineRule="auto"/>
        <w:ind w:left="420" w:leftChars="200"/>
        <w:rPr>
          <w:rFonts w:ascii="宋体" w:hAnsi="宋体"/>
          <w:color w:val="000000"/>
          <w:szCs w:val="21"/>
          <w:highlight w:val="none"/>
        </w:rPr>
      </w:pPr>
      <w:r>
        <w:rPr>
          <w:rFonts w:hint="eastAsia" w:ascii="宋体" w:hAnsi="宋体"/>
          <w:color w:val="000000"/>
          <w:szCs w:val="21"/>
          <w:highlight w:val="none"/>
        </w:rPr>
        <w:t>17.13.2 迟交2－4周，违约金金额为人民币5000元/周；</w:t>
      </w:r>
    </w:p>
    <w:p w14:paraId="286E21D5">
      <w:pPr>
        <w:tabs>
          <w:tab w:val="left" w:pos="540"/>
          <w:tab w:val="left" w:pos="1260"/>
          <w:tab w:val="left" w:pos="1440"/>
        </w:tabs>
        <w:spacing w:line="360" w:lineRule="auto"/>
        <w:ind w:left="420" w:leftChars="200"/>
        <w:rPr>
          <w:rFonts w:ascii="宋体" w:hAnsi="宋体"/>
          <w:color w:val="000000"/>
          <w:szCs w:val="21"/>
          <w:highlight w:val="none"/>
        </w:rPr>
      </w:pPr>
      <w:r>
        <w:rPr>
          <w:rFonts w:hint="eastAsia" w:ascii="宋体" w:hAnsi="宋体"/>
          <w:color w:val="000000"/>
          <w:szCs w:val="21"/>
          <w:highlight w:val="none"/>
        </w:rPr>
        <w:t>17.13.3 迟交4周以上，违约金金额为人民币10000元/周；</w:t>
      </w:r>
    </w:p>
    <w:p w14:paraId="215003EA">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17.14 如果由于卖方技术服务的延误、疏忽和/或错误，交付合同设备安装调试成果造成延误，每延误工期一周卖方将向买方支付合同价款的0.5％违约金。且卖方需支付由于卖方技术服务错误或违约造成买方的直接损失。如果由于卖方运抵现场的设备包装不符合买、卖双方达成的包装与保管技术标准与规范的要求，则买方有权要求卖方支付合同价款1%的违约金。</w:t>
      </w:r>
    </w:p>
    <w:p w14:paraId="0908F517">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17.15 卖方按本合同规定所承担的违约金总额不论单项或多项累计将不超过合同价款的30％。</w:t>
      </w:r>
    </w:p>
    <w:p w14:paraId="0648E0D3">
      <w:pPr>
        <w:tabs>
          <w:tab w:val="left" w:pos="540"/>
          <w:tab w:val="left" w:pos="1260"/>
          <w:tab w:val="left" w:pos="1440"/>
        </w:tabs>
        <w:spacing w:line="360" w:lineRule="auto"/>
        <w:ind w:left="420" w:leftChars="200"/>
        <w:rPr>
          <w:rFonts w:ascii="宋体" w:hAnsi="宋体"/>
          <w:color w:val="000000"/>
          <w:szCs w:val="21"/>
          <w:highlight w:val="none"/>
        </w:rPr>
      </w:pPr>
      <w:r>
        <w:rPr>
          <w:rFonts w:hint="eastAsia" w:ascii="宋体" w:hAnsi="宋体"/>
          <w:color w:val="000000"/>
          <w:szCs w:val="21"/>
          <w:highlight w:val="none"/>
        </w:rPr>
        <w:t>17.16 卖方支付迟交违约金并不解除按合同所规定的相应义务。</w:t>
      </w:r>
    </w:p>
    <w:p w14:paraId="2E4D61D9">
      <w:pPr>
        <w:spacing w:line="360" w:lineRule="auto"/>
        <w:ind w:firstLine="420" w:firstLineChars="200"/>
        <w:rPr>
          <w:rFonts w:ascii="宋体" w:hAnsi="宋体"/>
          <w:color w:val="000000"/>
          <w:szCs w:val="21"/>
          <w:highlight w:val="none"/>
        </w:rPr>
      </w:pPr>
    </w:p>
    <w:p w14:paraId="08ABE8DD">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第十八条 不可抗力</w:t>
      </w:r>
    </w:p>
    <w:p w14:paraId="7BD99B50">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18.1 任何一方由于不可抗力事件而影响其履行合同义务时，可以延迟履行合同义务，但延迟履行合同义务的期限和范围应仅限于受不可抗力事件影响的时间和范围，无论本合同其他条款如何规定，任何一方均不得因不可抗力事件而要求调整合同价款。</w:t>
      </w:r>
    </w:p>
    <w:p w14:paraId="0B722F3B">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18.2 受不可抗力影响的一方应在不可抗力事故发生后，尽快将所发生的不可抗力事件的情况以传真或电报等方式通知另一方，受影响的一方同时应尽量设法缩小这种影响和由此而引起的延误，一旦不可抗力的影响消除后，应将此情况立即通知对方，并立即恢复履行受不可抗力事件影响的合同义务。</w:t>
      </w:r>
    </w:p>
    <w:p w14:paraId="31790265">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18.3 如果双方对不可抗力事件的影响估计将延续到一百天以上时，双方应通过友好协商解决本合同的执行问题。</w:t>
      </w:r>
    </w:p>
    <w:p w14:paraId="7FE89617">
      <w:pPr>
        <w:spacing w:line="360" w:lineRule="auto"/>
        <w:ind w:firstLine="420" w:firstLineChars="200"/>
        <w:rPr>
          <w:rFonts w:ascii="宋体" w:hAnsi="宋体"/>
          <w:color w:val="000000"/>
          <w:szCs w:val="21"/>
          <w:highlight w:val="none"/>
        </w:rPr>
      </w:pPr>
    </w:p>
    <w:p w14:paraId="1CA8C767">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第十九条 违约终止合同</w:t>
      </w:r>
    </w:p>
    <w:p w14:paraId="47BC2423">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19.1 因卖方违约，买方有权采取任何必要的措施予以补救，在下列卖方违约情况下，买方在向卖方发出书面违约通知后，可立即解除全部或部分合同：</w:t>
      </w:r>
    </w:p>
    <w:p w14:paraId="13C296A2">
      <w:pPr>
        <w:numPr>
          <w:ilvl w:val="1"/>
          <w:numId w:val="12"/>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卖方原因导致的迟延交付超过</w:t>
      </w:r>
      <w:r>
        <w:rPr>
          <w:rFonts w:ascii="宋体" w:hAnsi="宋体"/>
          <w:color w:val="000000"/>
          <w:szCs w:val="21"/>
          <w:highlight w:val="none"/>
        </w:rPr>
        <w:t>90天时；</w:t>
      </w:r>
    </w:p>
    <w:p w14:paraId="6B47D300">
      <w:pPr>
        <w:numPr>
          <w:ilvl w:val="1"/>
          <w:numId w:val="12"/>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卖方未能履行合同项下的任何其它义务，导致买方利益遭受严重损害的；</w:t>
      </w:r>
    </w:p>
    <w:p w14:paraId="7FB2B84A">
      <w:pPr>
        <w:numPr>
          <w:ilvl w:val="1"/>
          <w:numId w:val="12"/>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卖方破产或无清偿能力。</w:t>
      </w:r>
    </w:p>
    <w:p w14:paraId="3CEBA7D2">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19.2 一旦买方根据第19</w:t>
      </w:r>
      <w:r>
        <w:rPr>
          <w:rFonts w:ascii="宋体" w:hAnsi="宋体"/>
          <w:color w:val="000000"/>
          <w:szCs w:val="21"/>
          <w:highlight w:val="none"/>
        </w:rPr>
        <w:t>.1款</w:t>
      </w:r>
      <w:r>
        <w:rPr>
          <w:rFonts w:hint="eastAsia" w:ascii="宋体" w:hAnsi="宋体"/>
          <w:color w:val="000000"/>
          <w:szCs w:val="21"/>
          <w:highlight w:val="none"/>
        </w:rPr>
        <w:t>解除</w:t>
      </w:r>
      <w:r>
        <w:rPr>
          <w:rFonts w:ascii="宋体" w:hAnsi="宋体"/>
          <w:color w:val="000000"/>
          <w:szCs w:val="21"/>
          <w:highlight w:val="none"/>
        </w:rPr>
        <w:t>部分或全部合同，买方有权按其认为适当的条件和方式采购类似未交付部分货物。卖方应承担买方购买类似货物的额外费用，以及因此而造成的一切损失。</w:t>
      </w:r>
      <w:r>
        <w:rPr>
          <w:rFonts w:hint="eastAsia" w:ascii="宋体" w:hAnsi="宋体"/>
          <w:color w:val="000000"/>
          <w:szCs w:val="21"/>
          <w:highlight w:val="none"/>
        </w:rPr>
        <w:t>合同中未解除的部分，</w:t>
      </w:r>
      <w:r>
        <w:rPr>
          <w:rFonts w:ascii="宋体" w:hAnsi="宋体"/>
          <w:color w:val="000000"/>
          <w:szCs w:val="21"/>
          <w:highlight w:val="none"/>
        </w:rPr>
        <w:t>卖方应继续履行。</w:t>
      </w:r>
    </w:p>
    <w:p w14:paraId="119B5536">
      <w:pPr>
        <w:spacing w:line="360" w:lineRule="auto"/>
        <w:ind w:firstLine="420" w:firstLineChars="200"/>
        <w:rPr>
          <w:rFonts w:ascii="宋体" w:hAnsi="宋体"/>
          <w:color w:val="000000"/>
          <w:szCs w:val="21"/>
          <w:highlight w:val="none"/>
        </w:rPr>
      </w:pPr>
    </w:p>
    <w:p w14:paraId="38CB5B16">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第二十条 变更指示</w:t>
      </w:r>
    </w:p>
    <w:p w14:paraId="2DE138A6">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20.1买方在任何时候可以按第二十三条规定向卖方发出书面指示，对合同的下列内容及相应条款作出变更或修改：</w:t>
      </w:r>
    </w:p>
    <w:p w14:paraId="77FF13B0">
      <w:pPr>
        <w:numPr>
          <w:ilvl w:val="1"/>
          <w:numId w:val="13"/>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装运方式和包装方式；</w:t>
      </w:r>
    </w:p>
    <w:p w14:paraId="74D7C0DD">
      <w:pPr>
        <w:numPr>
          <w:ilvl w:val="1"/>
          <w:numId w:val="13"/>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交货地点；</w:t>
      </w:r>
    </w:p>
    <w:p w14:paraId="7AB254E3">
      <w:pPr>
        <w:numPr>
          <w:ilvl w:val="1"/>
          <w:numId w:val="13"/>
        </w:numPr>
        <w:tabs>
          <w:tab w:val="left" w:pos="1060"/>
          <w:tab w:val="clear" w:pos="1320"/>
        </w:tabs>
        <w:spacing w:line="360" w:lineRule="auto"/>
        <w:ind w:left="0" w:firstLine="420" w:firstLineChars="200"/>
        <w:rPr>
          <w:rFonts w:ascii="宋体" w:hAnsi="宋体"/>
          <w:color w:val="000000"/>
          <w:szCs w:val="21"/>
          <w:highlight w:val="none"/>
        </w:rPr>
      </w:pPr>
      <w:r>
        <w:rPr>
          <w:rFonts w:hint="eastAsia" w:ascii="宋体" w:hAnsi="宋体"/>
          <w:color w:val="000000"/>
          <w:szCs w:val="21"/>
          <w:highlight w:val="none"/>
        </w:rPr>
        <w:t>卖方须提供的服务。</w:t>
      </w:r>
    </w:p>
    <w:p w14:paraId="3CFDA479">
      <w:pPr>
        <w:spacing w:line="360" w:lineRule="auto"/>
        <w:ind w:firstLine="420" w:firstLineChars="200"/>
        <w:rPr>
          <w:rFonts w:ascii="宋体" w:hAnsi="宋体"/>
          <w:color w:val="000000"/>
          <w:szCs w:val="21"/>
          <w:highlight w:val="none"/>
        </w:rPr>
      </w:pPr>
    </w:p>
    <w:p w14:paraId="4E8EFA66">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第二十一条 合同修改</w:t>
      </w:r>
    </w:p>
    <w:p w14:paraId="71CD0427">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根据第二十条，欲对合同条款作出任何改动或偏离，买卖双方均须签署书面的合同修改书。</w:t>
      </w:r>
    </w:p>
    <w:p w14:paraId="0940A490">
      <w:pPr>
        <w:spacing w:line="360" w:lineRule="auto"/>
        <w:ind w:firstLine="420" w:firstLineChars="200"/>
        <w:rPr>
          <w:rFonts w:ascii="宋体" w:hAnsi="宋体"/>
          <w:color w:val="000000"/>
          <w:szCs w:val="21"/>
          <w:highlight w:val="none"/>
        </w:rPr>
      </w:pPr>
    </w:p>
    <w:p w14:paraId="72E1D2EE">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第二十二条 转包与分包</w:t>
      </w:r>
    </w:p>
    <w:p w14:paraId="5D686E08">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卖方不得将其在本合同项下的义务全部转让或分包给任何第三方。</w:t>
      </w:r>
    </w:p>
    <w:p w14:paraId="5EC03141">
      <w:pPr>
        <w:spacing w:line="360" w:lineRule="auto"/>
        <w:ind w:firstLine="420" w:firstLineChars="200"/>
        <w:rPr>
          <w:rFonts w:ascii="宋体" w:hAnsi="宋体"/>
          <w:color w:val="000000"/>
          <w:szCs w:val="21"/>
          <w:highlight w:val="none"/>
        </w:rPr>
      </w:pPr>
    </w:p>
    <w:p w14:paraId="60ED7581">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第二十三条 通知</w:t>
      </w:r>
    </w:p>
    <w:p w14:paraId="62CB8BEE">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本合同任何一方给另一方的通知都应以信函或电报、传真等书面形式发送，而另一方应以书面形式确认并发送到对方明确的地址。</w:t>
      </w:r>
    </w:p>
    <w:p w14:paraId="30DA0CFA">
      <w:pPr>
        <w:spacing w:line="360" w:lineRule="auto"/>
        <w:ind w:firstLine="420" w:firstLineChars="200"/>
        <w:rPr>
          <w:rFonts w:ascii="宋体" w:hAnsi="宋体"/>
          <w:color w:val="000000"/>
          <w:szCs w:val="21"/>
          <w:highlight w:val="none"/>
        </w:rPr>
      </w:pPr>
    </w:p>
    <w:p w14:paraId="46C46643">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第二十四条 合同文件资料的使用</w:t>
      </w:r>
    </w:p>
    <w:p w14:paraId="56A9C234">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24.1 除了卖方为执行合同所雇人员外，在未经买方同意的情况下，卖方不得将合同、或其中任何规定、或任何有关规格、计划或买方为上述内容向卖方提供的资料透露给任何人。卖方须在对外保密的前提下，对其雇用人员提供有关情况，所提供的情况仅限于执行合同必不可少的范围内。</w:t>
      </w:r>
    </w:p>
    <w:p w14:paraId="44194415">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24.2 除非执行合同需要，在事先未得到买方同意的情况下，卖方不得使用第</w:t>
      </w:r>
      <w:r>
        <w:rPr>
          <w:rFonts w:ascii="宋体" w:hAnsi="宋体"/>
          <w:color w:val="000000"/>
          <w:szCs w:val="21"/>
          <w:highlight w:val="none"/>
        </w:rPr>
        <w:t>2</w:t>
      </w:r>
      <w:r>
        <w:rPr>
          <w:rFonts w:hint="eastAsia" w:ascii="宋体" w:hAnsi="宋体"/>
          <w:color w:val="000000"/>
          <w:szCs w:val="21"/>
          <w:highlight w:val="none"/>
        </w:rPr>
        <w:t>4.1</w:t>
      </w:r>
      <w:r>
        <w:rPr>
          <w:rFonts w:ascii="宋体" w:hAnsi="宋体"/>
          <w:color w:val="000000"/>
          <w:szCs w:val="21"/>
          <w:highlight w:val="none"/>
        </w:rPr>
        <w:t>款中所列的任何文件和资料。</w:t>
      </w:r>
    </w:p>
    <w:p w14:paraId="3C4C9CD9">
      <w:pPr>
        <w:spacing w:line="360" w:lineRule="auto"/>
        <w:ind w:firstLine="420" w:firstLineChars="200"/>
        <w:rPr>
          <w:rFonts w:ascii="宋体" w:hAnsi="宋体"/>
          <w:color w:val="000000"/>
          <w:szCs w:val="21"/>
          <w:highlight w:val="none"/>
        </w:rPr>
      </w:pPr>
    </w:p>
    <w:p w14:paraId="12B00BD3">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第二十五条 合同生效及期限</w:t>
      </w:r>
    </w:p>
    <w:p w14:paraId="07E5124D">
      <w:pPr>
        <w:tabs>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25.1本合同经双方法定代表人或其授权代表签字盖章后生效。</w:t>
      </w:r>
    </w:p>
    <w:p w14:paraId="53F7EDF0">
      <w:pPr>
        <w:tabs>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25.2本合同有效期自合同生效日起到双方之间已完全解决了所有索赔事项并货款两清之日止。</w:t>
      </w:r>
    </w:p>
    <w:p w14:paraId="2A1073C2">
      <w:pPr>
        <w:spacing w:line="360" w:lineRule="auto"/>
        <w:ind w:firstLine="420" w:firstLineChars="200"/>
        <w:rPr>
          <w:rFonts w:ascii="宋体" w:hAnsi="宋体"/>
          <w:color w:val="000000"/>
          <w:szCs w:val="21"/>
          <w:highlight w:val="none"/>
        </w:rPr>
      </w:pPr>
    </w:p>
    <w:p w14:paraId="7CF43BAE">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第二十六条争议解决</w:t>
      </w:r>
    </w:p>
    <w:p w14:paraId="57131B93">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26.1 因货物的质量问题发生争议的，可在国家认可的质量检测机构对货物质量进行鉴定。货物符合标准的，鉴定费由买方承担；货物不符合质量标准的，鉴定费由卖方承担。</w:t>
      </w:r>
    </w:p>
    <w:p w14:paraId="24107A2F">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26.2因履行本合同引起的或与本合同有关的争议，甲、乙双方应首先通过友好协商解决；如果协商不能解决争议，买卖双方同意采取下列两种方式的第（ 1 ）种方式解决争议：</w:t>
      </w:r>
    </w:p>
    <w:p w14:paraId="13F6B0C2">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（1）向买方住所地的基层人民法院提起诉讼，适用中华人民共和国法律；</w:t>
      </w:r>
    </w:p>
    <w:p w14:paraId="692C08DD">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（2）向扬州仲裁委员会按其仲裁规则申请仲裁。</w:t>
      </w:r>
    </w:p>
    <w:p w14:paraId="2B0E4A83">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26.3 若买卖双方任何一方都没有选择解除合同的，为避免扩大损失，在诉讼或仲裁期间，双方应继续履行。</w:t>
      </w:r>
    </w:p>
    <w:p w14:paraId="6A48AE67">
      <w:pPr>
        <w:pStyle w:val="19"/>
        <w:spacing w:line="360" w:lineRule="auto"/>
        <w:ind w:firstLine="420" w:firstLineChars="200"/>
        <w:rPr>
          <w:color w:val="000000"/>
          <w:szCs w:val="21"/>
          <w:highlight w:val="none"/>
        </w:rPr>
      </w:pPr>
    </w:p>
    <w:p w14:paraId="7490822D">
      <w:pPr>
        <w:tabs>
          <w:tab w:val="left" w:pos="1260"/>
          <w:tab w:val="left" w:pos="1440"/>
        </w:tabs>
        <w:spacing w:line="360" w:lineRule="auto"/>
        <w:ind w:firstLine="420" w:firstLineChars="200"/>
        <w:rPr>
          <w:rFonts w:ascii="宋体" w:hAnsi="宋体"/>
          <w:color w:val="000000"/>
          <w:szCs w:val="21"/>
          <w:highlight w:val="none"/>
        </w:rPr>
      </w:pPr>
    </w:p>
    <w:p w14:paraId="2B903F47">
      <w:pPr>
        <w:spacing w:line="360" w:lineRule="auto"/>
        <w:ind w:firstLine="422" w:firstLineChars="200"/>
        <w:rPr>
          <w:rFonts w:ascii="宋体" w:hAnsi="宋体"/>
          <w:b/>
          <w:color w:val="000000"/>
          <w:szCs w:val="21"/>
          <w:highlight w:val="none"/>
        </w:rPr>
      </w:pPr>
      <w:r>
        <w:rPr>
          <w:rFonts w:hint="eastAsia" w:ascii="宋体" w:hAnsi="宋体"/>
          <w:b/>
          <w:color w:val="000000"/>
          <w:szCs w:val="21"/>
          <w:highlight w:val="none"/>
        </w:rPr>
        <w:t>第二十七条 其他</w:t>
      </w:r>
    </w:p>
    <w:p w14:paraId="61C63B70">
      <w:pPr>
        <w:tabs>
          <w:tab w:val="left" w:pos="540"/>
          <w:tab w:val="left" w:pos="1260"/>
          <w:tab w:val="left" w:pos="1440"/>
        </w:tabs>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27.1本合同正本贰份，买方、卖方双方各执壹份，副本伍份，买方执肆份、卖方执壹份。</w:t>
      </w:r>
    </w:p>
    <w:p w14:paraId="4CACC82E">
      <w:pPr>
        <w:tabs>
          <w:tab w:val="left" w:pos="1260"/>
          <w:tab w:val="left" w:pos="1440"/>
        </w:tabs>
        <w:spacing w:line="360" w:lineRule="auto"/>
        <w:ind w:firstLine="420" w:firstLineChars="200"/>
        <w:rPr>
          <w:rFonts w:ascii="宋体" w:hAnsi="宋体"/>
          <w:b/>
          <w:color w:val="000000"/>
          <w:szCs w:val="21"/>
          <w:highlight w:val="none"/>
        </w:rPr>
      </w:pPr>
      <w:r>
        <w:rPr>
          <w:rFonts w:hint="eastAsia" w:ascii="宋体" w:hAnsi="宋体"/>
          <w:color w:val="000000"/>
          <w:szCs w:val="21"/>
          <w:highlight w:val="none"/>
        </w:rPr>
        <w:t>27.2本合同若有未尽事宜，以招标文件为准，或经双方协商一致后签订补充合同。</w:t>
      </w:r>
    </w:p>
    <w:p w14:paraId="7095797C">
      <w:pPr>
        <w:spacing w:line="360" w:lineRule="auto"/>
        <w:ind w:firstLine="420" w:firstLineChars="200"/>
        <w:rPr>
          <w:color w:val="000000"/>
          <w:szCs w:val="21"/>
          <w:highlight w:val="none"/>
        </w:rPr>
      </w:pPr>
    </w:p>
    <w:p w14:paraId="657AE436">
      <w:pPr>
        <w:spacing w:line="360" w:lineRule="auto"/>
        <w:ind w:firstLine="420" w:firstLineChars="200"/>
        <w:rPr>
          <w:rFonts w:ascii="宋体" w:hAnsi="宋体"/>
          <w:color w:val="000000"/>
          <w:szCs w:val="21"/>
          <w:highlight w:val="none"/>
        </w:rPr>
      </w:pPr>
    </w:p>
    <w:p w14:paraId="163A1422">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买方：</w:t>
      </w:r>
      <w:r>
        <w:rPr>
          <w:rStyle w:val="20"/>
          <w:rFonts w:hint="eastAsia" w:ascii="宋体" w:hAnsi="宋体"/>
          <w:sz w:val="24"/>
          <w:u w:val="single" w:color="000000"/>
        </w:rPr>
        <w:t>扬州水质检测有限公司</w:t>
      </w:r>
      <w:r>
        <w:rPr>
          <w:rFonts w:hint="eastAsia" w:ascii="宋体" w:hAnsi="宋体"/>
          <w:color w:val="000000"/>
          <w:szCs w:val="21"/>
          <w:highlight w:val="none"/>
        </w:rPr>
        <w:t xml:space="preserve">    </w:t>
      </w:r>
      <w:r>
        <w:rPr>
          <w:rFonts w:hint="eastAsia" w:ascii="宋体" w:hAnsi="宋体"/>
          <w:color w:val="000000"/>
          <w:szCs w:val="21"/>
          <w:highlight w:val="none"/>
          <w:lang w:val="en-US" w:eastAsia="zh-CN"/>
        </w:rPr>
        <w:t xml:space="preserve"> </w:t>
      </w:r>
      <w:r>
        <w:rPr>
          <w:rFonts w:hint="eastAsia" w:ascii="宋体" w:hAnsi="宋体"/>
          <w:color w:val="000000"/>
          <w:szCs w:val="21"/>
          <w:highlight w:val="none"/>
        </w:rPr>
        <w:t>卖方：</w:t>
      </w:r>
    </w:p>
    <w:p w14:paraId="06601AD4">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授权代表人：　　　　            　授权代表人：</w:t>
      </w:r>
    </w:p>
    <w:p w14:paraId="6EA9A6A2">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开户银行：　　　　                开户银行：</w:t>
      </w:r>
    </w:p>
    <w:p w14:paraId="6755561B">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账　号：　                        账　号：</w:t>
      </w:r>
    </w:p>
    <w:p w14:paraId="0F406C62">
      <w:pPr>
        <w:spacing w:line="360" w:lineRule="auto"/>
        <w:ind w:firstLine="420" w:firstLineChars="200"/>
        <w:jc w:val="left"/>
        <w:rPr>
          <w:rFonts w:ascii="宋体" w:hAnsi="宋体"/>
          <w:color w:val="000000"/>
          <w:szCs w:val="21"/>
          <w:highlight w:val="none"/>
        </w:rPr>
      </w:pPr>
      <w:r>
        <w:rPr>
          <w:rFonts w:hint="eastAsia" w:ascii="宋体" w:hAnsi="宋体"/>
          <w:color w:val="000000"/>
          <w:szCs w:val="21"/>
          <w:highlight w:val="none"/>
        </w:rPr>
        <w:t>地址：                            地址：</w:t>
      </w:r>
    </w:p>
    <w:p w14:paraId="22F1ED4B">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邮　编：　　　　　　　          　邮　编：</w:t>
      </w:r>
    </w:p>
    <w:p w14:paraId="4966EFAB">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电　话：　　                      电　话：</w:t>
      </w:r>
    </w:p>
    <w:p w14:paraId="11D2BC89">
      <w:pPr>
        <w:spacing w:line="360" w:lineRule="auto"/>
        <w:ind w:firstLine="420" w:firstLineChars="200"/>
        <w:rPr>
          <w:rFonts w:hint="eastAsia" w:ascii="宋体" w:hAnsi="宋体"/>
          <w:color w:val="000000"/>
          <w:szCs w:val="21"/>
          <w:highlight w:val="none"/>
        </w:rPr>
      </w:pPr>
      <w:r>
        <w:rPr>
          <w:rFonts w:hint="eastAsia" w:ascii="宋体" w:hAnsi="宋体"/>
          <w:color w:val="000000"/>
          <w:szCs w:val="21"/>
          <w:highlight w:val="none"/>
        </w:rPr>
        <w:t>日期：                            日期：</w:t>
      </w:r>
    </w:p>
    <w:p w14:paraId="0914FD86">
      <w:pPr>
        <w:spacing w:line="360" w:lineRule="auto"/>
        <w:ind w:firstLine="420" w:firstLineChars="200"/>
        <w:jc w:val="center"/>
        <w:rPr>
          <w:b/>
          <w:bCs/>
          <w:color w:val="auto"/>
          <w:sz w:val="28"/>
          <w:szCs w:val="28"/>
          <w:highlight w:val="none"/>
        </w:rPr>
      </w:pPr>
      <w:r>
        <w:rPr>
          <w:rFonts w:hint="eastAsia" w:ascii="宋体" w:hAnsi="宋体"/>
          <w:color w:val="000000"/>
          <w:szCs w:val="21"/>
          <w:highlight w:val="none"/>
        </w:rPr>
        <w:br w:type="page"/>
      </w:r>
      <w:r>
        <w:rPr>
          <w:rFonts w:hint="eastAsia"/>
          <w:b/>
          <w:bCs/>
          <w:color w:val="auto"/>
          <w:sz w:val="28"/>
          <w:szCs w:val="28"/>
          <w:highlight w:val="none"/>
        </w:rPr>
        <w:t>廉洁协议书</w:t>
      </w:r>
    </w:p>
    <w:p w14:paraId="1A1EFF0B">
      <w:pPr>
        <w:spacing w:line="500" w:lineRule="exact"/>
        <w:ind w:firstLine="422" w:firstLineChars="200"/>
        <w:rPr>
          <w:b/>
          <w:bCs/>
          <w:color w:val="auto"/>
          <w:szCs w:val="21"/>
          <w:highlight w:val="none"/>
        </w:rPr>
      </w:pPr>
      <w:r>
        <w:rPr>
          <w:rFonts w:hint="eastAsia"/>
          <w:b/>
          <w:bCs/>
          <w:color w:val="auto"/>
          <w:szCs w:val="21"/>
          <w:highlight w:val="none"/>
        </w:rPr>
        <w:t>甲  方：</w:t>
      </w:r>
      <w:r>
        <w:rPr>
          <w:rStyle w:val="20"/>
          <w:rFonts w:hint="eastAsia" w:ascii="宋体" w:hAnsi="宋体"/>
          <w:sz w:val="24"/>
          <w:u w:val="single" w:color="000000"/>
        </w:rPr>
        <w:t>扬州水质检测有限公司</w:t>
      </w:r>
    </w:p>
    <w:p w14:paraId="3AAF8583">
      <w:pPr>
        <w:spacing w:line="500" w:lineRule="exact"/>
        <w:ind w:firstLine="422" w:firstLineChars="200"/>
        <w:rPr>
          <w:rFonts w:ascii="宋体" w:hAnsi="宋体"/>
          <w:color w:val="auto"/>
          <w:szCs w:val="21"/>
          <w:highlight w:val="none"/>
        </w:rPr>
      </w:pPr>
      <w:r>
        <w:rPr>
          <w:rFonts w:hint="eastAsia"/>
          <w:b/>
          <w:bCs/>
          <w:color w:val="auto"/>
          <w:szCs w:val="21"/>
          <w:highlight w:val="none"/>
        </w:rPr>
        <w:t>乙  方：</w:t>
      </w:r>
    </w:p>
    <w:p w14:paraId="686A48CB">
      <w:pPr>
        <w:spacing w:line="500" w:lineRule="exact"/>
        <w:ind w:firstLine="422" w:firstLineChars="200"/>
        <w:rPr>
          <w:b/>
          <w:bCs/>
          <w:color w:val="auto"/>
          <w:szCs w:val="21"/>
          <w:highlight w:val="none"/>
        </w:rPr>
      </w:pPr>
      <w:r>
        <w:rPr>
          <w:rFonts w:hint="eastAsia"/>
          <w:b/>
          <w:bCs/>
          <w:color w:val="auto"/>
          <w:szCs w:val="21"/>
          <w:highlight w:val="none"/>
        </w:rPr>
        <w:t>项目名称：</w:t>
      </w:r>
    </w:p>
    <w:p w14:paraId="3D273235">
      <w:pPr>
        <w:spacing w:line="500" w:lineRule="exact"/>
        <w:ind w:firstLine="420" w:firstLineChars="200"/>
        <w:rPr>
          <w:color w:val="auto"/>
          <w:szCs w:val="21"/>
          <w:highlight w:val="none"/>
        </w:rPr>
      </w:pPr>
      <w:r>
        <w:rPr>
          <w:rFonts w:hint="eastAsia"/>
          <w:color w:val="auto"/>
          <w:szCs w:val="21"/>
          <w:highlight w:val="none"/>
        </w:rPr>
        <w:t>甲乙双方在订立合同、履行过程中，为保持廉洁自律的工作作风，营造守法诚信、廉洁高效的工作环境，防止各种违规违纪违法行为的发生，保护国家、集体和双方当事人的合法权益，根据国家有关法律法规，经甲方双方同意，订立本廉洁协议：</w:t>
      </w:r>
    </w:p>
    <w:p w14:paraId="37EE0AAB">
      <w:pPr>
        <w:spacing w:line="500" w:lineRule="exact"/>
        <w:ind w:firstLine="422" w:firstLineChars="200"/>
        <w:rPr>
          <w:color w:val="auto"/>
          <w:szCs w:val="21"/>
          <w:highlight w:val="none"/>
        </w:rPr>
      </w:pPr>
      <w:r>
        <w:rPr>
          <w:rFonts w:hint="eastAsia"/>
          <w:b/>
          <w:bCs/>
          <w:color w:val="auto"/>
          <w:szCs w:val="21"/>
          <w:highlight w:val="none"/>
        </w:rPr>
        <w:t>第一条 甲、乙双方的共同责任</w:t>
      </w:r>
    </w:p>
    <w:p w14:paraId="0B579BAD">
      <w:pPr>
        <w:spacing w:line="500" w:lineRule="exact"/>
        <w:ind w:firstLine="420" w:firstLineChars="200"/>
        <w:rPr>
          <w:color w:val="auto"/>
          <w:szCs w:val="21"/>
          <w:highlight w:val="none"/>
        </w:rPr>
      </w:pPr>
      <w:r>
        <w:rPr>
          <w:rFonts w:hint="eastAsia"/>
          <w:color w:val="auto"/>
          <w:szCs w:val="21"/>
          <w:highlight w:val="none"/>
        </w:rPr>
        <w:t>1、应自觉遵守国家、地方及建设单位有关廉政建设的各项制度和规定。</w:t>
      </w:r>
    </w:p>
    <w:p w14:paraId="7CD607DB">
      <w:pPr>
        <w:spacing w:line="500" w:lineRule="exact"/>
        <w:ind w:firstLine="420" w:firstLineChars="200"/>
        <w:rPr>
          <w:color w:val="auto"/>
          <w:szCs w:val="21"/>
          <w:highlight w:val="none"/>
        </w:rPr>
      </w:pPr>
      <w:r>
        <w:rPr>
          <w:rFonts w:hint="eastAsia"/>
          <w:color w:val="auto"/>
          <w:szCs w:val="21"/>
          <w:highlight w:val="none"/>
        </w:rPr>
        <w:t>2、严格履行合同约定，自觉承担合同义务。</w:t>
      </w:r>
    </w:p>
    <w:p w14:paraId="1BFD8D01">
      <w:pPr>
        <w:spacing w:line="500" w:lineRule="exact"/>
        <w:ind w:firstLine="420" w:firstLineChars="200"/>
        <w:rPr>
          <w:color w:val="auto"/>
          <w:szCs w:val="21"/>
          <w:highlight w:val="none"/>
        </w:rPr>
      </w:pPr>
      <w:r>
        <w:rPr>
          <w:rFonts w:hint="eastAsia"/>
          <w:color w:val="auto"/>
          <w:szCs w:val="21"/>
          <w:highlight w:val="none"/>
        </w:rPr>
        <w:t>3、开展业务活动必须坚持自愿、公平、公开、公正和诚实守信的原则，不得为谋取不正当利益损害国家、集体和双方权益。</w:t>
      </w:r>
    </w:p>
    <w:p w14:paraId="30ED2DD7">
      <w:pPr>
        <w:spacing w:line="500" w:lineRule="exact"/>
        <w:ind w:firstLine="420" w:firstLineChars="200"/>
        <w:rPr>
          <w:color w:val="auto"/>
          <w:szCs w:val="21"/>
          <w:highlight w:val="none"/>
        </w:rPr>
      </w:pPr>
      <w:r>
        <w:rPr>
          <w:rFonts w:hint="eastAsia"/>
          <w:color w:val="auto"/>
          <w:szCs w:val="21"/>
          <w:highlight w:val="none"/>
        </w:rPr>
        <w:t>4、建立健全自我制约制度，开展廉洁教育，增强廉洁意识，公布举报电话，监督并认真查处违规违纪违法行为。</w:t>
      </w:r>
    </w:p>
    <w:p w14:paraId="632726CC">
      <w:pPr>
        <w:spacing w:line="500" w:lineRule="exact"/>
        <w:ind w:firstLine="420" w:firstLineChars="200"/>
        <w:rPr>
          <w:color w:val="auto"/>
          <w:szCs w:val="21"/>
          <w:highlight w:val="none"/>
        </w:rPr>
      </w:pPr>
      <w:r>
        <w:rPr>
          <w:rFonts w:hint="eastAsia"/>
          <w:color w:val="auto"/>
          <w:szCs w:val="21"/>
          <w:highlight w:val="none"/>
        </w:rPr>
        <w:t>5、不得有其他妨碍正常交易的违法行为。</w:t>
      </w:r>
    </w:p>
    <w:p w14:paraId="7F815C18">
      <w:pPr>
        <w:spacing w:line="500" w:lineRule="exact"/>
        <w:ind w:firstLine="422" w:firstLineChars="200"/>
        <w:rPr>
          <w:b/>
          <w:bCs/>
          <w:color w:val="auto"/>
          <w:szCs w:val="21"/>
          <w:highlight w:val="none"/>
        </w:rPr>
      </w:pPr>
      <w:r>
        <w:rPr>
          <w:rFonts w:hint="eastAsia"/>
          <w:b/>
          <w:bCs/>
          <w:color w:val="auto"/>
          <w:szCs w:val="21"/>
          <w:highlight w:val="none"/>
        </w:rPr>
        <w:t>第二条 甲方的责任</w:t>
      </w:r>
    </w:p>
    <w:p w14:paraId="233C24C7">
      <w:pPr>
        <w:spacing w:line="500" w:lineRule="exact"/>
        <w:ind w:firstLine="420" w:firstLineChars="200"/>
        <w:rPr>
          <w:color w:val="auto"/>
          <w:szCs w:val="21"/>
          <w:highlight w:val="none"/>
        </w:rPr>
      </w:pPr>
      <w:r>
        <w:rPr>
          <w:rFonts w:hint="eastAsia"/>
          <w:color w:val="auto"/>
          <w:szCs w:val="21"/>
          <w:highlight w:val="none"/>
        </w:rPr>
        <w:t>1、甲方应按照自愿、公平、公正、公开和诚实守信的原则开展各项业务活动，为乙方提供公平的竞争环境与平台。</w:t>
      </w:r>
    </w:p>
    <w:p w14:paraId="3FCAE65F">
      <w:pPr>
        <w:spacing w:line="500" w:lineRule="exact"/>
        <w:ind w:firstLine="420" w:firstLineChars="200"/>
        <w:rPr>
          <w:color w:val="auto"/>
          <w:szCs w:val="21"/>
          <w:highlight w:val="none"/>
        </w:rPr>
      </w:pPr>
      <w:r>
        <w:rPr>
          <w:rFonts w:hint="eastAsia"/>
          <w:color w:val="auto"/>
          <w:szCs w:val="21"/>
          <w:highlight w:val="none"/>
        </w:rPr>
        <w:t>2、甲方应严格遵守公司对外服务“五条禁令”：严禁接受服务对象、业务单位的礼金、宴请；严禁违规收费；严禁越权动用供水设施；严禁私揽供水工程；严禁工作期间饮酒和擅离岗位。</w:t>
      </w:r>
    </w:p>
    <w:p w14:paraId="48DDEBFD">
      <w:pPr>
        <w:spacing w:line="500" w:lineRule="exact"/>
        <w:ind w:firstLine="420" w:firstLineChars="200"/>
        <w:rPr>
          <w:color w:val="auto"/>
          <w:szCs w:val="21"/>
          <w:highlight w:val="none"/>
        </w:rPr>
      </w:pPr>
      <w:r>
        <w:rPr>
          <w:rFonts w:hint="eastAsia"/>
          <w:color w:val="auto"/>
          <w:szCs w:val="21"/>
          <w:highlight w:val="none"/>
        </w:rPr>
        <w:t>3、甲方不得以任何理由要求乙方为其亲属、朋友等安排工作。</w:t>
      </w:r>
    </w:p>
    <w:p w14:paraId="0626BD47">
      <w:pPr>
        <w:spacing w:line="500" w:lineRule="exact"/>
        <w:ind w:firstLine="420" w:firstLineChars="200"/>
        <w:rPr>
          <w:color w:val="auto"/>
          <w:szCs w:val="21"/>
          <w:highlight w:val="none"/>
        </w:rPr>
      </w:pPr>
      <w:r>
        <w:rPr>
          <w:rFonts w:hint="eastAsia"/>
          <w:color w:val="auto"/>
          <w:szCs w:val="21"/>
          <w:highlight w:val="none"/>
        </w:rPr>
        <w:t>4、甲方不得要求乙方及相关单位报销任何应由甲方或个人支付的费用。</w:t>
      </w:r>
    </w:p>
    <w:p w14:paraId="24D86D5C">
      <w:pPr>
        <w:spacing w:line="500" w:lineRule="exact"/>
        <w:ind w:firstLine="420" w:firstLineChars="200"/>
        <w:rPr>
          <w:color w:val="auto"/>
          <w:szCs w:val="21"/>
          <w:highlight w:val="none"/>
        </w:rPr>
      </w:pPr>
      <w:r>
        <w:rPr>
          <w:rFonts w:hint="eastAsia"/>
          <w:color w:val="auto"/>
          <w:szCs w:val="21"/>
          <w:highlight w:val="none"/>
        </w:rPr>
        <w:t>5、甲方不得参与影响相关双方正常工作和公正开展的其他活动。</w:t>
      </w:r>
    </w:p>
    <w:p w14:paraId="1742CA97">
      <w:pPr>
        <w:spacing w:line="500" w:lineRule="exact"/>
        <w:ind w:firstLine="420" w:firstLineChars="200"/>
        <w:rPr>
          <w:color w:val="auto"/>
          <w:szCs w:val="21"/>
          <w:highlight w:val="none"/>
        </w:rPr>
      </w:pPr>
      <w:r>
        <w:rPr>
          <w:rFonts w:hint="eastAsia"/>
          <w:color w:val="auto"/>
          <w:szCs w:val="21"/>
          <w:highlight w:val="none"/>
        </w:rPr>
        <w:t>6、甲方不得向乙方泄露涉及有关业务活动的秘密。</w:t>
      </w:r>
    </w:p>
    <w:p w14:paraId="25C05AA6">
      <w:pPr>
        <w:spacing w:line="500" w:lineRule="exact"/>
        <w:ind w:firstLine="420" w:firstLineChars="200"/>
        <w:rPr>
          <w:color w:val="auto"/>
          <w:szCs w:val="21"/>
          <w:highlight w:val="none"/>
        </w:rPr>
      </w:pPr>
      <w:r>
        <w:rPr>
          <w:rFonts w:hint="eastAsia"/>
          <w:color w:val="auto"/>
          <w:szCs w:val="21"/>
          <w:highlight w:val="none"/>
        </w:rPr>
        <w:t>7、甲方要求参与公司业务活动的本公司员工主动申报与乙方的关联关系，包括但不限于存在亲属关系、利益关联体等。</w:t>
      </w:r>
    </w:p>
    <w:p w14:paraId="5335B1D3">
      <w:pPr>
        <w:spacing w:line="500" w:lineRule="exact"/>
        <w:ind w:firstLine="420" w:firstLineChars="200"/>
        <w:rPr>
          <w:color w:val="auto"/>
          <w:szCs w:val="21"/>
          <w:highlight w:val="none"/>
        </w:rPr>
      </w:pPr>
      <w:r>
        <w:rPr>
          <w:rFonts w:hint="eastAsia"/>
          <w:color w:val="auto"/>
          <w:szCs w:val="21"/>
          <w:highlight w:val="none"/>
        </w:rPr>
        <w:t>8、在双方合作过程中，甲方有权依据公司相关规章制度对任何重要的流程节点，采取由甲方相关领导小组集体决策的方式作出决定，确保不因任何人的个人利益因素而对乙方提供特别的照顾、优惠、变通、变更。</w:t>
      </w:r>
    </w:p>
    <w:p w14:paraId="789138F6">
      <w:pPr>
        <w:spacing w:line="500" w:lineRule="exact"/>
        <w:ind w:firstLine="420" w:firstLineChars="200"/>
        <w:rPr>
          <w:color w:val="auto"/>
          <w:szCs w:val="21"/>
          <w:highlight w:val="none"/>
        </w:rPr>
      </w:pPr>
      <w:r>
        <w:rPr>
          <w:rFonts w:hint="eastAsia"/>
          <w:color w:val="auto"/>
          <w:szCs w:val="21"/>
          <w:highlight w:val="none"/>
        </w:rPr>
        <w:t>9、在合同订立及履行过程中，如乙方人员有行贿行为的，甲方应坚决拒绝，及时向公司领导、纪检监察部门或乙方上级领导或有关部门举报，并向双方单位通报。</w:t>
      </w:r>
    </w:p>
    <w:p w14:paraId="36FB3D5B">
      <w:pPr>
        <w:spacing w:line="500" w:lineRule="exact"/>
        <w:ind w:firstLine="422" w:firstLineChars="200"/>
        <w:rPr>
          <w:b/>
          <w:bCs/>
          <w:color w:val="auto"/>
          <w:szCs w:val="21"/>
          <w:highlight w:val="none"/>
        </w:rPr>
      </w:pPr>
      <w:r>
        <w:rPr>
          <w:rFonts w:hint="eastAsia"/>
          <w:b/>
          <w:bCs/>
          <w:color w:val="auto"/>
          <w:szCs w:val="21"/>
          <w:highlight w:val="none"/>
        </w:rPr>
        <w:t>第三条 乙方的责任</w:t>
      </w:r>
    </w:p>
    <w:p w14:paraId="4445EC45">
      <w:pPr>
        <w:spacing w:line="500" w:lineRule="exact"/>
        <w:ind w:firstLine="420" w:firstLineChars="200"/>
        <w:rPr>
          <w:color w:val="auto"/>
          <w:szCs w:val="21"/>
          <w:highlight w:val="none"/>
        </w:rPr>
      </w:pPr>
      <w:r>
        <w:rPr>
          <w:rFonts w:hint="eastAsia"/>
          <w:color w:val="auto"/>
          <w:szCs w:val="21"/>
          <w:highlight w:val="none"/>
        </w:rPr>
        <w:t>1、乙方应主动如实向甲方申报是否与甲方员工存在亲属关系、利益关联体关系，是否有甲方在岗或离职人员担任乙方重要岗位等情况。</w:t>
      </w:r>
    </w:p>
    <w:p w14:paraId="745A12D5">
      <w:pPr>
        <w:spacing w:line="500" w:lineRule="exact"/>
        <w:ind w:firstLine="420" w:firstLineChars="200"/>
        <w:rPr>
          <w:color w:val="auto"/>
          <w:szCs w:val="21"/>
          <w:highlight w:val="none"/>
        </w:rPr>
      </w:pPr>
      <w:r>
        <w:rPr>
          <w:rFonts w:hint="eastAsia"/>
          <w:color w:val="auto"/>
          <w:szCs w:val="21"/>
          <w:highlight w:val="none"/>
        </w:rPr>
        <w:t>2、乙方不得接受甲方工作人员介绍的家属或者亲友从事与合同相关的业务，包括但不限于作为乙方的材料供应方、服务提供方等。</w:t>
      </w:r>
    </w:p>
    <w:p w14:paraId="733CA378">
      <w:pPr>
        <w:spacing w:line="500" w:lineRule="exact"/>
        <w:ind w:firstLine="420" w:firstLineChars="200"/>
        <w:rPr>
          <w:color w:val="auto"/>
          <w:szCs w:val="21"/>
          <w:highlight w:val="none"/>
        </w:rPr>
      </w:pPr>
      <w:r>
        <w:rPr>
          <w:rFonts w:hint="eastAsia"/>
          <w:color w:val="auto"/>
          <w:szCs w:val="21"/>
          <w:highlight w:val="none"/>
        </w:rPr>
        <w:t>3、乙方不得为谋取利益擅自与甲方就工程承包、工程费用、材料设备供应、工程量变动、工程验收、工程质量问题处理进行私下商谈或者达成默契。</w:t>
      </w:r>
    </w:p>
    <w:p w14:paraId="51B1DCF5">
      <w:pPr>
        <w:spacing w:line="500" w:lineRule="exact"/>
        <w:ind w:firstLine="420" w:firstLineChars="200"/>
        <w:rPr>
          <w:color w:val="auto"/>
          <w:szCs w:val="21"/>
          <w:highlight w:val="none"/>
        </w:rPr>
      </w:pPr>
      <w:r>
        <w:rPr>
          <w:rFonts w:hint="eastAsia"/>
          <w:color w:val="auto"/>
          <w:szCs w:val="21"/>
          <w:highlight w:val="none"/>
        </w:rPr>
        <w:t>4、乙方不得与其他单位串通投标、不得采取恶性竞争等不正当手段竞争业务。</w:t>
      </w:r>
    </w:p>
    <w:p w14:paraId="16B97D3F">
      <w:pPr>
        <w:spacing w:line="500" w:lineRule="exact"/>
        <w:ind w:firstLine="420" w:firstLineChars="200"/>
        <w:rPr>
          <w:color w:val="auto"/>
          <w:szCs w:val="21"/>
          <w:highlight w:val="none"/>
        </w:rPr>
      </w:pPr>
      <w:r>
        <w:rPr>
          <w:rFonts w:hint="eastAsia"/>
          <w:color w:val="auto"/>
          <w:szCs w:val="21"/>
          <w:highlight w:val="none"/>
        </w:rPr>
        <w:t>5、乙方应当通过正常途径开展相关工作，不得以任何理由或者形式向甲方工作人员（含配偶、子女及其他特定关系人，同下）提供或赠送礼金、有价证券、贵重物品及手续费、回扣、好处费、感谢费等。</w:t>
      </w:r>
    </w:p>
    <w:p w14:paraId="4B4203BD">
      <w:pPr>
        <w:spacing w:line="500" w:lineRule="exact"/>
        <w:ind w:firstLine="420" w:firstLineChars="200"/>
        <w:rPr>
          <w:color w:val="auto"/>
          <w:szCs w:val="21"/>
          <w:highlight w:val="none"/>
        </w:rPr>
      </w:pPr>
      <w:r>
        <w:rPr>
          <w:rFonts w:hint="eastAsia"/>
          <w:color w:val="auto"/>
          <w:szCs w:val="21"/>
          <w:highlight w:val="none"/>
        </w:rPr>
        <w:t>6、乙方不得以任何理由或任何形式邀请甲方工作人员参加有可能影响廉洁、公正的宴请、健身、旅游、娱乐活动。</w:t>
      </w:r>
    </w:p>
    <w:p w14:paraId="5265B026">
      <w:pPr>
        <w:spacing w:line="500" w:lineRule="exact"/>
        <w:ind w:firstLine="420" w:firstLineChars="200"/>
        <w:rPr>
          <w:color w:val="auto"/>
          <w:szCs w:val="21"/>
          <w:highlight w:val="none"/>
        </w:rPr>
      </w:pPr>
      <w:r>
        <w:rPr>
          <w:rFonts w:hint="eastAsia"/>
          <w:color w:val="auto"/>
          <w:szCs w:val="21"/>
          <w:highlight w:val="none"/>
        </w:rPr>
        <w:t>7、乙方不得和甲方人员及其亲属发生任何形式的经济往来，包含但不限于个人借款、任何形式的费用报销、婚丧嫁娶、工作安排、出国、留学等。</w:t>
      </w:r>
    </w:p>
    <w:p w14:paraId="03735B40">
      <w:pPr>
        <w:spacing w:line="500" w:lineRule="exact"/>
        <w:ind w:firstLine="420" w:firstLineChars="200"/>
        <w:rPr>
          <w:color w:val="auto"/>
          <w:szCs w:val="21"/>
          <w:highlight w:val="none"/>
        </w:rPr>
      </w:pPr>
      <w:r>
        <w:rPr>
          <w:rFonts w:hint="eastAsia"/>
          <w:color w:val="auto"/>
          <w:szCs w:val="21"/>
          <w:highlight w:val="none"/>
        </w:rPr>
        <w:t>8、乙方不得向甲方员工及其家属购置、提供任何住房、装修、交通工具、通讯工具、家电、高档办公用品等物品。</w:t>
      </w:r>
    </w:p>
    <w:p w14:paraId="7FF84A0D">
      <w:pPr>
        <w:spacing w:line="500" w:lineRule="exact"/>
        <w:ind w:firstLine="420" w:firstLineChars="200"/>
        <w:rPr>
          <w:color w:val="auto"/>
          <w:szCs w:val="21"/>
          <w:highlight w:val="none"/>
        </w:rPr>
      </w:pPr>
      <w:r>
        <w:rPr>
          <w:rFonts w:hint="eastAsia"/>
          <w:color w:val="auto"/>
          <w:szCs w:val="21"/>
          <w:highlight w:val="none"/>
        </w:rPr>
        <w:t>9、乙方有义务监督甲方员工廉洁从业，对违反者，有向甲方反馈和举报的权利和义务。</w:t>
      </w:r>
    </w:p>
    <w:p w14:paraId="3C8356E8">
      <w:pPr>
        <w:spacing w:line="500" w:lineRule="exact"/>
        <w:ind w:firstLine="420" w:firstLineChars="200"/>
        <w:rPr>
          <w:color w:val="auto"/>
          <w:szCs w:val="21"/>
          <w:highlight w:val="none"/>
        </w:rPr>
      </w:pPr>
      <w:r>
        <w:rPr>
          <w:rFonts w:hint="eastAsia"/>
          <w:color w:val="auto"/>
          <w:szCs w:val="21"/>
          <w:highlight w:val="none"/>
        </w:rPr>
        <w:t>10、乙方应当确保乙方人员了解并自觉遵守本协议，发现乙方任何人员有向甲方员工行贿倾向、建议或行为的，应予以制止、批评教育。乙方发现甲方员工有索贿、受贿行为的，应坚决拒绝，并向甲方审计、纪检监察部门进行举报。</w:t>
      </w:r>
    </w:p>
    <w:p w14:paraId="76C45764">
      <w:pPr>
        <w:spacing w:line="500" w:lineRule="exact"/>
        <w:ind w:firstLine="422" w:firstLineChars="200"/>
        <w:rPr>
          <w:b/>
          <w:bCs/>
          <w:color w:val="auto"/>
          <w:szCs w:val="21"/>
          <w:highlight w:val="none"/>
        </w:rPr>
      </w:pPr>
      <w:r>
        <w:rPr>
          <w:rFonts w:hint="eastAsia"/>
          <w:b/>
          <w:bCs/>
          <w:color w:val="auto"/>
          <w:szCs w:val="21"/>
          <w:highlight w:val="none"/>
        </w:rPr>
        <w:t xml:space="preserve">第四条 违约责任 </w:t>
      </w:r>
    </w:p>
    <w:p w14:paraId="30F636E6">
      <w:pPr>
        <w:spacing w:line="500" w:lineRule="exact"/>
        <w:ind w:firstLine="420" w:firstLineChars="200"/>
        <w:rPr>
          <w:color w:val="auto"/>
          <w:szCs w:val="21"/>
          <w:highlight w:val="none"/>
        </w:rPr>
      </w:pPr>
      <w:r>
        <w:rPr>
          <w:rFonts w:hint="eastAsia"/>
          <w:color w:val="auto"/>
          <w:szCs w:val="21"/>
          <w:highlight w:val="none"/>
        </w:rPr>
        <w:t>1、如乙方出现违反本协议约定的行为，甲方有权根据具体情节的严重程度和造成的后果要求乙方按照合同总金额的1-5%向甲方支付违约金，并承担因此给甲方造成的全部损失，甲方有权从双方已签订的其他正在履行的合同中乙方未结算款项里优先予以扣除且无需承担任何违约责任，如果其他正在履行的合同中乙方未结算款项不足以支付违约金的，乙方应按甲方要求，补足违约金差额。</w:t>
      </w:r>
    </w:p>
    <w:p w14:paraId="47136EEC">
      <w:pPr>
        <w:spacing w:line="500" w:lineRule="exact"/>
        <w:ind w:firstLine="420" w:firstLineChars="200"/>
        <w:rPr>
          <w:color w:val="auto"/>
          <w:szCs w:val="21"/>
          <w:highlight w:val="none"/>
        </w:rPr>
      </w:pPr>
      <w:r>
        <w:rPr>
          <w:rFonts w:hint="eastAsia"/>
          <w:color w:val="auto"/>
          <w:szCs w:val="21"/>
          <w:highlight w:val="none"/>
        </w:rPr>
        <w:t>2、若甲方发现乙方工作人员为谋取自身不正当利益有违反廉政规定的行为，甲方有权要求乙方撤回该人员，并不再安排该人员从事与甲方有关的任何工作。根据情节严重程度及双方合作态度，甲方有权采取以下一种或多种措施：终止或解除合同，限制乙方后续投标资格、将乙方列入供应商黑名单不再合作等。</w:t>
      </w:r>
    </w:p>
    <w:p w14:paraId="41C9D6E8">
      <w:pPr>
        <w:spacing w:line="500" w:lineRule="exact"/>
        <w:ind w:firstLine="420" w:firstLineChars="200"/>
        <w:rPr>
          <w:color w:val="auto"/>
          <w:szCs w:val="21"/>
          <w:highlight w:val="none"/>
        </w:rPr>
      </w:pPr>
      <w:r>
        <w:rPr>
          <w:rFonts w:hint="eastAsia"/>
          <w:color w:val="auto"/>
          <w:szCs w:val="21"/>
          <w:highlight w:val="none"/>
        </w:rPr>
        <w:t>3、如甲方出现违反本协议约定的行为，鼓励乙方进行举报，甲方将对乙方投诉人及投诉内容（举报人、陈述人、证人等）予以严格保密，并在接到乙方书面投诉后的15个工作日内给予乙方反馈。经查实甲方工作人员确有违反廉政规定行为的，甲方将根据有关规定对其进行严肃处理。</w:t>
      </w:r>
    </w:p>
    <w:p w14:paraId="67325CBB">
      <w:pPr>
        <w:spacing w:line="500" w:lineRule="exact"/>
        <w:ind w:firstLine="422" w:firstLineChars="200"/>
        <w:rPr>
          <w:b/>
          <w:bCs/>
          <w:color w:val="auto"/>
          <w:szCs w:val="21"/>
          <w:highlight w:val="none"/>
        </w:rPr>
      </w:pPr>
      <w:r>
        <w:rPr>
          <w:rFonts w:hint="eastAsia"/>
          <w:b/>
          <w:bCs/>
          <w:color w:val="auto"/>
          <w:szCs w:val="21"/>
          <w:highlight w:val="none"/>
        </w:rPr>
        <w:t>第五条 其他约定</w:t>
      </w:r>
    </w:p>
    <w:p w14:paraId="0E81EF10">
      <w:pPr>
        <w:spacing w:line="500" w:lineRule="exact"/>
        <w:ind w:firstLine="420" w:firstLineChars="200"/>
        <w:rPr>
          <w:color w:val="auto"/>
          <w:szCs w:val="21"/>
          <w:highlight w:val="none"/>
        </w:rPr>
      </w:pPr>
      <w:r>
        <w:rPr>
          <w:rFonts w:hint="eastAsia"/>
          <w:color w:val="auto"/>
          <w:szCs w:val="21"/>
          <w:highlight w:val="none"/>
        </w:rPr>
        <w:t>1、本协议作为</w:t>
      </w:r>
      <w:r>
        <w:rPr>
          <w:rFonts w:hint="eastAsia"/>
          <w:color w:val="auto"/>
          <w:szCs w:val="21"/>
          <w:highlight w:val="none"/>
          <w:lang w:val="en-US" w:eastAsia="zh-CN"/>
        </w:rPr>
        <w:t xml:space="preserve">                          </w:t>
      </w:r>
      <w:r>
        <w:rPr>
          <w:rFonts w:hint="eastAsia"/>
          <w:color w:val="auto"/>
          <w:szCs w:val="21"/>
          <w:highlight w:val="none"/>
        </w:rPr>
        <w:t>（＊项目全称）合同的附件应一并签订、保管，与该合同具有同等法律效力，经双方签署后立即生效。</w:t>
      </w:r>
    </w:p>
    <w:p w14:paraId="5F447A77">
      <w:pPr>
        <w:spacing w:line="500" w:lineRule="exact"/>
        <w:ind w:firstLine="420" w:firstLineChars="200"/>
        <w:rPr>
          <w:color w:val="auto"/>
          <w:szCs w:val="21"/>
          <w:highlight w:val="none"/>
        </w:rPr>
      </w:pPr>
      <w:r>
        <w:rPr>
          <w:rFonts w:hint="eastAsia"/>
          <w:color w:val="auto"/>
          <w:szCs w:val="21"/>
          <w:highlight w:val="none"/>
        </w:rPr>
        <w:t>2、本协议未尽事宜，双方可增补条款，增补内容如下：</w:t>
      </w:r>
    </w:p>
    <w:p w14:paraId="5B9A9839">
      <w:pPr>
        <w:spacing w:line="500" w:lineRule="exact"/>
        <w:ind w:firstLine="420" w:firstLineChars="200"/>
        <w:rPr>
          <w:color w:val="auto"/>
          <w:szCs w:val="21"/>
          <w:highlight w:val="none"/>
          <w:u w:val="single"/>
        </w:rPr>
      </w:pPr>
      <w:r>
        <w:rPr>
          <w:rFonts w:hint="eastAsia"/>
          <w:color w:val="auto"/>
          <w:szCs w:val="21"/>
          <w:highlight w:val="none"/>
          <w:u w:val="single"/>
        </w:rPr>
        <w:t>（1）</w:t>
      </w:r>
      <w:r>
        <w:rPr>
          <w:rFonts w:hint="eastAsia"/>
          <w:color w:val="auto"/>
          <w:szCs w:val="21"/>
          <w:highlight w:val="none"/>
          <w:u w:val="single"/>
          <w:lang w:val="en-US" w:eastAsia="zh-CN"/>
        </w:rPr>
        <w:t>无</w:t>
      </w:r>
      <w:r>
        <w:rPr>
          <w:rFonts w:hint="eastAsia"/>
          <w:color w:val="auto"/>
          <w:szCs w:val="21"/>
          <w:highlight w:val="none"/>
          <w:u w:val="single"/>
        </w:rPr>
        <w:t xml:space="preserve">                                           </w:t>
      </w:r>
    </w:p>
    <w:p w14:paraId="35ED755A">
      <w:pPr>
        <w:spacing w:line="500" w:lineRule="exact"/>
        <w:ind w:firstLine="420" w:firstLineChars="200"/>
        <w:rPr>
          <w:color w:val="auto"/>
          <w:szCs w:val="21"/>
          <w:highlight w:val="none"/>
        </w:rPr>
      </w:pPr>
      <w:r>
        <w:rPr>
          <w:rFonts w:hint="eastAsia"/>
          <w:color w:val="auto"/>
          <w:szCs w:val="21"/>
          <w:highlight w:val="none"/>
        </w:rPr>
        <w:t>3、本协议的有效期为双方签字盖章之日起至项目合同履行完成时止。</w:t>
      </w:r>
    </w:p>
    <w:p w14:paraId="4F84455A">
      <w:pPr>
        <w:spacing w:line="500" w:lineRule="exact"/>
        <w:ind w:firstLine="420" w:firstLineChars="200"/>
        <w:rPr>
          <w:color w:val="auto"/>
          <w:szCs w:val="21"/>
          <w:highlight w:val="none"/>
        </w:rPr>
      </w:pPr>
      <w:r>
        <w:rPr>
          <w:rFonts w:hint="eastAsia"/>
          <w:color w:val="auto"/>
          <w:szCs w:val="21"/>
          <w:highlight w:val="none"/>
        </w:rPr>
        <w:t>4、为增进双方的沟通了解，甲方审计、纪检监察部门会与乙方进行非定期的访谈，乙方需予以配合。</w:t>
      </w:r>
    </w:p>
    <w:p w14:paraId="0EFD1A78">
      <w:pPr>
        <w:spacing w:line="500" w:lineRule="exact"/>
        <w:ind w:firstLine="420" w:firstLineChars="200"/>
        <w:rPr>
          <w:color w:val="auto"/>
          <w:szCs w:val="21"/>
          <w:highlight w:val="none"/>
        </w:rPr>
      </w:pPr>
      <w:r>
        <w:rPr>
          <w:rFonts w:hint="eastAsia"/>
          <w:color w:val="auto"/>
          <w:szCs w:val="21"/>
          <w:highlight w:val="none"/>
        </w:rPr>
        <w:t>5、乙方对甲方员工有任何意见、建议等，可向甲方审计、纪检监察部门反映，甲方将按规定对反映人、反映情况及个人联系方式进行保密。</w:t>
      </w:r>
    </w:p>
    <w:p w14:paraId="2CCBF666">
      <w:pPr>
        <w:spacing w:line="500" w:lineRule="exact"/>
        <w:ind w:firstLine="420" w:firstLineChars="200"/>
        <w:rPr>
          <w:color w:val="auto"/>
          <w:szCs w:val="21"/>
          <w:highlight w:val="none"/>
        </w:rPr>
      </w:pPr>
      <w:r>
        <w:rPr>
          <w:rFonts w:hint="eastAsia"/>
          <w:color w:val="auto"/>
          <w:szCs w:val="21"/>
          <w:highlight w:val="none"/>
        </w:rPr>
        <w:t>6、对于支持审计、纪检监察工作和敢于揭露甲方有廉洁违规行为的乙方，甲方将优先考虑与其合作。</w:t>
      </w:r>
    </w:p>
    <w:p w14:paraId="5D54F790">
      <w:pPr>
        <w:spacing w:line="500" w:lineRule="exact"/>
        <w:ind w:firstLine="420" w:firstLineChars="200"/>
        <w:rPr>
          <w:color w:val="auto"/>
          <w:szCs w:val="21"/>
          <w:highlight w:val="none"/>
        </w:rPr>
      </w:pPr>
      <w:r>
        <w:rPr>
          <w:rFonts w:hint="eastAsia"/>
          <w:color w:val="auto"/>
          <w:szCs w:val="21"/>
          <w:highlight w:val="none"/>
        </w:rPr>
        <w:t>7、甲方举报电话：0514-82883093；邮箱：</w:t>
      </w:r>
      <w:r>
        <w:rPr>
          <w:color w:val="auto"/>
          <w:highlight w:val="none"/>
        </w:rPr>
        <w:fldChar w:fldCharType="begin"/>
      </w:r>
      <w:r>
        <w:rPr>
          <w:color w:val="auto"/>
          <w:highlight w:val="none"/>
        </w:rPr>
        <w:instrText xml:space="preserve"> HYPERLINK "mailto:cjswjw@163.com" </w:instrText>
      </w:r>
      <w:r>
        <w:rPr>
          <w:color w:val="auto"/>
          <w:highlight w:val="none"/>
        </w:rPr>
        <w:fldChar w:fldCharType="separate"/>
      </w:r>
      <w:r>
        <w:rPr>
          <w:rFonts w:hint="eastAsia"/>
          <w:color w:val="auto"/>
          <w:szCs w:val="21"/>
          <w:highlight w:val="none"/>
        </w:rPr>
        <w:t>cjswjw@163.com</w:t>
      </w:r>
      <w:r>
        <w:rPr>
          <w:rFonts w:hint="eastAsia"/>
          <w:color w:val="auto"/>
          <w:szCs w:val="21"/>
          <w:highlight w:val="none"/>
        </w:rPr>
        <w:fldChar w:fldCharType="end"/>
      </w:r>
      <w:r>
        <w:rPr>
          <w:rFonts w:hint="eastAsia"/>
          <w:color w:val="auto"/>
          <w:szCs w:val="21"/>
          <w:highlight w:val="none"/>
        </w:rPr>
        <w:t>。</w:t>
      </w:r>
    </w:p>
    <w:p w14:paraId="2A9129FD">
      <w:pPr>
        <w:spacing w:line="500" w:lineRule="exact"/>
        <w:ind w:firstLine="420" w:firstLineChars="200"/>
        <w:rPr>
          <w:color w:val="auto"/>
          <w:szCs w:val="21"/>
          <w:highlight w:val="none"/>
        </w:rPr>
      </w:pPr>
      <w:r>
        <w:rPr>
          <w:rFonts w:hint="eastAsia"/>
          <w:color w:val="auto"/>
          <w:szCs w:val="21"/>
          <w:highlight w:val="none"/>
        </w:rPr>
        <w:t xml:space="preserve">   乙方举报电话：             ；邮箱：              。</w:t>
      </w:r>
    </w:p>
    <w:p w14:paraId="2D715A89">
      <w:pPr>
        <w:numPr>
          <w:ilvl w:val="0"/>
          <w:numId w:val="14"/>
        </w:numPr>
        <w:spacing w:line="500" w:lineRule="exact"/>
        <w:ind w:firstLine="420" w:firstLineChars="200"/>
        <w:rPr>
          <w:color w:val="auto"/>
          <w:szCs w:val="21"/>
          <w:highlight w:val="none"/>
        </w:rPr>
      </w:pPr>
      <w:r>
        <w:rPr>
          <w:rFonts w:hint="eastAsia"/>
          <w:color w:val="auto"/>
          <w:szCs w:val="21"/>
          <w:highlight w:val="none"/>
        </w:rPr>
        <w:t>本协议书一式六份，甲（纪委办留存一份）执四份，乙方执两份。</w:t>
      </w:r>
    </w:p>
    <w:tbl>
      <w:tblPr>
        <w:tblStyle w:val="15"/>
        <w:tblpPr w:leftFromText="180" w:rightFromText="180" w:vertAnchor="text" w:horzAnchor="margin" w:tblpXSpec="center" w:tblpY="90"/>
        <w:tblW w:w="90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1"/>
        <w:gridCol w:w="4463"/>
      </w:tblGrid>
      <w:tr w14:paraId="746F5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4" w:hRule="atLeast"/>
        </w:trPr>
        <w:tc>
          <w:tcPr>
            <w:tcW w:w="4621" w:type="dxa"/>
            <w:noWrap/>
            <w:vAlign w:val="top"/>
          </w:tcPr>
          <w:p w14:paraId="685E6426">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甲     方</w:t>
            </w:r>
          </w:p>
          <w:p w14:paraId="60274233">
            <w:pPr>
              <w:spacing w:line="460" w:lineRule="exact"/>
              <w:rPr>
                <w:rFonts w:ascii="宋体" w:hAnsi="宋体" w:cs="宋体"/>
                <w:color w:val="auto"/>
                <w:szCs w:val="21"/>
                <w:highlight w:val="none"/>
              </w:rPr>
            </w:pPr>
            <w:r>
              <w:rPr>
                <w:rFonts w:hint="eastAsia" w:ascii="宋体" w:hAnsi="宋体" w:cs="宋体"/>
                <w:color w:val="auto"/>
                <w:szCs w:val="21"/>
                <w:highlight w:val="none"/>
              </w:rPr>
              <w:t>甲方单位（盖章）：</w:t>
            </w:r>
            <w:r>
              <w:rPr>
                <w:rStyle w:val="20"/>
                <w:rFonts w:hint="eastAsia" w:ascii="宋体" w:hAnsi="宋体"/>
                <w:sz w:val="24"/>
                <w:u w:val="single" w:color="000000"/>
              </w:rPr>
              <w:t>扬州水质检测有限公司</w:t>
            </w:r>
          </w:p>
          <w:p w14:paraId="24D53865">
            <w:pPr>
              <w:pStyle w:val="13"/>
              <w:ind w:left="0" w:firstLine="0"/>
              <w:rPr>
                <w:rFonts w:hAnsi="宋体" w:eastAsia="宋体" w:cs="宋体"/>
                <w:color w:val="auto"/>
                <w:kern w:val="2"/>
                <w:sz w:val="21"/>
                <w:szCs w:val="21"/>
                <w:highlight w:val="none"/>
                <w:lang w:val="en-US"/>
              </w:rPr>
            </w:pPr>
            <w:r>
              <w:rPr>
                <w:rFonts w:hint="eastAsia" w:hAnsi="宋体" w:eastAsia="宋体" w:cs="宋体"/>
                <w:color w:val="auto"/>
                <w:kern w:val="2"/>
                <w:sz w:val="21"/>
                <w:szCs w:val="21"/>
                <w:highlight w:val="none"/>
                <w:lang w:val="en-US"/>
              </w:rPr>
              <w:t>法定代表人（签字）：</w:t>
            </w:r>
          </w:p>
          <w:p w14:paraId="52BD33C3">
            <w:pPr>
              <w:pStyle w:val="14"/>
              <w:ind w:left="0" w:leftChars="0" w:firstLine="0"/>
              <w:rPr>
                <w:rFonts w:ascii="宋体" w:hAnsi="宋体" w:cs="宋体"/>
                <w:color w:val="auto"/>
                <w:sz w:val="21"/>
                <w:szCs w:val="21"/>
                <w:highlight w:val="none"/>
              </w:rPr>
            </w:pPr>
            <w:r>
              <w:rPr>
                <w:rFonts w:hint="eastAsia" w:ascii="宋体" w:hAnsi="宋体" w:cs="宋体"/>
                <w:color w:val="auto"/>
                <w:sz w:val="21"/>
                <w:szCs w:val="21"/>
                <w:highlight w:val="none"/>
              </w:rPr>
              <w:t>委托代理人（签字）：</w:t>
            </w:r>
          </w:p>
          <w:p w14:paraId="0072C5D5">
            <w:pPr>
              <w:rPr>
                <w:rFonts w:ascii="宋体" w:hAnsi="宋体" w:cs="宋体"/>
                <w:color w:val="auto"/>
                <w:szCs w:val="21"/>
                <w:highlight w:val="none"/>
              </w:rPr>
            </w:pPr>
            <w:r>
              <w:rPr>
                <w:rFonts w:hint="eastAsia" w:ascii="宋体" w:hAnsi="宋体" w:cs="宋体"/>
                <w:color w:val="auto"/>
                <w:szCs w:val="21"/>
                <w:highlight w:val="none"/>
              </w:rPr>
              <w:t>地  址：</w:t>
            </w:r>
          </w:p>
          <w:p w14:paraId="65CB41ED">
            <w:pPr>
              <w:pStyle w:val="13"/>
              <w:ind w:firstLine="0"/>
              <w:rPr>
                <w:rFonts w:hAnsi="宋体" w:eastAsia="宋体" w:cs="宋体"/>
                <w:color w:val="auto"/>
                <w:sz w:val="21"/>
                <w:szCs w:val="21"/>
                <w:highlight w:val="none"/>
              </w:rPr>
            </w:pPr>
            <w:r>
              <w:rPr>
                <w:rFonts w:hint="eastAsia" w:hAnsi="宋体" w:eastAsia="宋体" w:cs="宋体"/>
                <w:color w:val="auto"/>
                <w:sz w:val="21"/>
                <w:szCs w:val="21"/>
                <w:highlight w:val="none"/>
              </w:rPr>
              <w:t>＊联系方式：0514-82980012</w:t>
            </w:r>
          </w:p>
          <w:p w14:paraId="1A9FF0D0">
            <w:pPr>
              <w:pStyle w:val="14"/>
              <w:rPr>
                <w:rFonts w:ascii="宋体" w:hAnsi="宋体" w:cs="宋体"/>
                <w:color w:val="auto"/>
                <w:sz w:val="21"/>
                <w:szCs w:val="21"/>
                <w:highlight w:val="none"/>
              </w:rPr>
            </w:pPr>
            <w:r>
              <w:rPr>
                <w:rFonts w:hint="eastAsia" w:ascii="宋体" w:hAnsi="宋体" w:cs="宋体"/>
                <w:color w:val="auto"/>
                <w:sz w:val="21"/>
                <w:szCs w:val="21"/>
                <w:highlight w:val="none"/>
              </w:rPr>
              <w:t xml:space="preserve">年  月  日  </w:t>
            </w:r>
          </w:p>
        </w:tc>
        <w:tc>
          <w:tcPr>
            <w:tcW w:w="4463" w:type="dxa"/>
            <w:noWrap/>
            <w:vAlign w:val="top"/>
          </w:tcPr>
          <w:p w14:paraId="7317CBB1">
            <w:pPr>
              <w:spacing w:line="460" w:lineRule="exact"/>
              <w:jc w:val="center"/>
              <w:rPr>
                <w:rFonts w:ascii="宋体" w:hAnsi="宋体" w:cs="宋体"/>
                <w:color w:val="auto"/>
                <w:szCs w:val="21"/>
                <w:highlight w:val="none"/>
              </w:rPr>
            </w:pPr>
            <w:r>
              <w:rPr>
                <w:rFonts w:hint="eastAsia" w:ascii="宋体" w:hAnsi="宋体" w:cs="宋体"/>
                <w:color w:val="auto"/>
                <w:szCs w:val="21"/>
                <w:highlight w:val="none"/>
              </w:rPr>
              <w:t>乙    方</w:t>
            </w:r>
          </w:p>
          <w:p w14:paraId="229C8098">
            <w:pPr>
              <w:spacing w:line="460" w:lineRule="exact"/>
              <w:rPr>
                <w:rFonts w:ascii="宋体" w:hAnsi="宋体" w:cs="宋体"/>
                <w:color w:val="auto"/>
                <w:szCs w:val="21"/>
                <w:highlight w:val="none"/>
              </w:rPr>
            </w:pPr>
            <w:r>
              <w:rPr>
                <w:rFonts w:hint="eastAsia" w:ascii="宋体" w:hAnsi="宋体" w:cs="宋体"/>
                <w:color w:val="auto"/>
                <w:szCs w:val="21"/>
                <w:highlight w:val="none"/>
              </w:rPr>
              <w:t>乙方单位（盖章）：</w:t>
            </w:r>
          </w:p>
          <w:p w14:paraId="53C24614">
            <w:pPr>
              <w:pStyle w:val="13"/>
              <w:ind w:left="0" w:firstLine="0"/>
              <w:rPr>
                <w:rFonts w:hAnsi="宋体" w:eastAsia="宋体" w:cs="宋体"/>
                <w:color w:val="auto"/>
                <w:kern w:val="2"/>
                <w:sz w:val="21"/>
                <w:szCs w:val="21"/>
                <w:highlight w:val="none"/>
                <w:lang w:val="en-US"/>
              </w:rPr>
            </w:pPr>
            <w:r>
              <w:rPr>
                <w:rFonts w:hint="eastAsia" w:hAnsi="宋体" w:eastAsia="宋体" w:cs="宋体"/>
                <w:color w:val="auto"/>
                <w:kern w:val="2"/>
                <w:sz w:val="21"/>
                <w:szCs w:val="21"/>
                <w:highlight w:val="none"/>
                <w:lang w:val="en-US"/>
              </w:rPr>
              <w:t>法定代表人（签字）：</w:t>
            </w:r>
          </w:p>
          <w:p w14:paraId="75FC68DD">
            <w:pPr>
              <w:pStyle w:val="14"/>
              <w:ind w:left="0" w:leftChars="0" w:firstLine="0"/>
              <w:rPr>
                <w:rFonts w:ascii="宋体" w:hAnsi="宋体" w:cs="宋体"/>
                <w:color w:val="auto"/>
                <w:sz w:val="21"/>
                <w:szCs w:val="21"/>
                <w:highlight w:val="none"/>
              </w:rPr>
            </w:pPr>
            <w:r>
              <w:rPr>
                <w:rFonts w:hint="eastAsia" w:ascii="宋体" w:hAnsi="宋体" w:cs="宋体"/>
                <w:color w:val="auto"/>
                <w:sz w:val="21"/>
                <w:szCs w:val="21"/>
                <w:highlight w:val="none"/>
              </w:rPr>
              <w:t>委托代理人（签字）：</w:t>
            </w:r>
          </w:p>
          <w:p w14:paraId="6BA7580E">
            <w:pPr>
              <w:rPr>
                <w:rFonts w:ascii="宋体" w:hAnsi="宋体" w:cs="宋体"/>
                <w:color w:val="auto"/>
                <w:szCs w:val="21"/>
                <w:highlight w:val="none"/>
              </w:rPr>
            </w:pPr>
            <w:r>
              <w:rPr>
                <w:rFonts w:hint="eastAsia" w:ascii="宋体" w:hAnsi="宋体" w:cs="宋体"/>
                <w:color w:val="auto"/>
                <w:szCs w:val="21"/>
                <w:highlight w:val="none"/>
              </w:rPr>
              <w:t>地  址：</w:t>
            </w:r>
          </w:p>
          <w:p w14:paraId="0734109E">
            <w:pPr>
              <w:pStyle w:val="13"/>
              <w:ind w:firstLine="210"/>
              <w:rPr>
                <w:rFonts w:hAnsi="宋体" w:eastAsia="宋体" w:cs="宋体"/>
                <w:color w:val="auto"/>
                <w:sz w:val="21"/>
                <w:szCs w:val="21"/>
                <w:highlight w:val="none"/>
              </w:rPr>
            </w:pPr>
            <w:r>
              <w:rPr>
                <w:rFonts w:hint="eastAsia" w:hAnsi="宋体" w:eastAsia="宋体" w:cs="宋体"/>
                <w:color w:val="auto"/>
                <w:sz w:val="21"/>
                <w:szCs w:val="21"/>
                <w:highlight w:val="none"/>
              </w:rPr>
              <w:t>＊联系方式：</w:t>
            </w:r>
          </w:p>
          <w:p w14:paraId="518D6F55">
            <w:pPr>
              <w:pStyle w:val="13"/>
              <w:ind w:firstLine="210"/>
              <w:rPr>
                <w:rFonts w:hAnsi="宋体" w:cs="宋体"/>
                <w:color w:val="auto"/>
                <w:sz w:val="21"/>
                <w:szCs w:val="21"/>
                <w:highlight w:val="none"/>
              </w:rPr>
            </w:pPr>
            <w:r>
              <w:rPr>
                <w:rFonts w:hint="eastAsia" w:hAnsi="宋体" w:eastAsia="宋体" w:cs="宋体"/>
                <w:color w:val="auto"/>
                <w:sz w:val="21"/>
                <w:szCs w:val="21"/>
                <w:highlight w:val="none"/>
                <w:lang w:val="en-US"/>
              </w:rPr>
              <w:t xml:space="preserve">年  月  日  </w:t>
            </w:r>
          </w:p>
        </w:tc>
      </w:tr>
    </w:tbl>
    <w:p w14:paraId="4953932E">
      <w:pPr>
        <w:spacing w:line="500" w:lineRule="exact"/>
        <w:rPr>
          <w:color w:val="auto"/>
          <w:szCs w:val="21"/>
          <w:highlight w:val="none"/>
        </w:rPr>
      </w:pPr>
      <w:r>
        <w:rPr>
          <w:rFonts w:hint="eastAsia"/>
          <w:color w:val="auto"/>
          <w:szCs w:val="21"/>
          <w:highlight w:val="none"/>
        </w:rPr>
        <w:t>“＊”为必填项</w:t>
      </w:r>
    </w:p>
    <w:p w14:paraId="260D915A">
      <w:pPr>
        <w:spacing w:line="360" w:lineRule="auto"/>
        <w:ind w:firstLine="420" w:firstLineChars="200"/>
        <w:rPr>
          <w:color w:val="000000"/>
          <w:szCs w:val="21"/>
          <w:highlight w:val="none"/>
        </w:rPr>
      </w:pPr>
    </w:p>
    <w:p w14:paraId="759D9980">
      <w:pPr>
        <w:spacing w:line="360" w:lineRule="auto"/>
        <w:ind w:firstLine="420" w:firstLineChars="200"/>
        <w:rPr>
          <w:color w:val="000000"/>
          <w:szCs w:val="21"/>
          <w:highlight w:val="none"/>
        </w:rPr>
      </w:pPr>
    </w:p>
    <w:p w14:paraId="4184954B">
      <w:pPr>
        <w:autoSpaceDE w:val="0"/>
        <w:autoSpaceDN w:val="0"/>
        <w:adjustRightInd w:val="0"/>
        <w:snapToGrid w:val="0"/>
        <w:spacing w:line="480" w:lineRule="exact"/>
        <w:outlineLvl w:val="1"/>
        <w:rPr>
          <w:rFonts w:ascii="黑体" w:eastAsia="黑体"/>
          <w:color w:val="000000"/>
          <w:sz w:val="30"/>
          <w:highlight w:val="none"/>
        </w:rPr>
      </w:pPr>
      <w:r>
        <w:rPr>
          <w:rFonts w:hint="eastAsia" w:ascii="宋体" w:hAnsi="宋体" w:cs="宋体"/>
          <w:b/>
          <w:bCs/>
          <w:color w:val="000000"/>
          <w:kern w:val="0"/>
          <w:szCs w:val="21"/>
          <w:highlight w:val="none"/>
        </w:rPr>
        <w:br w:type="page"/>
      </w:r>
      <w:r>
        <w:rPr>
          <w:rFonts w:hint="eastAsia" w:ascii="宋体" w:hAnsi="宋体"/>
          <w:b/>
          <w:color w:val="000000"/>
          <w:szCs w:val="21"/>
          <w:highlight w:val="none"/>
        </w:rPr>
        <w:t>九、 投标文件格式</w:t>
      </w:r>
    </w:p>
    <w:p w14:paraId="017CE8F1">
      <w:pPr>
        <w:spacing w:line="980" w:lineRule="exact"/>
        <w:jc w:val="center"/>
        <w:rPr>
          <w:rFonts w:ascii="黑体" w:eastAsia="黑体"/>
          <w:color w:val="000000"/>
          <w:sz w:val="30"/>
          <w:highlight w:val="none"/>
        </w:rPr>
      </w:pPr>
      <w:r>
        <w:rPr>
          <w:rFonts w:hint="eastAsia" w:ascii="黑体" w:eastAsia="黑体"/>
          <w:color w:val="000000"/>
          <w:sz w:val="30"/>
          <w:highlight w:val="none"/>
        </w:rPr>
        <w:t>目   录</w:t>
      </w:r>
    </w:p>
    <w:p w14:paraId="54467717">
      <w:pPr>
        <w:spacing w:line="460" w:lineRule="exact"/>
        <w:rPr>
          <w:rFonts w:ascii="宋体" w:hAnsi="宋体"/>
          <w:color w:val="000000"/>
          <w:sz w:val="24"/>
          <w:highlight w:val="none"/>
        </w:rPr>
      </w:pPr>
      <w:r>
        <w:rPr>
          <w:rFonts w:hint="eastAsia" w:ascii="宋体" w:hAnsi="宋体"/>
          <w:color w:val="000000"/>
          <w:sz w:val="24"/>
          <w:highlight w:val="none"/>
        </w:rPr>
        <w:t>一、投标书及其附件</w:t>
      </w:r>
    </w:p>
    <w:p w14:paraId="575EA0C5">
      <w:pPr>
        <w:spacing w:line="460" w:lineRule="exact"/>
        <w:rPr>
          <w:rFonts w:ascii="宋体" w:hAnsi="宋体"/>
          <w:color w:val="000000"/>
          <w:sz w:val="24"/>
          <w:highlight w:val="none"/>
        </w:rPr>
      </w:pPr>
      <w:r>
        <w:rPr>
          <w:rFonts w:hint="eastAsia" w:ascii="宋体" w:hAnsi="宋体"/>
          <w:color w:val="000000"/>
          <w:sz w:val="24"/>
          <w:highlight w:val="none"/>
        </w:rPr>
        <w:t xml:space="preserve">      1.投标书</w:t>
      </w:r>
    </w:p>
    <w:p w14:paraId="006EC6FD">
      <w:pPr>
        <w:spacing w:line="460" w:lineRule="exact"/>
        <w:rPr>
          <w:rFonts w:ascii="宋体" w:hAnsi="宋体"/>
          <w:color w:val="000000"/>
          <w:sz w:val="24"/>
          <w:highlight w:val="none"/>
        </w:rPr>
      </w:pPr>
      <w:r>
        <w:rPr>
          <w:rFonts w:hint="eastAsia" w:ascii="宋体" w:hAnsi="宋体"/>
          <w:color w:val="000000"/>
          <w:sz w:val="24"/>
          <w:highlight w:val="none"/>
        </w:rPr>
        <w:t xml:space="preserve">      2.开标一览表     </w:t>
      </w:r>
    </w:p>
    <w:p w14:paraId="7F697512">
      <w:pPr>
        <w:spacing w:line="460" w:lineRule="exact"/>
        <w:rPr>
          <w:rFonts w:ascii="宋体" w:hAnsi="宋体"/>
          <w:color w:val="000000"/>
          <w:sz w:val="24"/>
          <w:highlight w:val="none"/>
        </w:rPr>
      </w:pPr>
      <w:r>
        <w:rPr>
          <w:rFonts w:hint="eastAsia" w:ascii="宋体" w:hAnsi="宋体"/>
          <w:color w:val="000000"/>
          <w:sz w:val="24"/>
          <w:highlight w:val="none"/>
        </w:rPr>
        <w:t>二、投标人资格证明文件</w:t>
      </w:r>
    </w:p>
    <w:p w14:paraId="66F64F02">
      <w:pPr>
        <w:spacing w:line="460" w:lineRule="exact"/>
        <w:rPr>
          <w:rFonts w:ascii="宋体" w:hAnsi="宋体"/>
          <w:color w:val="000000"/>
          <w:sz w:val="24"/>
          <w:highlight w:val="none"/>
        </w:rPr>
      </w:pPr>
      <w:r>
        <w:rPr>
          <w:rFonts w:hint="eastAsia" w:ascii="宋体" w:hAnsi="宋体"/>
          <w:color w:val="000000"/>
          <w:sz w:val="24"/>
          <w:highlight w:val="none"/>
        </w:rPr>
        <w:t xml:space="preserve">      1.投标人概况</w:t>
      </w:r>
    </w:p>
    <w:p w14:paraId="4DE7945E">
      <w:pPr>
        <w:spacing w:line="460" w:lineRule="exact"/>
        <w:rPr>
          <w:rFonts w:ascii="宋体" w:hAnsi="宋体"/>
          <w:color w:val="000000"/>
          <w:sz w:val="24"/>
          <w:highlight w:val="none"/>
        </w:rPr>
      </w:pPr>
      <w:r>
        <w:rPr>
          <w:rFonts w:hint="eastAsia" w:ascii="宋体" w:hAnsi="宋体"/>
          <w:color w:val="000000"/>
          <w:sz w:val="24"/>
          <w:highlight w:val="none"/>
        </w:rPr>
        <w:t xml:space="preserve">      2.投标人技术能力</w:t>
      </w:r>
    </w:p>
    <w:p w14:paraId="66A5184F">
      <w:pPr>
        <w:spacing w:line="460" w:lineRule="exact"/>
        <w:rPr>
          <w:rFonts w:ascii="宋体" w:hAnsi="宋体"/>
          <w:color w:val="000000"/>
          <w:sz w:val="24"/>
          <w:highlight w:val="none"/>
        </w:rPr>
      </w:pPr>
      <w:r>
        <w:rPr>
          <w:rFonts w:hint="eastAsia" w:ascii="宋体" w:hAnsi="宋体"/>
          <w:color w:val="000000"/>
          <w:sz w:val="24"/>
          <w:highlight w:val="none"/>
        </w:rPr>
        <w:t xml:space="preserve">      3.投标人财务状况</w:t>
      </w:r>
    </w:p>
    <w:p w14:paraId="2BCCFE5A">
      <w:pPr>
        <w:spacing w:line="460" w:lineRule="exact"/>
        <w:rPr>
          <w:rFonts w:ascii="宋体" w:hAnsi="宋体"/>
          <w:color w:val="000000"/>
          <w:sz w:val="24"/>
          <w:highlight w:val="none"/>
        </w:rPr>
      </w:pPr>
      <w:r>
        <w:rPr>
          <w:rFonts w:hint="eastAsia" w:ascii="宋体" w:hAnsi="宋体"/>
          <w:color w:val="000000"/>
          <w:sz w:val="24"/>
          <w:highlight w:val="none"/>
        </w:rPr>
        <w:t xml:space="preserve">      4.营业执照副本</w:t>
      </w:r>
    </w:p>
    <w:p w14:paraId="7979A466">
      <w:pPr>
        <w:spacing w:line="460" w:lineRule="exact"/>
        <w:rPr>
          <w:rFonts w:ascii="宋体" w:hAnsi="宋体"/>
          <w:color w:val="000000"/>
          <w:sz w:val="24"/>
          <w:highlight w:val="none"/>
        </w:rPr>
      </w:pPr>
      <w:r>
        <w:rPr>
          <w:rFonts w:hint="eastAsia" w:ascii="宋体" w:hAnsi="宋体"/>
          <w:color w:val="000000"/>
          <w:sz w:val="24"/>
          <w:highlight w:val="none"/>
        </w:rPr>
        <w:t xml:space="preserve">      5.授权委托书</w:t>
      </w:r>
    </w:p>
    <w:p w14:paraId="4348914E">
      <w:pPr>
        <w:spacing w:line="460" w:lineRule="exact"/>
        <w:rPr>
          <w:rFonts w:ascii="宋体" w:hAnsi="宋体"/>
          <w:color w:val="000000"/>
          <w:sz w:val="24"/>
          <w:highlight w:val="none"/>
        </w:rPr>
      </w:pPr>
      <w:r>
        <w:rPr>
          <w:rFonts w:hint="eastAsia" w:ascii="宋体" w:hAnsi="宋体"/>
          <w:color w:val="000000"/>
          <w:sz w:val="24"/>
          <w:highlight w:val="none"/>
        </w:rPr>
        <w:t xml:space="preserve">      6.制造商授权书格式</w:t>
      </w:r>
    </w:p>
    <w:p w14:paraId="629ACA97">
      <w:pPr>
        <w:spacing w:line="460" w:lineRule="exact"/>
        <w:rPr>
          <w:rFonts w:ascii="宋体" w:hAnsi="宋体"/>
          <w:color w:val="000000"/>
          <w:sz w:val="24"/>
          <w:highlight w:val="none"/>
        </w:rPr>
      </w:pPr>
      <w:r>
        <w:rPr>
          <w:rFonts w:hint="eastAsia" w:ascii="宋体" w:hAnsi="宋体"/>
          <w:color w:val="000000"/>
          <w:sz w:val="24"/>
          <w:highlight w:val="none"/>
        </w:rPr>
        <w:t xml:space="preserve">      7.联合投标协议（如果有的话）</w:t>
      </w:r>
    </w:p>
    <w:p w14:paraId="4103E002">
      <w:pPr>
        <w:spacing w:line="460" w:lineRule="exact"/>
        <w:rPr>
          <w:rFonts w:ascii="宋体" w:hAnsi="宋体"/>
          <w:color w:val="000000"/>
          <w:sz w:val="24"/>
          <w:highlight w:val="none"/>
        </w:rPr>
      </w:pPr>
      <w:r>
        <w:rPr>
          <w:rFonts w:hint="eastAsia" w:ascii="宋体" w:hAnsi="宋体"/>
          <w:color w:val="000000"/>
          <w:sz w:val="24"/>
          <w:highlight w:val="none"/>
        </w:rPr>
        <w:t>三、证明货物的合格性和符合招标文件规定的文件</w:t>
      </w:r>
    </w:p>
    <w:p w14:paraId="656A6EA1">
      <w:pPr>
        <w:numPr>
          <w:ilvl w:val="0"/>
          <w:numId w:val="15"/>
        </w:numPr>
        <w:spacing w:line="460" w:lineRule="exact"/>
        <w:rPr>
          <w:rFonts w:ascii="宋体" w:hAnsi="宋体"/>
          <w:color w:val="000000"/>
          <w:sz w:val="24"/>
          <w:highlight w:val="none"/>
        </w:rPr>
      </w:pPr>
      <w:r>
        <w:rPr>
          <w:rFonts w:hint="eastAsia" w:ascii="宋体" w:hAnsi="宋体"/>
          <w:color w:val="000000"/>
          <w:sz w:val="24"/>
          <w:highlight w:val="none"/>
        </w:rPr>
        <w:t>质量保证书</w:t>
      </w:r>
    </w:p>
    <w:p w14:paraId="19753292">
      <w:pPr>
        <w:numPr>
          <w:ilvl w:val="0"/>
          <w:numId w:val="15"/>
        </w:numPr>
        <w:spacing w:line="460" w:lineRule="exact"/>
        <w:rPr>
          <w:rFonts w:ascii="宋体" w:hAnsi="宋体"/>
          <w:color w:val="000000"/>
          <w:sz w:val="24"/>
          <w:highlight w:val="none"/>
        </w:rPr>
      </w:pPr>
      <w:r>
        <w:rPr>
          <w:rFonts w:hint="eastAsia" w:ascii="宋体" w:hAnsi="宋体"/>
          <w:color w:val="000000"/>
          <w:sz w:val="24"/>
          <w:highlight w:val="none"/>
        </w:rPr>
        <w:t>有关部门的检测报告（如有）</w:t>
      </w:r>
    </w:p>
    <w:p w14:paraId="0D63472F">
      <w:pPr>
        <w:spacing w:line="460" w:lineRule="exact"/>
        <w:rPr>
          <w:rFonts w:ascii="宋体" w:hAnsi="宋体"/>
          <w:color w:val="000000"/>
          <w:sz w:val="24"/>
          <w:highlight w:val="none"/>
        </w:rPr>
      </w:pPr>
      <w:r>
        <w:rPr>
          <w:rFonts w:hint="eastAsia" w:ascii="宋体" w:hAnsi="宋体"/>
          <w:color w:val="000000"/>
          <w:sz w:val="24"/>
          <w:highlight w:val="none"/>
        </w:rPr>
        <w:t xml:space="preserve">      3. 货物组成（供货范围表）</w:t>
      </w:r>
    </w:p>
    <w:p w14:paraId="06D8C623">
      <w:pPr>
        <w:spacing w:line="460" w:lineRule="exact"/>
        <w:rPr>
          <w:rFonts w:ascii="宋体" w:hAnsi="宋体"/>
          <w:color w:val="000000"/>
          <w:sz w:val="24"/>
          <w:highlight w:val="none"/>
        </w:rPr>
      </w:pPr>
      <w:r>
        <w:rPr>
          <w:rFonts w:hint="eastAsia" w:ascii="宋体" w:hAnsi="宋体"/>
          <w:color w:val="000000"/>
          <w:sz w:val="24"/>
          <w:highlight w:val="none"/>
        </w:rPr>
        <w:t xml:space="preserve">      4.投标货物规格响应表格式</w:t>
      </w:r>
    </w:p>
    <w:p w14:paraId="08868C90">
      <w:pPr>
        <w:spacing w:line="460" w:lineRule="exact"/>
        <w:rPr>
          <w:rFonts w:ascii="宋体" w:hAnsi="宋体"/>
          <w:color w:val="000000"/>
          <w:sz w:val="24"/>
          <w:highlight w:val="none"/>
        </w:rPr>
      </w:pPr>
      <w:r>
        <w:rPr>
          <w:rFonts w:hint="eastAsia" w:ascii="宋体" w:hAnsi="宋体"/>
          <w:color w:val="000000"/>
          <w:sz w:val="24"/>
          <w:highlight w:val="none"/>
        </w:rPr>
        <w:t xml:space="preserve">      5. 商务条款偏离表</w:t>
      </w:r>
    </w:p>
    <w:p w14:paraId="244EB18E">
      <w:pPr>
        <w:spacing w:line="460" w:lineRule="exact"/>
        <w:rPr>
          <w:rFonts w:ascii="宋体" w:hAnsi="宋体"/>
          <w:color w:val="000000"/>
          <w:sz w:val="24"/>
          <w:highlight w:val="none"/>
        </w:rPr>
      </w:pPr>
      <w:r>
        <w:rPr>
          <w:rFonts w:hint="eastAsia" w:ascii="宋体" w:hAnsi="宋体"/>
          <w:color w:val="000000"/>
          <w:sz w:val="24"/>
          <w:highlight w:val="none"/>
        </w:rPr>
        <w:t xml:space="preserve">      6.服务（培训、售后服务等）</w:t>
      </w:r>
    </w:p>
    <w:p w14:paraId="5B4190B3">
      <w:pPr>
        <w:spacing w:line="460" w:lineRule="exact"/>
        <w:rPr>
          <w:rFonts w:ascii="宋体" w:hAnsi="宋体"/>
          <w:color w:val="000000"/>
          <w:sz w:val="24"/>
          <w:highlight w:val="none"/>
        </w:rPr>
      </w:pPr>
      <w:r>
        <w:rPr>
          <w:rFonts w:hint="eastAsia" w:ascii="宋体" w:hAnsi="宋体"/>
          <w:color w:val="000000"/>
          <w:sz w:val="24"/>
          <w:highlight w:val="none"/>
        </w:rPr>
        <w:t xml:space="preserve">      7.经营业绩</w:t>
      </w:r>
    </w:p>
    <w:p w14:paraId="07881DA7">
      <w:pPr>
        <w:spacing w:line="460" w:lineRule="exact"/>
        <w:rPr>
          <w:rFonts w:ascii="宋体" w:hAnsi="宋体"/>
          <w:color w:val="000000"/>
          <w:sz w:val="24"/>
          <w:highlight w:val="none"/>
        </w:rPr>
      </w:pPr>
      <w:r>
        <w:rPr>
          <w:rFonts w:hint="eastAsia" w:ascii="宋体" w:hAnsi="宋体"/>
          <w:color w:val="000000"/>
          <w:sz w:val="24"/>
          <w:highlight w:val="none"/>
        </w:rPr>
        <w:t xml:space="preserve">      8.投标人认为需要提供的其他资料</w:t>
      </w:r>
    </w:p>
    <w:p w14:paraId="48B5B343">
      <w:pPr>
        <w:spacing w:line="460" w:lineRule="exact"/>
        <w:rPr>
          <w:rFonts w:ascii="宋体" w:hAnsi="宋体"/>
          <w:color w:val="000000"/>
          <w:sz w:val="24"/>
          <w:highlight w:val="none"/>
        </w:rPr>
      </w:pPr>
    </w:p>
    <w:p w14:paraId="4DF18EF8">
      <w:pPr>
        <w:spacing w:line="460" w:lineRule="exact"/>
        <w:rPr>
          <w:rFonts w:ascii="宋体" w:hAnsi="宋体"/>
          <w:color w:val="000000"/>
          <w:sz w:val="24"/>
          <w:highlight w:val="none"/>
        </w:rPr>
      </w:pPr>
    </w:p>
    <w:p w14:paraId="592CA8F7">
      <w:pPr>
        <w:spacing w:line="460" w:lineRule="exact"/>
        <w:rPr>
          <w:rFonts w:ascii="宋体" w:hAnsi="宋体"/>
          <w:color w:val="000000"/>
          <w:sz w:val="24"/>
          <w:highlight w:val="none"/>
        </w:rPr>
      </w:pPr>
    </w:p>
    <w:p w14:paraId="65C4CD36">
      <w:pPr>
        <w:spacing w:line="460" w:lineRule="exact"/>
        <w:rPr>
          <w:rFonts w:ascii="宋体" w:hAnsi="宋体"/>
          <w:color w:val="000000"/>
          <w:sz w:val="24"/>
          <w:highlight w:val="none"/>
        </w:rPr>
      </w:pPr>
    </w:p>
    <w:p w14:paraId="0B42A2BC">
      <w:pPr>
        <w:spacing w:line="460" w:lineRule="exact"/>
        <w:rPr>
          <w:rFonts w:ascii="宋体" w:hAnsi="宋体"/>
          <w:color w:val="000000"/>
          <w:sz w:val="24"/>
          <w:highlight w:val="none"/>
        </w:rPr>
      </w:pPr>
    </w:p>
    <w:p w14:paraId="1C8D9D88">
      <w:pPr>
        <w:spacing w:line="460" w:lineRule="exact"/>
        <w:rPr>
          <w:rFonts w:ascii="宋体" w:hAnsi="宋体"/>
          <w:color w:val="000000"/>
          <w:sz w:val="24"/>
          <w:highlight w:val="none"/>
        </w:rPr>
      </w:pPr>
    </w:p>
    <w:p w14:paraId="6142A0C4">
      <w:pPr>
        <w:spacing w:line="460" w:lineRule="exact"/>
        <w:rPr>
          <w:rFonts w:ascii="宋体" w:hAnsi="宋体"/>
          <w:color w:val="000000"/>
          <w:sz w:val="24"/>
          <w:highlight w:val="none"/>
        </w:rPr>
      </w:pPr>
    </w:p>
    <w:p w14:paraId="34A288D8">
      <w:pPr>
        <w:spacing w:line="460" w:lineRule="exact"/>
        <w:rPr>
          <w:rFonts w:ascii="宋体" w:hAnsi="宋体"/>
          <w:color w:val="000000"/>
          <w:sz w:val="24"/>
          <w:highlight w:val="none"/>
        </w:rPr>
      </w:pPr>
    </w:p>
    <w:p w14:paraId="52251D0F">
      <w:pPr>
        <w:spacing w:line="460" w:lineRule="exact"/>
        <w:rPr>
          <w:rFonts w:ascii="宋体" w:hAnsi="宋体"/>
          <w:color w:val="000000"/>
          <w:sz w:val="24"/>
          <w:highlight w:val="none"/>
        </w:rPr>
      </w:pPr>
    </w:p>
    <w:p w14:paraId="64E42490">
      <w:pPr>
        <w:spacing w:line="460" w:lineRule="exact"/>
        <w:rPr>
          <w:rFonts w:ascii="宋体" w:hAnsi="宋体"/>
          <w:color w:val="000000"/>
          <w:sz w:val="24"/>
          <w:highlight w:val="none"/>
        </w:rPr>
      </w:pPr>
    </w:p>
    <w:p w14:paraId="7B74F895">
      <w:pPr>
        <w:numPr>
          <w:ilvl w:val="0"/>
          <w:numId w:val="16"/>
        </w:numPr>
        <w:spacing w:line="560" w:lineRule="exact"/>
        <w:jc w:val="center"/>
        <w:rPr>
          <w:rFonts w:ascii="楷体_GB2312" w:eastAsia="楷体_GB2312"/>
          <w:b/>
          <w:color w:val="000000"/>
          <w:sz w:val="44"/>
          <w:highlight w:val="none"/>
        </w:rPr>
      </w:pPr>
      <w:r>
        <w:rPr>
          <w:rFonts w:hint="eastAsia" w:ascii="楷体_GB2312" w:eastAsia="楷体_GB2312"/>
          <w:b/>
          <w:color w:val="000000"/>
          <w:sz w:val="44"/>
          <w:highlight w:val="none"/>
        </w:rPr>
        <w:t>投标书及其附件</w:t>
      </w:r>
    </w:p>
    <w:p w14:paraId="2C67B63E">
      <w:pPr>
        <w:spacing w:line="560" w:lineRule="exact"/>
        <w:rPr>
          <w:rFonts w:ascii="楷体_GB2312" w:eastAsia="楷体_GB2312"/>
          <w:color w:val="000000"/>
          <w:sz w:val="24"/>
          <w:highlight w:val="none"/>
        </w:rPr>
      </w:pPr>
    </w:p>
    <w:p w14:paraId="78571DCD">
      <w:pPr>
        <w:spacing w:line="560" w:lineRule="exact"/>
        <w:rPr>
          <w:rFonts w:ascii="楷体_GB2312" w:eastAsia="楷体_GB2312"/>
          <w:color w:val="000000"/>
          <w:sz w:val="24"/>
          <w:highlight w:val="none"/>
        </w:rPr>
      </w:pPr>
    </w:p>
    <w:p w14:paraId="6FF7E09C">
      <w:pPr>
        <w:widowControl/>
        <w:jc w:val="left"/>
        <w:rPr>
          <w:rFonts w:ascii="楷体_GB2312" w:eastAsia="楷体_GB2312"/>
          <w:color w:val="000000"/>
          <w:sz w:val="24"/>
          <w:highlight w:val="none"/>
        </w:rPr>
        <w:sectPr>
          <w:pgSz w:w="11906" w:h="16838"/>
          <w:pgMar w:top="1440" w:right="1800" w:bottom="1440" w:left="1800" w:header="851" w:footer="992" w:gutter="0"/>
          <w:cols w:space="720" w:num="1"/>
          <w:docGrid w:type="lines" w:linePitch="312" w:charSpace="0"/>
        </w:sectPr>
      </w:pPr>
    </w:p>
    <w:p w14:paraId="02A6220C">
      <w:pPr>
        <w:numPr>
          <w:ilvl w:val="0"/>
          <w:numId w:val="17"/>
        </w:numPr>
        <w:spacing w:line="560" w:lineRule="exact"/>
        <w:jc w:val="center"/>
        <w:rPr>
          <w:rFonts w:ascii="黑体" w:eastAsia="黑体"/>
          <w:color w:val="000000"/>
          <w:sz w:val="36"/>
          <w:highlight w:val="none"/>
        </w:rPr>
      </w:pPr>
      <w:r>
        <w:rPr>
          <w:rFonts w:hint="eastAsia" w:ascii="黑体" w:eastAsia="黑体"/>
          <w:color w:val="000000"/>
          <w:sz w:val="36"/>
          <w:highlight w:val="none"/>
        </w:rPr>
        <w:t>投标书格式</w:t>
      </w:r>
    </w:p>
    <w:p w14:paraId="77A2B6A8">
      <w:pPr>
        <w:spacing w:line="720" w:lineRule="exact"/>
        <w:rPr>
          <w:rFonts w:ascii="楷体_GB2312" w:eastAsia="楷体_GB2312"/>
          <w:b/>
          <w:color w:val="000000"/>
          <w:sz w:val="30"/>
          <w:highlight w:val="none"/>
        </w:rPr>
      </w:pPr>
      <w:r>
        <w:rPr>
          <w:rFonts w:hint="eastAsia" w:ascii="楷体_GB2312" w:eastAsia="楷体_GB2312"/>
          <w:color w:val="000000"/>
          <w:sz w:val="24"/>
          <w:highlight w:val="none"/>
        </w:rPr>
        <w:t xml:space="preserve">                                </w:t>
      </w:r>
      <w:r>
        <w:rPr>
          <w:rFonts w:hint="eastAsia" w:ascii="楷体_GB2312" w:eastAsia="楷体_GB2312"/>
          <w:b/>
          <w:color w:val="000000"/>
          <w:sz w:val="30"/>
          <w:highlight w:val="none"/>
        </w:rPr>
        <w:t>投标书</w:t>
      </w:r>
    </w:p>
    <w:p w14:paraId="21D19248">
      <w:pPr>
        <w:spacing w:line="480" w:lineRule="exact"/>
        <w:rPr>
          <w:rFonts w:ascii="楷体_GB2312" w:eastAsia="楷体_GB2312"/>
          <w:color w:val="000000"/>
          <w:sz w:val="24"/>
          <w:highlight w:val="none"/>
        </w:rPr>
      </w:pPr>
      <w:r>
        <w:rPr>
          <w:rFonts w:hint="eastAsia" w:ascii="宋体" w:hAnsi="宋体"/>
          <w:color w:val="000000"/>
          <w:spacing w:val="28"/>
          <w:sz w:val="24"/>
          <w:highlight w:val="none"/>
        </w:rPr>
        <w:t>江苏长江水务股份有限公司</w:t>
      </w:r>
      <w:r>
        <w:rPr>
          <w:rFonts w:hint="eastAsia" w:ascii="楷体_GB2312" w:eastAsia="楷体_GB2312"/>
          <w:color w:val="000000"/>
          <w:sz w:val="24"/>
          <w:highlight w:val="none"/>
        </w:rPr>
        <w:t>：</w:t>
      </w:r>
    </w:p>
    <w:p w14:paraId="70DDEBFE">
      <w:pPr>
        <w:spacing w:line="480" w:lineRule="exact"/>
        <w:ind w:firstLine="480"/>
        <w:rPr>
          <w:rFonts w:ascii="宋体" w:hAnsi="宋体"/>
          <w:color w:val="000000"/>
          <w:sz w:val="24"/>
          <w:highlight w:val="none"/>
        </w:rPr>
      </w:pPr>
      <w:r>
        <w:rPr>
          <w:rFonts w:hint="eastAsia" w:ascii="宋体" w:hAnsi="宋体"/>
          <w:color w:val="000000"/>
          <w:sz w:val="24"/>
          <w:highlight w:val="none"/>
        </w:rPr>
        <w:t>你们</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招标文件（包括补充文件，如果有的话）收悉，我们经详细审阅和研究，现决定参加投标。</w:t>
      </w:r>
    </w:p>
    <w:p w14:paraId="63C6E60A">
      <w:pPr>
        <w:spacing w:line="480" w:lineRule="exact"/>
        <w:rPr>
          <w:rFonts w:ascii="宋体" w:hAnsi="宋体"/>
          <w:color w:val="000000"/>
          <w:sz w:val="24"/>
          <w:highlight w:val="none"/>
        </w:rPr>
      </w:pPr>
      <w:r>
        <w:rPr>
          <w:rFonts w:hint="eastAsia" w:ascii="宋体" w:hAnsi="宋体"/>
          <w:color w:val="000000"/>
          <w:sz w:val="24"/>
          <w:highlight w:val="none"/>
        </w:rPr>
        <w:t xml:space="preserve">    1.我们愿按照招标文件中的条款、要求，提供所需的招标货物及一切相关的服务，投标价为</w:t>
      </w:r>
      <w:r>
        <w:rPr>
          <w:rFonts w:hint="eastAsia" w:ascii="宋体" w:hAnsi="宋体"/>
          <w:color w:val="000000"/>
          <w:sz w:val="24"/>
          <w:highlight w:val="none"/>
          <w:u w:val="single"/>
        </w:rPr>
        <w:t xml:space="preserve">（币种及金额） </w:t>
      </w:r>
      <w:r>
        <w:rPr>
          <w:rFonts w:hint="eastAsia" w:ascii="宋体" w:hAnsi="宋体"/>
          <w:color w:val="000000"/>
          <w:sz w:val="24"/>
          <w:highlight w:val="none"/>
        </w:rPr>
        <w:t>。</w:t>
      </w:r>
    </w:p>
    <w:p w14:paraId="3C0DAA44">
      <w:pPr>
        <w:spacing w:line="480" w:lineRule="exact"/>
        <w:ind w:firstLine="420"/>
        <w:rPr>
          <w:rFonts w:ascii="宋体" w:hAnsi="宋体"/>
          <w:color w:val="000000"/>
          <w:sz w:val="24"/>
          <w:highlight w:val="none"/>
        </w:rPr>
      </w:pPr>
      <w:r>
        <w:rPr>
          <w:rFonts w:hint="eastAsia" w:ascii="宋体" w:hAnsi="宋体"/>
          <w:color w:val="000000"/>
          <w:sz w:val="24"/>
          <w:highlight w:val="none"/>
        </w:rPr>
        <w:t>2.如果我们中标，我们将在</w:t>
      </w:r>
      <w:r>
        <w:rPr>
          <w:rFonts w:hint="eastAsia" w:ascii="宋体" w:hAnsi="宋体"/>
          <w:color w:val="000000"/>
          <w:sz w:val="24"/>
          <w:highlight w:val="none"/>
          <w:u w:val="single"/>
        </w:rPr>
        <w:t xml:space="preserve">           </w:t>
      </w:r>
      <w:r>
        <w:rPr>
          <w:rFonts w:hint="eastAsia" w:ascii="宋体" w:hAnsi="宋体"/>
          <w:color w:val="000000"/>
          <w:sz w:val="24"/>
          <w:highlight w:val="none"/>
        </w:rPr>
        <w:t>之后的</w:t>
      </w:r>
      <w:r>
        <w:rPr>
          <w:rFonts w:hint="eastAsia" w:ascii="宋体" w:hAnsi="宋体"/>
          <w:color w:val="000000"/>
          <w:sz w:val="24"/>
          <w:highlight w:val="none"/>
          <w:u w:val="single"/>
        </w:rPr>
        <w:t xml:space="preserve">       </w:t>
      </w:r>
      <w:r>
        <w:rPr>
          <w:rFonts w:hint="eastAsia" w:ascii="宋体" w:hAnsi="宋体"/>
          <w:color w:val="000000"/>
          <w:sz w:val="24"/>
          <w:highlight w:val="none"/>
        </w:rPr>
        <w:t>天内交货。</w:t>
      </w:r>
    </w:p>
    <w:p w14:paraId="0F340448">
      <w:pPr>
        <w:spacing w:line="480" w:lineRule="exact"/>
        <w:ind w:firstLine="420"/>
        <w:rPr>
          <w:rFonts w:ascii="宋体" w:hAnsi="宋体"/>
          <w:color w:val="000000"/>
          <w:sz w:val="24"/>
          <w:highlight w:val="none"/>
        </w:rPr>
      </w:pPr>
      <w:r>
        <w:rPr>
          <w:rFonts w:hint="eastAsia" w:ascii="宋体" w:hAnsi="宋体"/>
          <w:color w:val="000000"/>
          <w:sz w:val="24"/>
          <w:highlight w:val="none"/>
        </w:rPr>
        <w:t>3.我们同意招标文件 “投标人须知”的规定，本投标文件在有效期内，将始终对我们具有约束力，并可随时被接受。如果我们入围，本投标文件在此期间之后将继续保持有效，直至合同生效。</w:t>
      </w:r>
    </w:p>
    <w:p w14:paraId="162EB82A">
      <w:pPr>
        <w:spacing w:line="480" w:lineRule="exact"/>
        <w:rPr>
          <w:rFonts w:ascii="宋体" w:hAnsi="宋体"/>
          <w:color w:val="000000"/>
          <w:sz w:val="24"/>
          <w:highlight w:val="none"/>
        </w:rPr>
      </w:pPr>
      <w:r>
        <w:rPr>
          <w:rFonts w:hint="eastAsia" w:ascii="宋体" w:hAnsi="宋体"/>
          <w:color w:val="000000"/>
          <w:sz w:val="24"/>
          <w:highlight w:val="none"/>
        </w:rPr>
        <w:t xml:space="preserve">    4.我们同意提供招标人要求的有关本次招标的所有资料。</w:t>
      </w:r>
    </w:p>
    <w:p w14:paraId="6988D64B">
      <w:pPr>
        <w:spacing w:line="480" w:lineRule="exact"/>
        <w:ind w:firstLine="480"/>
        <w:rPr>
          <w:rFonts w:ascii="宋体" w:hAnsi="宋体"/>
          <w:color w:val="000000"/>
          <w:sz w:val="24"/>
          <w:highlight w:val="none"/>
        </w:rPr>
      </w:pPr>
      <w:r>
        <w:rPr>
          <w:rFonts w:hint="eastAsia" w:ascii="宋体" w:hAnsi="宋体"/>
          <w:color w:val="000000"/>
          <w:sz w:val="24"/>
          <w:highlight w:val="none"/>
        </w:rPr>
        <w:t>5.我们理解，你们无义务必须接受投标价最低的投标，并有权拒绝所有的投标。</w:t>
      </w:r>
    </w:p>
    <w:p w14:paraId="6E55BA9A">
      <w:pPr>
        <w:spacing w:line="480" w:lineRule="exact"/>
        <w:ind w:firstLine="480"/>
        <w:rPr>
          <w:rFonts w:ascii="宋体" w:hAnsi="宋体"/>
          <w:color w:val="000000"/>
          <w:sz w:val="24"/>
          <w:highlight w:val="none"/>
        </w:rPr>
      </w:pPr>
      <w:r>
        <w:rPr>
          <w:rFonts w:hint="eastAsia" w:ascii="宋体" w:hAnsi="宋体"/>
          <w:color w:val="000000"/>
          <w:sz w:val="24"/>
          <w:highlight w:val="none"/>
        </w:rPr>
        <w:t>6.如果我们中标，为执行合同，我们将按招标文件的要求提供必要的履约保证。</w:t>
      </w:r>
    </w:p>
    <w:p w14:paraId="5C26E512">
      <w:pPr>
        <w:spacing w:line="480" w:lineRule="exact"/>
        <w:rPr>
          <w:rFonts w:ascii="楷体_GB2312" w:eastAsia="楷体_GB2312"/>
          <w:color w:val="000000"/>
          <w:sz w:val="24"/>
          <w:highlight w:val="none"/>
        </w:rPr>
      </w:pPr>
    </w:p>
    <w:p w14:paraId="544B8967">
      <w:pPr>
        <w:spacing w:line="480" w:lineRule="exact"/>
        <w:rPr>
          <w:rFonts w:ascii="楷体_GB2312" w:eastAsia="楷体_GB2312"/>
          <w:color w:val="000000"/>
          <w:sz w:val="24"/>
          <w:highlight w:val="none"/>
        </w:rPr>
      </w:pPr>
    </w:p>
    <w:p w14:paraId="50E346B7">
      <w:pPr>
        <w:spacing w:line="480" w:lineRule="exact"/>
        <w:rPr>
          <w:rFonts w:ascii="楷体_GB2312" w:eastAsia="楷体_GB2312"/>
          <w:color w:val="000000"/>
          <w:sz w:val="24"/>
          <w:highlight w:val="none"/>
        </w:rPr>
      </w:pPr>
      <w:r>
        <w:rPr>
          <w:rFonts w:hint="eastAsia" w:ascii="楷体_GB2312" w:eastAsia="楷体_GB2312"/>
          <w:color w:val="000000"/>
          <w:sz w:val="24"/>
          <w:highlight w:val="none"/>
        </w:rPr>
        <w:t xml:space="preserve">                     </w:t>
      </w:r>
    </w:p>
    <w:p w14:paraId="6234D9CB">
      <w:pPr>
        <w:spacing w:line="480" w:lineRule="exact"/>
        <w:jc w:val="center"/>
        <w:rPr>
          <w:rFonts w:ascii="宋体" w:hAnsi="宋体"/>
          <w:color w:val="000000"/>
          <w:sz w:val="24"/>
          <w:highlight w:val="none"/>
        </w:rPr>
      </w:pPr>
      <w:r>
        <w:rPr>
          <w:rFonts w:hint="eastAsia" w:ascii="宋体" w:hAnsi="宋体"/>
          <w:color w:val="000000"/>
          <w:sz w:val="24"/>
          <w:highlight w:val="none"/>
        </w:rPr>
        <w:t xml:space="preserve">  投标人名称：</w:t>
      </w:r>
    </w:p>
    <w:p w14:paraId="68E45844">
      <w:pPr>
        <w:spacing w:line="480" w:lineRule="exact"/>
        <w:rPr>
          <w:rFonts w:ascii="宋体" w:hAnsi="宋体"/>
          <w:color w:val="000000"/>
          <w:sz w:val="24"/>
          <w:highlight w:val="none"/>
        </w:rPr>
      </w:pPr>
      <w:r>
        <w:rPr>
          <w:rFonts w:hint="eastAsia" w:ascii="宋体" w:hAnsi="宋体"/>
          <w:color w:val="000000"/>
          <w:sz w:val="24"/>
          <w:highlight w:val="none"/>
        </w:rPr>
        <w:t xml:space="preserve">                             （盖章）</w:t>
      </w:r>
    </w:p>
    <w:p w14:paraId="3A6CECD5">
      <w:pPr>
        <w:spacing w:line="480" w:lineRule="exact"/>
        <w:rPr>
          <w:rFonts w:ascii="宋体" w:hAnsi="宋体"/>
          <w:color w:val="000000"/>
          <w:sz w:val="24"/>
          <w:highlight w:val="none"/>
        </w:rPr>
      </w:pPr>
      <w:r>
        <w:rPr>
          <w:rFonts w:hint="eastAsia" w:ascii="宋体" w:hAnsi="宋体"/>
          <w:color w:val="000000"/>
          <w:sz w:val="24"/>
          <w:highlight w:val="none"/>
        </w:rPr>
        <w:t xml:space="preserve">                              地址：               邮编：</w:t>
      </w:r>
    </w:p>
    <w:p w14:paraId="53AC015C">
      <w:pPr>
        <w:spacing w:line="480" w:lineRule="exact"/>
        <w:rPr>
          <w:rFonts w:ascii="宋体" w:hAnsi="宋体"/>
          <w:color w:val="000000"/>
          <w:sz w:val="24"/>
          <w:highlight w:val="none"/>
        </w:rPr>
      </w:pPr>
      <w:r>
        <w:rPr>
          <w:rFonts w:hint="eastAsia" w:ascii="宋体" w:hAnsi="宋体"/>
          <w:color w:val="000000"/>
          <w:sz w:val="24"/>
          <w:highlight w:val="none"/>
        </w:rPr>
        <w:t xml:space="preserve">                              电话：               传真：</w:t>
      </w:r>
    </w:p>
    <w:p w14:paraId="14B7F790">
      <w:pPr>
        <w:spacing w:line="480" w:lineRule="exact"/>
        <w:rPr>
          <w:rFonts w:ascii="宋体" w:hAnsi="宋体"/>
          <w:color w:val="000000"/>
          <w:sz w:val="24"/>
          <w:highlight w:val="none"/>
        </w:rPr>
      </w:pPr>
      <w:r>
        <w:rPr>
          <w:rFonts w:hint="eastAsia" w:ascii="宋体" w:hAnsi="宋体"/>
          <w:color w:val="000000"/>
          <w:sz w:val="24"/>
          <w:highlight w:val="none"/>
        </w:rPr>
        <w:t xml:space="preserve">                              授权代表签字：</w:t>
      </w:r>
    </w:p>
    <w:p w14:paraId="1C5F5EC0">
      <w:pPr>
        <w:spacing w:line="480" w:lineRule="exact"/>
        <w:rPr>
          <w:rFonts w:ascii="宋体" w:hAnsi="宋体"/>
          <w:color w:val="000000"/>
          <w:sz w:val="24"/>
          <w:highlight w:val="none"/>
        </w:rPr>
      </w:pPr>
      <w:r>
        <w:rPr>
          <w:rFonts w:hint="eastAsia" w:ascii="宋体" w:hAnsi="宋体"/>
          <w:color w:val="000000"/>
          <w:sz w:val="24"/>
          <w:highlight w:val="none"/>
        </w:rPr>
        <w:t xml:space="preserve">                              职务：</w:t>
      </w:r>
    </w:p>
    <w:p w14:paraId="541A7DBA">
      <w:pPr>
        <w:spacing w:line="480" w:lineRule="exact"/>
        <w:rPr>
          <w:rFonts w:ascii="宋体" w:hAnsi="宋体"/>
          <w:color w:val="000000"/>
          <w:sz w:val="24"/>
          <w:highlight w:val="none"/>
        </w:rPr>
      </w:pPr>
      <w:r>
        <w:rPr>
          <w:rFonts w:hint="eastAsia" w:ascii="宋体" w:hAnsi="宋体"/>
          <w:color w:val="000000"/>
          <w:sz w:val="24"/>
          <w:highlight w:val="none"/>
        </w:rPr>
        <w:t xml:space="preserve">                              日期：</w:t>
      </w:r>
    </w:p>
    <w:p w14:paraId="4B2E6E68">
      <w:pPr>
        <w:spacing w:line="480" w:lineRule="exact"/>
        <w:rPr>
          <w:rFonts w:ascii="宋体" w:hAnsi="宋体"/>
          <w:color w:val="000000"/>
          <w:sz w:val="24"/>
          <w:highlight w:val="none"/>
        </w:rPr>
      </w:pPr>
    </w:p>
    <w:p w14:paraId="7806102E">
      <w:pPr>
        <w:spacing w:line="480" w:lineRule="exact"/>
        <w:rPr>
          <w:rFonts w:ascii="宋体" w:hAnsi="宋体"/>
          <w:color w:val="000000"/>
          <w:sz w:val="24"/>
          <w:highlight w:val="none"/>
        </w:rPr>
      </w:pPr>
    </w:p>
    <w:p w14:paraId="442FB831">
      <w:pPr>
        <w:spacing w:line="480" w:lineRule="exact"/>
        <w:rPr>
          <w:rFonts w:ascii="宋体" w:hAnsi="宋体"/>
          <w:color w:val="000000"/>
          <w:sz w:val="24"/>
          <w:highlight w:val="none"/>
        </w:rPr>
      </w:pPr>
    </w:p>
    <w:p w14:paraId="4CF4100D">
      <w:pPr>
        <w:spacing w:line="480" w:lineRule="exact"/>
        <w:rPr>
          <w:rFonts w:ascii="宋体" w:hAnsi="宋体"/>
          <w:color w:val="000000"/>
          <w:sz w:val="24"/>
          <w:highlight w:val="none"/>
        </w:rPr>
      </w:pPr>
    </w:p>
    <w:p w14:paraId="0A89E121">
      <w:pPr>
        <w:spacing w:line="560" w:lineRule="exact"/>
        <w:ind w:firstLine="2880" w:firstLineChars="800"/>
        <w:rPr>
          <w:rFonts w:ascii="黑体" w:eastAsia="黑体"/>
          <w:color w:val="000000"/>
          <w:sz w:val="36"/>
          <w:highlight w:val="none"/>
        </w:rPr>
      </w:pPr>
      <w:r>
        <w:rPr>
          <w:rFonts w:hint="eastAsia" w:ascii="黑体" w:eastAsia="黑体"/>
          <w:color w:val="000000"/>
          <w:sz w:val="36"/>
          <w:highlight w:val="none"/>
        </w:rPr>
        <w:t>2、开标一览表</w:t>
      </w:r>
    </w:p>
    <w:p w14:paraId="71C98D2B">
      <w:pPr>
        <w:pStyle w:val="18"/>
        <w:ind w:left="0" w:firstLine="0"/>
        <w:rPr>
          <w:color w:val="000000"/>
          <w:highlight w:val="none"/>
          <w:lang w:eastAsia="zh-CN"/>
        </w:rPr>
      </w:pPr>
      <w:r>
        <w:rPr>
          <w:rFonts w:hint="eastAsia"/>
          <w:color w:val="000000"/>
          <w:highlight w:val="none"/>
          <w:lang w:eastAsia="zh-CN"/>
        </w:rPr>
        <w:t xml:space="preserve">      项目名称:</w:t>
      </w:r>
    </w:p>
    <w:tbl>
      <w:tblPr>
        <w:tblStyle w:val="15"/>
        <w:tblW w:w="70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5"/>
        <w:gridCol w:w="2310"/>
        <w:gridCol w:w="817"/>
        <w:gridCol w:w="1721"/>
        <w:gridCol w:w="1572"/>
      </w:tblGrid>
      <w:tr w14:paraId="59C57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14:paraId="1882E5BE">
            <w:pPr>
              <w:spacing w:line="0" w:lineRule="atLeast"/>
              <w:jc w:val="center"/>
              <w:rPr>
                <w:rFonts w:ascii="宋体" w:hAnsi="宋体"/>
                <w:color w:val="000000"/>
                <w:szCs w:val="21"/>
                <w:highlight w:val="none"/>
              </w:rPr>
            </w:pPr>
            <w:r>
              <w:rPr>
                <w:rFonts w:hint="eastAsia" w:ascii="宋体" w:hAnsi="宋体"/>
                <w:color w:val="000000"/>
                <w:szCs w:val="21"/>
                <w:highlight w:val="none"/>
              </w:rPr>
              <w:t>序号</w:t>
            </w:r>
          </w:p>
        </w:tc>
        <w:tc>
          <w:tcPr>
            <w:tcW w:w="2310" w:type="dxa"/>
            <w:tcBorders>
              <w:top w:val="single" w:color="auto" w:sz="4" w:space="0"/>
              <w:left w:val="single" w:color="auto" w:sz="4" w:space="0"/>
              <w:bottom w:val="single" w:color="auto" w:sz="4" w:space="0"/>
              <w:right w:val="single" w:color="auto" w:sz="4" w:space="0"/>
            </w:tcBorders>
            <w:noWrap w:val="0"/>
            <w:vAlign w:val="center"/>
          </w:tcPr>
          <w:p w14:paraId="3F4F2907">
            <w:pPr>
              <w:spacing w:line="0" w:lineRule="atLeast"/>
              <w:jc w:val="center"/>
              <w:rPr>
                <w:rFonts w:ascii="宋体" w:hAnsi="宋体"/>
                <w:color w:val="000000"/>
                <w:szCs w:val="21"/>
                <w:highlight w:val="none"/>
              </w:rPr>
            </w:pPr>
            <w:r>
              <w:rPr>
                <w:rFonts w:hint="eastAsia" w:ascii="宋体" w:hAnsi="宋体"/>
                <w:color w:val="000000"/>
                <w:szCs w:val="21"/>
                <w:highlight w:val="none"/>
              </w:rPr>
              <w:t>类 别</w:t>
            </w:r>
          </w:p>
        </w:tc>
        <w:tc>
          <w:tcPr>
            <w:tcW w:w="817" w:type="dxa"/>
            <w:tcBorders>
              <w:top w:val="single" w:color="auto" w:sz="4" w:space="0"/>
              <w:left w:val="single" w:color="auto" w:sz="4" w:space="0"/>
              <w:bottom w:val="single" w:color="auto" w:sz="4" w:space="0"/>
              <w:right w:val="single" w:color="auto" w:sz="4" w:space="0"/>
            </w:tcBorders>
            <w:noWrap w:val="0"/>
            <w:vAlign w:val="center"/>
          </w:tcPr>
          <w:p w14:paraId="1CD37908">
            <w:pPr>
              <w:spacing w:line="0" w:lineRule="atLeast"/>
              <w:jc w:val="center"/>
              <w:rPr>
                <w:rFonts w:ascii="宋体" w:hAnsi="宋体"/>
                <w:color w:val="000000"/>
                <w:szCs w:val="21"/>
                <w:highlight w:val="none"/>
              </w:rPr>
            </w:pPr>
            <w:r>
              <w:rPr>
                <w:rFonts w:hint="eastAsia" w:ascii="宋体" w:hAnsi="宋体"/>
                <w:color w:val="000000"/>
                <w:szCs w:val="21"/>
                <w:highlight w:val="none"/>
              </w:rPr>
              <w:t>制造厂商</w:t>
            </w:r>
          </w:p>
        </w:tc>
        <w:tc>
          <w:tcPr>
            <w:tcW w:w="1721" w:type="dxa"/>
            <w:tcBorders>
              <w:top w:val="single" w:color="auto" w:sz="4" w:space="0"/>
              <w:left w:val="single" w:color="auto" w:sz="4" w:space="0"/>
              <w:bottom w:val="single" w:color="auto" w:sz="4" w:space="0"/>
              <w:right w:val="single" w:color="auto" w:sz="4" w:space="0"/>
            </w:tcBorders>
            <w:noWrap w:val="0"/>
            <w:vAlign w:val="center"/>
          </w:tcPr>
          <w:p w14:paraId="25888CF8">
            <w:pPr>
              <w:spacing w:line="0" w:lineRule="atLeast"/>
              <w:jc w:val="center"/>
              <w:rPr>
                <w:rFonts w:ascii="宋体" w:hAnsi="宋体"/>
                <w:color w:val="000000"/>
                <w:szCs w:val="21"/>
                <w:highlight w:val="none"/>
              </w:rPr>
            </w:pPr>
            <w:r>
              <w:rPr>
                <w:rFonts w:hint="eastAsia" w:ascii="宋体" w:hAnsi="宋体"/>
                <w:color w:val="000000"/>
                <w:szCs w:val="21"/>
                <w:highlight w:val="none"/>
              </w:rPr>
              <w:t>投标人报价</w:t>
            </w:r>
          </w:p>
        </w:tc>
        <w:tc>
          <w:tcPr>
            <w:tcW w:w="1572" w:type="dxa"/>
            <w:tcBorders>
              <w:top w:val="single" w:color="auto" w:sz="4" w:space="0"/>
              <w:left w:val="single" w:color="auto" w:sz="4" w:space="0"/>
              <w:bottom w:val="single" w:color="auto" w:sz="4" w:space="0"/>
              <w:right w:val="single" w:color="auto" w:sz="4" w:space="0"/>
            </w:tcBorders>
            <w:noWrap w:val="0"/>
            <w:vAlign w:val="center"/>
          </w:tcPr>
          <w:p w14:paraId="38BE64AD">
            <w:pPr>
              <w:spacing w:line="0" w:lineRule="atLeast"/>
              <w:jc w:val="center"/>
              <w:rPr>
                <w:rFonts w:ascii="宋体" w:hAnsi="宋体"/>
                <w:color w:val="000000"/>
                <w:szCs w:val="21"/>
                <w:highlight w:val="none"/>
              </w:rPr>
            </w:pPr>
            <w:r>
              <w:rPr>
                <w:rFonts w:hint="eastAsia" w:ascii="宋体" w:hAnsi="宋体"/>
                <w:color w:val="000000"/>
                <w:szCs w:val="21"/>
                <w:highlight w:val="none"/>
              </w:rPr>
              <w:t>品牌</w:t>
            </w:r>
          </w:p>
        </w:tc>
      </w:tr>
      <w:tr w14:paraId="70979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14:paraId="58C8D86F">
            <w:pPr>
              <w:spacing w:line="0" w:lineRule="atLeast"/>
              <w:jc w:val="center"/>
              <w:rPr>
                <w:rFonts w:ascii="宋体" w:hAnsi="宋体"/>
                <w:color w:val="000000"/>
                <w:szCs w:val="21"/>
                <w:highlight w:val="none"/>
              </w:rPr>
            </w:pPr>
            <w:r>
              <w:rPr>
                <w:rFonts w:hint="eastAsia" w:ascii="宋体" w:hAnsi="宋体"/>
                <w:color w:val="000000"/>
                <w:szCs w:val="21"/>
                <w:highlight w:val="none"/>
              </w:rPr>
              <w:t>1</w:t>
            </w:r>
          </w:p>
        </w:tc>
        <w:tc>
          <w:tcPr>
            <w:tcW w:w="2310" w:type="dxa"/>
            <w:tcBorders>
              <w:top w:val="single" w:color="auto" w:sz="4" w:space="0"/>
              <w:left w:val="single" w:color="auto" w:sz="4" w:space="0"/>
              <w:bottom w:val="single" w:color="auto" w:sz="4" w:space="0"/>
              <w:right w:val="single" w:color="auto" w:sz="4" w:space="0"/>
            </w:tcBorders>
            <w:noWrap w:val="0"/>
            <w:vAlign w:val="center"/>
          </w:tcPr>
          <w:p w14:paraId="129F8DE5">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14:paraId="138DA561">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14:paraId="05CEE4C7">
            <w:pPr>
              <w:widowControl/>
              <w:jc w:val="center"/>
              <w:textAlignment w:val="center"/>
              <w:rPr>
                <w:rFonts w:ascii="宋体" w:hAnsi="宋体"/>
                <w:color w:val="000000"/>
                <w:szCs w:val="21"/>
                <w:highlight w:val="none"/>
              </w:rPr>
            </w:pPr>
          </w:p>
        </w:tc>
        <w:tc>
          <w:tcPr>
            <w:tcW w:w="1572" w:type="dxa"/>
            <w:tcBorders>
              <w:top w:val="single" w:color="auto" w:sz="4" w:space="0"/>
              <w:left w:val="single" w:color="auto" w:sz="4" w:space="0"/>
              <w:right w:val="single" w:color="auto" w:sz="4" w:space="0"/>
            </w:tcBorders>
            <w:noWrap w:val="0"/>
            <w:vAlign w:val="center"/>
          </w:tcPr>
          <w:p w14:paraId="6E0866A0">
            <w:pPr>
              <w:tabs>
                <w:tab w:val="left" w:pos="236"/>
              </w:tabs>
              <w:spacing w:line="0" w:lineRule="atLeast"/>
              <w:jc w:val="left"/>
              <w:rPr>
                <w:rFonts w:ascii="宋体" w:hAnsi="宋体"/>
                <w:color w:val="000000"/>
                <w:szCs w:val="21"/>
                <w:highlight w:val="none"/>
              </w:rPr>
            </w:pPr>
          </w:p>
        </w:tc>
      </w:tr>
      <w:tr w14:paraId="3B8C4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14:paraId="5B4F21AE">
            <w:pPr>
              <w:spacing w:line="0" w:lineRule="atLeast"/>
              <w:jc w:val="center"/>
              <w:rPr>
                <w:rFonts w:ascii="宋体" w:hAnsi="宋体"/>
                <w:color w:val="000000"/>
                <w:szCs w:val="21"/>
                <w:highlight w:val="none"/>
              </w:rPr>
            </w:pPr>
            <w:r>
              <w:rPr>
                <w:rFonts w:hint="eastAsia" w:ascii="宋体" w:hAnsi="宋体"/>
                <w:color w:val="000000"/>
                <w:szCs w:val="21"/>
                <w:highlight w:val="none"/>
              </w:rPr>
              <w:t>2</w:t>
            </w:r>
          </w:p>
        </w:tc>
        <w:tc>
          <w:tcPr>
            <w:tcW w:w="2310" w:type="dxa"/>
            <w:tcBorders>
              <w:top w:val="single" w:color="auto" w:sz="4" w:space="0"/>
              <w:left w:val="single" w:color="auto" w:sz="4" w:space="0"/>
              <w:bottom w:val="single" w:color="auto" w:sz="4" w:space="0"/>
              <w:right w:val="single" w:color="auto" w:sz="4" w:space="0"/>
            </w:tcBorders>
            <w:noWrap w:val="0"/>
            <w:vAlign w:val="center"/>
          </w:tcPr>
          <w:p w14:paraId="73345FDB">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14:paraId="0B98FB18">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14:paraId="3C57556E">
            <w:pPr>
              <w:widowControl/>
              <w:jc w:val="center"/>
              <w:textAlignment w:val="center"/>
              <w:rPr>
                <w:rFonts w:ascii="宋体" w:hAnsi="宋体"/>
                <w:color w:val="000000"/>
                <w:szCs w:val="21"/>
                <w:highlight w:val="none"/>
              </w:rPr>
            </w:pPr>
          </w:p>
        </w:tc>
        <w:tc>
          <w:tcPr>
            <w:tcW w:w="1572" w:type="dxa"/>
            <w:tcBorders>
              <w:left w:val="single" w:color="auto" w:sz="4" w:space="0"/>
              <w:right w:val="single" w:color="auto" w:sz="4" w:space="0"/>
            </w:tcBorders>
            <w:noWrap w:val="0"/>
            <w:vAlign w:val="center"/>
          </w:tcPr>
          <w:p w14:paraId="3F22F5CD">
            <w:pPr>
              <w:spacing w:line="0" w:lineRule="atLeast"/>
              <w:jc w:val="center"/>
              <w:rPr>
                <w:rFonts w:ascii="宋体" w:hAnsi="宋体"/>
                <w:color w:val="000000"/>
                <w:szCs w:val="21"/>
                <w:highlight w:val="none"/>
              </w:rPr>
            </w:pPr>
          </w:p>
        </w:tc>
      </w:tr>
      <w:tr w14:paraId="2ED3D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14:paraId="374A078B">
            <w:pPr>
              <w:spacing w:line="0" w:lineRule="atLeast"/>
              <w:jc w:val="center"/>
              <w:rPr>
                <w:rFonts w:ascii="宋体" w:hAnsi="宋体"/>
                <w:color w:val="000000"/>
                <w:szCs w:val="21"/>
                <w:highlight w:val="none"/>
              </w:rPr>
            </w:pPr>
            <w:r>
              <w:rPr>
                <w:rFonts w:hint="eastAsia" w:ascii="宋体" w:hAnsi="宋体"/>
                <w:color w:val="000000"/>
                <w:szCs w:val="21"/>
                <w:highlight w:val="none"/>
              </w:rPr>
              <w:t>3</w:t>
            </w:r>
          </w:p>
        </w:tc>
        <w:tc>
          <w:tcPr>
            <w:tcW w:w="2310" w:type="dxa"/>
            <w:tcBorders>
              <w:top w:val="single" w:color="auto" w:sz="4" w:space="0"/>
              <w:left w:val="single" w:color="auto" w:sz="4" w:space="0"/>
              <w:bottom w:val="single" w:color="auto" w:sz="4" w:space="0"/>
              <w:right w:val="single" w:color="auto" w:sz="4" w:space="0"/>
            </w:tcBorders>
            <w:noWrap w:val="0"/>
            <w:vAlign w:val="center"/>
          </w:tcPr>
          <w:p w14:paraId="02143CCF">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14:paraId="6CCC1961">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14:paraId="5FD59297">
            <w:pPr>
              <w:widowControl/>
              <w:jc w:val="center"/>
              <w:textAlignment w:val="center"/>
              <w:rPr>
                <w:rFonts w:ascii="宋体" w:hAnsi="宋体"/>
                <w:color w:val="000000"/>
                <w:szCs w:val="21"/>
                <w:highlight w:val="none"/>
              </w:rPr>
            </w:pPr>
          </w:p>
        </w:tc>
        <w:tc>
          <w:tcPr>
            <w:tcW w:w="1572" w:type="dxa"/>
            <w:tcBorders>
              <w:left w:val="single" w:color="auto" w:sz="4" w:space="0"/>
              <w:right w:val="single" w:color="auto" w:sz="4" w:space="0"/>
            </w:tcBorders>
            <w:noWrap w:val="0"/>
            <w:vAlign w:val="center"/>
          </w:tcPr>
          <w:p w14:paraId="628E2F4D">
            <w:pPr>
              <w:spacing w:line="0" w:lineRule="atLeast"/>
              <w:jc w:val="center"/>
              <w:rPr>
                <w:rFonts w:ascii="宋体" w:hAnsi="宋体"/>
                <w:color w:val="000000"/>
                <w:szCs w:val="21"/>
                <w:highlight w:val="none"/>
              </w:rPr>
            </w:pPr>
          </w:p>
        </w:tc>
      </w:tr>
      <w:tr w14:paraId="3B0B2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14:paraId="5D40C87E">
            <w:pPr>
              <w:spacing w:line="0" w:lineRule="atLeast"/>
              <w:jc w:val="center"/>
              <w:rPr>
                <w:rFonts w:ascii="宋体" w:hAnsi="宋体"/>
                <w:color w:val="000000"/>
                <w:szCs w:val="21"/>
                <w:highlight w:val="none"/>
              </w:rPr>
            </w:pPr>
            <w:r>
              <w:rPr>
                <w:rFonts w:hint="eastAsia" w:ascii="宋体" w:hAnsi="宋体"/>
                <w:color w:val="000000"/>
                <w:szCs w:val="21"/>
                <w:highlight w:val="none"/>
              </w:rPr>
              <w:t>4</w:t>
            </w:r>
          </w:p>
        </w:tc>
        <w:tc>
          <w:tcPr>
            <w:tcW w:w="2310" w:type="dxa"/>
            <w:tcBorders>
              <w:top w:val="single" w:color="auto" w:sz="4" w:space="0"/>
              <w:left w:val="single" w:color="auto" w:sz="4" w:space="0"/>
              <w:bottom w:val="single" w:color="auto" w:sz="4" w:space="0"/>
              <w:right w:val="single" w:color="auto" w:sz="4" w:space="0"/>
            </w:tcBorders>
            <w:noWrap w:val="0"/>
            <w:vAlign w:val="center"/>
          </w:tcPr>
          <w:p w14:paraId="6E6C458C">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14:paraId="7E788B9F">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14:paraId="218A9312">
            <w:pPr>
              <w:widowControl/>
              <w:jc w:val="center"/>
              <w:textAlignment w:val="center"/>
              <w:rPr>
                <w:rFonts w:ascii="宋体" w:hAnsi="宋体"/>
                <w:color w:val="000000"/>
                <w:szCs w:val="21"/>
                <w:highlight w:val="none"/>
              </w:rPr>
            </w:pPr>
          </w:p>
        </w:tc>
        <w:tc>
          <w:tcPr>
            <w:tcW w:w="1572" w:type="dxa"/>
            <w:tcBorders>
              <w:left w:val="single" w:color="auto" w:sz="4" w:space="0"/>
              <w:right w:val="single" w:color="auto" w:sz="4" w:space="0"/>
            </w:tcBorders>
            <w:noWrap w:val="0"/>
            <w:vAlign w:val="center"/>
          </w:tcPr>
          <w:p w14:paraId="6B99577B">
            <w:pPr>
              <w:spacing w:line="0" w:lineRule="atLeast"/>
              <w:jc w:val="center"/>
              <w:rPr>
                <w:rFonts w:ascii="宋体" w:hAnsi="宋体"/>
                <w:color w:val="000000"/>
                <w:szCs w:val="21"/>
                <w:highlight w:val="none"/>
              </w:rPr>
            </w:pPr>
          </w:p>
        </w:tc>
      </w:tr>
      <w:tr w14:paraId="3BC3C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615" w:type="dxa"/>
            <w:tcBorders>
              <w:top w:val="single" w:color="auto" w:sz="4" w:space="0"/>
              <w:left w:val="single" w:color="auto" w:sz="4" w:space="0"/>
              <w:bottom w:val="single" w:color="auto" w:sz="4" w:space="0"/>
              <w:right w:val="single" w:color="auto" w:sz="4" w:space="0"/>
            </w:tcBorders>
            <w:noWrap w:val="0"/>
            <w:vAlign w:val="center"/>
          </w:tcPr>
          <w:p w14:paraId="696A20D6">
            <w:pPr>
              <w:spacing w:line="0" w:lineRule="atLeast"/>
              <w:jc w:val="center"/>
              <w:rPr>
                <w:rFonts w:ascii="宋体" w:hAnsi="宋体"/>
                <w:color w:val="000000"/>
                <w:szCs w:val="21"/>
                <w:highlight w:val="none"/>
              </w:rPr>
            </w:pPr>
            <w:r>
              <w:rPr>
                <w:rFonts w:hint="eastAsia" w:ascii="宋体" w:hAnsi="宋体"/>
                <w:color w:val="000000"/>
                <w:szCs w:val="21"/>
                <w:highlight w:val="none"/>
              </w:rPr>
              <w:t>5</w:t>
            </w:r>
          </w:p>
        </w:tc>
        <w:tc>
          <w:tcPr>
            <w:tcW w:w="2310" w:type="dxa"/>
            <w:tcBorders>
              <w:top w:val="single" w:color="auto" w:sz="4" w:space="0"/>
              <w:left w:val="single" w:color="auto" w:sz="4" w:space="0"/>
              <w:bottom w:val="single" w:color="auto" w:sz="4" w:space="0"/>
              <w:right w:val="single" w:color="auto" w:sz="4" w:space="0"/>
            </w:tcBorders>
            <w:noWrap w:val="0"/>
            <w:vAlign w:val="center"/>
          </w:tcPr>
          <w:p w14:paraId="6AD04C26">
            <w:pPr>
              <w:widowControl/>
              <w:jc w:val="center"/>
              <w:textAlignment w:val="center"/>
              <w:rPr>
                <w:rFonts w:ascii="宋体" w:hAnsi="宋体" w:cs="宋体"/>
                <w:color w:val="000000"/>
                <w:kern w:val="0"/>
                <w:szCs w:val="21"/>
                <w:highlight w:val="none"/>
              </w:rPr>
            </w:pPr>
          </w:p>
        </w:tc>
        <w:tc>
          <w:tcPr>
            <w:tcW w:w="817" w:type="dxa"/>
            <w:tcBorders>
              <w:top w:val="single" w:color="auto" w:sz="4" w:space="0"/>
              <w:left w:val="single" w:color="auto" w:sz="4" w:space="0"/>
              <w:bottom w:val="single" w:color="auto" w:sz="4" w:space="0"/>
              <w:right w:val="single" w:color="auto" w:sz="4" w:space="0"/>
            </w:tcBorders>
            <w:noWrap w:val="0"/>
            <w:vAlign w:val="center"/>
          </w:tcPr>
          <w:p w14:paraId="63AC732F">
            <w:pPr>
              <w:spacing w:line="0" w:lineRule="atLeast"/>
              <w:jc w:val="center"/>
              <w:rPr>
                <w:rFonts w:ascii="宋体" w:hAnsi="宋体"/>
                <w:color w:val="000000"/>
                <w:szCs w:val="21"/>
                <w:highlight w:val="none"/>
              </w:rPr>
            </w:pPr>
          </w:p>
        </w:tc>
        <w:tc>
          <w:tcPr>
            <w:tcW w:w="1721" w:type="dxa"/>
            <w:tcBorders>
              <w:top w:val="single" w:color="auto" w:sz="4" w:space="0"/>
              <w:left w:val="single" w:color="auto" w:sz="4" w:space="0"/>
              <w:bottom w:val="single" w:color="auto" w:sz="4" w:space="0"/>
              <w:right w:val="single" w:color="auto" w:sz="4" w:space="0"/>
            </w:tcBorders>
            <w:noWrap w:val="0"/>
            <w:vAlign w:val="center"/>
          </w:tcPr>
          <w:p w14:paraId="3E61E602">
            <w:pPr>
              <w:widowControl/>
              <w:jc w:val="center"/>
              <w:textAlignment w:val="center"/>
              <w:rPr>
                <w:rFonts w:ascii="宋体" w:hAnsi="宋体"/>
                <w:color w:val="000000"/>
                <w:szCs w:val="21"/>
                <w:highlight w:val="none"/>
              </w:rPr>
            </w:pPr>
          </w:p>
        </w:tc>
        <w:tc>
          <w:tcPr>
            <w:tcW w:w="1572" w:type="dxa"/>
            <w:tcBorders>
              <w:left w:val="single" w:color="auto" w:sz="4" w:space="0"/>
              <w:right w:val="single" w:color="auto" w:sz="4" w:space="0"/>
            </w:tcBorders>
            <w:noWrap w:val="0"/>
            <w:vAlign w:val="center"/>
          </w:tcPr>
          <w:p w14:paraId="34B69939">
            <w:pPr>
              <w:spacing w:line="0" w:lineRule="atLeast"/>
              <w:jc w:val="center"/>
              <w:rPr>
                <w:rFonts w:ascii="宋体" w:hAnsi="宋体"/>
                <w:color w:val="000000"/>
                <w:szCs w:val="21"/>
                <w:highlight w:val="none"/>
              </w:rPr>
            </w:pPr>
          </w:p>
        </w:tc>
      </w:tr>
      <w:tr w14:paraId="792EE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0"/>
            <w:vAlign w:val="center"/>
          </w:tcPr>
          <w:p w14:paraId="1BAAF60D">
            <w:pPr>
              <w:spacing w:line="0" w:lineRule="atLeast"/>
              <w:jc w:val="center"/>
              <w:rPr>
                <w:rFonts w:ascii="宋体" w:hAnsi="宋体"/>
                <w:b/>
                <w:bCs/>
                <w:color w:val="000000"/>
                <w:szCs w:val="21"/>
                <w:highlight w:val="none"/>
              </w:rPr>
            </w:pPr>
            <w:r>
              <w:rPr>
                <w:rFonts w:hint="eastAsia" w:ascii="宋体" w:hAnsi="宋体"/>
                <w:color w:val="000000"/>
                <w:szCs w:val="21"/>
                <w:highlight w:val="none"/>
              </w:rPr>
              <w:t>总价合计（人民币：元）</w:t>
            </w:r>
          </w:p>
        </w:tc>
        <w:tc>
          <w:tcPr>
            <w:tcW w:w="4110" w:type="dxa"/>
            <w:gridSpan w:val="3"/>
            <w:tcBorders>
              <w:top w:val="single" w:color="auto" w:sz="4" w:space="0"/>
              <w:left w:val="single" w:color="auto" w:sz="4" w:space="0"/>
              <w:bottom w:val="single" w:color="auto" w:sz="4" w:space="0"/>
              <w:right w:val="single" w:color="auto" w:sz="4" w:space="0"/>
            </w:tcBorders>
            <w:noWrap w:val="0"/>
            <w:vAlign w:val="center"/>
          </w:tcPr>
          <w:p w14:paraId="61D13F68">
            <w:pPr>
              <w:spacing w:line="0" w:lineRule="atLeast"/>
              <w:jc w:val="center"/>
              <w:rPr>
                <w:rFonts w:ascii="宋体" w:hAnsi="宋体"/>
                <w:color w:val="000000"/>
                <w:szCs w:val="21"/>
                <w:highlight w:val="none"/>
              </w:rPr>
            </w:pPr>
          </w:p>
        </w:tc>
      </w:tr>
      <w:tr w14:paraId="10C2D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0"/>
            <w:vAlign w:val="center"/>
          </w:tcPr>
          <w:p w14:paraId="3ACCE8BA">
            <w:pPr>
              <w:spacing w:line="0" w:lineRule="atLeast"/>
              <w:jc w:val="center"/>
              <w:rPr>
                <w:rFonts w:ascii="宋体" w:hAnsi="宋体"/>
                <w:color w:val="000000"/>
                <w:szCs w:val="21"/>
                <w:highlight w:val="none"/>
              </w:rPr>
            </w:pPr>
            <w:r>
              <w:rPr>
                <w:rFonts w:hint="eastAsia" w:ascii="宋体" w:hAnsi="宋体"/>
                <w:color w:val="000000"/>
                <w:szCs w:val="21"/>
                <w:highlight w:val="none"/>
              </w:rPr>
              <w:t>价格条件</w:t>
            </w:r>
          </w:p>
        </w:tc>
        <w:tc>
          <w:tcPr>
            <w:tcW w:w="4110" w:type="dxa"/>
            <w:gridSpan w:val="3"/>
            <w:tcBorders>
              <w:top w:val="single" w:color="auto" w:sz="4" w:space="0"/>
              <w:left w:val="single" w:color="auto" w:sz="4" w:space="0"/>
              <w:bottom w:val="single" w:color="auto" w:sz="4" w:space="0"/>
              <w:right w:val="single" w:color="auto" w:sz="4" w:space="0"/>
            </w:tcBorders>
            <w:noWrap w:val="0"/>
            <w:vAlign w:val="center"/>
          </w:tcPr>
          <w:p w14:paraId="284E33BE">
            <w:pPr>
              <w:spacing w:line="0" w:lineRule="atLeast"/>
              <w:jc w:val="center"/>
              <w:rPr>
                <w:rFonts w:ascii="宋体" w:hAnsi="宋体"/>
                <w:color w:val="000000"/>
                <w:szCs w:val="21"/>
                <w:highlight w:val="none"/>
              </w:rPr>
            </w:pPr>
          </w:p>
        </w:tc>
      </w:tr>
      <w:tr w14:paraId="4D56F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0"/>
            <w:vAlign w:val="center"/>
          </w:tcPr>
          <w:p w14:paraId="2902F292">
            <w:pPr>
              <w:spacing w:line="0" w:lineRule="atLeast"/>
              <w:jc w:val="center"/>
              <w:rPr>
                <w:rFonts w:ascii="宋体" w:hAnsi="宋体"/>
                <w:color w:val="000000"/>
                <w:szCs w:val="21"/>
                <w:highlight w:val="none"/>
              </w:rPr>
            </w:pPr>
            <w:r>
              <w:rPr>
                <w:rFonts w:hint="eastAsia" w:ascii="宋体" w:hAnsi="宋体"/>
                <w:color w:val="000000"/>
                <w:szCs w:val="21"/>
                <w:highlight w:val="none"/>
              </w:rPr>
              <w:t>交 货 期</w:t>
            </w:r>
          </w:p>
        </w:tc>
        <w:tc>
          <w:tcPr>
            <w:tcW w:w="4110" w:type="dxa"/>
            <w:gridSpan w:val="3"/>
            <w:tcBorders>
              <w:top w:val="single" w:color="auto" w:sz="4" w:space="0"/>
              <w:left w:val="single" w:color="auto" w:sz="4" w:space="0"/>
              <w:bottom w:val="single" w:color="auto" w:sz="4" w:space="0"/>
              <w:right w:val="single" w:color="auto" w:sz="4" w:space="0"/>
            </w:tcBorders>
            <w:noWrap w:val="0"/>
            <w:vAlign w:val="center"/>
          </w:tcPr>
          <w:p w14:paraId="3A4505D2">
            <w:pPr>
              <w:spacing w:line="0" w:lineRule="atLeast"/>
              <w:jc w:val="center"/>
              <w:rPr>
                <w:rFonts w:ascii="宋体" w:hAnsi="宋体"/>
                <w:color w:val="000000"/>
                <w:szCs w:val="21"/>
                <w:highlight w:val="none"/>
              </w:rPr>
            </w:pPr>
          </w:p>
        </w:tc>
      </w:tr>
      <w:tr w14:paraId="60C7E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2925" w:type="dxa"/>
            <w:gridSpan w:val="2"/>
            <w:tcBorders>
              <w:top w:val="single" w:color="auto" w:sz="4" w:space="0"/>
              <w:left w:val="single" w:color="auto" w:sz="4" w:space="0"/>
              <w:bottom w:val="single" w:color="auto" w:sz="4" w:space="0"/>
              <w:right w:val="single" w:color="auto" w:sz="4" w:space="0"/>
            </w:tcBorders>
            <w:noWrap w:val="0"/>
            <w:vAlign w:val="center"/>
          </w:tcPr>
          <w:p w14:paraId="57FC11EA">
            <w:pPr>
              <w:spacing w:line="0" w:lineRule="atLeast"/>
              <w:jc w:val="center"/>
              <w:rPr>
                <w:rFonts w:ascii="宋体" w:hAnsi="宋体"/>
                <w:color w:val="000000"/>
                <w:szCs w:val="21"/>
                <w:highlight w:val="none"/>
              </w:rPr>
            </w:pPr>
            <w:r>
              <w:rPr>
                <w:rFonts w:hint="eastAsia" w:ascii="宋体" w:hAnsi="宋体"/>
                <w:color w:val="000000"/>
                <w:szCs w:val="21"/>
                <w:highlight w:val="none"/>
              </w:rPr>
              <w:t>质保期限</w:t>
            </w:r>
          </w:p>
        </w:tc>
        <w:tc>
          <w:tcPr>
            <w:tcW w:w="4110" w:type="dxa"/>
            <w:gridSpan w:val="3"/>
            <w:tcBorders>
              <w:top w:val="single" w:color="auto" w:sz="4" w:space="0"/>
              <w:left w:val="single" w:color="auto" w:sz="4" w:space="0"/>
              <w:bottom w:val="single" w:color="auto" w:sz="4" w:space="0"/>
              <w:right w:val="single" w:color="auto" w:sz="4" w:space="0"/>
            </w:tcBorders>
            <w:noWrap w:val="0"/>
            <w:vAlign w:val="center"/>
          </w:tcPr>
          <w:p w14:paraId="5203ABDE">
            <w:pPr>
              <w:spacing w:line="0" w:lineRule="atLeast"/>
              <w:jc w:val="center"/>
              <w:rPr>
                <w:rFonts w:ascii="宋体" w:hAnsi="宋体"/>
                <w:color w:val="000000"/>
                <w:szCs w:val="21"/>
                <w:highlight w:val="none"/>
              </w:rPr>
            </w:pPr>
          </w:p>
        </w:tc>
      </w:tr>
    </w:tbl>
    <w:p w14:paraId="3BF27708">
      <w:pPr>
        <w:spacing w:line="560" w:lineRule="exact"/>
        <w:rPr>
          <w:rFonts w:ascii="宋体" w:hAnsi="宋体"/>
          <w:color w:val="000000"/>
          <w:sz w:val="24"/>
          <w:highlight w:val="none"/>
        </w:rPr>
      </w:pPr>
    </w:p>
    <w:p w14:paraId="31606A36">
      <w:pPr>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投标人全称：（盖章或签字）</w:t>
      </w:r>
    </w:p>
    <w:p w14:paraId="7D0A2C94">
      <w:pPr>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授权代表签字：</w:t>
      </w:r>
    </w:p>
    <w:p w14:paraId="2752BCEA">
      <w:pPr>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日  期：</w:t>
      </w:r>
    </w:p>
    <w:p w14:paraId="1D17CCA5">
      <w:pPr>
        <w:spacing w:line="480" w:lineRule="exact"/>
        <w:ind w:firstLine="480" w:firstLineChars="200"/>
        <w:rPr>
          <w:rFonts w:ascii="宋体" w:hAnsi="宋体"/>
          <w:color w:val="000000"/>
          <w:sz w:val="24"/>
          <w:highlight w:val="none"/>
        </w:rPr>
      </w:pPr>
      <w:r>
        <w:rPr>
          <w:rFonts w:hint="eastAsia" w:ascii="宋体" w:hAnsi="宋体"/>
          <w:color w:val="000000"/>
          <w:sz w:val="24"/>
          <w:highlight w:val="none"/>
        </w:rPr>
        <w:t>说明：1、综合报价包括货物出厂价、辅配件费、运输费、包装费、运输损耗、上车费、安装费、劳务费、抽检费、卸货费、质保期费用、保险、利润、税金及所有风险、责任等各项应有费用。</w:t>
      </w:r>
    </w:p>
    <w:p w14:paraId="67182E65">
      <w:pPr>
        <w:spacing w:line="480" w:lineRule="exact"/>
        <w:ind w:firstLine="480" w:firstLineChars="200"/>
        <w:rPr>
          <w:rFonts w:ascii="宋体" w:hAnsi="宋体"/>
          <w:color w:val="000000"/>
          <w:sz w:val="24"/>
          <w:highlight w:val="none"/>
        </w:rPr>
      </w:pPr>
      <w:r>
        <w:rPr>
          <w:rFonts w:hint="eastAsia" w:ascii="宋体" w:hAnsi="宋体"/>
          <w:color w:val="000000"/>
          <w:sz w:val="24"/>
          <w:highlight w:val="none"/>
        </w:rPr>
        <w:t>2、此表一式两份，按招标文件要求封装，装入正本袋中；</w:t>
      </w:r>
    </w:p>
    <w:p w14:paraId="34D7B315">
      <w:pPr>
        <w:spacing w:line="480" w:lineRule="exact"/>
        <w:ind w:firstLine="480" w:firstLineChars="200"/>
        <w:rPr>
          <w:rFonts w:ascii="宋体" w:hAnsi="宋体"/>
          <w:color w:val="000000"/>
          <w:sz w:val="24"/>
          <w:highlight w:val="none"/>
        </w:rPr>
      </w:pPr>
      <w:r>
        <w:rPr>
          <w:rFonts w:hint="eastAsia" w:ascii="宋体" w:hAnsi="宋体"/>
          <w:color w:val="000000"/>
          <w:sz w:val="24"/>
          <w:highlight w:val="none"/>
        </w:rPr>
        <w:t>3、投标单位报价不得高于最高限价。</w:t>
      </w:r>
    </w:p>
    <w:p w14:paraId="6ECE2243">
      <w:pPr>
        <w:spacing w:line="480" w:lineRule="exact"/>
        <w:ind w:firstLine="480" w:firstLineChars="200"/>
        <w:rPr>
          <w:rFonts w:eastAsia="仿宋_GB2312"/>
          <w:color w:val="000000"/>
          <w:highlight w:val="none"/>
        </w:rPr>
      </w:pPr>
      <w:r>
        <w:rPr>
          <w:rFonts w:hint="eastAsia" w:ascii="宋体" w:hAnsi="宋体"/>
          <w:color w:val="000000"/>
          <w:sz w:val="24"/>
          <w:highlight w:val="none"/>
        </w:rPr>
        <w:t>4、以上报价包含13%增值税，为送达买方指定地点的落地价；</w:t>
      </w:r>
    </w:p>
    <w:p w14:paraId="3E8B4D3F">
      <w:pPr>
        <w:spacing w:line="560" w:lineRule="exact"/>
        <w:ind w:firstLine="480" w:firstLineChars="200"/>
        <w:rPr>
          <w:rFonts w:ascii="宋体" w:hAnsi="宋体"/>
          <w:color w:val="000000"/>
          <w:sz w:val="24"/>
          <w:highlight w:val="none"/>
        </w:rPr>
      </w:pPr>
      <w:r>
        <w:rPr>
          <w:rFonts w:hint="eastAsia" w:ascii="宋体" w:hAnsi="宋体"/>
          <w:color w:val="000000"/>
          <w:sz w:val="24"/>
          <w:highlight w:val="none"/>
        </w:rPr>
        <w:t>5、如因投标人填写有误，导致无法唱标，责任由投标人自负。</w:t>
      </w:r>
    </w:p>
    <w:p w14:paraId="7AFEA5DD">
      <w:pPr>
        <w:rPr>
          <w:rFonts w:ascii="宋体" w:hAnsi="宋体"/>
          <w:color w:val="000000"/>
          <w:sz w:val="24"/>
          <w:highlight w:val="none"/>
        </w:rPr>
      </w:pPr>
      <w:r>
        <w:rPr>
          <w:rFonts w:hint="eastAsia" w:ascii="宋体" w:hAnsi="宋体"/>
          <w:color w:val="000000"/>
          <w:sz w:val="24"/>
          <w:highlight w:val="none"/>
        </w:rPr>
        <w:br w:type="page"/>
      </w:r>
    </w:p>
    <w:p w14:paraId="37105A72">
      <w:pPr>
        <w:pStyle w:val="2"/>
        <w:rPr>
          <w:color w:val="000000"/>
          <w:highlight w:val="none"/>
        </w:rPr>
      </w:pPr>
    </w:p>
    <w:p w14:paraId="482B50BC">
      <w:pPr>
        <w:spacing w:line="560" w:lineRule="exact"/>
        <w:jc w:val="center"/>
        <w:rPr>
          <w:rFonts w:ascii="楷体_GB2312" w:eastAsia="楷体_GB2312"/>
          <w:b/>
          <w:color w:val="000000"/>
          <w:sz w:val="44"/>
          <w:highlight w:val="none"/>
        </w:rPr>
      </w:pPr>
      <w:r>
        <w:rPr>
          <w:rFonts w:hint="eastAsia" w:ascii="楷体_GB2312" w:eastAsia="楷体_GB2312"/>
          <w:b/>
          <w:color w:val="000000"/>
          <w:sz w:val="44"/>
          <w:highlight w:val="none"/>
        </w:rPr>
        <w:t>二、投标人资格证明文件</w:t>
      </w:r>
    </w:p>
    <w:p w14:paraId="3F2B7500">
      <w:pPr>
        <w:spacing w:line="560" w:lineRule="exact"/>
        <w:jc w:val="center"/>
        <w:rPr>
          <w:rFonts w:ascii="楷体_GB2312" w:eastAsia="楷体_GB2312"/>
          <w:color w:val="000000"/>
          <w:sz w:val="24"/>
          <w:highlight w:val="none"/>
        </w:rPr>
      </w:pPr>
      <w:r>
        <w:rPr>
          <w:rFonts w:hint="eastAsia" w:ascii="黑体" w:eastAsia="黑体"/>
          <w:color w:val="000000"/>
          <w:sz w:val="36"/>
          <w:highlight w:val="none"/>
        </w:rPr>
        <w:t>1.投标人概况</w:t>
      </w:r>
    </w:p>
    <w:p w14:paraId="68CA1D2F">
      <w:pPr>
        <w:spacing w:line="560" w:lineRule="exact"/>
        <w:rPr>
          <w:rFonts w:ascii="宋体" w:hAnsi="宋体"/>
          <w:color w:val="000000"/>
          <w:highlight w:val="none"/>
        </w:rPr>
      </w:pPr>
      <w:r>
        <w:rPr>
          <w:rFonts w:hint="eastAsia" w:ascii="宋体" w:hAnsi="宋体"/>
          <w:color w:val="000000"/>
          <w:highlight w:val="none"/>
        </w:rPr>
        <w:t>（注：投标人简要历史、生产的主要产品或经营业务范围；组织机构、所属集（财）团等）</w:t>
      </w:r>
    </w:p>
    <w:p w14:paraId="4A118238">
      <w:pPr>
        <w:spacing w:line="560" w:lineRule="exact"/>
        <w:rPr>
          <w:rFonts w:ascii="楷体_GB2312" w:eastAsia="楷体_GB2312"/>
          <w:color w:val="000000"/>
          <w:sz w:val="24"/>
          <w:highlight w:val="none"/>
        </w:rPr>
      </w:pPr>
    </w:p>
    <w:p w14:paraId="3A96EBC8">
      <w:pPr>
        <w:spacing w:line="560" w:lineRule="exact"/>
        <w:jc w:val="center"/>
        <w:rPr>
          <w:rFonts w:ascii="黑体" w:eastAsia="黑体"/>
          <w:color w:val="000000"/>
          <w:sz w:val="36"/>
          <w:highlight w:val="none"/>
        </w:rPr>
      </w:pPr>
      <w:r>
        <w:rPr>
          <w:rFonts w:hint="eastAsia" w:ascii="黑体" w:eastAsia="黑体"/>
          <w:color w:val="000000"/>
          <w:sz w:val="36"/>
          <w:highlight w:val="none"/>
        </w:rPr>
        <w:t>2.投标人技术能力</w:t>
      </w:r>
    </w:p>
    <w:p w14:paraId="00133FA3">
      <w:pPr>
        <w:spacing w:line="560" w:lineRule="exact"/>
        <w:jc w:val="center"/>
        <w:rPr>
          <w:rFonts w:ascii="宋体" w:hAnsi="宋体"/>
          <w:color w:val="000000"/>
          <w:highlight w:val="none"/>
        </w:rPr>
      </w:pPr>
      <w:r>
        <w:rPr>
          <w:rFonts w:hint="eastAsia" w:ascii="宋体" w:hAnsi="宋体"/>
          <w:color w:val="000000"/>
          <w:highlight w:val="none"/>
        </w:rPr>
        <w:t>（注：简要介绍投标人的生产水平、技术力量、装备水平及生产能力等）</w:t>
      </w:r>
    </w:p>
    <w:p w14:paraId="2AF9CF20">
      <w:pPr>
        <w:spacing w:line="560" w:lineRule="exact"/>
        <w:rPr>
          <w:rFonts w:ascii="楷体_GB2312" w:eastAsia="楷体_GB2312"/>
          <w:color w:val="000000"/>
          <w:sz w:val="24"/>
          <w:highlight w:val="none"/>
        </w:rPr>
      </w:pPr>
    </w:p>
    <w:p w14:paraId="1A0A36E6">
      <w:pPr>
        <w:spacing w:line="560" w:lineRule="exact"/>
        <w:rPr>
          <w:rFonts w:ascii="楷体_GB2312" w:eastAsia="楷体_GB2312"/>
          <w:color w:val="000000"/>
          <w:sz w:val="24"/>
          <w:highlight w:val="none"/>
        </w:rPr>
      </w:pPr>
    </w:p>
    <w:p w14:paraId="12F5FB2F">
      <w:pPr>
        <w:spacing w:line="560" w:lineRule="exact"/>
        <w:jc w:val="center"/>
        <w:rPr>
          <w:rFonts w:ascii="黑体" w:eastAsia="黑体"/>
          <w:color w:val="000000"/>
          <w:sz w:val="36"/>
          <w:highlight w:val="none"/>
        </w:rPr>
      </w:pPr>
      <w:r>
        <w:rPr>
          <w:rFonts w:hint="eastAsia" w:ascii="黑体" w:eastAsia="黑体"/>
          <w:color w:val="000000"/>
          <w:sz w:val="36"/>
          <w:highlight w:val="none"/>
        </w:rPr>
        <w:t>3.投标人及制造商财务状况</w:t>
      </w:r>
    </w:p>
    <w:p w14:paraId="38A19DAB">
      <w:pPr>
        <w:spacing w:line="400" w:lineRule="exact"/>
        <w:rPr>
          <w:rFonts w:ascii="宋体" w:hAnsi="宋体"/>
          <w:color w:val="000000"/>
          <w:highlight w:val="none"/>
        </w:rPr>
      </w:pPr>
      <w:r>
        <w:rPr>
          <w:rFonts w:hint="eastAsia" w:ascii="宋体" w:hAnsi="宋体"/>
          <w:color w:val="000000"/>
          <w:highlight w:val="none"/>
        </w:rPr>
        <w:t>（注：请提供开户行名称及由其开具的资信证明；固定资产原值、净值、流动资金、最近三年年产值、销售额或贸易额和利润额）</w:t>
      </w:r>
    </w:p>
    <w:p w14:paraId="23341C1A">
      <w:pPr>
        <w:spacing w:line="400" w:lineRule="exact"/>
        <w:rPr>
          <w:rFonts w:ascii="宋体" w:hAnsi="宋体"/>
          <w:color w:val="000000"/>
          <w:highlight w:val="none"/>
        </w:rPr>
      </w:pPr>
    </w:p>
    <w:p w14:paraId="63DBE80D">
      <w:pPr>
        <w:spacing w:line="400" w:lineRule="exact"/>
        <w:rPr>
          <w:rFonts w:ascii="宋体" w:hAnsi="宋体"/>
          <w:color w:val="000000"/>
          <w:highlight w:val="none"/>
        </w:rPr>
      </w:pPr>
    </w:p>
    <w:p w14:paraId="1A874C2B">
      <w:pPr>
        <w:spacing w:line="560" w:lineRule="exact"/>
        <w:jc w:val="center"/>
        <w:rPr>
          <w:rFonts w:ascii="黑体" w:eastAsia="黑体"/>
          <w:color w:val="000000"/>
          <w:sz w:val="36"/>
          <w:highlight w:val="none"/>
        </w:rPr>
      </w:pPr>
      <w:r>
        <w:rPr>
          <w:rFonts w:hint="eastAsia" w:ascii="黑体" w:eastAsia="黑体"/>
          <w:color w:val="000000"/>
          <w:sz w:val="36"/>
          <w:highlight w:val="none"/>
        </w:rPr>
        <w:t>4.营业执照副本</w:t>
      </w:r>
    </w:p>
    <w:p w14:paraId="0832F7EC">
      <w:pPr>
        <w:spacing w:line="560" w:lineRule="exact"/>
        <w:rPr>
          <w:rFonts w:ascii="楷体_GB2312" w:eastAsia="楷体_GB2312"/>
          <w:color w:val="000000"/>
          <w:sz w:val="24"/>
          <w:highlight w:val="none"/>
        </w:rPr>
      </w:pPr>
    </w:p>
    <w:p w14:paraId="3E243101">
      <w:pPr>
        <w:spacing w:line="560" w:lineRule="exact"/>
        <w:jc w:val="center"/>
        <w:rPr>
          <w:rFonts w:ascii="黑体" w:eastAsia="黑体"/>
          <w:color w:val="000000"/>
          <w:sz w:val="36"/>
          <w:highlight w:val="none"/>
        </w:rPr>
      </w:pPr>
    </w:p>
    <w:p w14:paraId="39723F3A">
      <w:pPr>
        <w:spacing w:line="560" w:lineRule="exact"/>
        <w:jc w:val="center"/>
        <w:rPr>
          <w:rFonts w:ascii="黑体" w:eastAsia="黑体"/>
          <w:color w:val="000000"/>
          <w:sz w:val="36"/>
          <w:highlight w:val="none"/>
        </w:rPr>
      </w:pPr>
    </w:p>
    <w:p w14:paraId="447590D6">
      <w:pPr>
        <w:spacing w:line="560" w:lineRule="exact"/>
        <w:jc w:val="center"/>
        <w:rPr>
          <w:rFonts w:ascii="黑体" w:eastAsia="黑体"/>
          <w:color w:val="000000"/>
          <w:sz w:val="36"/>
          <w:highlight w:val="none"/>
        </w:rPr>
      </w:pPr>
    </w:p>
    <w:p w14:paraId="19DC979C">
      <w:pPr>
        <w:spacing w:line="560" w:lineRule="exact"/>
        <w:jc w:val="center"/>
        <w:rPr>
          <w:rFonts w:ascii="黑体" w:eastAsia="黑体"/>
          <w:color w:val="000000"/>
          <w:sz w:val="36"/>
          <w:highlight w:val="none"/>
        </w:rPr>
      </w:pPr>
    </w:p>
    <w:p w14:paraId="08A13224">
      <w:pPr>
        <w:spacing w:line="560" w:lineRule="exact"/>
        <w:jc w:val="center"/>
        <w:rPr>
          <w:rFonts w:ascii="黑体" w:eastAsia="黑体"/>
          <w:color w:val="000000"/>
          <w:sz w:val="36"/>
          <w:highlight w:val="none"/>
        </w:rPr>
      </w:pPr>
    </w:p>
    <w:p w14:paraId="59A44C89">
      <w:pPr>
        <w:spacing w:line="560" w:lineRule="exact"/>
        <w:jc w:val="center"/>
        <w:rPr>
          <w:rFonts w:ascii="黑体" w:eastAsia="黑体"/>
          <w:color w:val="000000"/>
          <w:sz w:val="36"/>
          <w:highlight w:val="none"/>
        </w:rPr>
      </w:pPr>
    </w:p>
    <w:p w14:paraId="7E163FCB">
      <w:pPr>
        <w:spacing w:line="560" w:lineRule="exact"/>
        <w:jc w:val="center"/>
        <w:rPr>
          <w:rFonts w:ascii="黑体" w:eastAsia="黑体"/>
          <w:color w:val="000000"/>
          <w:sz w:val="36"/>
          <w:highlight w:val="none"/>
        </w:rPr>
      </w:pPr>
    </w:p>
    <w:p w14:paraId="0B69989F">
      <w:pPr>
        <w:spacing w:line="560" w:lineRule="exact"/>
        <w:jc w:val="center"/>
        <w:rPr>
          <w:rFonts w:ascii="黑体" w:eastAsia="黑体"/>
          <w:color w:val="000000"/>
          <w:sz w:val="36"/>
          <w:highlight w:val="none"/>
        </w:rPr>
      </w:pPr>
    </w:p>
    <w:p w14:paraId="2F9A609F">
      <w:pPr>
        <w:spacing w:line="560" w:lineRule="exact"/>
        <w:jc w:val="center"/>
        <w:rPr>
          <w:rFonts w:ascii="黑体" w:eastAsia="黑体"/>
          <w:color w:val="000000"/>
          <w:sz w:val="36"/>
          <w:highlight w:val="none"/>
        </w:rPr>
      </w:pPr>
    </w:p>
    <w:p w14:paraId="2213B651">
      <w:pPr>
        <w:spacing w:line="560" w:lineRule="exact"/>
        <w:jc w:val="center"/>
        <w:rPr>
          <w:rFonts w:ascii="黑体" w:eastAsia="黑体"/>
          <w:color w:val="000000"/>
          <w:sz w:val="36"/>
          <w:highlight w:val="none"/>
        </w:rPr>
      </w:pPr>
    </w:p>
    <w:p w14:paraId="62A57E22">
      <w:pPr>
        <w:spacing w:line="560" w:lineRule="exact"/>
        <w:jc w:val="center"/>
        <w:rPr>
          <w:rFonts w:ascii="黑体" w:eastAsia="黑体"/>
          <w:color w:val="000000"/>
          <w:sz w:val="36"/>
          <w:highlight w:val="none"/>
        </w:rPr>
      </w:pPr>
    </w:p>
    <w:p w14:paraId="14E069CC">
      <w:pPr>
        <w:spacing w:line="560" w:lineRule="exact"/>
        <w:jc w:val="center"/>
        <w:rPr>
          <w:rFonts w:ascii="黑体" w:eastAsia="黑体"/>
          <w:color w:val="000000"/>
          <w:sz w:val="36"/>
          <w:highlight w:val="none"/>
        </w:rPr>
      </w:pPr>
      <w:r>
        <w:rPr>
          <w:rFonts w:hint="eastAsia" w:ascii="黑体" w:eastAsia="黑体"/>
          <w:color w:val="000000"/>
          <w:sz w:val="36"/>
          <w:highlight w:val="none"/>
        </w:rPr>
        <w:t>5.授权委托书(如有)</w:t>
      </w:r>
    </w:p>
    <w:p w14:paraId="3DFF7C98">
      <w:pPr>
        <w:spacing w:line="560" w:lineRule="exact"/>
        <w:rPr>
          <w:rFonts w:ascii="楷体_GB2312" w:eastAsia="楷体_GB2312"/>
          <w:color w:val="000000"/>
          <w:sz w:val="24"/>
          <w:highlight w:val="none"/>
        </w:rPr>
      </w:pPr>
    </w:p>
    <w:p w14:paraId="174F905A">
      <w:pPr>
        <w:spacing w:after="240" w:line="360" w:lineRule="auto"/>
        <w:jc w:val="center"/>
        <w:rPr>
          <w:rFonts w:ascii="宋体" w:hAnsi="宋体"/>
          <w:b/>
          <w:color w:val="000000"/>
          <w:sz w:val="32"/>
          <w:highlight w:val="none"/>
        </w:rPr>
      </w:pPr>
      <w:r>
        <w:rPr>
          <w:rFonts w:hint="eastAsia" w:ascii="宋体" w:hAnsi="宋体"/>
          <w:b/>
          <w:color w:val="000000"/>
          <w:sz w:val="32"/>
          <w:highlight w:val="none"/>
        </w:rPr>
        <w:t>授 权 委 托 书</w:t>
      </w:r>
    </w:p>
    <w:p w14:paraId="0753372A">
      <w:pPr>
        <w:topLinePunct/>
        <w:spacing w:line="360" w:lineRule="auto"/>
        <w:ind w:firstLine="480" w:firstLineChars="200"/>
        <w:rPr>
          <w:color w:val="000000"/>
          <w:sz w:val="24"/>
          <w:highlight w:val="none"/>
          <w:u w:val="single"/>
        </w:rPr>
      </w:pPr>
      <w:r>
        <w:rPr>
          <w:rFonts w:hint="eastAsia"/>
          <w:color w:val="000000"/>
          <w:sz w:val="24"/>
          <w:highlight w:val="none"/>
        </w:rPr>
        <w:t>本人</w:t>
      </w:r>
      <w:r>
        <w:rPr>
          <w:color w:val="000000"/>
          <w:sz w:val="24"/>
          <w:highlight w:val="none"/>
          <w:u w:val="single"/>
        </w:rPr>
        <w:t xml:space="preserve">       </w:t>
      </w:r>
      <w:r>
        <w:rPr>
          <w:rFonts w:hint="eastAsia"/>
          <w:color w:val="000000"/>
          <w:sz w:val="24"/>
          <w:highlight w:val="none"/>
        </w:rPr>
        <w:t>（姓名）系</w:t>
      </w:r>
      <w:r>
        <w:rPr>
          <w:color w:val="000000"/>
          <w:sz w:val="24"/>
          <w:highlight w:val="none"/>
          <w:u w:val="single"/>
        </w:rPr>
        <w:t xml:space="preserve">        </w:t>
      </w:r>
      <w:r>
        <w:rPr>
          <w:rFonts w:hint="eastAsia"/>
          <w:color w:val="000000"/>
          <w:sz w:val="24"/>
          <w:highlight w:val="none"/>
        </w:rPr>
        <w:t>（投标人名称）的法定代表人，现委托</w:t>
      </w:r>
      <w:r>
        <w:rPr>
          <w:color w:val="000000"/>
          <w:sz w:val="24"/>
          <w:highlight w:val="none"/>
          <w:u w:val="single"/>
        </w:rPr>
        <w:t xml:space="preserve">         </w:t>
      </w:r>
    </w:p>
    <w:p w14:paraId="47DE301C">
      <w:pPr>
        <w:topLinePunct/>
        <w:spacing w:line="360" w:lineRule="auto"/>
        <w:rPr>
          <w:color w:val="000000"/>
          <w:sz w:val="24"/>
          <w:highlight w:val="none"/>
        </w:rPr>
      </w:pPr>
      <w:r>
        <w:rPr>
          <w:rFonts w:hint="eastAsia"/>
          <w:color w:val="000000"/>
          <w:sz w:val="24"/>
          <w:highlight w:val="none"/>
        </w:rPr>
        <w:t>（姓名）为我方代理人。代理人根据授权，以我方名义签署、澄清、说明、补正、递交、撤回、修改</w:t>
      </w:r>
      <w:r>
        <w:rPr>
          <w:color w:val="000000"/>
          <w:sz w:val="24"/>
          <w:highlight w:val="none"/>
          <w:u w:val="single"/>
        </w:rPr>
        <w:t xml:space="preserve">           </w:t>
      </w:r>
      <w:r>
        <w:rPr>
          <w:rFonts w:hint="eastAsia" w:ascii="宋体" w:hAnsi="宋体"/>
          <w:color w:val="000000"/>
          <w:sz w:val="24"/>
          <w:highlight w:val="none"/>
        </w:rPr>
        <w:t>项目（项目名称）</w:t>
      </w:r>
      <w:r>
        <w:rPr>
          <w:rFonts w:hint="eastAsia"/>
          <w:color w:val="000000"/>
          <w:sz w:val="24"/>
          <w:highlight w:val="none"/>
        </w:rPr>
        <w:t>投标文件、签订合同和处理有关事宜，其法律后果由我方承担。</w:t>
      </w:r>
    </w:p>
    <w:p w14:paraId="5BE4B34B">
      <w:pPr>
        <w:spacing w:line="360" w:lineRule="auto"/>
        <w:rPr>
          <w:color w:val="000000"/>
          <w:sz w:val="24"/>
          <w:highlight w:val="none"/>
        </w:rPr>
      </w:pPr>
      <w:r>
        <w:rPr>
          <w:color w:val="000000"/>
          <w:sz w:val="24"/>
          <w:highlight w:val="none"/>
        </w:rPr>
        <w:t xml:space="preserve">    </w:t>
      </w:r>
      <w:r>
        <w:rPr>
          <w:rFonts w:hint="eastAsia"/>
          <w:color w:val="000000"/>
          <w:sz w:val="24"/>
          <w:highlight w:val="none"/>
        </w:rPr>
        <w:t>代理人无转委托权。</w:t>
      </w:r>
    </w:p>
    <w:p w14:paraId="37A1C827">
      <w:pPr>
        <w:spacing w:line="360" w:lineRule="auto"/>
        <w:rPr>
          <w:color w:val="000000"/>
          <w:sz w:val="24"/>
          <w:highlight w:val="none"/>
        </w:rPr>
      </w:pPr>
    </w:p>
    <w:p w14:paraId="23BE7ED0">
      <w:pPr>
        <w:spacing w:line="440" w:lineRule="exact"/>
        <w:rPr>
          <w:color w:val="000000"/>
          <w:sz w:val="24"/>
          <w:highlight w:val="none"/>
        </w:rPr>
      </w:pPr>
      <w:r>
        <w:rPr>
          <w:rFonts w:hint="eastAsia"/>
          <w:color w:val="000000"/>
          <w:sz w:val="24"/>
          <w:highlight w:val="none"/>
        </w:rPr>
        <w:t>投标人：</w:t>
      </w:r>
      <w:r>
        <w:rPr>
          <w:color w:val="000000"/>
          <w:sz w:val="24"/>
          <w:highlight w:val="none"/>
          <w:u w:val="single"/>
        </w:rPr>
        <w:t xml:space="preserve">                               </w:t>
      </w:r>
      <w:r>
        <w:rPr>
          <w:rFonts w:hint="eastAsia"/>
          <w:color w:val="000000"/>
          <w:sz w:val="24"/>
          <w:highlight w:val="none"/>
        </w:rPr>
        <w:t>（盖单位章）</w:t>
      </w:r>
    </w:p>
    <w:p w14:paraId="0ACD015A">
      <w:pPr>
        <w:spacing w:line="440" w:lineRule="exact"/>
        <w:rPr>
          <w:color w:val="000000"/>
          <w:sz w:val="24"/>
          <w:highlight w:val="none"/>
        </w:rPr>
      </w:pPr>
    </w:p>
    <w:p w14:paraId="067D0F31">
      <w:pPr>
        <w:spacing w:line="440" w:lineRule="exact"/>
        <w:rPr>
          <w:color w:val="000000"/>
          <w:sz w:val="24"/>
          <w:highlight w:val="none"/>
        </w:rPr>
      </w:pPr>
      <w:r>
        <w:rPr>
          <w:rFonts w:hint="eastAsia"/>
          <w:color w:val="000000"/>
          <w:sz w:val="24"/>
          <w:highlight w:val="none"/>
        </w:rPr>
        <w:t>法定代表人：</w:t>
      </w:r>
      <w:r>
        <w:rPr>
          <w:color w:val="000000"/>
          <w:sz w:val="24"/>
          <w:highlight w:val="none"/>
          <w:u w:val="single"/>
        </w:rPr>
        <w:t xml:space="preserve">                               </w:t>
      </w:r>
      <w:r>
        <w:rPr>
          <w:rFonts w:hint="eastAsia"/>
          <w:color w:val="000000"/>
          <w:sz w:val="24"/>
          <w:highlight w:val="none"/>
        </w:rPr>
        <w:t>（签字）</w:t>
      </w:r>
    </w:p>
    <w:p w14:paraId="515F4212">
      <w:pPr>
        <w:spacing w:line="440" w:lineRule="exact"/>
        <w:rPr>
          <w:color w:val="000000"/>
          <w:sz w:val="24"/>
          <w:highlight w:val="none"/>
        </w:rPr>
      </w:pPr>
    </w:p>
    <w:p w14:paraId="0307DD04">
      <w:pPr>
        <w:spacing w:line="440" w:lineRule="exact"/>
        <w:rPr>
          <w:color w:val="000000"/>
          <w:sz w:val="24"/>
          <w:highlight w:val="none"/>
        </w:rPr>
      </w:pPr>
      <w:r>
        <w:rPr>
          <w:rFonts w:hint="eastAsia"/>
          <w:color w:val="000000"/>
          <w:sz w:val="24"/>
          <w:highlight w:val="none"/>
        </w:rPr>
        <w:t>身份证号码：</w:t>
      </w:r>
      <w:r>
        <w:rPr>
          <w:color w:val="000000"/>
          <w:sz w:val="24"/>
          <w:highlight w:val="none"/>
          <w:u w:val="single"/>
        </w:rPr>
        <w:t xml:space="preserve">                                     </w:t>
      </w:r>
    </w:p>
    <w:p w14:paraId="7749634A">
      <w:pPr>
        <w:spacing w:line="440" w:lineRule="exact"/>
        <w:rPr>
          <w:color w:val="000000"/>
          <w:sz w:val="24"/>
          <w:highlight w:val="none"/>
        </w:rPr>
      </w:pPr>
    </w:p>
    <w:p w14:paraId="4D7EEF7C">
      <w:pPr>
        <w:spacing w:line="440" w:lineRule="exact"/>
        <w:rPr>
          <w:color w:val="000000"/>
          <w:sz w:val="24"/>
          <w:highlight w:val="none"/>
        </w:rPr>
      </w:pPr>
      <w:r>
        <w:rPr>
          <w:rFonts w:hint="eastAsia"/>
          <w:color w:val="000000"/>
          <w:sz w:val="24"/>
          <w:highlight w:val="none"/>
        </w:rPr>
        <w:t>委托代理人：</w:t>
      </w:r>
      <w:r>
        <w:rPr>
          <w:color w:val="000000"/>
          <w:sz w:val="24"/>
          <w:highlight w:val="none"/>
          <w:u w:val="single"/>
        </w:rPr>
        <w:t xml:space="preserve">                                   </w:t>
      </w:r>
      <w:r>
        <w:rPr>
          <w:rFonts w:hint="eastAsia"/>
          <w:color w:val="000000"/>
          <w:sz w:val="24"/>
          <w:highlight w:val="none"/>
        </w:rPr>
        <w:t>（签字）</w:t>
      </w:r>
      <w:r>
        <w:rPr>
          <w:color w:val="000000"/>
          <w:sz w:val="24"/>
          <w:highlight w:val="none"/>
        </w:rPr>
        <w:t xml:space="preserve"> </w:t>
      </w:r>
    </w:p>
    <w:p w14:paraId="08FEF022">
      <w:pPr>
        <w:spacing w:line="440" w:lineRule="exact"/>
        <w:rPr>
          <w:color w:val="000000"/>
          <w:sz w:val="24"/>
          <w:highlight w:val="none"/>
        </w:rPr>
      </w:pPr>
    </w:p>
    <w:p w14:paraId="20BF8D85">
      <w:pPr>
        <w:spacing w:line="440" w:lineRule="exact"/>
        <w:rPr>
          <w:color w:val="000000"/>
          <w:sz w:val="24"/>
          <w:highlight w:val="none"/>
        </w:rPr>
      </w:pPr>
      <w:r>
        <w:rPr>
          <w:rFonts w:hint="eastAsia"/>
          <w:color w:val="000000"/>
          <w:sz w:val="24"/>
          <w:highlight w:val="none"/>
        </w:rPr>
        <w:t>身份证号码：</w:t>
      </w:r>
      <w:r>
        <w:rPr>
          <w:color w:val="000000"/>
          <w:sz w:val="24"/>
          <w:highlight w:val="none"/>
          <w:u w:val="single"/>
        </w:rPr>
        <w:t xml:space="preserve">                            </w:t>
      </w:r>
      <w:r>
        <w:rPr>
          <w:rFonts w:hint="eastAsia"/>
          <w:color w:val="000000"/>
          <w:sz w:val="24"/>
          <w:highlight w:val="none"/>
        </w:rPr>
        <w:t>附身份证复印件</w:t>
      </w:r>
    </w:p>
    <w:p w14:paraId="21FAE463">
      <w:pPr>
        <w:spacing w:line="440" w:lineRule="exact"/>
        <w:rPr>
          <w:color w:val="000000"/>
          <w:sz w:val="24"/>
          <w:highlight w:val="none"/>
        </w:rPr>
      </w:pPr>
    </w:p>
    <w:p w14:paraId="3F652F1C">
      <w:pPr>
        <w:spacing w:line="440" w:lineRule="exact"/>
        <w:rPr>
          <w:color w:val="000000"/>
          <w:sz w:val="24"/>
          <w:highlight w:val="none"/>
        </w:rPr>
      </w:pPr>
    </w:p>
    <w:p w14:paraId="1A35AACB">
      <w:pPr>
        <w:spacing w:line="560" w:lineRule="exact"/>
        <w:rPr>
          <w:rFonts w:ascii="楷体_GB2312" w:eastAsia="楷体_GB2312"/>
          <w:color w:val="000000"/>
          <w:sz w:val="24"/>
          <w:highlight w:val="none"/>
        </w:rPr>
      </w:pPr>
      <w:r>
        <w:rPr>
          <w:color w:val="000000"/>
          <w:sz w:val="24"/>
          <w:highlight w:val="none"/>
          <w:u w:val="single"/>
        </w:rPr>
        <w:t xml:space="preserve">       </w:t>
      </w:r>
      <w:r>
        <w:rPr>
          <w:rFonts w:hint="eastAsia"/>
          <w:color w:val="000000"/>
          <w:sz w:val="24"/>
          <w:highlight w:val="none"/>
        </w:rPr>
        <w:t>年</w:t>
      </w:r>
      <w:r>
        <w:rPr>
          <w:color w:val="000000"/>
          <w:sz w:val="24"/>
          <w:highlight w:val="none"/>
          <w:u w:val="single"/>
        </w:rPr>
        <w:t xml:space="preserve">       </w:t>
      </w:r>
      <w:r>
        <w:rPr>
          <w:rFonts w:hint="eastAsia"/>
          <w:color w:val="000000"/>
          <w:sz w:val="24"/>
          <w:highlight w:val="none"/>
        </w:rPr>
        <w:t>月</w:t>
      </w:r>
      <w:r>
        <w:rPr>
          <w:color w:val="000000"/>
          <w:sz w:val="24"/>
          <w:highlight w:val="none"/>
          <w:u w:val="single"/>
        </w:rPr>
        <w:t xml:space="preserve">       </w:t>
      </w:r>
      <w:r>
        <w:rPr>
          <w:rFonts w:hint="eastAsia"/>
          <w:color w:val="000000"/>
          <w:sz w:val="24"/>
          <w:highlight w:val="none"/>
        </w:rPr>
        <w:t>日</w:t>
      </w:r>
    </w:p>
    <w:p w14:paraId="5DFD0A57">
      <w:pPr>
        <w:spacing w:line="560" w:lineRule="exact"/>
        <w:rPr>
          <w:rFonts w:ascii="楷体_GB2312" w:eastAsia="楷体_GB2312"/>
          <w:color w:val="000000"/>
          <w:sz w:val="24"/>
          <w:highlight w:val="none"/>
        </w:rPr>
      </w:pPr>
    </w:p>
    <w:p w14:paraId="398EBEAD">
      <w:pPr>
        <w:spacing w:line="560" w:lineRule="exact"/>
        <w:rPr>
          <w:rFonts w:ascii="楷体_GB2312" w:eastAsia="楷体_GB2312"/>
          <w:color w:val="000000"/>
          <w:sz w:val="24"/>
          <w:highlight w:val="none"/>
        </w:rPr>
      </w:pPr>
    </w:p>
    <w:p w14:paraId="5330F7F6">
      <w:pPr>
        <w:spacing w:line="560" w:lineRule="exact"/>
        <w:rPr>
          <w:rFonts w:ascii="楷体_GB2312" w:eastAsia="楷体_GB2312"/>
          <w:color w:val="000000"/>
          <w:sz w:val="24"/>
          <w:highlight w:val="none"/>
        </w:rPr>
      </w:pPr>
    </w:p>
    <w:p w14:paraId="16B63B9F">
      <w:pPr>
        <w:spacing w:line="560" w:lineRule="exact"/>
        <w:rPr>
          <w:rFonts w:ascii="楷体_GB2312" w:eastAsia="楷体_GB2312"/>
          <w:color w:val="000000"/>
          <w:sz w:val="24"/>
          <w:highlight w:val="none"/>
        </w:rPr>
      </w:pPr>
    </w:p>
    <w:p w14:paraId="3FA11B3B">
      <w:pPr>
        <w:spacing w:line="560" w:lineRule="exact"/>
        <w:rPr>
          <w:rFonts w:ascii="楷体_GB2312" w:eastAsia="楷体_GB2312"/>
          <w:color w:val="000000"/>
          <w:sz w:val="24"/>
          <w:highlight w:val="none"/>
        </w:rPr>
      </w:pPr>
    </w:p>
    <w:p w14:paraId="6ABACED8">
      <w:pPr>
        <w:spacing w:line="560" w:lineRule="exact"/>
        <w:rPr>
          <w:rFonts w:ascii="楷体_GB2312" w:eastAsia="楷体_GB2312"/>
          <w:color w:val="000000"/>
          <w:sz w:val="24"/>
          <w:highlight w:val="none"/>
        </w:rPr>
      </w:pPr>
    </w:p>
    <w:p w14:paraId="6EEC487A">
      <w:pPr>
        <w:spacing w:line="720" w:lineRule="exact"/>
        <w:jc w:val="center"/>
        <w:rPr>
          <w:rFonts w:ascii="黑体" w:eastAsia="黑体"/>
          <w:color w:val="000000"/>
          <w:sz w:val="36"/>
          <w:highlight w:val="none"/>
        </w:rPr>
      </w:pPr>
    </w:p>
    <w:p w14:paraId="1FAE7E23">
      <w:pPr>
        <w:spacing w:line="720" w:lineRule="exact"/>
        <w:jc w:val="center"/>
        <w:rPr>
          <w:rFonts w:ascii="楷体_GB2312" w:eastAsia="楷体_GB2312"/>
          <w:color w:val="000000"/>
          <w:sz w:val="36"/>
          <w:highlight w:val="none"/>
        </w:rPr>
      </w:pPr>
      <w:r>
        <w:rPr>
          <w:rFonts w:hint="eastAsia" w:ascii="黑体" w:eastAsia="黑体"/>
          <w:color w:val="000000"/>
          <w:sz w:val="36"/>
          <w:highlight w:val="none"/>
        </w:rPr>
        <w:t>6.制造商授权书格式(如有)</w:t>
      </w:r>
    </w:p>
    <w:p w14:paraId="53635AE4">
      <w:pPr>
        <w:spacing w:line="720" w:lineRule="exact"/>
        <w:jc w:val="center"/>
        <w:rPr>
          <w:rFonts w:ascii="楷体_GB2312" w:eastAsia="楷体_GB2312"/>
          <w:b/>
          <w:color w:val="000000"/>
          <w:sz w:val="30"/>
          <w:highlight w:val="none"/>
        </w:rPr>
      </w:pPr>
      <w:r>
        <w:rPr>
          <w:rFonts w:hint="eastAsia" w:ascii="楷体_GB2312" w:eastAsia="楷体_GB2312"/>
          <w:b/>
          <w:color w:val="000000"/>
          <w:sz w:val="30"/>
          <w:highlight w:val="none"/>
        </w:rPr>
        <w:t>制造商授权书</w:t>
      </w:r>
    </w:p>
    <w:p w14:paraId="67FDC136">
      <w:pPr>
        <w:spacing w:line="480" w:lineRule="exact"/>
        <w:rPr>
          <w:rFonts w:ascii="楷体_GB2312" w:eastAsia="楷体_GB2312"/>
          <w:color w:val="000000"/>
          <w:sz w:val="24"/>
          <w:highlight w:val="none"/>
        </w:rPr>
      </w:pPr>
      <w:r>
        <w:rPr>
          <w:rFonts w:hint="eastAsia" w:ascii="宋体" w:hAnsi="宋体"/>
          <w:color w:val="000000"/>
          <w:spacing w:val="28"/>
          <w:sz w:val="24"/>
          <w:highlight w:val="none"/>
        </w:rPr>
        <w:t>江苏长江水务股份有限公司</w:t>
      </w:r>
      <w:r>
        <w:rPr>
          <w:rFonts w:hint="eastAsia" w:ascii="楷体_GB2312" w:eastAsia="楷体_GB2312"/>
          <w:color w:val="000000"/>
          <w:sz w:val="24"/>
          <w:highlight w:val="none"/>
        </w:rPr>
        <w:t>：</w:t>
      </w:r>
    </w:p>
    <w:p w14:paraId="27718659">
      <w:pPr>
        <w:spacing w:line="560" w:lineRule="exact"/>
        <w:rPr>
          <w:rFonts w:ascii="宋体" w:hAnsi="宋体"/>
          <w:color w:val="000000"/>
          <w:sz w:val="24"/>
          <w:highlight w:val="none"/>
        </w:rPr>
      </w:pPr>
      <w:r>
        <w:rPr>
          <w:rFonts w:hint="eastAsia" w:ascii="宋体" w:hAnsi="宋体"/>
          <w:color w:val="000000"/>
          <w:sz w:val="24"/>
          <w:highlight w:val="none"/>
        </w:rPr>
        <w:t xml:space="preserve">    位于</w:t>
      </w:r>
      <w:r>
        <w:rPr>
          <w:rFonts w:hint="eastAsia" w:ascii="宋体" w:hAnsi="宋体"/>
          <w:color w:val="000000"/>
          <w:sz w:val="24"/>
          <w:highlight w:val="none"/>
          <w:u w:val="single"/>
        </w:rPr>
        <w:t>（制造厂家地址）</w:t>
      </w:r>
      <w:r>
        <w:rPr>
          <w:rFonts w:hint="eastAsia" w:ascii="宋体" w:hAnsi="宋体"/>
          <w:color w:val="000000"/>
          <w:sz w:val="24"/>
          <w:highlight w:val="none"/>
        </w:rPr>
        <w:t>的</w:t>
      </w:r>
      <w:r>
        <w:rPr>
          <w:rFonts w:hint="eastAsia" w:ascii="宋体" w:hAnsi="宋体"/>
          <w:color w:val="000000"/>
          <w:sz w:val="24"/>
          <w:highlight w:val="none"/>
          <w:u w:val="single"/>
        </w:rPr>
        <w:t>（制造厂家名称）</w:t>
      </w:r>
      <w:r>
        <w:rPr>
          <w:rFonts w:hint="eastAsia" w:ascii="宋体" w:hAnsi="宋体"/>
          <w:color w:val="000000"/>
          <w:sz w:val="24"/>
          <w:highlight w:val="none"/>
        </w:rPr>
        <w:t>是有声望的制造（货物名称和描述）的制造者，在此授权</w:t>
      </w:r>
      <w:r>
        <w:rPr>
          <w:rFonts w:hint="eastAsia" w:ascii="宋体" w:hAnsi="宋体"/>
          <w:color w:val="000000"/>
          <w:sz w:val="24"/>
          <w:highlight w:val="none"/>
          <w:u w:val="single"/>
        </w:rPr>
        <w:t>（代理机构名称和地址）</w:t>
      </w:r>
      <w:r>
        <w:rPr>
          <w:rFonts w:hint="eastAsia" w:ascii="宋体" w:hAnsi="宋体"/>
          <w:color w:val="000000"/>
          <w:sz w:val="24"/>
          <w:highlight w:val="none"/>
        </w:rPr>
        <w:t>就</w:t>
      </w:r>
      <w:r>
        <w:rPr>
          <w:rFonts w:hint="eastAsia"/>
          <w:color w:val="000000"/>
          <w:sz w:val="24"/>
          <w:highlight w:val="none"/>
        </w:rPr>
        <w:t>江苏长江水务股份有限公司</w:t>
      </w:r>
      <w:r>
        <w:rPr>
          <w:rFonts w:hint="eastAsia" w:ascii="宋体" w:hAnsi="宋体"/>
          <w:color w:val="000000"/>
          <w:sz w:val="24"/>
          <w:highlight w:val="none"/>
          <w:u w:val="single"/>
        </w:rPr>
        <w:t xml:space="preserve">     </w:t>
      </w:r>
      <w:r>
        <w:rPr>
          <w:rFonts w:hint="eastAsia" w:ascii="宋体" w:hAnsi="宋体"/>
          <w:color w:val="000000"/>
          <w:sz w:val="24"/>
          <w:highlight w:val="none"/>
        </w:rPr>
        <w:t>招标用我厂制造的货物递交投标文件，并与买方进行后续合同谈判和签订合同。</w:t>
      </w:r>
    </w:p>
    <w:p w14:paraId="5CCF5F06">
      <w:pPr>
        <w:spacing w:line="560" w:lineRule="exact"/>
        <w:rPr>
          <w:rFonts w:ascii="宋体" w:hAnsi="宋体"/>
          <w:color w:val="000000"/>
          <w:sz w:val="24"/>
          <w:highlight w:val="none"/>
        </w:rPr>
      </w:pPr>
      <w:r>
        <w:rPr>
          <w:rFonts w:hint="eastAsia" w:ascii="宋体" w:hAnsi="宋体"/>
          <w:color w:val="000000"/>
          <w:sz w:val="24"/>
          <w:highlight w:val="none"/>
        </w:rPr>
        <w:t xml:space="preserve">    我方在此保证为上述公司响应本次招标而提供的货物按照招标文件合同条款的规定提供全部质量保证。</w:t>
      </w:r>
    </w:p>
    <w:p w14:paraId="0E7AE3A3">
      <w:pPr>
        <w:spacing w:line="560" w:lineRule="exact"/>
        <w:rPr>
          <w:rFonts w:ascii="宋体" w:hAnsi="宋体"/>
          <w:color w:val="000000"/>
          <w:sz w:val="24"/>
          <w:highlight w:val="none"/>
        </w:rPr>
      </w:pPr>
      <w:r>
        <w:rPr>
          <w:rFonts w:hint="eastAsia" w:ascii="宋体" w:hAnsi="宋体"/>
          <w:color w:val="000000"/>
          <w:sz w:val="24"/>
          <w:highlight w:val="none"/>
        </w:rPr>
        <w:t xml:space="preserve">   </w:t>
      </w:r>
    </w:p>
    <w:p w14:paraId="4D5F2AFB">
      <w:pPr>
        <w:spacing w:line="560" w:lineRule="exact"/>
        <w:rPr>
          <w:rFonts w:ascii="宋体" w:hAnsi="宋体"/>
          <w:color w:val="000000"/>
          <w:sz w:val="24"/>
          <w:highlight w:val="none"/>
        </w:rPr>
      </w:pPr>
    </w:p>
    <w:p w14:paraId="4DD4E8CD">
      <w:pPr>
        <w:spacing w:line="560" w:lineRule="exact"/>
        <w:rPr>
          <w:rFonts w:ascii="宋体" w:hAnsi="宋体"/>
          <w:color w:val="000000"/>
          <w:sz w:val="24"/>
          <w:highlight w:val="none"/>
        </w:rPr>
      </w:pPr>
    </w:p>
    <w:p w14:paraId="52BA3282">
      <w:pPr>
        <w:spacing w:line="560" w:lineRule="exact"/>
        <w:rPr>
          <w:rFonts w:ascii="宋体" w:hAnsi="宋体"/>
          <w:color w:val="000000"/>
          <w:sz w:val="24"/>
          <w:highlight w:val="none"/>
        </w:rPr>
      </w:pPr>
      <w:r>
        <w:rPr>
          <w:rFonts w:hint="eastAsia" w:ascii="宋体" w:hAnsi="宋体"/>
          <w:color w:val="000000"/>
          <w:sz w:val="24"/>
          <w:highlight w:val="none"/>
        </w:rPr>
        <w:t xml:space="preserve">                                         制造厂家：</w:t>
      </w:r>
    </w:p>
    <w:p w14:paraId="0CDC91A6">
      <w:pPr>
        <w:spacing w:line="560" w:lineRule="exact"/>
        <w:rPr>
          <w:rFonts w:ascii="宋体" w:hAnsi="宋体"/>
          <w:color w:val="000000"/>
          <w:sz w:val="24"/>
          <w:highlight w:val="none"/>
        </w:rPr>
      </w:pPr>
      <w:r>
        <w:rPr>
          <w:rFonts w:hint="eastAsia" w:ascii="宋体" w:hAnsi="宋体"/>
          <w:color w:val="000000"/>
          <w:sz w:val="24"/>
          <w:highlight w:val="none"/>
        </w:rPr>
        <w:t xml:space="preserve">                                     授权代表签字：</w:t>
      </w:r>
    </w:p>
    <w:p w14:paraId="6569CAE1">
      <w:pPr>
        <w:spacing w:line="560" w:lineRule="exact"/>
        <w:rPr>
          <w:rFonts w:ascii="宋体" w:hAnsi="宋体"/>
          <w:color w:val="000000"/>
          <w:sz w:val="24"/>
          <w:highlight w:val="none"/>
        </w:rPr>
      </w:pPr>
      <w:r>
        <w:rPr>
          <w:rFonts w:hint="eastAsia" w:ascii="宋体" w:hAnsi="宋体"/>
          <w:color w:val="000000"/>
          <w:sz w:val="24"/>
          <w:highlight w:val="none"/>
        </w:rPr>
        <w:t xml:space="preserve">                                             职务：</w:t>
      </w:r>
    </w:p>
    <w:p w14:paraId="6CED9A5D">
      <w:pPr>
        <w:spacing w:line="560" w:lineRule="exact"/>
        <w:rPr>
          <w:rFonts w:ascii="宋体" w:hAnsi="宋体"/>
          <w:color w:val="000000"/>
          <w:sz w:val="24"/>
          <w:highlight w:val="none"/>
        </w:rPr>
      </w:pPr>
      <w:r>
        <w:rPr>
          <w:rFonts w:hint="eastAsia" w:ascii="宋体" w:hAnsi="宋体"/>
          <w:color w:val="000000"/>
          <w:sz w:val="24"/>
          <w:highlight w:val="none"/>
        </w:rPr>
        <w:t xml:space="preserve">                                             日期：</w:t>
      </w:r>
    </w:p>
    <w:p w14:paraId="7DD0ABE7">
      <w:pPr>
        <w:spacing w:line="560" w:lineRule="exact"/>
        <w:rPr>
          <w:rFonts w:ascii="楷体_GB2312" w:eastAsia="楷体_GB2312"/>
          <w:color w:val="000000"/>
          <w:sz w:val="24"/>
          <w:highlight w:val="none"/>
        </w:rPr>
      </w:pPr>
    </w:p>
    <w:p w14:paraId="29C5AD6C">
      <w:pPr>
        <w:spacing w:line="560" w:lineRule="exact"/>
        <w:rPr>
          <w:rFonts w:ascii="楷体_GB2312" w:eastAsia="楷体_GB2312"/>
          <w:color w:val="000000"/>
          <w:sz w:val="24"/>
          <w:highlight w:val="none"/>
        </w:rPr>
      </w:pPr>
    </w:p>
    <w:p w14:paraId="50A8C691">
      <w:pPr>
        <w:spacing w:line="560" w:lineRule="exact"/>
        <w:rPr>
          <w:rFonts w:ascii="楷体_GB2312" w:eastAsia="楷体_GB2312"/>
          <w:color w:val="000000"/>
          <w:sz w:val="24"/>
          <w:highlight w:val="none"/>
        </w:rPr>
      </w:pPr>
      <w:r>
        <w:rPr>
          <w:rFonts w:hint="eastAsia" w:ascii="楷体_GB2312" w:eastAsia="楷体_GB2312"/>
          <w:color w:val="000000"/>
          <w:sz w:val="24"/>
          <w:highlight w:val="none"/>
        </w:rPr>
        <w:t xml:space="preserve">    </w:t>
      </w:r>
    </w:p>
    <w:p w14:paraId="722672CF">
      <w:pPr>
        <w:spacing w:line="560" w:lineRule="exact"/>
        <w:rPr>
          <w:rFonts w:ascii="楷体_GB2312" w:eastAsia="楷体_GB2312"/>
          <w:color w:val="000000"/>
          <w:sz w:val="24"/>
          <w:highlight w:val="none"/>
        </w:rPr>
      </w:pPr>
    </w:p>
    <w:p w14:paraId="11D4C960">
      <w:pPr>
        <w:spacing w:line="560" w:lineRule="exact"/>
        <w:rPr>
          <w:rFonts w:ascii="楷体_GB2312" w:eastAsia="楷体_GB2312"/>
          <w:color w:val="000000"/>
          <w:sz w:val="24"/>
          <w:highlight w:val="none"/>
        </w:rPr>
      </w:pPr>
    </w:p>
    <w:p w14:paraId="60A30BAF">
      <w:pPr>
        <w:spacing w:line="560" w:lineRule="exact"/>
        <w:rPr>
          <w:rFonts w:ascii="楷体_GB2312" w:eastAsia="楷体_GB2312"/>
          <w:color w:val="000000"/>
          <w:sz w:val="24"/>
          <w:highlight w:val="none"/>
        </w:rPr>
      </w:pPr>
    </w:p>
    <w:p w14:paraId="68302D59">
      <w:pPr>
        <w:spacing w:line="560" w:lineRule="exact"/>
        <w:rPr>
          <w:rFonts w:ascii="楷体_GB2312" w:eastAsia="楷体_GB2312"/>
          <w:color w:val="000000"/>
          <w:sz w:val="24"/>
          <w:highlight w:val="none"/>
        </w:rPr>
      </w:pPr>
    </w:p>
    <w:p w14:paraId="4828D3D8">
      <w:pPr>
        <w:spacing w:line="560" w:lineRule="exact"/>
        <w:rPr>
          <w:rFonts w:ascii="楷体_GB2312" w:eastAsia="楷体_GB2312"/>
          <w:color w:val="000000"/>
          <w:sz w:val="24"/>
          <w:highlight w:val="none"/>
        </w:rPr>
      </w:pPr>
    </w:p>
    <w:p w14:paraId="0BC692D4">
      <w:pPr>
        <w:spacing w:line="560" w:lineRule="exact"/>
        <w:jc w:val="center"/>
        <w:rPr>
          <w:rFonts w:ascii="黑体" w:eastAsia="黑体"/>
          <w:color w:val="000000"/>
          <w:sz w:val="36"/>
          <w:highlight w:val="none"/>
        </w:rPr>
      </w:pPr>
      <w:r>
        <w:rPr>
          <w:rFonts w:hint="eastAsia" w:ascii="黑体" w:eastAsia="黑体"/>
          <w:color w:val="000000"/>
          <w:sz w:val="36"/>
          <w:highlight w:val="none"/>
        </w:rPr>
        <w:br w:type="page"/>
      </w:r>
      <w:r>
        <w:rPr>
          <w:rFonts w:hint="eastAsia" w:ascii="黑体" w:eastAsia="黑体"/>
          <w:color w:val="000000"/>
          <w:sz w:val="36"/>
          <w:highlight w:val="none"/>
        </w:rPr>
        <w:t>7.联合投标协议</w:t>
      </w:r>
    </w:p>
    <w:p w14:paraId="3501AEB3">
      <w:pPr>
        <w:spacing w:line="560" w:lineRule="exact"/>
        <w:jc w:val="center"/>
        <w:rPr>
          <w:rFonts w:ascii="宋体" w:hAnsi="宋体"/>
          <w:color w:val="000000"/>
          <w:sz w:val="24"/>
          <w:highlight w:val="none"/>
        </w:rPr>
      </w:pPr>
      <w:r>
        <w:rPr>
          <w:rFonts w:hint="eastAsia" w:ascii="宋体" w:hAnsi="宋体"/>
          <w:color w:val="000000"/>
          <w:sz w:val="24"/>
          <w:highlight w:val="none"/>
        </w:rPr>
        <w:t xml:space="preserve">（如果有的话）                    </w:t>
      </w:r>
    </w:p>
    <w:p w14:paraId="065ABF8C">
      <w:pPr>
        <w:spacing w:line="560" w:lineRule="exact"/>
        <w:jc w:val="center"/>
        <w:rPr>
          <w:rFonts w:ascii="楷体_GB2312" w:eastAsia="楷体_GB2312"/>
          <w:color w:val="000000"/>
          <w:sz w:val="24"/>
          <w:highlight w:val="none"/>
        </w:rPr>
      </w:pPr>
    </w:p>
    <w:p w14:paraId="35838D81">
      <w:pPr>
        <w:spacing w:line="560" w:lineRule="exact"/>
        <w:jc w:val="center"/>
        <w:rPr>
          <w:rFonts w:ascii="楷体_GB2312" w:eastAsia="楷体_GB2312"/>
          <w:color w:val="000000"/>
          <w:sz w:val="24"/>
          <w:highlight w:val="none"/>
        </w:rPr>
      </w:pPr>
    </w:p>
    <w:p w14:paraId="151EBDDA">
      <w:pPr>
        <w:spacing w:line="560" w:lineRule="exact"/>
        <w:jc w:val="center"/>
        <w:rPr>
          <w:rFonts w:ascii="楷体_GB2312" w:eastAsia="楷体_GB2312"/>
          <w:color w:val="000000"/>
          <w:sz w:val="24"/>
          <w:highlight w:val="none"/>
        </w:rPr>
      </w:pPr>
    </w:p>
    <w:p w14:paraId="2D61A446">
      <w:pPr>
        <w:spacing w:line="560" w:lineRule="exact"/>
        <w:jc w:val="center"/>
        <w:rPr>
          <w:rFonts w:ascii="楷体_GB2312" w:eastAsia="楷体_GB2312"/>
          <w:color w:val="000000"/>
          <w:sz w:val="24"/>
          <w:highlight w:val="none"/>
        </w:rPr>
      </w:pPr>
    </w:p>
    <w:p w14:paraId="74E9A790">
      <w:pPr>
        <w:spacing w:line="560" w:lineRule="exact"/>
        <w:jc w:val="center"/>
        <w:rPr>
          <w:rFonts w:ascii="楷体_GB2312" w:eastAsia="楷体_GB2312"/>
          <w:color w:val="000000"/>
          <w:sz w:val="24"/>
          <w:highlight w:val="none"/>
        </w:rPr>
      </w:pPr>
    </w:p>
    <w:p w14:paraId="54A19982">
      <w:pPr>
        <w:spacing w:line="560" w:lineRule="exact"/>
        <w:jc w:val="center"/>
        <w:rPr>
          <w:rFonts w:ascii="楷体_GB2312" w:eastAsia="楷体_GB2312"/>
          <w:color w:val="000000"/>
          <w:sz w:val="24"/>
          <w:highlight w:val="none"/>
        </w:rPr>
      </w:pPr>
    </w:p>
    <w:p w14:paraId="3B92BE3C">
      <w:pPr>
        <w:spacing w:line="560" w:lineRule="exact"/>
        <w:jc w:val="center"/>
        <w:rPr>
          <w:rFonts w:ascii="楷体_GB2312" w:eastAsia="楷体_GB2312"/>
          <w:color w:val="000000"/>
          <w:sz w:val="24"/>
          <w:highlight w:val="none"/>
        </w:rPr>
      </w:pPr>
    </w:p>
    <w:p w14:paraId="746C2728">
      <w:pPr>
        <w:spacing w:line="560" w:lineRule="exact"/>
        <w:jc w:val="center"/>
        <w:rPr>
          <w:rFonts w:ascii="楷体_GB2312" w:eastAsia="楷体_GB2312"/>
          <w:color w:val="000000"/>
          <w:sz w:val="24"/>
          <w:highlight w:val="none"/>
        </w:rPr>
      </w:pPr>
    </w:p>
    <w:p w14:paraId="34F055D2">
      <w:pPr>
        <w:spacing w:line="560" w:lineRule="exact"/>
        <w:jc w:val="center"/>
        <w:rPr>
          <w:rFonts w:ascii="楷体_GB2312" w:eastAsia="楷体_GB2312"/>
          <w:color w:val="000000"/>
          <w:sz w:val="24"/>
          <w:highlight w:val="none"/>
        </w:rPr>
      </w:pPr>
    </w:p>
    <w:p w14:paraId="14BF2D6A">
      <w:pPr>
        <w:spacing w:line="560" w:lineRule="exact"/>
        <w:jc w:val="center"/>
        <w:rPr>
          <w:rFonts w:ascii="楷体_GB2312" w:eastAsia="楷体_GB2312"/>
          <w:color w:val="000000"/>
          <w:sz w:val="24"/>
          <w:highlight w:val="none"/>
        </w:rPr>
      </w:pPr>
    </w:p>
    <w:p w14:paraId="7B241E26">
      <w:pPr>
        <w:spacing w:line="560" w:lineRule="exact"/>
        <w:jc w:val="center"/>
        <w:rPr>
          <w:rFonts w:ascii="楷体_GB2312" w:eastAsia="楷体_GB2312"/>
          <w:color w:val="000000"/>
          <w:sz w:val="24"/>
          <w:highlight w:val="none"/>
        </w:rPr>
      </w:pPr>
    </w:p>
    <w:p w14:paraId="5D722862">
      <w:pPr>
        <w:spacing w:line="560" w:lineRule="exact"/>
        <w:jc w:val="center"/>
        <w:rPr>
          <w:rFonts w:ascii="楷体_GB2312" w:eastAsia="楷体_GB2312"/>
          <w:color w:val="000000"/>
          <w:sz w:val="24"/>
          <w:highlight w:val="none"/>
        </w:rPr>
      </w:pPr>
    </w:p>
    <w:p w14:paraId="1CB55371">
      <w:pPr>
        <w:spacing w:line="560" w:lineRule="exact"/>
        <w:jc w:val="center"/>
        <w:rPr>
          <w:rFonts w:ascii="楷体_GB2312" w:eastAsia="楷体_GB2312"/>
          <w:color w:val="000000"/>
          <w:sz w:val="24"/>
          <w:highlight w:val="none"/>
        </w:rPr>
      </w:pPr>
    </w:p>
    <w:p w14:paraId="57278015">
      <w:pPr>
        <w:spacing w:line="560" w:lineRule="exact"/>
        <w:jc w:val="center"/>
        <w:rPr>
          <w:rFonts w:ascii="楷体_GB2312" w:eastAsia="楷体_GB2312"/>
          <w:color w:val="000000"/>
          <w:sz w:val="24"/>
          <w:highlight w:val="none"/>
        </w:rPr>
      </w:pPr>
    </w:p>
    <w:p w14:paraId="3EDBFD28">
      <w:pPr>
        <w:spacing w:line="560" w:lineRule="exact"/>
        <w:jc w:val="center"/>
        <w:rPr>
          <w:rFonts w:ascii="楷体_GB2312" w:eastAsia="楷体_GB2312"/>
          <w:color w:val="000000"/>
          <w:sz w:val="24"/>
          <w:highlight w:val="none"/>
        </w:rPr>
      </w:pPr>
    </w:p>
    <w:p w14:paraId="668E6B8F">
      <w:pPr>
        <w:spacing w:line="560" w:lineRule="exact"/>
        <w:jc w:val="center"/>
        <w:rPr>
          <w:rFonts w:ascii="楷体_GB2312" w:eastAsia="楷体_GB2312"/>
          <w:color w:val="000000"/>
          <w:sz w:val="24"/>
          <w:highlight w:val="none"/>
        </w:rPr>
      </w:pPr>
    </w:p>
    <w:p w14:paraId="27D28479">
      <w:pPr>
        <w:spacing w:line="560" w:lineRule="exact"/>
        <w:jc w:val="center"/>
        <w:rPr>
          <w:rFonts w:ascii="楷体_GB2312" w:eastAsia="楷体_GB2312"/>
          <w:color w:val="000000"/>
          <w:sz w:val="24"/>
          <w:highlight w:val="none"/>
        </w:rPr>
      </w:pPr>
    </w:p>
    <w:p w14:paraId="700D080E">
      <w:pPr>
        <w:spacing w:line="560" w:lineRule="exact"/>
        <w:jc w:val="center"/>
        <w:rPr>
          <w:rFonts w:ascii="楷体_GB2312" w:eastAsia="楷体_GB2312"/>
          <w:color w:val="000000"/>
          <w:sz w:val="24"/>
          <w:highlight w:val="none"/>
        </w:rPr>
      </w:pPr>
    </w:p>
    <w:p w14:paraId="181AD7C5">
      <w:pPr>
        <w:spacing w:line="560" w:lineRule="exact"/>
        <w:jc w:val="center"/>
        <w:rPr>
          <w:rFonts w:ascii="楷体_GB2312" w:eastAsia="楷体_GB2312"/>
          <w:color w:val="000000"/>
          <w:sz w:val="24"/>
          <w:highlight w:val="none"/>
        </w:rPr>
      </w:pPr>
    </w:p>
    <w:p w14:paraId="2FAABF94">
      <w:pPr>
        <w:spacing w:line="560" w:lineRule="exact"/>
        <w:jc w:val="center"/>
        <w:rPr>
          <w:rFonts w:ascii="楷体_GB2312" w:eastAsia="楷体_GB2312"/>
          <w:color w:val="000000"/>
          <w:sz w:val="24"/>
          <w:highlight w:val="none"/>
        </w:rPr>
      </w:pPr>
    </w:p>
    <w:p w14:paraId="7729CD22">
      <w:pPr>
        <w:spacing w:line="560" w:lineRule="exact"/>
        <w:jc w:val="center"/>
        <w:rPr>
          <w:rFonts w:ascii="楷体_GB2312" w:eastAsia="楷体_GB2312"/>
          <w:color w:val="000000"/>
          <w:sz w:val="24"/>
          <w:highlight w:val="none"/>
        </w:rPr>
      </w:pPr>
    </w:p>
    <w:p w14:paraId="54FAAF66">
      <w:pPr>
        <w:spacing w:line="560" w:lineRule="exact"/>
        <w:jc w:val="center"/>
        <w:rPr>
          <w:rFonts w:ascii="楷体_GB2312" w:eastAsia="楷体_GB2312"/>
          <w:color w:val="000000"/>
          <w:sz w:val="24"/>
          <w:highlight w:val="none"/>
        </w:rPr>
      </w:pPr>
    </w:p>
    <w:p w14:paraId="5A908BEB">
      <w:pPr>
        <w:spacing w:line="560" w:lineRule="exact"/>
        <w:jc w:val="center"/>
        <w:rPr>
          <w:rFonts w:ascii="楷体_GB2312" w:eastAsia="楷体_GB2312"/>
          <w:color w:val="000000"/>
          <w:sz w:val="24"/>
          <w:highlight w:val="none"/>
        </w:rPr>
      </w:pPr>
    </w:p>
    <w:p w14:paraId="358BC96B">
      <w:pPr>
        <w:spacing w:line="560" w:lineRule="exact"/>
        <w:rPr>
          <w:rFonts w:ascii="楷体_GB2312" w:eastAsia="楷体_GB2312"/>
          <w:b/>
          <w:color w:val="000000"/>
          <w:sz w:val="36"/>
          <w:highlight w:val="none"/>
        </w:rPr>
      </w:pPr>
      <w:r>
        <w:rPr>
          <w:rFonts w:hint="eastAsia" w:ascii="楷体_GB2312" w:eastAsia="楷体_GB2312"/>
          <w:b/>
          <w:color w:val="000000"/>
          <w:sz w:val="36"/>
          <w:highlight w:val="none"/>
        </w:rPr>
        <w:t>三、证明货物的合格性和符合招标文件规定的文件</w:t>
      </w:r>
    </w:p>
    <w:p w14:paraId="615DD490">
      <w:pPr>
        <w:spacing w:line="560" w:lineRule="exact"/>
        <w:rPr>
          <w:rFonts w:ascii="楷体_GB2312" w:eastAsia="楷体_GB2312"/>
          <w:color w:val="000000"/>
          <w:sz w:val="24"/>
          <w:highlight w:val="none"/>
        </w:rPr>
      </w:pPr>
    </w:p>
    <w:p w14:paraId="67EFB79C">
      <w:pPr>
        <w:numPr>
          <w:ilvl w:val="0"/>
          <w:numId w:val="18"/>
        </w:numPr>
        <w:spacing w:line="560" w:lineRule="exact"/>
        <w:jc w:val="center"/>
        <w:rPr>
          <w:rFonts w:ascii="黑体" w:eastAsia="黑体"/>
          <w:color w:val="000000"/>
          <w:sz w:val="36"/>
          <w:highlight w:val="none"/>
        </w:rPr>
      </w:pPr>
      <w:r>
        <w:rPr>
          <w:rFonts w:hint="eastAsia" w:ascii="黑体" w:eastAsia="黑体"/>
          <w:color w:val="000000"/>
          <w:sz w:val="36"/>
          <w:highlight w:val="none"/>
        </w:rPr>
        <w:t>质量保证书</w:t>
      </w:r>
    </w:p>
    <w:p w14:paraId="517EADA6">
      <w:pPr>
        <w:spacing w:line="560" w:lineRule="exact"/>
        <w:rPr>
          <w:rFonts w:ascii="楷体_GB2312" w:eastAsia="楷体_GB2312"/>
          <w:color w:val="000000"/>
          <w:sz w:val="24"/>
          <w:highlight w:val="none"/>
        </w:rPr>
      </w:pPr>
    </w:p>
    <w:p w14:paraId="7A133C70">
      <w:pPr>
        <w:numPr>
          <w:ilvl w:val="0"/>
          <w:numId w:val="18"/>
        </w:numPr>
        <w:spacing w:line="560" w:lineRule="exact"/>
        <w:jc w:val="center"/>
        <w:rPr>
          <w:rFonts w:ascii="黑体" w:eastAsia="黑体"/>
          <w:color w:val="000000"/>
          <w:sz w:val="36"/>
          <w:highlight w:val="none"/>
        </w:rPr>
      </w:pPr>
      <w:r>
        <w:rPr>
          <w:rFonts w:hint="eastAsia" w:ascii="黑体" w:eastAsia="黑体"/>
          <w:color w:val="000000"/>
          <w:sz w:val="36"/>
          <w:highlight w:val="none"/>
        </w:rPr>
        <w:t>有关部门的检测报告</w:t>
      </w:r>
    </w:p>
    <w:p w14:paraId="612B6CCF">
      <w:pPr>
        <w:spacing w:line="560" w:lineRule="exact"/>
        <w:jc w:val="center"/>
        <w:rPr>
          <w:rFonts w:ascii="黑体" w:eastAsia="黑体"/>
          <w:color w:val="000000"/>
          <w:sz w:val="36"/>
          <w:highlight w:val="none"/>
        </w:rPr>
      </w:pPr>
    </w:p>
    <w:p w14:paraId="357D27D7">
      <w:pPr>
        <w:spacing w:line="560" w:lineRule="exact"/>
        <w:ind w:firstLine="3060" w:firstLineChars="850"/>
        <w:rPr>
          <w:rFonts w:ascii="黑体" w:eastAsia="黑体"/>
          <w:color w:val="000000"/>
          <w:sz w:val="36"/>
          <w:highlight w:val="none"/>
        </w:rPr>
      </w:pPr>
      <w:r>
        <w:rPr>
          <w:rFonts w:hint="eastAsia" w:ascii="黑体" w:eastAsia="黑体"/>
          <w:color w:val="000000"/>
          <w:sz w:val="36"/>
          <w:highlight w:val="none"/>
        </w:rPr>
        <w:t>3．生产资质证书</w:t>
      </w:r>
      <w:r>
        <w:rPr>
          <w:rFonts w:hint="eastAsia" w:ascii="黑体" w:eastAsia="黑体"/>
          <w:color w:val="000000"/>
          <w:sz w:val="36"/>
          <w:highlight w:val="none"/>
        </w:rPr>
        <w:br w:type="page"/>
      </w:r>
      <w:r>
        <w:rPr>
          <w:rFonts w:hint="eastAsia" w:ascii="黑体" w:eastAsia="黑体"/>
          <w:color w:val="000000"/>
          <w:sz w:val="36"/>
          <w:highlight w:val="none"/>
        </w:rPr>
        <w:t xml:space="preserve"> 4.投标货物规格响应表格式</w:t>
      </w:r>
    </w:p>
    <w:p w14:paraId="53FC4E6F">
      <w:pPr>
        <w:spacing w:line="560" w:lineRule="exact"/>
        <w:jc w:val="center"/>
        <w:rPr>
          <w:rFonts w:ascii="宋体" w:hAnsi="宋体"/>
          <w:color w:val="000000"/>
          <w:sz w:val="24"/>
          <w:highlight w:val="none"/>
        </w:rPr>
      </w:pPr>
      <w:r>
        <w:rPr>
          <w:rFonts w:hint="eastAsia" w:ascii="宋体" w:hAnsi="宋体"/>
          <w:color w:val="000000"/>
          <w:sz w:val="24"/>
          <w:highlight w:val="none"/>
        </w:rPr>
        <w:t>投标货物技术规格响应表</w:t>
      </w:r>
    </w:p>
    <w:p w14:paraId="0A9D3C19">
      <w:pPr>
        <w:spacing w:line="560" w:lineRule="exact"/>
        <w:rPr>
          <w:rFonts w:ascii="宋体" w:hAnsi="宋体"/>
          <w:color w:val="000000"/>
          <w:sz w:val="24"/>
          <w:highlight w:val="none"/>
          <w:u w:val="single"/>
        </w:rPr>
      </w:pPr>
      <w:r>
        <w:rPr>
          <w:rFonts w:hint="eastAsia" w:ascii="宋体" w:hAnsi="宋体"/>
          <w:color w:val="000000"/>
          <w:sz w:val="24"/>
          <w:highlight w:val="none"/>
        </w:rPr>
        <w:t>投标人名称：</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招标编号：</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标段号：</w:t>
      </w:r>
      <w:r>
        <w:rPr>
          <w:rFonts w:hint="eastAsia" w:ascii="宋体" w:hAnsi="宋体"/>
          <w:color w:val="000000"/>
          <w:sz w:val="24"/>
          <w:highlight w:val="none"/>
          <w:u w:val="single"/>
        </w:rPr>
        <w:t xml:space="preserve">             </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14:paraId="140AF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val="0"/>
            <w:vAlign w:val="top"/>
          </w:tcPr>
          <w:p w14:paraId="24D0C301">
            <w:pPr>
              <w:spacing w:line="560" w:lineRule="exact"/>
              <w:jc w:val="center"/>
              <w:rPr>
                <w:rFonts w:ascii="宋体" w:hAnsi="宋体"/>
                <w:color w:val="000000"/>
                <w:sz w:val="24"/>
                <w:highlight w:val="none"/>
              </w:rPr>
            </w:pPr>
            <w:r>
              <w:rPr>
                <w:rFonts w:hint="eastAsia" w:ascii="宋体" w:hAnsi="宋体"/>
                <w:color w:val="000000"/>
                <w:sz w:val="24"/>
                <w:highlight w:val="none"/>
              </w:rPr>
              <w:t>序号</w:t>
            </w:r>
          </w:p>
        </w:tc>
        <w:tc>
          <w:tcPr>
            <w:tcW w:w="1890" w:type="dxa"/>
            <w:tcBorders>
              <w:top w:val="single" w:color="auto" w:sz="4" w:space="0"/>
              <w:left w:val="single" w:color="auto" w:sz="4" w:space="0"/>
              <w:bottom w:val="single" w:color="auto" w:sz="4" w:space="0"/>
              <w:right w:val="single" w:color="auto" w:sz="4" w:space="0"/>
            </w:tcBorders>
            <w:noWrap w:val="0"/>
            <w:vAlign w:val="top"/>
          </w:tcPr>
          <w:p w14:paraId="709B8157">
            <w:pPr>
              <w:spacing w:line="560" w:lineRule="exact"/>
              <w:jc w:val="center"/>
              <w:rPr>
                <w:rFonts w:ascii="宋体" w:hAnsi="宋体"/>
                <w:color w:val="000000"/>
                <w:sz w:val="24"/>
                <w:highlight w:val="none"/>
              </w:rPr>
            </w:pPr>
            <w:r>
              <w:rPr>
                <w:rFonts w:hint="eastAsia" w:ascii="宋体" w:hAnsi="宋体"/>
                <w:color w:val="000000"/>
                <w:sz w:val="24"/>
                <w:highlight w:val="none"/>
              </w:rPr>
              <w:t>标书规格</w:t>
            </w:r>
          </w:p>
        </w:tc>
        <w:tc>
          <w:tcPr>
            <w:tcW w:w="1890" w:type="dxa"/>
            <w:tcBorders>
              <w:top w:val="single" w:color="auto" w:sz="4" w:space="0"/>
              <w:left w:val="single" w:color="auto" w:sz="4" w:space="0"/>
              <w:bottom w:val="single" w:color="auto" w:sz="4" w:space="0"/>
              <w:right w:val="single" w:color="auto" w:sz="4" w:space="0"/>
            </w:tcBorders>
            <w:noWrap w:val="0"/>
            <w:vAlign w:val="top"/>
          </w:tcPr>
          <w:p w14:paraId="55DBD6AE">
            <w:pPr>
              <w:spacing w:line="560" w:lineRule="exact"/>
              <w:jc w:val="center"/>
              <w:rPr>
                <w:rFonts w:ascii="宋体" w:hAnsi="宋体"/>
                <w:color w:val="000000"/>
                <w:sz w:val="24"/>
                <w:highlight w:val="none"/>
              </w:rPr>
            </w:pPr>
            <w:r>
              <w:rPr>
                <w:rFonts w:hint="eastAsia" w:ascii="宋体" w:hAnsi="宋体"/>
                <w:color w:val="000000"/>
                <w:sz w:val="24"/>
                <w:highlight w:val="none"/>
              </w:rPr>
              <w:t>投标规格</w:t>
            </w:r>
          </w:p>
        </w:tc>
        <w:tc>
          <w:tcPr>
            <w:tcW w:w="1605" w:type="dxa"/>
            <w:tcBorders>
              <w:top w:val="single" w:color="auto" w:sz="4" w:space="0"/>
              <w:left w:val="single" w:color="auto" w:sz="4" w:space="0"/>
              <w:bottom w:val="single" w:color="auto" w:sz="4" w:space="0"/>
              <w:right w:val="single" w:color="auto" w:sz="4" w:space="0"/>
            </w:tcBorders>
            <w:noWrap w:val="0"/>
            <w:vAlign w:val="top"/>
          </w:tcPr>
          <w:p w14:paraId="5E4002F7">
            <w:pPr>
              <w:spacing w:line="560" w:lineRule="exact"/>
              <w:jc w:val="center"/>
              <w:rPr>
                <w:rFonts w:ascii="宋体" w:hAnsi="宋体"/>
                <w:color w:val="000000"/>
                <w:sz w:val="24"/>
                <w:highlight w:val="none"/>
              </w:rPr>
            </w:pPr>
            <w:r>
              <w:rPr>
                <w:rFonts w:hint="eastAsia" w:ascii="宋体" w:hAnsi="宋体"/>
                <w:color w:val="000000"/>
                <w:sz w:val="24"/>
                <w:highlight w:val="none"/>
              </w:rPr>
              <w:t>偏离与否</w:t>
            </w:r>
          </w:p>
        </w:tc>
        <w:tc>
          <w:tcPr>
            <w:tcW w:w="2300" w:type="dxa"/>
            <w:tcBorders>
              <w:top w:val="single" w:color="auto" w:sz="4" w:space="0"/>
              <w:left w:val="single" w:color="auto" w:sz="4" w:space="0"/>
              <w:bottom w:val="single" w:color="auto" w:sz="4" w:space="0"/>
              <w:right w:val="single" w:color="auto" w:sz="4" w:space="0"/>
            </w:tcBorders>
            <w:noWrap w:val="0"/>
            <w:vAlign w:val="top"/>
          </w:tcPr>
          <w:p w14:paraId="76E9242C">
            <w:pPr>
              <w:spacing w:line="560" w:lineRule="exact"/>
              <w:jc w:val="center"/>
              <w:rPr>
                <w:rFonts w:ascii="宋体" w:hAnsi="宋体"/>
                <w:color w:val="000000"/>
                <w:sz w:val="24"/>
                <w:highlight w:val="none"/>
              </w:rPr>
            </w:pPr>
            <w:r>
              <w:rPr>
                <w:rFonts w:hint="eastAsia" w:ascii="宋体" w:hAnsi="宋体"/>
                <w:color w:val="000000"/>
                <w:sz w:val="24"/>
                <w:highlight w:val="none"/>
              </w:rPr>
              <w:t>说 明</w:t>
            </w:r>
          </w:p>
        </w:tc>
      </w:tr>
      <w:tr w14:paraId="5A716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noWrap w:val="0"/>
            <w:vAlign w:val="top"/>
          </w:tcPr>
          <w:p w14:paraId="69AB89CD">
            <w:pPr>
              <w:spacing w:line="560" w:lineRule="exact"/>
              <w:rPr>
                <w:rFonts w:ascii="宋体" w:hAnsi="宋体"/>
                <w:color w:val="000000"/>
                <w:sz w:val="24"/>
                <w:highlight w:val="none"/>
              </w:rPr>
            </w:pPr>
          </w:p>
        </w:tc>
        <w:tc>
          <w:tcPr>
            <w:tcW w:w="1890" w:type="dxa"/>
            <w:tcBorders>
              <w:top w:val="single" w:color="auto" w:sz="4" w:space="0"/>
              <w:left w:val="single" w:color="auto" w:sz="4" w:space="0"/>
              <w:bottom w:val="single" w:color="auto" w:sz="4" w:space="0"/>
              <w:right w:val="single" w:color="auto" w:sz="4" w:space="0"/>
            </w:tcBorders>
            <w:noWrap w:val="0"/>
            <w:vAlign w:val="top"/>
          </w:tcPr>
          <w:p w14:paraId="0A92B146">
            <w:pPr>
              <w:spacing w:line="560" w:lineRule="exact"/>
              <w:rPr>
                <w:rFonts w:ascii="宋体" w:hAnsi="宋体"/>
                <w:color w:val="000000"/>
                <w:sz w:val="24"/>
                <w:highlight w:val="none"/>
              </w:rPr>
            </w:pPr>
          </w:p>
        </w:tc>
        <w:tc>
          <w:tcPr>
            <w:tcW w:w="1890" w:type="dxa"/>
            <w:tcBorders>
              <w:top w:val="single" w:color="auto" w:sz="4" w:space="0"/>
              <w:left w:val="single" w:color="auto" w:sz="4" w:space="0"/>
              <w:bottom w:val="single" w:color="auto" w:sz="4" w:space="0"/>
              <w:right w:val="single" w:color="auto" w:sz="4" w:space="0"/>
            </w:tcBorders>
            <w:noWrap w:val="0"/>
            <w:vAlign w:val="top"/>
          </w:tcPr>
          <w:p w14:paraId="40BA1A6A">
            <w:pPr>
              <w:spacing w:line="560" w:lineRule="exact"/>
              <w:rPr>
                <w:rFonts w:ascii="宋体" w:hAnsi="宋体"/>
                <w:color w:val="000000"/>
                <w:sz w:val="24"/>
                <w:highlight w:val="none"/>
              </w:rPr>
            </w:pPr>
          </w:p>
        </w:tc>
        <w:tc>
          <w:tcPr>
            <w:tcW w:w="1605" w:type="dxa"/>
            <w:tcBorders>
              <w:top w:val="single" w:color="auto" w:sz="4" w:space="0"/>
              <w:left w:val="single" w:color="auto" w:sz="4" w:space="0"/>
              <w:bottom w:val="single" w:color="auto" w:sz="4" w:space="0"/>
              <w:right w:val="single" w:color="auto" w:sz="4" w:space="0"/>
            </w:tcBorders>
            <w:noWrap w:val="0"/>
            <w:vAlign w:val="top"/>
          </w:tcPr>
          <w:p w14:paraId="2AE4D3C5">
            <w:pPr>
              <w:spacing w:line="560" w:lineRule="exact"/>
              <w:rPr>
                <w:rFonts w:ascii="宋体" w:hAnsi="宋体"/>
                <w:color w:val="000000"/>
                <w:sz w:val="24"/>
                <w:highlight w:val="none"/>
              </w:rPr>
            </w:pPr>
          </w:p>
          <w:p w14:paraId="5CB66C4B">
            <w:pPr>
              <w:spacing w:line="560" w:lineRule="exact"/>
              <w:rPr>
                <w:rFonts w:ascii="宋体" w:hAnsi="宋体"/>
                <w:color w:val="000000"/>
                <w:sz w:val="24"/>
                <w:highlight w:val="none"/>
              </w:rPr>
            </w:pPr>
          </w:p>
          <w:p w14:paraId="1740448B">
            <w:pPr>
              <w:spacing w:line="560" w:lineRule="exact"/>
              <w:rPr>
                <w:rFonts w:ascii="宋体" w:hAnsi="宋体"/>
                <w:color w:val="000000"/>
                <w:sz w:val="24"/>
                <w:highlight w:val="none"/>
              </w:rPr>
            </w:pPr>
          </w:p>
          <w:p w14:paraId="4A17E404">
            <w:pPr>
              <w:spacing w:line="560" w:lineRule="exact"/>
              <w:rPr>
                <w:rFonts w:ascii="宋体" w:hAnsi="宋体"/>
                <w:color w:val="000000"/>
                <w:sz w:val="24"/>
                <w:highlight w:val="none"/>
              </w:rPr>
            </w:pPr>
          </w:p>
          <w:p w14:paraId="033153C9">
            <w:pPr>
              <w:spacing w:line="560" w:lineRule="exact"/>
              <w:rPr>
                <w:rFonts w:ascii="宋体" w:hAnsi="宋体"/>
                <w:color w:val="000000"/>
                <w:sz w:val="24"/>
                <w:highlight w:val="none"/>
              </w:rPr>
            </w:pPr>
          </w:p>
          <w:p w14:paraId="1CFB463C">
            <w:pPr>
              <w:spacing w:line="560" w:lineRule="exact"/>
              <w:rPr>
                <w:rFonts w:ascii="宋体" w:hAnsi="宋体"/>
                <w:color w:val="000000"/>
                <w:sz w:val="24"/>
                <w:highlight w:val="none"/>
              </w:rPr>
            </w:pPr>
          </w:p>
          <w:p w14:paraId="03696068">
            <w:pPr>
              <w:spacing w:line="560" w:lineRule="exact"/>
              <w:rPr>
                <w:rFonts w:ascii="宋体" w:hAnsi="宋体"/>
                <w:color w:val="000000"/>
                <w:sz w:val="24"/>
                <w:highlight w:val="none"/>
              </w:rPr>
            </w:pPr>
          </w:p>
          <w:p w14:paraId="3DE8581B">
            <w:pPr>
              <w:spacing w:line="560" w:lineRule="exact"/>
              <w:rPr>
                <w:rFonts w:ascii="宋体" w:hAnsi="宋体"/>
                <w:color w:val="000000"/>
                <w:sz w:val="24"/>
                <w:highlight w:val="none"/>
              </w:rPr>
            </w:pPr>
          </w:p>
          <w:p w14:paraId="644159C3">
            <w:pPr>
              <w:spacing w:line="560" w:lineRule="exact"/>
              <w:rPr>
                <w:rFonts w:ascii="宋体" w:hAnsi="宋体"/>
                <w:color w:val="000000"/>
                <w:sz w:val="24"/>
                <w:highlight w:val="none"/>
              </w:rPr>
            </w:pPr>
          </w:p>
          <w:p w14:paraId="5002E294">
            <w:pPr>
              <w:spacing w:line="560" w:lineRule="exact"/>
              <w:rPr>
                <w:rFonts w:ascii="宋体" w:hAnsi="宋体"/>
                <w:color w:val="000000"/>
                <w:sz w:val="24"/>
                <w:highlight w:val="none"/>
              </w:rPr>
            </w:pPr>
          </w:p>
          <w:p w14:paraId="781A375B">
            <w:pPr>
              <w:spacing w:line="560" w:lineRule="exact"/>
              <w:rPr>
                <w:rFonts w:ascii="宋体" w:hAnsi="宋体"/>
                <w:color w:val="000000"/>
                <w:sz w:val="24"/>
                <w:highlight w:val="none"/>
              </w:rPr>
            </w:pPr>
          </w:p>
          <w:p w14:paraId="5D95D37F">
            <w:pPr>
              <w:spacing w:line="560" w:lineRule="exact"/>
              <w:rPr>
                <w:rFonts w:ascii="宋体" w:hAnsi="宋体"/>
                <w:color w:val="000000"/>
                <w:sz w:val="24"/>
                <w:highlight w:val="none"/>
              </w:rPr>
            </w:pPr>
          </w:p>
          <w:p w14:paraId="1679CD3B">
            <w:pPr>
              <w:spacing w:line="560" w:lineRule="exact"/>
              <w:rPr>
                <w:rFonts w:ascii="宋体" w:hAnsi="宋体"/>
                <w:color w:val="000000"/>
                <w:sz w:val="24"/>
                <w:highlight w:val="none"/>
              </w:rPr>
            </w:pPr>
          </w:p>
          <w:p w14:paraId="44D3085B">
            <w:pPr>
              <w:spacing w:line="560" w:lineRule="exact"/>
              <w:rPr>
                <w:rFonts w:ascii="宋体" w:hAnsi="宋体"/>
                <w:color w:val="000000"/>
                <w:sz w:val="24"/>
                <w:highlight w:val="none"/>
              </w:rPr>
            </w:pPr>
          </w:p>
          <w:p w14:paraId="04064436">
            <w:pPr>
              <w:spacing w:line="560" w:lineRule="exact"/>
              <w:rPr>
                <w:rFonts w:ascii="宋体" w:hAnsi="宋体"/>
                <w:color w:val="000000"/>
                <w:sz w:val="24"/>
                <w:highlight w:val="none"/>
              </w:rPr>
            </w:pPr>
          </w:p>
          <w:p w14:paraId="7A3ECC5F">
            <w:pPr>
              <w:spacing w:line="560" w:lineRule="exact"/>
              <w:rPr>
                <w:rFonts w:ascii="宋体" w:hAnsi="宋体"/>
                <w:color w:val="000000"/>
                <w:sz w:val="24"/>
                <w:highlight w:val="none"/>
              </w:rPr>
            </w:pPr>
          </w:p>
          <w:p w14:paraId="153F053B">
            <w:pPr>
              <w:spacing w:line="560" w:lineRule="exact"/>
              <w:rPr>
                <w:rFonts w:ascii="宋体" w:hAnsi="宋体"/>
                <w:color w:val="000000"/>
                <w:sz w:val="24"/>
                <w:highlight w:val="none"/>
              </w:rPr>
            </w:pPr>
          </w:p>
        </w:tc>
        <w:tc>
          <w:tcPr>
            <w:tcW w:w="2300" w:type="dxa"/>
            <w:tcBorders>
              <w:top w:val="single" w:color="auto" w:sz="4" w:space="0"/>
              <w:left w:val="single" w:color="auto" w:sz="4" w:space="0"/>
              <w:bottom w:val="single" w:color="auto" w:sz="4" w:space="0"/>
              <w:right w:val="single" w:color="auto" w:sz="4" w:space="0"/>
            </w:tcBorders>
            <w:noWrap w:val="0"/>
            <w:vAlign w:val="top"/>
          </w:tcPr>
          <w:p w14:paraId="68BCCFA3">
            <w:pPr>
              <w:widowControl/>
              <w:jc w:val="left"/>
              <w:rPr>
                <w:rFonts w:ascii="宋体" w:hAnsi="宋体"/>
                <w:color w:val="000000"/>
                <w:sz w:val="24"/>
                <w:highlight w:val="none"/>
              </w:rPr>
            </w:pPr>
          </w:p>
          <w:p w14:paraId="7CEECEF6">
            <w:pPr>
              <w:widowControl/>
              <w:jc w:val="left"/>
              <w:rPr>
                <w:rFonts w:ascii="宋体" w:hAnsi="宋体"/>
                <w:color w:val="000000"/>
                <w:sz w:val="24"/>
                <w:highlight w:val="none"/>
              </w:rPr>
            </w:pPr>
          </w:p>
          <w:p w14:paraId="29BEBD82">
            <w:pPr>
              <w:widowControl/>
              <w:jc w:val="left"/>
              <w:rPr>
                <w:rFonts w:ascii="宋体" w:hAnsi="宋体"/>
                <w:color w:val="000000"/>
                <w:sz w:val="24"/>
                <w:highlight w:val="none"/>
              </w:rPr>
            </w:pPr>
          </w:p>
          <w:p w14:paraId="3BF2A8FB">
            <w:pPr>
              <w:widowControl/>
              <w:jc w:val="left"/>
              <w:rPr>
                <w:rFonts w:ascii="宋体" w:hAnsi="宋体"/>
                <w:color w:val="000000"/>
                <w:sz w:val="24"/>
                <w:highlight w:val="none"/>
              </w:rPr>
            </w:pPr>
          </w:p>
          <w:p w14:paraId="4BE9C6D6">
            <w:pPr>
              <w:widowControl/>
              <w:jc w:val="left"/>
              <w:rPr>
                <w:rFonts w:ascii="宋体" w:hAnsi="宋体"/>
                <w:color w:val="000000"/>
                <w:sz w:val="24"/>
                <w:highlight w:val="none"/>
              </w:rPr>
            </w:pPr>
          </w:p>
          <w:p w14:paraId="2EF061B0">
            <w:pPr>
              <w:widowControl/>
              <w:jc w:val="left"/>
              <w:rPr>
                <w:rFonts w:ascii="宋体" w:hAnsi="宋体"/>
                <w:color w:val="000000"/>
                <w:sz w:val="24"/>
                <w:highlight w:val="none"/>
              </w:rPr>
            </w:pPr>
          </w:p>
          <w:p w14:paraId="6CF2AC67">
            <w:pPr>
              <w:widowControl/>
              <w:jc w:val="left"/>
              <w:rPr>
                <w:rFonts w:ascii="宋体" w:hAnsi="宋体"/>
                <w:color w:val="000000"/>
                <w:sz w:val="24"/>
                <w:highlight w:val="none"/>
              </w:rPr>
            </w:pPr>
          </w:p>
          <w:p w14:paraId="577E87F9">
            <w:pPr>
              <w:widowControl/>
              <w:jc w:val="left"/>
              <w:rPr>
                <w:rFonts w:ascii="宋体" w:hAnsi="宋体"/>
                <w:color w:val="000000"/>
                <w:sz w:val="24"/>
                <w:highlight w:val="none"/>
              </w:rPr>
            </w:pPr>
          </w:p>
          <w:p w14:paraId="2D53352D">
            <w:pPr>
              <w:widowControl/>
              <w:jc w:val="left"/>
              <w:rPr>
                <w:rFonts w:ascii="宋体" w:hAnsi="宋体"/>
                <w:color w:val="000000"/>
                <w:sz w:val="24"/>
                <w:highlight w:val="none"/>
              </w:rPr>
            </w:pPr>
          </w:p>
          <w:p w14:paraId="63B58B9B">
            <w:pPr>
              <w:widowControl/>
              <w:jc w:val="left"/>
              <w:rPr>
                <w:rFonts w:ascii="宋体" w:hAnsi="宋体"/>
                <w:color w:val="000000"/>
                <w:sz w:val="24"/>
                <w:highlight w:val="none"/>
              </w:rPr>
            </w:pPr>
          </w:p>
          <w:p w14:paraId="3CF176CE">
            <w:pPr>
              <w:widowControl/>
              <w:jc w:val="left"/>
              <w:rPr>
                <w:rFonts w:ascii="宋体" w:hAnsi="宋体"/>
                <w:color w:val="000000"/>
                <w:sz w:val="24"/>
                <w:highlight w:val="none"/>
              </w:rPr>
            </w:pPr>
          </w:p>
          <w:p w14:paraId="4CB1FA90">
            <w:pPr>
              <w:widowControl/>
              <w:jc w:val="left"/>
              <w:rPr>
                <w:rFonts w:ascii="宋体" w:hAnsi="宋体"/>
                <w:color w:val="000000"/>
                <w:sz w:val="24"/>
                <w:highlight w:val="none"/>
              </w:rPr>
            </w:pPr>
          </w:p>
          <w:p w14:paraId="7D623772">
            <w:pPr>
              <w:widowControl/>
              <w:jc w:val="left"/>
              <w:rPr>
                <w:rFonts w:ascii="宋体" w:hAnsi="宋体"/>
                <w:color w:val="000000"/>
                <w:sz w:val="24"/>
                <w:highlight w:val="none"/>
              </w:rPr>
            </w:pPr>
          </w:p>
          <w:p w14:paraId="40CBEA0D">
            <w:pPr>
              <w:widowControl/>
              <w:jc w:val="left"/>
              <w:rPr>
                <w:rFonts w:ascii="宋体" w:hAnsi="宋体"/>
                <w:color w:val="000000"/>
                <w:sz w:val="24"/>
                <w:highlight w:val="none"/>
              </w:rPr>
            </w:pPr>
          </w:p>
          <w:p w14:paraId="4FC2E7F4">
            <w:pPr>
              <w:widowControl/>
              <w:jc w:val="left"/>
              <w:rPr>
                <w:rFonts w:ascii="宋体" w:hAnsi="宋体"/>
                <w:color w:val="000000"/>
                <w:sz w:val="24"/>
                <w:highlight w:val="none"/>
              </w:rPr>
            </w:pPr>
          </w:p>
          <w:p w14:paraId="0C3F60A8">
            <w:pPr>
              <w:widowControl/>
              <w:jc w:val="left"/>
              <w:rPr>
                <w:rFonts w:ascii="宋体" w:hAnsi="宋体"/>
                <w:color w:val="000000"/>
                <w:sz w:val="24"/>
                <w:highlight w:val="none"/>
              </w:rPr>
            </w:pPr>
          </w:p>
          <w:p w14:paraId="6B89AD4D">
            <w:pPr>
              <w:widowControl/>
              <w:jc w:val="left"/>
              <w:rPr>
                <w:rFonts w:ascii="宋体" w:hAnsi="宋体"/>
                <w:color w:val="000000"/>
                <w:sz w:val="24"/>
                <w:highlight w:val="none"/>
              </w:rPr>
            </w:pPr>
          </w:p>
          <w:p w14:paraId="25A6254A">
            <w:pPr>
              <w:widowControl/>
              <w:jc w:val="left"/>
              <w:rPr>
                <w:rFonts w:ascii="宋体" w:hAnsi="宋体"/>
                <w:color w:val="000000"/>
                <w:sz w:val="24"/>
                <w:highlight w:val="none"/>
              </w:rPr>
            </w:pPr>
          </w:p>
          <w:p w14:paraId="32BE19DA">
            <w:pPr>
              <w:widowControl/>
              <w:jc w:val="left"/>
              <w:rPr>
                <w:rFonts w:ascii="宋体" w:hAnsi="宋体"/>
                <w:color w:val="000000"/>
                <w:sz w:val="24"/>
                <w:highlight w:val="none"/>
              </w:rPr>
            </w:pPr>
          </w:p>
          <w:p w14:paraId="40696E2D">
            <w:pPr>
              <w:spacing w:line="560" w:lineRule="exact"/>
              <w:rPr>
                <w:rFonts w:ascii="宋体" w:hAnsi="宋体"/>
                <w:color w:val="000000"/>
                <w:sz w:val="24"/>
                <w:highlight w:val="none"/>
              </w:rPr>
            </w:pPr>
          </w:p>
        </w:tc>
      </w:tr>
    </w:tbl>
    <w:p w14:paraId="0A99C8B8">
      <w:pPr>
        <w:spacing w:line="560" w:lineRule="exact"/>
        <w:jc w:val="center"/>
        <w:rPr>
          <w:rFonts w:ascii="宋体" w:hAnsi="宋体"/>
          <w:color w:val="000000"/>
          <w:sz w:val="36"/>
          <w:highlight w:val="none"/>
        </w:rPr>
      </w:pPr>
    </w:p>
    <w:p w14:paraId="7F911E98">
      <w:pPr>
        <w:spacing w:line="560" w:lineRule="exact"/>
        <w:rPr>
          <w:rFonts w:ascii="楷体_GB2312" w:eastAsia="楷体_GB2312"/>
          <w:color w:val="000000"/>
          <w:sz w:val="24"/>
          <w:highlight w:val="none"/>
          <w:u w:val="single"/>
        </w:rPr>
      </w:pPr>
      <w:r>
        <w:rPr>
          <w:rFonts w:hint="eastAsia" w:ascii="宋体" w:hAnsi="宋体"/>
          <w:color w:val="000000"/>
          <w:sz w:val="24"/>
          <w:highlight w:val="none"/>
        </w:rPr>
        <w:t>投标人代表签字：</w:t>
      </w:r>
      <w:r>
        <w:rPr>
          <w:rFonts w:hint="eastAsia" w:ascii="宋体" w:hAnsi="宋体"/>
          <w:color w:val="000000"/>
          <w:sz w:val="24"/>
          <w:highlight w:val="none"/>
          <w:u w:val="single"/>
        </w:rPr>
        <w:t xml:space="preserve">                               </w:t>
      </w:r>
    </w:p>
    <w:p w14:paraId="7CD16175">
      <w:pPr>
        <w:spacing w:line="560" w:lineRule="exact"/>
        <w:jc w:val="center"/>
        <w:rPr>
          <w:rFonts w:ascii="黑体" w:eastAsia="黑体"/>
          <w:color w:val="000000"/>
          <w:sz w:val="36"/>
          <w:highlight w:val="none"/>
        </w:rPr>
      </w:pPr>
      <w:r>
        <w:rPr>
          <w:rFonts w:hint="eastAsia" w:ascii="黑体" w:eastAsia="黑体"/>
          <w:color w:val="000000"/>
          <w:sz w:val="36"/>
          <w:highlight w:val="none"/>
        </w:rPr>
        <w:br w:type="page"/>
      </w:r>
      <w:r>
        <w:rPr>
          <w:rFonts w:hint="eastAsia" w:ascii="黑体" w:eastAsia="黑体"/>
          <w:color w:val="000000"/>
          <w:sz w:val="36"/>
          <w:highlight w:val="none"/>
        </w:rPr>
        <w:t>5.商务条款偏离表</w:t>
      </w:r>
    </w:p>
    <w:p w14:paraId="4667F87E">
      <w:pPr>
        <w:spacing w:line="560" w:lineRule="exact"/>
        <w:rPr>
          <w:rFonts w:ascii="宋体" w:hAnsi="宋体"/>
          <w:color w:val="000000"/>
          <w:sz w:val="24"/>
          <w:highlight w:val="none"/>
          <w:u w:val="single"/>
        </w:rPr>
      </w:pPr>
      <w:r>
        <w:rPr>
          <w:rFonts w:hint="eastAsia" w:ascii="宋体" w:hAnsi="宋体"/>
          <w:color w:val="000000"/>
          <w:sz w:val="24"/>
          <w:highlight w:val="none"/>
        </w:rPr>
        <w:t>投标人名称：</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招标编号：</w:t>
      </w:r>
      <w:r>
        <w:rPr>
          <w:rFonts w:hint="eastAsia" w:ascii="宋体" w:hAnsi="宋体"/>
          <w:color w:val="000000"/>
          <w:sz w:val="24"/>
          <w:highlight w:val="none"/>
          <w:u w:val="single"/>
        </w:rPr>
        <w:t xml:space="preserve">           </w:t>
      </w:r>
      <w:r>
        <w:rPr>
          <w:rFonts w:hint="eastAsia" w:ascii="宋体" w:hAnsi="宋体"/>
          <w:color w:val="000000"/>
          <w:sz w:val="24"/>
          <w:highlight w:val="none"/>
        </w:rPr>
        <w:t xml:space="preserve">   标度号：</w:t>
      </w:r>
      <w:r>
        <w:rPr>
          <w:rFonts w:hint="eastAsia" w:ascii="宋体" w:hAnsi="宋体"/>
          <w:color w:val="000000"/>
          <w:sz w:val="24"/>
          <w:highlight w:val="none"/>
          <w:u w:val="single"/>
        </w:rPr>
        <w:t xml:space="preserve">        </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14:paraId="023AF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3E65C932">
            <w:pPr>
              <w:spacing w:line="560" w:lineRule="exact"/>
              <w:jc w:val="center"/>
              <w:rPr>
                <w:rFonts w:ascii="宋体" w:hAnsi="宋体"/>
                <w:color w:val="000000"/>
                <w:sz w:val="24"/>
                <w:highlight w:val="none"/>
              </w:rPr>
            </w:pPr>
            <w:r>
              <w:rPr>
                <w:rFonts w:hint="eastAsia" w:ascii="宋体" w:hAnsi="宋体"/>
                <w:color w:val="000000"/>
                <w:sz w:val="24"/>
                <w:highlight w:val="none"/>
              </w:rPr>
              <w:t>序  号</w:t>
            </w:r>
          </w:p>
        </w:tc>
        <w:tc>
          <w:tcPr>
            <w:tcW w:w="1705" w:type="dxa"/>
            <w:tcBorders>
              <w:top w:val="single" w:color="auto" w:sz="4" w:space="0"/>
              <w:left w:val="single" w:color="auto" w:sz="4" w:space="0"/>
              <w:bottom w:val="single" w:color="auto" w:sz="4" w:space="0"/>
              <w:right w:val="single" w:color="auto" w:sz="4" w:space="0"/>
            </w:tcBorders>
            <w:noWrap w:val="0"/>
            <w:vAlign w:val="top"/>
          </w:tcPr>
          <w:p w14:paraId="35058309">
            <w:pPr>
              <w:spacing w:line="560" w:lineRule="exact"/>
              <w:jc w:val="center"/>
              <w:rPr>
                <w:rFonts w:ascii="宋体" w:hAnsi="宋体"/>
                <w:color w:val="000000"/>
                <w:sz w:val="24"/>
                <w:highlight w:val="none"/>
              </w:rPr>
            </w:pPr>
            <w:r>
              <w:rPr>
                <w:rFonts w:hint="eastAsia" w:ascii="宋体" w:hAnsi="宋体"/>
                <w:color w:val="000000"/>
                <w:sz w:val="24"/>
                <w:highlight w:val="none"/>
              </w:rPr>
              <w:t>标书要求的商务条款</w:t>
            </w:r>
          </w:p>
        </w:tc>
        <w:tc>
          <w:tcPr>
            <w:tcW w:w="1705" w:type="dxa"/>
            <w:tcBorders>
              <w:top w:val="single" w:color="auto" w:sz="4" w:space="0"/>
              <w:left w:val="single" w:color="auto" w:sz="4" w:space="0"/>
              <w:bottom w:val="single" w:color="auto" w:sz="4" w:space="0"/>
              <w:right w:val="single" w:color="auto" w:sz="4" w:space="0"/>
            </w:tcBorders>
            <w:noWrap w:val="0"/>
            <w:vAlign w:val="top"/>
          </w:tcPr>
          <w:p w14:paraId="429AA96D">
            <w:pPr>
              <w:spacing w:line="560" w:lineRule="exact"/>
              <w:jc w:val="center"/>
              <w:rPr>
                <w:rFonts w:ascii="宋体" w:hAnsi="宋体"/>
                <w:color w:val="000000"/>
                <w:sz w:val="24"/>
                <w:highlight w:val="none"/>
              </w:rPr>
            </w:pPr>
            <w:r>
              <w:rPr>
                <w:rFonts w:hint="eastAsia" w:ascii="宋体" w:hAnsi="宋体"/>
                <w:color w:val="000000"/>
                <w:sz w:val="24"/>
                <w:highlight w:val="none"/>
              </w:rPr>
              <w:t>投标文件的商务条款</w:t>
            </w:r>
          </w:p>
        </w:tc>
        <w:tc>
          <w:tcPr>
            <w:tcW w:w="1705" w:type="dxa"/>
            <w:tcBorders>
              <w:top w:val="single" w:color="auto" w:sz="4" w:space="0"/>
              <w:left w:val="single" w:color="auto" w:sz="4" w:space="0"/>
              <w:bottom w:val="single" w:color="auto" w:sz="4" w:space="0"/>
              <w:right w:val="single" w:color="auto" w:sz="4" w:space="0"/>
            </w:tcBorders>
            <w:noWrap w:val="0"/>
            <w:vAlign w:val="top"/>
          </w:tcPr>
          <w:p w14:paraId="37C16430">
            <w:pPr>
              <w:spacing w:line="560" w:lineRule="exact"/>
              <w:jc w:val="center"/>
              <w:rPr>
                <w:rFonts w:ascii="宋体" w:hAnsi="宋体"/>
                <w:color w:val="000000"/>
                <w:sz w:val="24"/>
                <w:highlight w:val="none"/>
              </w:rPr>
            </w:pPr>
            <w:r>
              <w:rPr>
                <w:rFonts w:hint="eastAsia" w:ascii="宋体" w:hAnsi="宋体"/>
                <w:color w:val="000000"/>
                <w:sz w:val="24"/>
                <w:highlight w:val="none"/>
              </w:rPr>
              <w:t>偏离与否</w:t>
            </w:r>
          </w:p>
        </w:tc>
        <w:tc>
          <w:tcPr>
            <w:tcW w:w="1705" w:type="dxa"/>
            <w:tcBorders>
              <w:top w:val="single" w:color="auto" w:sz="4" w:space="0"/>
              <w:left w:val="single" w:color="auto" w:sz="4" w:space="0"/>
              <w:bottom w:val="single" w:color="auto" w:sz="4" w:space="0"/>
              <w:right w:val="single" w:color="auto" w:sz="4" w:space="0"/>
            </w:tcBorders>
            <w:noWrap w:val="0"/>
            <w:vAlign w:val="top"/>
          </w:tcPr>
          <w:p w14:paraId="4FB71B05">
            <w:pPr>
              <w:spacing w:line="560" w:lineRule="exact"/>
              <w:jc w:val="center"/>
              <w:rPr>
                <w:rFonts w:ascii="宋体" w:hAnsi="宋体"/>
                <w:color w:val="000000"/>
                <w:sz w:val="24"/>
                <w:highlight w:val="none"/>
              </w:rPr>
            </w:pPr>
            <w:r>
              <w:rPr>
                <w:rFonts w:hint="eastAsia" w:ascii="宋体" w:hAnsi="宋体"/>
                <w:color w:val="000000"/>
                <w:sz w:val="24"/>
                <w:highlight w:val="none"/>
              </w:rPr>
              <w:t>说 明</w:t>
            </w:r>
          </w:p>
        </w:tc>
      </w:tr>
      <w:tr w14:paraId="454EF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01F2802D">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EB3D03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D2965C2">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7A9DFD7A">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BDC2551">
            <w:pPr>
              <w:spacing w:line="560" w:lineRule="exact"/>
              <w:rPr>
                <w:rFonts w:ascii="宋体" w:hAnsi="宋体"/>
                <w:color w:val="000000"/>
                <w:sz w:val="36"/>
                <w:highlight w:val="none"/>
              </w:rPr>
            </w:pPr>
          </w:p>
        </w:tc>
      </w:tr>
      <w:tr w14:paraId="129FD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44CE9CEA">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2979D20">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445BBB6">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7F91D3DE">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AA5DC1D">
            <w:pPr>
              <w:spacing w:line="560" w:lineRule="exact"/>
              <w:rPr>
                <w:rFonts w:ascii="宋体" w:hAnsi="宋体"/>
                <w:color w:val="000000"/>
                <w:sz w:val="36"/>
                <w:highlight w:val="none"/>
              </w:rPr>
            </w:pPr>
          </w:p>
        </w:tc>
      </w:tr>
      <w:tr w14:paraId="08699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2A399AF7">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D74CF8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AB47E6B">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8FE7C9C">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45DC4A5">
            <w:pPr>
              <w:spacing w:line="560" w:lineRule="exact"/>
              <w:rPr>
                <w:rFonts w:ascii="宋体" w:hAnsi="宋体"/>
                <w:color w:val="000000"/>
                <w:sz w:val="36"/>
                <w:highlight w:val="none"/>
              </w:rPr>
            </w:pPr>
          </w:p>
        </w:tc>
      </w:tr>
      <w:tr w14:paraId="5410D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1B101453">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A64C8C7">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E196296">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207EC75">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DDC86CD">
            <w:pPr>
              <w:spacing w:line="560" w:lineRule="exact"/>
              <w:rPr>
                <w:rFonts w:ascii="宋体" w:hAnsi="宋体"/>
                <w:color w:val="000000"/>
                <w:sz w:val="36"/>
                <w:highlight w:val="none"/>
              </w:rPr>
            </w:pPr>
          </w:p>
        </w:tc>
      </w:tr>
      <w:tr w14:paraId="1938C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0A94917D">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FA2947D">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9DA33A4">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992B0C6">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0AAF624">
            <w:pPr>
              <w:spacing w:line="560" w:lineRule="exact"/>
              <w:rPr>
                <w:rFonts w:ascii="宋体" w:hAnsi="宋体"/>
                <w:color w:val="000000"/>
                <w:sz w:val="36"/>
                <w:highlight w:val="none"/>
              </w:rPr>
            </w:pPr>
          </w:p>
        </w:tc>
      </w:tr>
      <w:tr w14:paraId="1B30C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6FF36598">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A09F57C">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50AB29D">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71BDF1DA">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D32EA91">
            <w:pPr>
              <w:spacing w:line="560" w:lineRule="exact"/>
              <w:rPr>
                <w:rFonts w:ascii="宋体" w:hAnsi="宋体"/>
                <w:color w:val="000000"/>
                <w:sz w:val="36"/>
                <w:highlight w:val="none"/>
              </w:rPr>
            </w:pPr>
          </w:p>
        </w:tc>
      </w:tr>
      <w:tr w14:paraId="0C515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561D1D00">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BE801F7">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7AEE7A8">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1EA6F34F">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0C4DD0E">
            <w:pPr>
              <w:spacing w:line="560" w:lineRule="exact"/>
              <w:rPr>
                <w:rFonts w:ascii="宋体" w:hAnsi="宋体"/>
                <w:color w:val="000000"/>
                <w:sz w:val="36"/>
                <w:highlight w:val="none"/>
              </w:rPr>
            </w:pPr>
          </w:p>
        </w:tc>
      </w:tr>
      <w:tr w14:paraId="62034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330DFCD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1FEE2A2E">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1F5B2CD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1003ED71">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3A49D2D">
            <w:pPr>
              <w:spacing w:line="560" w:lineRule="exact"/>
              <w:rPr>
                <w:rFonts w:ascii="宋体" w:hAnsi="宋体"/>
                <w:color w:val="000000"/>
                <w:sz w:val="36"/>
                <w:highlight w:val="none"/>
              </w:rPr>
            </w:pPr>
          </w:p>
        </w:tc>
      </w:tr>
      <w:tr w14:paraId="1E57D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07387BEB">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F99FDD4">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D49A317">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54390752">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BFCFB5D">
            <w:pPr>
              <w:spacing w:line="560" w:lineRule="exact"/>
              <w:rPr>
                <w:rFonts w:ascii="宋体" w:hAnsi="宋体"/>
                <w:color w:val="000000"/>
                <w:sz w:val="36"/>
                <w:highlight w:val="none"/>
              </w:rPr>
            </w:pPr>
          </w:p>
        </w:tc>
      </w:tr>
      <w:tr w14:paraId="0AFE1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1354D6CE">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15F209B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740CA4E5">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D14505E">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714382A9">
            <w:pPr>
              <w:spacing w:line="560" w:lineRule="exact"/>
              <w:rPr>
                <w:rFonts w:ascii="宋体" w:hAnsi="宋体"/>
                <w:color w:val="000000"/>
                <w:sz w:val="36"/>
                <w:highlight w:val="none"/>
              </w:rPr>
            </w:pPr>
          </w:p>
        </w:tc>
      </w:tr>
      <w:tr w14:paraId="656373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729B9C7C">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818ECFD">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0082A68">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6CC2E80A">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E890426">
            <w:pPr>
              <w:spacing w:line="560" w:lineRule="exact"/>
              <w:rPr>
                <w:rFonts w:ascii="宋体" w:hAnsi="宋体"/>
                <w:color w:val="000000"/>
                <w:sz w:val="36"/>
                <w:highlight w:val="none"/>
              </w:rPr>
            </w:pPr>
          </w:p>
        </w:tc>
      </w:tr>
      <w:tr w14:paraId="5104D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091FD8B7">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D0E03EC">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37C90D1">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765F5218">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D35D92D">
            <w:pPr>
              <w:spacing w:line="560" w:lineRule="exact"/>
              <w:rPr>
                <w:rFonts w:ascii="宋体" w:hAnsi="宋体"/>
                <w:color w:val="000000"/>
                <w:sz w:val="36"/>
                <w:highlight w:val="none"/>
              </w:rPr>
            </w:pPr>
          </w:p>
        </w:tc>
      </w:tr>
      <w:tr w14:paraId="6EF02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7A30D93F">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3962368">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D38DB42">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89C8BD0">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7067AC5">
            <w:pPr>
              <w:spacing w:line="560" w:lineRule="exact"/>
              <w:rPr>
                <w:rFonts w:ascii="宋体" w:hAnsi="宋体"/>
                <w:color w:val="000000"/>
                <w:sz w:val="36"/>
                <w:highlight w:val="none"/>
              </w:rPr>
            </w:pPr>
          </w:p>
        </w:tc>
      </w:tr>
      <w:tr w14:paraId="18106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2F3BBA47">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7178A94">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58C43976">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E4ABCFB">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D33FC37">
            <w:pPr>
              <w:spacing w:line="560" w:lineRule="exact"/>
              <w:rPr>
                <w:rFonts w:ascii="宋体" w:hAnsi="宋体"/>
                <w:color w:val="000000"/>
                <w:sz w:val="36"/>
                <w:highlight w:val="none"/>
              </w:rPr>
            </w:pPr>
          </w:p>
        </w:tc>
      </w:tr>
      <w:tr w14:paraId="0DAA1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3DDE1833">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F88EB85">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4DD5189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074AA78">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9FB1F07">
            <w:pPr>
              <w:spacing w:line="560" w:lineRule="exact"/>
              <w:rPr>
                <w:rFonts w:ascii="宋体" w:hAnsi="宋体"/>
                <w:color w:val="000000"/>
                <w:sz w:val="36"/>
                <w:highlight w:val="none"/>
              </w:rPr>
            </w:pPr>
          </w:p>
        </w:tc>
      </w:tr>
      <w:tr w14:paraId="0A3D7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noWrap w:val="0"/>
            <w:vAlign w:val="top"/>
          </w:tcPr>
          <w:p w14:paraId="1401608E">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F2C5039">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2C0CCD2B">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0FB0FD7B">
            <w:pPr>
              <w:spacing w:line="560" w:lineRule="exact"/>
              <w:rPr>
                <w:rFonts w:ascii="宋体" w:hAnsi="宋体"/>
                <w:color w:val="000000"/>
                <w:sz w:val="36"/>
                <w:highlight w:val="none"/>
              </w:rPr>
            </w:pPr>
          </w:p>
        </w:tc>
        <w:tc>
          <w:tcPr>
            <w:tcW w:w="1705" w:type="dxa"/>
            <w:tcBorders>
              <w:top w:val="single" w:color="auto" w:sz="4" w:space="0"/>
              <w:left w:val="single" w:color="auto" w:sz="4" w:space="0"/>
              <w:bottom w:val="single" w:color="auto" w:sz="4" w:space="0"/>
              <w:right w:val="single" w:color="auto" w:sz="4" w:space="0"/>
            </w:tcBorders>
            <w:noWrap w:val="0"/>
            <w:vAlign w:val="top"/>
          </w:tcPr>
          <w:p w14:paraId="3ADCF690">
            <w:pPr>
              <w:spacing w:line="560" w:lineRule="exact"/>
              <w:rPr>
                <w:rFonts w:ascii="宋体" w:hAnsi="宋体"/>
                <w:color w:val="000000"/>
                <w:sz w:val="36"/>
                <w:highlight w:val="none"/>
              </w:rPr>
            </w:pPr>
          </w:p>
        </w:tc>
      </w:tr>
    </w:tbl>
    <w:p w14:paraId="3FFB6665">
      <w:pPr>
        <w:pStyle w:val="3"/>
        <w:rPr>
          <w:rFonts w:ascii="黑体" w:eastAsia="黑体"/>
          <w:color w:val="000000"/>
          <w:sz w:val="36"/>
          <w:highlight w:val="none"/>
        </w:rPr>
      </w:pPr>
      <w:r>
        <w:rPr>
          <w:rFonts w:hint="eastAsia" w:ascii="宋体" w:hAnsi="宋体" w:eastAsia="宋体"/>
          <w:color w:val="000000"/>
          <w:highlight w:val="none"/>
        </w:rPr>
        <w:t>投标人名称：</w:t>
      </w:r>
      <w:r>
        <w:rPr>
          <w:rFonts w:hint="eastAsia" w:ascii="宋体" w:hAnsi="宋体" w:eastAsia="宋体"/>
          <w:color w:val="000000"/>
          <w:highlight w:val="none"/>
          <w:u w:val="single"/>
        </w:rPr>
        <w:t xml:space="preserve">                     </w:t>
      </w:r>
      <w:r>
        <w:rPr>
          <w:color w:val="000000"/>
          <w:highlight w:val="none"/>
        </w:rPr>
        <w:t xml:space="preserve">                      </w:t>
      </w:r>
      <w:r>
        <w:rPr>
          <w:rFonts w:hint="eastAsia" w:ascii="黑体" w:eastAsia="黑体"/>
          <w:color w:val="000000"/>
          <w:sz w:val="36"/>
          <w:highlight w:val="none"/>
        </w:rPr>
        <w:br w:type="page"/>
      </w:r>
    </w:p>
    <w:p w14:paraId="26F16C98">
      <w:pPr>
        <w:pStyle w:val="3"/>
        <w:jc w:val="center"/>
        <w:rPr>
          <w:rFonts w:ascii="黑体" w:eastAsia="黑体"/>
          <w:color w:val="000000"/>
          <w:sz w:val="36"/>
          <w:highlight w:val="none"/>
        </w:rPr>
      </w:pPr>
      <w:r>
        <w:rPr>
          <w:rFonts w:hint="eastAsia" w:ascii="黑体" w:eastAsia="黑体"/>
          <w:color w:val="000000"/>
          <w:sz w:val="36"/>
          <w:highlight w:val="none"/>
        </w:rPr>
        <w:t>6.服  务</w:t>
      </w:r>
    </w:p>
    <w:p w14:paraId="67633A98">
      <w:pPr>
        <w:spacing w:line="560" w:lineRule="exact"/>
        <w:rPr>
          <w:rFonts w:ascii="宋体" w:hAnsi="宋体"/>
          <w:color w:val="000000"/>
          <w:sz w:val="24"/>
          <w:highlight w:val="none"/>
        </w:rPr>
      </w:pPr>
      <w:r>
        <w:rPr>
          <w:rFonts w:hint="eastAsia" w:ascii="宋体" w:hAnsi="宋体"/>
          <w:color w:val="000000"/>
          <w:sz w:val="24"/>
          <w:highlight w:val="none"/>
        </w:rPr>
        <w:t>注：1、投标人可提供的培训、售后服务等技术服务情况。</w:t>
      </w:r>
    </w:p>
    <w:p w14:paraId="0E9A5333">
      <w:pPr>
        <w:spacing w:line="560" w:lineRule="exact"/>
        <w:rPr>
          <w:rFonts w:ascii="宋体" w:hAnsi="宋体"/>
          <w:color w:val="000000"/>
          <w:sz w:val="24"/>
          <w:highlight w:val="none"/>
        </w:rPr>
      </w:pPr>
      <w:r>
        <w:rPr>
          <w:rFonts w:hint="eastAsia" w:ascii="宋体" w:hAnsi="宋体"/>
          <w:color w:val="000000"/>
          <w:sz w:val="24"/>
          <w:highlight w:val="none"/>
        </w:rPr>
        <w:t xml:space="preserve">    2、须提供培训、售后服务等详细计划，包括时间、人员等安排，及须买方预先做的准备工作等（如有）。</w:t>
      </w:r>
    </w:p>
    <w:p w14:paraId="10799F37">
      <w:pPr>
        <w:spacing w:line="560" w:lineRule="exact"/>
        <w:jc w:val="center"/>
        <w:outlineLvl w:val="1"/>
        <w:rPr>
          <w:rFonts w:ascii="黑体" w:eastAsia="黑体"/>
          <w:color w:val="000000"/>
          <w:sz w:val="36"/>
          <w:highlight w:val="none"/>
        </w:rPr>
      </w:pPr>
      <w:r>
        <w:rPr>
          <w:rFonts w:hint="eastAsia" w:ascii="黑体" w:eastAsia="黑体"/>
          <w:color w:val="000000"/>
          <w:sz w:val="36"/>
          <w:highlight w:val="none"/>
        </w:rPr>
        <w:br w:type="page"/>
      </w:r>
      <w:r>
        <w:rPr>
          <w:rFonts w:hint="eastAsia" w:ascii="黑体" w:eastAsia="黑体"/>
          <w:color w:val="000000"/>
          <w:sz w:val="36"/>
          <w:highlight w:val="none"/>
        </w:rPr>
        <w:t>7.经营业绩</w:t>
      </w:r>
    </w:p>
    <w:p w14:paraId="1BEB4F94">
      <w:pPr>
        <w:spacing w:line="560" w:lineRule="exact"/>
        <w:rPr>
          <w:rFonts w:ascii="宋体" w:hAnsi="宋体"/>
          <w:color w:val="000000"/>
          <w:sz w:val="24"/>
          <w:highlight w:val="none"/>
        </w:rPr>
      </w:pPr>
      <w:r>
        <w:rPr>
          <w:rFonts w:hint="eastAsia" w:ascii="宋体" w:hAnsi="宋体"/>
          <w:color w:val="000000"/>
          <w:sz w:val="24"/>
          <w:highlight w:val="none"/>
        </w:rPr>
        <w:t>（注：投标货物的制造及销售业绩，提供近三年同类货物的规模及销售情况，以及在用户名单、联系方法、合同复印件等。）</w:t>
      </w:r>
    </w:p>
    <w:p w14:paraId="68219924">
      <w:pPr>
        <w:spacing w:line="440" w:lineRule="exact"/>
        <w:ind w:firstLine="723" w:firstLineChars="200"/>
        <w:jc w:val="center"/>
        <w:rPr>
          <w:rFonts w:ascii="仿宋_GB2312" w:hAnsi="宋体" w:eastAsia="仿宋_GB2312"/>
          <w:b/>
          <w:color w:val="000000"/>
          <w:sz w:val="36"/>
          <w:szCs w:val="36"/>
          <w:highlight w:val="none"/>
        </w:rPr>
      </w:pPr>
    </w:p>
    <w:p w14:paraId="4D8D89AE">
      <w:pPr>
        <w:spacing w:line="460" w:lineRule="exact"/>
        <w:ind w:firstLine="2160" w:firstLineChars="600"/>
        <w:rPr>
          <w:rFonts w:ascii="黑体" w:hAnsi="黑体" w:eastAsia="黑体" w:cs="黑体"/>
          <w:color w:val="000000"/>
          <w:sz w:val="36"/>
          <w:szCs w:val="36"/>
          <w:highlight w:val="none"/>
        </w:rPr>
      </w:pPr>
      <w:r>
        <w:rPr>
          <w:rFonts w:hint="eastAsia" w:ascii="黑体" w:hAnsi="黑体" w:eastAsia="黑体" w:cs="黑体"/>
          <w:color w:val="000000"/>
          <w:sz w:val="36"/>
          <w:szCs w:val="36"/>
          <w:highlight w:val="none"/>
        </w:rPr>
        <w:t>8.投标人认为需要提供的其他资料</w:t>
      </w:r>
    </w:p>
    <w:p w14:paraId="737D8FBD">
      <w:pPr>
        <w:spacing w:line="440" w:lineRule="exact"/>
        <w:ind w:firstLine="723" w:firstLineChars="200"/>
        <w:jc w:val="center"/>
        <w:rPr>
          <w:rFonts w:ascii="仿宋_GB2312" w:hAnsi="宋体" w:eastAsia="仿宋_GB2312"/>
          <w:b/>
          <w:color w:val="000000"/>
          <w:sz w:val="36"/>
          <w:szCs w:val="36"/>
          <w:highlight w:val="none"/>
        </w:rPr>
      </w:pPr>
    </w:p>
    <w:p w14:paraId="7320E0F9">
      <w:pPr>
        <w:spacing w:line="440" w:lineRule="exact"/>
        <w:ind w:firstLine="723" w:firstLineChars="200"/>
        <w:jc w:val="center"/>
        <w:rPr>
          <w:rFonts w:ascii="仿宋_GB2312" w:hAnsi="宋体" w:eastAsia="仿宋_GB2312"/>
          <w:b/>
          <w:color w:val="000000"/>
          <w:sz w:val="36"/>
          <w:szCs w:val="36"/>
          <w:highlight w:val="none"/>
        </w:rPr>
      </w:pPr>
    </w:p>
    <w:p w14:paraId="4F1F76DC">
      <w:pPr>
        <w:spacing w:line="440" w:lineRule="exact"/>
        <w:ind w:firstLine="723" w:firstLineChars="200"/>
        <w:jc w:val="center"/>
        <w:rPr>
          <w:rFonts w:ascii="仿宋_GB2312" w:hAnsi="宋体" w:eastAsia="仿宋_GB2312"/>
          <w:b/>
          <w:color w:val="000000"/>
          <w:sz w:val="36"/>
          <w:szCs w:val="36"/>
          <w:highlight w:val="none"/>
        </w:rPr>
      </w:pPr>
    </w:p>
    <w:p w14:paraId="3B59CD47">
      <w:pPr>
        <w:spacing w:line="440" w:lineRule="exact"/>
        <w:ind w:firstLine="723" w:firstLineChars="200"/>
        <w:jc w:val="center"/>
        <w:rPr>
          <w:rFonts w:ascii="仿宋_GB2312" w:hAnsi="宋体" w:eastAsia="仿宋_GB2312"/>
          <w:b/>
          <w:color w:val="000000"/>
          <w:sz w:val="36"/>
          <w:szCs w:val="36"/>
          <w:highlight w:val="none"/>
        </w:rPr>
      </w:pPr>
    </w:p>
    <w:p w14:paraId="3EA95775">
      <w:pPr>
        <w:spacing w:line="440" w:lineRule="exact"/>
        <w:ind w:firstLine="723" w:firstLineChars="200"/>
        <w:jc w:val="center"/>
        <w:rPr>
          <w:rFonts w:ascii="仿宋_GB2312" w:hAnsi="宋体" w:eastAsia="仿宋_GB2312"/>
          <w:b/>
          <w:color w:val="000000"/>
          <w:sz w:val="36"/>
          <w:szCs w:val="36"/>
          <w:highlight w:val="none"/>
        </w:rPr>
      </w:pPr>
    </w:p>
    <w:p w14:paraId="1F4B5A7A">
      <w:pPr>
        <w:spacing w:line="440" w:lineRule="exact"/>
        <w:ind w:firstLine="723" w:firstLineChars="200"/>
        <w:jc w:val="center"/>
        <w:rPr>
          <w:rFonts w:ascii="仿宋_GB2312" w:hAnsi="宋体" w:eastAsia="仿宋_GB2312"/>
          <w:b/>
          <w:color w:val="000000"/>
          <w:sz w:val="36"/>
          <w:szCs w:val="36"/>
          <w:highlight w:val="none"/>
        </w:rPr>
      </w:pPr>
    </w:p>
    <w:p w14:paraId="0DBAB6E3">
      <w:pPr>
        <w:spacing w:line="440" w:lineRule="exact"/>
        <w:ind w:firstLine="723" w:firstLineChars="200"/>
        <w:jc w:val="center"/>
        <w:rPr>
          <w:rFonts w:ascii="仿宋_GB2312" w:hAnsi="宋体" w:eastAsia="仿宋_GB2312"/>
          <w:b/>
          <w:color w:val="000000"/>
          <w:sz w:val="36"/>
          <w:szCs w:val="36"/>
          <w:highlight w:val="none"/>
        </w:rPr>
      </w:pPr>
    </w:p>
    <w:p w14:paraId="48C5112D">
      <w:pPr>
        <w:spacing w:line="440" w:lineRule="exact"/>
        <w:ind w:firstLine="723" w:firstLineChars="200"/>
        <w:jc w:val="center"/>
        <w:rPr>
          <w:rFonts w:ascii="仿宋_GB2312" w:hAnsi="宋体" w:eastAsia="仿宋_GB2312"/>
          <w:b/>
          <w:color w:val="000000"/>
          <w:sz w:val="36"/>
          <w:szCs w:val="36"/>
          <w:highlight w:val="none"/>
        </w:rPr>
      </w:pPr>
    </w:p>
    <w:p w14:paraId="7300EA8B">
      <w:pPr>
        <w:spacing w:line="440" w:lineRule="exact"/>
        <w:ind w:firstLine="723" w:firstLineChars="200"/>
        <w:jc w:val="center"/>
        <w:rPr>
          <w:rFonts w:ascii="仿宋_GB2312" w:hAnsi="宋体" w:eastAsia="仿宋_GB2312"/>
          <w:b/>
          <w:color w:val="000000"/>
          <w:sz w:val="36"/>
          <w:szCs w:val="36"/>
          <w:highlight w:val="none"/>
        </w:rPr>
      </w:pPr>
    </w:p>
    <w:p w14:paraId="6FC8F912">
      <w:pPr>
        <w:spacing w:line="440" w:lineRule="exact"/>
        <w:ind w:firstLine="723" w:firstLineChars="200"/>
        <w:jc w:val="center"/>
        <w:rPr>
          <w:rFonts w:ascii="仿宋_GB2312" w:hAnsi="宋体" w:eastAsia="仿宋_GB2312"/>
          <w:b/>
          <w:color w:val="000000"/>
          <w:sz w:val="36"/>
          <w:szCs w:val="36"/>
          <w:highlight w:val="none"/>
        </w:rPr>
      </w:pPr>
    </w:p>
    <w:p w14:paraId="57564AAD">
      <w:pPr>
        <w:spacing w:line="440" w:lineRule="exact"/>
        <w:ind w:firstLine="723" w:firstLineChars="200"/>
        <w:jc w:val="center"/>
        <w:rPr>
          <w:rFonts w:ascii="仿宋_GB2312" w:hAnsi="宋体" w:eastAsia="仿宋_GB2312"/>
          <w:b/>
          <w:color w:val="000000"/>
          <w:sz w:val="36"/>
          <w:szCs w:val="36"/>
          <w:highlight w:val="none"/>
        </w:rPr>
      </w:pPr>
    </w:p>
    <w:p w14:paraId="1705C573">
      <w:pPr>
        <w:spacing w:line="440" w:lineRule="exact"/>
        <w:ind w:firstLine="723" w:firstLineChars="200"/>
        <w:jc w:val="center"/>
        <w:rPr>
          <w:rFonts w:ascii="仿宋_GB2312" w:hAnsi="宋体" w:eastAsia="仿宋_GB2312"/>
          <w:b/>
          <w:color w:val="000000"/>
          <w:sz w:val="36"/>
          <w:szCs w:val="36"/>
          <w:highlight w:val="none"/>
        </w:rPr>
      </w:pPr>
    </w:p>
    <w:p w14:paraId="3EF83927">
      <w:pPr>
        <w:spacing w:line="440" w:lineRule="exact"/>
        <w:ind w:firstLine="723" w:firstLineChars="200"/>
        <w:jc w:val="center"/>
        <w:rPr>
          <w:rFonts w:ascii="仿宋_GB2312" w:hAnsi="宋体" w:eastAsia="仿宋_GB2312"/>
          <w:b/>
          <w:color w:val="000000"/>
          <w:sz w:val="36"/>
          <w:szCs w:val="36"/>
          <w:highlight w:val="none"/>
        </w:rPr>
      </w:pPr>
    </w:p>
    <w:p w14:paraId="5EA76A7B">
      <w:pPr>
        <w:spacing w:line="440" w:lineRule="exact"/>
        <w:ind w:firstLine="723" w:firstLineChars="200"/>
        <w:jc w:val="center"/>
        <w:rPr>
          <w:rFonts w:ascii="仿宋_GB2312" w:hAnsi="宋体" w:eastAsia="仿宋_GB2312"/>
          <w:b/>
          <w:color w:val="000000"/>
          <w:sz w:val="36"/>
          <w:szCs w:val="36"/>
          <w:highlight w:val="none"/>
        </w:rPr>
      </w:pPr>
    </w:p>
    <w:p w14:paraId="40D6B602">
      <w:pPr>
        <w:spacing w:line="440" w:lineRule="exact"/>
        <w:ind w:firstLine="723" w:firstLineChars="200"/>
        <w:jc w:val="center"/>
        <w:rPr>
          <w:rFonts w:ascii="仿宋_GB2312" w:hAnsi="宋体" w:eastAsia="仿宋_GB2312"/>
          <w:b/>
          <w:color w:val="000000"/>
          <w:sz w:val="36"/>
          <w:szCs w:val="36"/>
          <w:highlight w:val="none"/>
        </w:rPr>
      </w:pPr>
    </w:p>
    <w:p w14:paraId="5527239A">
      <w:pPr>
        <w:spacing w:line="440" w:lineRule="exact"/>
        <w:ind w:firstLine="723" w:firstLineChars="200"/>
        <w:jc w:val="center"/>
        <w:rPr>
          <w:rFonts w:ascii="仿宋_GB2312" w:hAnsi="宋体" w:eastAsia="仿宋_GB2312"/>
          <w:b/>
          <w:color w:val="000000"/>
          <w:sz w:val="36"/>
          <w:szCs w:val="36"/>
          <w:highlight w:val="none"/>
        </w:rPr>
      </w:pPr>
    </w:p>
    <w:p w14:paraId="4EFE17D5">
      <w:pPr>
        <w:spacing w:line="440" w:lineRule="exact"/>
        <w:ind w:firstLine="723" w:firstLineChars="200"/>
        <w:jc w:val="center"/>
        <w:rPr>
          <w:rFonts w:ascii="仿宋_GB2312" w:hAnsi="宋体" w:eastAsia="仿宋_GB2312"/>
          <w:b/>
          <w:color w:val="000000"/>
          <w:sz w:val="36"/>
          <w:szCs w:val="36"/>
          <w:highlight w:val="none"/>
        </w:rPr>
      </w:pPr>
    </w:p>
    <w:p w14:paraId="52F7B750">
      <w:pPr>
        <w:spacing w:line="440" w:lineRule="exact"/>
        <w:ind w:firstLine="723" w:firstLineChars="200"/>
        <w:jc w:val="center"/>
        <w:rPr>
          <w:rFonts w:ascii="仿宋_GB2312" w:hAnsi="宋体" w:eastAsia="仿宋_GB2312"/>
          <w:b/>
          <w:color w:val="000000"/>
          <w:sz w:val="36"/>
          <w:szCs w:val="36"/>
          <w:highlight w:val="none"/>
        </w:rPr>
      </w:pPr>
    </w:p>
    <w:p w14:paraId="4206D230">
      <w:pPr>
        <w:spacing w:line="440" w:lineRule="exact"/>
        <w:ind w:firstLine="723" w:firstLineChars="200"/>
        <w:jc w:val="center"/>
        <w:rPr>
          <w:rFonts w:ascii="仿宋_GB2312" w:hAnsi="宋体" w:eastAsia="仿宋_GB2312"/>
          <w:b/>
          <w:color w:val="000000"/>
          <w:sz w:val="36"/>
          <w:szCs w:val="36"/>
          <w:highlight w:val="none"/>
        </w:rPr>
      </w:pPr>
    </w:p>
    <w:p w14:paraId="27DFD506">
      <w:pPr>
        <w:spacing w:line="440" w:lineRule="exact"/>
        <w:ind w:firstLine="723" w:firstLineChars="200"/>
        <w:jc w:val="center"/>
        <w:rPr>
          <w:rFonts w:ascii="仿宋_GB2312" w:hAnsi="宋体" w:eastAsia="仿宋_GB2312"/>
          <w:b/>
          <w:color w:val="000000"/>
          <w:sz w:val="36"/>
          <w:szCs w:val="36"/>
          <w:highlight w:val="none"/>
        </w:rPr>
      </w:pPr>
    </w:p>
    <w:p w14:paraId="7AFF54FF">
      <w:pPr>
        <w:spacing w:line="440" w:lineRule="exact"/>
        <w:ind w:firstLine="723" w:firstLineChars="200"/>
        <w:jc w:val="center"/>
        <w:rPr>
          <w:rFonts w:ascii="仿宋_GB2312" w:hAnsi="宋体" w:eastAsia="仿宋_GB2312"/>
          <w:b/>
          <w:color w:val="000000"/>
          <w:sz w:val="36"/>
          <w:szCs w:val="36"/>
          <w:highlight w:val="none"/>
        </w:rPr>
      </w:pPr>
    </w:p>
    <w:p w14:paraId="3D030481">
      <w:pPr>
        <w:spacing w:line="440" w:lineRule="exact"/>
        <w:ind w:firstLine="723" w:firstLineChars="200"/>
        <w:jc w:val="center"/>
        <w:rPr>
          <w:rFonts w:ascii="仿宋_GB2312" w:hAnsi="宋体" w:eastAsia="仿宋_GB2312"/>
          <w:b/>
          <w:color w:val="000000"/>
          <w:sz w:val="36"/>
          <w:szCs w:val="36"/>
          <w:highlight w:val="none"/>
        </w:rPr>
      </w:pPr>
    </w:p>
    <w:p w14:paraId="7BA4D71C">
      <w:pPr>
        <w:spacing w:line="440" w:lineRule="exact"/>
        <w:ind w:firstLine="723" w:firstLineChars="200"/>
        <w:jc w:val="center"/>
        <w:rPr>
          <w:rFonts w:ascii="仿宋_GB2312" w:hAnsi="宋体" w:eastAsia="仿宋_GB2312"/>
          <w:b/>
          <w:color w:val="000000"/>
          <w:sz w:val="36"/>
          <w:szCs w:val="36"/>
          <w:highlight w:val="none"/>
        </w:rPr>
      </w:pPr>
    </w:p>
    <w:p w14:paraId="5042BA3F">
      <w:pPr>
        <w:spacing w:line="440" w:lineRule="exact"/>
        <w:ind w:firstLine="723" w:firstLineChars="200"/>
        <w:jc w:val="center"/>
        <w:rPr>
          <w:rFonts w:ascii="仿宋_GB2312" w:hAnsi="宋体" w:eastAsia="仿宋_GB2312"/>
          <w:b/>
          <w:color w:val="000000"/>
          <w:sz w:val="36"/>
          <w:szCs w:val="36"/>
          <w:highlight w:val="none"/>
        </w:rPr>
      </w:pPr>
    </w:p>
    <w:p w14:paraId="6379ADD9">
      <w:pPr>
        <w:autoSpaceDE w:val="0"/>
        <w:autoSpaceDN w:val="0"/>
        <w:adjustRightInd w:val="0"/>
        <w:snapToGrid w:val="0"/>
        <w:spacing w:line="360" w:lineRule="auto"/>
        <w:rPr>
          <w:rFonts w:ascii="宋体" w:hAnsi="宋体"/>
          <w:color w:val="000000"/>
          <w:szCs w:val="21"/>
          <w:highlight w:val="none"/>
        </w:rPr>
      </w:pPr>
    </w:p>
    <w:p w14:paraId="6E6A8B07">
      <w:pPr>
        <w:autoSpaceDE w:val="0"/>
        <w:autoSpaceDN w:val="0"/>
        <w:adjustRightInd w:val="0"/>
        <w:snapToGrid w:val="0"/>
        <w:spacing w:line="360" w:lineRule="auto"/>
        <w:rPr>
          <w:rFonts w:ascii="宋体" w:hAnsi="宋体"/>
          <w:color w:val="000000"/>
          <w:szCs w:val="21"/>
          <w:highlight w:val="none"/>
        </w:rPr>
      </w:pPr>
    </w:p>
    <w:p w14:paraId="4845B56E">
      <w:pPr>
        <w:autoSpaceDE w:val="0"/>
        <w:autoSpaceDN w:val="0"/>
        <w:adjustRightInd w:val="0"/>
        <w:snapToGrid w:val="0"/>
        <w:spacing w:line="360" w:lineRule="auto"/>
        <w:rPr>
          <w:rFonts w:ascii="宋体" w:hAnsi="宋体"/>
          <w:color w:val="000000"/>
          <w:szCs w:val="21"/>
          <w:highlight w:val="none"/>
        </w:rPr>
      </w:pPr>
    </w:p>
    <w:p w14:paraId="0AE9F512"/>
    <w:sectPr>
      <w:headerReference r:id="rId5" w:type="default"/>
      <w:pgSz w:w="11907" w:h="16840"/>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22B40C6-EF20-4FFA-A8A4-57565E77020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embedRegular r:id="rId2" w:fontKey="{41AF011E-280A-49FE-BF64-63B33773717D}"/>
  </w:font>
  <w:font w:name="Calibri">
    <w:panose1 w:val="020F0502020204030204"/>
    <w:charset w:val="00"/>
    <w:family w:val="swiss"/>
    <w:pitch w:val="default"/>
    <w:sig w:usb0="E4002EFF" w:usb1="C200247B" w:usb2="00000009" w:usb3="00000000" w:csb0="200001FF" w:csb1="00000000"/>
    <w:embedRegular r:id="rId3" w:fontKey="{EAC2A248-4F13-4E8B-9863-4DA2CDBAF36D}"/>
  </w:font>
  <w:font w:name="Microsoft JhengHei">
    <w:panose1 w:val="020B0604030504040204"/>
    <w:charset w:val="88"/>
    <w:family w:val="swiss"/>
    <w:pitch w:val="default"/>
    <w:sig w:usb0="000002A7" w:usb1="28CF4400" w:usb2="00000016" w:usb3="00000000" w:csb0="00100009" w:csb1="00000000"/>
  </w:font>
  <w:font w:name="仿宋_GB2312">
    <w:altName w:val="仿宋"/>
    <w:panose1 w:val="00000000000000000000"/>
    <w:charset w:val="86"/>
    <w:family w:val="modern"/>
    <w:pitch w:val="default"/>
    <w:sig w:usb0="00000000" w:usb1="00000000" w:usb2="00000010" w:usb3="00000000" w:csb0="00040000" w:csb1="00000000"/>
    <w:embedRegular r:id="rId4" w:fontKey="{415693A0-2AF0-4C44-B8C0-EA379DD8A515}"/>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embedRegular r:id="rId5" w:fontKey="{48A3E4C2-9B32-4758-B4A1-E96ECD7D3F61}"/>
  </w:font>
  <w:font w:name="-webkit-standard">
    <w:altName w:val="Calibri"/>
    <w:panose1 w:val="00000000000000000000"/>
    <w:charset w:val="00"/>
    <w:family w:val="auto"/>
    <w:pitch w:val="default"/>
    <w:sig w:usb0="00000000" w:usb1="00000000" w:usb2="00000000" w:usb3="00000000" w:csb0="00000000" w:csb1="00000000"/>
    <w:embedRegular r:id="rId6" w:fontKey="{437FCDF6-6141-4425-B1EC-E5D76C071B18}"/>
  </w:font>
  <w:font w:name="方正小标宋简体">
    <w:panose1 w:val="02000000000000000000"/>
    <w:charset w:val="86"/>
    <w:family w:val="auto"/>
    <w:pitch w:val="default"/>
    <w:sig w:usb0="00000001" w:usb1="08000000" w:usb2="00000000" w:usb3="00000000" w:csb0="00040000" w:csb1="00000000"/>
    <w:embedRegular r:id="rId7" w:fontKey="{F65D181B-5AF1-46CE-ABBB-DAB0674BCC39}"/>
  </w:font>
  <w:font w:name="楷体_GB2312">
    <w:altName w:val="楷体"/>
    <w:panose1 w:val="00000000000000000000"/>
    <w:charset w:val="86"/>
    <w:family w:val="modern"/>
    <w:pitch w:val="default"/>
    <w:sig w:usb0="00000000" w:usb1="00000000" w:usb2="00000000" w:usb3="00000000" w:csb0="00040000" w:csb1="00000000"/>
    <w:embedRegular r:id="rId8" w:fontKey="{C3CD535F-5CFB-4F73-815D-EBA96C0E7AAD}"/>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834D12">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a:noFill/>
                      </a:ln>
                      <a:effectLst/>
                    </wps:spPr>
                    <wps:txbx>
                      <w:txbxContent>
                        <w:p w14:paraId="4CA63D4A">
                          <w:pPr>
                            <w:pStyle w:val="6"/>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59264;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Q+V+SdAAAAADAQAADwAAAAAAAAABACAAAAAiAAAAZHJz&#10;L2Rvd25yZXYueG1sUEsBAhQAFAAAAAgAh07iQAIRidbTAQAApQMAAA4AAAAAAAAAAQAgAAAAHwEA&#10;AGRycy9lMm9Eb2MueG1sUEsFBgAAAAAGAAYAWQEAAGQFAAAAAA==&#10;">
              <v:fill on="f" focussize="0,0"/>
              <v:stroke on="f"/>
              <v:imagedata o:title=""/>
              <o:lock v:ext="edit" aspectratio="f"/>
              <v:textbox inset="0mm,0mm,0mm,0mm" style="mso-fit-shape-to-text:t;">
                <w:txbxContent>
                  <w:p w14:paraId="4CA63D4A">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4613B">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4C32C5">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435EDC"/>
    <w:multiLevelType w:val="singleLevel"/>
    <w:tmpl w:val="84435EDC"/>
    <w:lvl w:ilvl="0" w:tentative="0">
      <w:start w:val="8"/>
      <w:numFmt w:val="decimal"/>
      <w:suff w:val="nothing"/>
      <w:lvlText w:val="%1、"/>
      <w:lvlJc w:val="left"/>
    </w:lvl>
  </w:abstractNum>
  <w:abstractNum w:abstractNumId="1">
    <w:nsid w:val="0000000D"/>
    <w:multiLevelType w:val="multilevel"/>
    <w:tmpl w:val="0000000D"/>
    <w:lvl w:ilvl="0" w:tentative="0">
      <w:start w:val="1"/>
      <w:numFmt w:val="decimal"/>
      <w:lvlText w:val="7.%1"/>
      <w:lvlJc w:val="left"/>
      <w:pPr>
        <w:tabs>
          <w:tab w:val="left" w:pos="1080"/>
        </w:tabs>
        <w:ind w:left="1080" w:hanging="360"/>
      </w:pPr>
      <w:rPr>
        <w:rFonts w:hint="eastAsia" w:ascii="宋体" w:hAnsi="宋体" w:eastAsia="宋体"/>
        <w:b w:val="0"/>
        <w:i w:val="0"/>
      </w:rPr>
    </w:lvl>
    <w:lvl w:ilvl="1" w:tentative="0">
      <w:start w:val="1"/>
      <w:numFmt w:val="lowerLetter"/>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16"/>
    <w:multiLevelType w:val="multilevel"/>
    <w:tmpl w:val="00000016"/>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3">
    <w:nsid w:val="0000001E"/>
    <w:multiLevelType w:val="multilevel"/>
    <w:tmpl w:val="0000001E"/>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lang w:val="en-US"/>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4">
    <w:nsid w:val="00000021"/>
    <w:multiLevelType w:val="multilevel"/>
    <w:tmpl w:val="00000021"/>
    <w:lvl w:ilvl="0" w:tentative="0">
      <w:start w:val="1"/>
      <w:numFmt w:val="decimal"/>
      <w:lvlText w:val="4.%1"/>
      <w:lvlJc w:val="left"/>
      <w:pPr>
        <w:tabs>
          <w:tab w:val="left" w:pos="1080"/>
        </w:tabs>
        <w:ind w:left="1080" w:hanging="360"/>
      </w:pPr>
      <w:rPr>
        <w:rFonts w:hint="eastAsia" w:ascii="宋体" w:hAnsi="宋体" w:eastAsia="宋体"/>
        <w:b w:val="0"/>
        <w:i w:val="0"/>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00000025"/>
    <w:multiLevelType w:val="multilevel"/>
    <w:tmpl w:val="00000025"/>
    <w:lvl w:ilvl="0" w:tentative="0">
      <w:start w:val="1"/>
      <w:numFmt w:val="decimal"/>
      <w:lvlText w:val="%1."/>
      <w:lvlJc w:val="left"/>
      <w:pPr>
        <w:tabs>
          <w:tab w:val="left" w:pos="1380"/>
        </w:tabs>
        <w:ind w:left="1380" w:hanging="420"/>
      </w:pPr>
      <w:rPr>
        <w:rFonts w:hint="eastAsia"/>
      </w:rPr>
    </w:lvl>
    <w:lvl w:ilvl="1" w:tentative="0">
      <w:start w:val="1"/>
      <w:numFmt w:val="lowerLetter"/>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6">
    <w:nsid w:val="0000002E"/>
    <w:multiLevelType w:val="multilevel"/>
    <w:tmpl w:val="0000002E"/>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0000030"/>
    <w:multiLevelType w:val="multilevel"/>
    <w:tmpl w:val="00000030"/>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0000031"/>
    <w:multiLevelType w:val="multilevel"/>
    <w:tmpl w:val="00000031"/>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lang w:val="en-US"/>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9">
    <w:nsid w:val="00000035"/>
    <w:multiLevelType w:val="multilevel"/>
    <w:tmpl w:val="00000035"/>
    <w:lvl w:ilvl="0" w:tentative="0">
      <w:start w:val="1"/>
      <w:numFmt w:val="decimal"/>
      <w:lvlText w:val="%1."/>
      <w:lvlJc w:val="left"/>
      <w:pPr>
        <w:tabs>
          <w:tab w:val="left" w:pos="1380"/>
        </w:tabs>
        <w:ind w:left="1380" w:hanging="420"/>
      </w:pPr>
      <w:rPr>
        <w:rFonts w:hint="eastAsia"/>
      </w:rPr>
    </w:lvl>
    <w:lvl w:ilvl="1" w:tentative="0">
      <w:start w:val="1"/>
      <w:numFmt w:val="decimal"/>
      <w:lvlText w:val="（%2）"/>
      <w:lvlJc w:val="left"/>
      <w:pPr>
        <w:tabs>
          <w:tab w:val="left" w:pos="1320"/>
        </w:tabs>
        <w:ind w:left="1320" w:hanging="420"/>
      </w:pPr>
      <w:rPr>
        <w:rFonts w:hint="eastAsia"/>
      </w:rPr>
    </w:lvl>
    <w:lvl w:ilvl="2" w:tentative="0">
      <w:start w:val="1"/>
      <w:numFmt w:val="lowerRoman"/>
      <w:lvlText w:val="%3."/>
      <w:lvlJc w:val="right"/>
      <w:pPr>
        <w:tabs>
          <w:tab w:val="left" w:pos="1740"/>
        </w:tabs>
        <w:ind w:left="1740" w:hanging="420"/>
      </w:pPr>
      <w:rPr>
        <w:rFonts w:hint="eastAsia"/>
      </w:rPr>
    </w:lvl>
    <w:lvl w:ilvl="3" w:tentative="0">
      <w:start w:val="1"/>
      <w:numFmt w:val="decimal"/>
      <w:lvlText w:val="%4."/>
      <w:lvlJc w:val="left"/>
      <w:pPr>
        <w:tabs>
          <w:tab w:val="left" w:pos="2160"/>
        </w:tabs>
        <w:ind w:left="2160" w:hanging="420"/>
      </w:pPr>
      <w:rPr>
        <w:rFonts w:hint="eastAsia"/>
      </w:rPr>
    </w:lvl>
    <w:lvl w:ilvl="4" w:tentative="0">
      <w:start w:val="1"/>
      <w:numFmt w:val="lowerLetter"/>
      <w:lvlText w:val="%5)"/>
      <w:lvlJc w:val="left"/>
      <w:pPr>
        <w:tabs>
          <w:tab w:val="left" w:pos="2580"/>
        </w:tabs>
        <w:ind w:left="2580" w:hanging="420"/>
      </w:pPr>
      <w:rPr>
        <w:rFonts w:hint="eastAsia"/>
      </w:rPr>
    </w:lvl>
    <w:lvl w:ilvl="5" w:tentative="0">
      <w:start w:val="1"/>
      <w:numFmt w:val="lowerRoman"/>
      <w:lvlText w:val="%6."/>
      <w:lvlJc w:val="right"/>
      <w:pPr>
        <w:tabs>
          <w:tab w:val="left" w:pos="3000"/>
        </w:tabs>
        <w:ind w:left="3000" w:hanging="420"/>
      </w:pPr>
      <w:rPr>
        <w:rFonts w:hint="eastAsia"/>
      </w:rPr>
    </w:lvl>
    <w:lvl w:ilvl="6" w:tentative="0">
      <w:start w:val="1"/>
      <w:numFmt w:val="decimal"/>
      <w:lvlText w:val="%7."/>
      <w:lvlJc w:val="left"/>
      <w:pPr>
        <w:tabs>
          <w:tab w:val="left" w:pos="3420"/>
        </w:tabs>
        <w:ind w:left="3420" w:hanging="420"/>
      </w:pPr>
      <w:rPr>
        <w:rFonts w:hint="eastAsia"/>
      </w:rPr>
    </w:lvl>
    <w:lvl w:ilvl="7" w:tentative="0">
      <w:start w:val="1"/>
      <w:numFmt w:val="lowerLetter"/>
      <w:lvlText w:val="%8)"/>
      <w:lvlJc w:val="left"/>
      <w:pPr>
        <w:tabs>
          <w:tab w:val="left" w:pos="3840"/>
        </w:tabs>
        <w:ind w:left="3840" w:hanging="420"/>
      </w:pPr>
      <w:rPr>
        <w:rFonts w:hint="eastAsia"/>
      </w:rPr>
    </w:lvl>
    <w:lvl w:ilvl="8" w:tentative="0">
      <w:start w:val="1"/>
      <w:numFmt w:val="lowerRoman"/>
      <w:lvlText w:val="%9."/>
      <w:lvlJc w:val="right"/>
      <w:pPr>
        <w:tabs>
          <w:tab w:val="left" w:pos="4260"/>
        </w:tabs>
        <w:ind w:left="4260" w:hanging="420"/>
      </w:pPr>
      <w:rPr>
        <w:rFonts w:hint="eastAsia"/>
      </w:rPr>
    </w:lvl>
  </w:abstractNum>
  <w:abstractNum w:abstractNumId="10">
    <w:nsid w:val="00000036"/>
    <w:multiLevelType w:val="multilevel"/>
    <w:tmpl w:val="00000036"/>
    <w:lvl w:ilvl="0" w:tentative="0">
      <w:start w:val="1"/>
      <w:numFmt w:val="decimal"/>
      <w:lvlText w:val="（%1）"/>
      <w:lvlJc w:val="left"/>
      <w:pPr>
        <w:tabs>
          <w:tab w:val="left" w:pos="960"/>
        </w:tabs>
        <w:ind w:left="960" w:hanging="420"/>
      </w:pPr>
      <w:rPr>
        <w:rFonts w:hint="eastAsia"/>
      </w:rPr>
    </w:lvl>
    <w:lvl w:ilvl="1" w:tentative="0">
      <w:start w:val="1"/>
      <w:numFmt w:val="lowerLetter"/>
      <w:lvlText w:val="%2)"/>
      <w:lvlJc w:val="left"/>
      <w:pPr>
        <w:tabs>
          <w:tab w:val="left" w:pos="679"/>
        </w:tabs>
        <w:ind w:left="679" w:hanging="420"/>
      </w:pPr>
    </w:lvl>
    <w:lvl w:ilvl="2" w:tentative="0">
      <w:start w:val="1"/>
      <w:numFmt w:val="lowerRoman"/>
      <w:lvlText w:val="%3."/>
      <w:lvlJc w:val="right"/>
      <w:pPr>
        <w:tabs>
          <w:tab w:val="left" w:pos="1099"/>
        </w:tabs>
        <w:ind w:left="1099" w:hanging="420"/>
      </w:pPr>
    </w:lvl>
    <w:lvl w:ilvl="3" w:tentative="0">
      <w:start w:val="1"/>
      <w:numFmt w:val="decimal"/>
      <w:lvlText w:val="%4."/>
      <w:lvlJc w:val="left"/>
      <w:pPr>
        <w:tabs>
          <w:tab w:val="left" w:pos="1519"/>
        </w:tabs>
        <w:ind w:left="1519" w:hanging="420"/>
      </w:pPr>
    </w:lvl>
    <w:lvl w:ilvl="4" w:tentative="0">
      <w:start w:val="1"/>
      <w:numFmt w:val="lowerLetter"/>
      <w:lvlText w:val="%5)"/>
      <w:lvlJc w:val="left"/>
      <w:pPr>
        <w:tabs>
          <w:tab w:val="left" w:pos="1939"/>
        </w:tabs>
        <w:ind w:left="1939" w:hanging="420"/>
      </w:pPr>
    </w:lvl>
    <w:lvl w:ilvl="5" w:tentative="0">
      <w:start w:val="1"/>
      <w:numFmt w:val="lowerRoman"/>
      <w:lvlText w:val="%6."/>
      <w:lvlJc w:val="right"/>
      <w:pPr>
        <w:tabs>
          <w:tab w:val="left" w:pos="2359"/>
        </w:tabs>
        <w:ind w:left="2359" w:hanging="420"/>
      </w:pPr>
    </w:lvl>
    <w:lvl w:ilvl="6" w:tentative="0">
      <w:start w:val="1"/>
      <w:numFmt w:val="decimal"/>
      <w:lvlText w:val="%7."/>
      <w:lvlJc w:val="left"/>
      <w:pPr>
        <w:tabs>
          <w:tab w:val="left" w:pos="2779"/>
        </w:tabs>
        <w:ind w:left="2779" w:hanging="420"/>
      </w:pPr>
    </w:lvl>
    <w:lvl w:ilvl="7" w:tentative="0">
      <w:start w:val="1"/>
      <w:numFmt w:val="lowerLetter"/>
      <w:lvlText w:val="%8)"/>
      <w:lvlJc w:val="left"/>
      <w:pPr>
        <w:tabs>
          <w:tab w:val="left" w:pos="3199"/>
        </w:tabs>
        <w:ind w:left="3199" w:hanging="420"/>
      </w:pPr>
    </w:lvl>
    <w:lvl w:ilvl="8" w:tentative="0">
      <w:start w:val="1"/>
      <w:numFmt w:val="lowerRoman"/>
      <w:lvlText w:val="%9."/>
      <w:lvlJc w:val="right"/>
      <w:pPr>
        <w:tabs>
          <w:tab w:val="left" w:pos="3619"/>
        </w:tabs>
        <w:ind w:left="3619" w:hanging="420"/>
      </w:pPr>
    </w:lvl>
  </w:abstractNum>
  <w:abstractNum w:abstractNumId="11">
    <w:nsid w:val="00000037"/>
    <w:multiLevelType w:val="multilevel"/>
    <w:tmpl w:val="00000037"/>
    <w:lvl w:ilvl="0" w:tentative="0">
      <w:start w:val="1"/>
      <w:numFmt w:val="decimal"/>
      <w:lvlText w:val="6.%1"/>
      <w:lvlJc w:val="left"/>
      <w:pPr>
        <w:tabs>
          <w:tab w:val="left" w:pos="900"/>
        </w:tabs>
        <w:ind w:left="900" w:hanging="360"/>
      </w:pPr>
      <w:rPr>
        <w:rFonts w:hint="eastAsia" w:ascii="宋体" w:hAnsi="宋体" w:eastAsia="宋体"/>
        <w:b w:val="0"/>
        <w:i w:val="0"/>
      </w:rPr>
    </w:lvl>
    <w:lvl w:ilvl="1" w:tentative="0">
      <w:start w:val="1"/>
      <w:numFmt w:val="lowerLetter"/>
      <w:lvlText w:val="%2)"/>
      <w:lvlJc w:val="left"/>
      <w:pPr>
        <w:tabs>
          <w:tab w:val="left" w:pos="660"/>
        </w:tabs>
        <w:ind w:left="660" w:hanging="420"/>
      </w:pPr>
    </w:lvl>
    <w:lvl w:ilvl="2" w:tentative="0">
      <w:start w:val="1"/>
      <w:numFmt w:val="lowerRoman"/>
      <w:lvlText w:val="%3."/>
      <w:lvlJc w:val="right"/>
      <w:pPr>
        <w:tabs>
          <w:tab w:val="left" w:pos="1080"/>
        </w:tabs>
        <w:ind w:left="1080" w:hanging="420"/>
      </w:pPr>
    </w:lvl>
    <w:lvl w:ilvl="3" w:tentative="0">
      <w:start w:val="1"/>
      <w:numFmt w:val="decimal"/>
      <w:lvlText w:val="%4."/>
      <w:lvlJc w:val="left"/>
      <w:pPr>
        <w:tabs>
          <w:tab w:val="left" w:pos="1500"/>
        </w:tabs>
        <w:ind w:left="1500" w:hanging="420"/>
      </w:pPr>
    </w:lvl>
    <w:lvl w:ilvl="4" w:tentative="0">
      <w:start w:val="1"/>
      <w:numFmt w:val="lowerLetter"/>
      <w:lvlText w:val="%5)"/>
      <w:lvlJc w:val="left"/>
      <w:pPr>
        <w:tabs>
          <w:tab w:val="left" w:pos="1920"/>
        </w:tabs>
        <w:ind w:left="1920" w:hanging="420"/>
      </w:pPr>
    </w:lvl>
    <w:lvl w:ilvl="5" w:tentative="0">
      <w:start w:val="1"/>
      <w:numFmt w:val="lowerRoman"/>
      <w:lvlText w:val="%6."/>
      <w:lvlJc w:val="right"/>
      <w:pPr>
        <w:tabs>
          <w:tab w:val="left" w:pos="2340"/>
        </w:tabs>
        <w:ind w:left="2340" w:hanging="420"/>
      </w:pPr>
    </w:lvl>
    <w:lvl w:ilvl="6" w:tentative="0">
      <w:start w:val="1"/>
      <w:numFmt w:val="decimal"/>
      <w:lvlText w:val="%7."/>
      <w:lvlJc w:val="left"/>
      <w:pPr>
        <w:tabs>
          <w:tab w:val="left" w:pos="2760"/>
        </w:tabs>
        <w:ind w:left="2760" w:hanging="420"/>
      </w:pPr>
    </w:lvl>
    <w:lvl w:ilvl="7" w:tentative="0">
      <w:start w:val="1"/>
      <w:numFmt w:val="lowerLetter"/>
      <w:lvlText w:val="%8)"/>
      <w:lvlJc w:val="left"/>
      <w:pPr>
        <w:tabs>
          <w:tab w:val="left" w:pos="3180"/>
        </w:tabs>
        <w:ind w:left="3180" w:hanging="420"/>
      </w:pPr>
    </w:lvl>
    <w:lvl w:ilvl="8" w:tentative="0">
      <w:start w:val="1"/>
      <w:numFmt w:val="lowerRoman"/>
      <w:lvlText w:val="%9."/>
      <w:lvlJc w:val="right"/>
      <w:pPr>
        <w:tabs>
          <w:tab w:val="left" w:pos="3600"/>
        </w:tabs>
        <w:ind w:left="3600" w:hanging="420"/>
      </w:pPr>
    </w:lvl>
  </w:abstractNum>
  <w:abstractNum w:abstractNumId="12">
    <w:nsid w:val="00000038"/>
    <w:multiLevelType w:val="multilevel"/>
    <w:tmpl w:val="00000038"/>
    <w:lvl w:ilvl="0" w:tentative="0">
      <w:start w:val="1"/>
      <w:numFmt w:val="decimal"/>
      <w:lvlText w:val="（%1）"/>
      <w:lvlJc w:val="left"/>
      <w:pPr>
        <w:tabs>
          <w:tab w:val="left" w:pos="1140"/>
        </w:tabs>
        <w:ind w:left="11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07B26DC7"/>
    <w:multiLevelType w:val="singleLevel"/>
    <w:tmpl w:val="07B26DC7"/>
    <w:lvl w:ilvl="0" w:tentative="0">
      <w:start w:val="1"/>
      <w:numFmt w:val="decimal"/>
      <w:lvlText w:val="%1、"/>
      <w:lvlJc w:val="left"/>
      <w:pPr>
        <w:tabs>
          <w:tab w:val="left" w:pos="720"/>
        </w:tabs>
        <w:ind w:left="720" w:hanging="720"/>
      </w:pPr>
    </w:lvl>
  </w:abstractNum>
  <w:abstractNum w:abstractNumId="14">
    <w:nsid w:val="1F9A7D71"/>
    <w:multiLevelType w:val="singleLevel"/>
    <w:tmpl w:val="1F9A7D71"/>
    <w:lvl w:ilvl="0" w:tentative="0">
      <w:start w:val="1"/>
      <w:numFmt w:val="none"/>
      <w:lvlText w:val="一、"/>
      <w:lvlJc w:val="left"/>
      <w:pPr>
        <w:tabs>
          <w:tab w:val="left" w:pos="480"/>
        </w:tabs>
        <w:ind w:left="480" w:hanging="480"/>
      </w:pPr>
    </w:lvl>
  </w:abstractNum>
  <w:abstractNum w:abstractNumId="15">
    <w:nsid w:val="2B5F13CB"/>
    <w:multiLevelType w:val="singleLevel"/>
    <w:tmpl w:val="2B5F13CB"/>
    <w:lvl w:ilvl="0" w:tentative="0">
      <w:start w:val="1"/>
      <w:numFmt w:val="decimal"/>
      <w:lvlText w:val="%1．"/>
      <w:lvlJc w:val="left"/>
      <w:pPr>
        <w:tabs>
          <w:tab w:val="left" w:pos="1080"/>
        </w:tabs>
        <w:ind w:left="1080" w:hanging="360"/>
      </w:pPr>
    </w:lvl>
  </w:abstractNum>
  <w:abstractNum w:abstractNumId="16">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17">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7"/>
  </w:num>
  <w:num w:numId="2">
    <w:abstractNumId w:val="10"/>
  </w:num>
  <w:num w:numId="3">
    <w:abstractNumId w:val="6"/>
  </w:num>
  <w:num w:numId="4">
    <w:abstractNumId w:val="4"/>
  </w:num>
  <w:num w:numId="5">
    <w:abstractNumId w:val="11"/>
  </w:num>
  <w:num w:numId="6">
    <w:abstractNumId w:val="12"/>
  </w:num>
  <w:num w:numId="7">
    <w:abstractNumId w:val="7"/>
  </w:num>
  <w:num w:numId="8">
    <w:abstractNumId w:val="1"/>
  </w:num>
  <w:num w:numId="9">
    <w:abstractNumId w:val="5"/>
  </w:num>
  <w:num w:numId="10">
    <w:abstractNumId w:val="8"/>
  </w:num>
  <w:num w:numId="11">
    <w:abstractNumId w:val="9"/>
  </w:num>
  <w:num w:numId="12">
    <w:abstractNumId w:val="2"/>
  </w:num>
  <w:num w:numId="13">
    <w:abstractNumId w:val="3"/>
  </w:num>
  <w:num w:numId="14">
    <w:abstractNumId w:val="0"/>
  </w:num>
  <w:num w:numId="15">
    <w:abstractNumId w:val="15"/>
    <w:lvlOverride w:ilvl="0">
      <w:startOverride w:val="1"/>
    </w:lvlOverride>
  </w:num>
  <w:num w:numId="16">
    <w:abstractNumId w:val="14"/>
    <w:lvlOverride w:ilvl="0">
      <w:startOverride w:val="1"/>
    </w:lvlOverride>
  </w:num>
  <w:num w:numId="17">
    <w:abstractNumId w:val="13"/>
    <w:lvlOverride w:ilvl="0">
      <w:startOverride w:val="1"/>
    </w:lvlOverride>
  </w:num>
  <w:num w:numId="18">
    <w:abstractNumId w:val="16"/>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D17D7B"/>
    <w:rsid w:val="0A8D044C"/>
    <w:rsid w:val="199F0177"/>
    <w:rsid w:val="2EE04940"/>
    <w:rsid w:val="493B7B6C"/>
    <w:rsid w:val="4E0A1AE8"/>
    <w:rsid w:val="51A15BF2"/>
    <w:rsid w:val="5B3171A9"/>
    <w:rsid w:val="5F8070E0"/>
    <w:rsid w:val="61D17D7B"/>
    <w:rsid w:val="7D7135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ind w:left="678"/>
      <w:outlineLvl w:val="0"/>
    </w:pPr>
    <w:rPr>
      <w:rFonts w:ascii="Microsoft JhengHei" w:hAnsi="Microsoft JhengHei" w:eastAsia="Microsoft JhengHei"/>
      <w:b/>
      <w:bCs/>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eastAsia="仿宋_GB2312"/>
      <w:sz w:val="30"/>
    </w:rPr>
  </w:style>
  <w:style w:type="paragraph" w:styleId="4">
    <w:name w:val="Body Text Indent"/>
    <w:basedOn w:val="5"/>
    <w:qFormat/>
    <w:uiPriority w:val="0"/>
    <w:pPr>
      <w:tabs>
        <w:tab w:val="left" w:pos="0"/>
        <w:tab w:val="left" w:pos="993"/>
        <w:tab w:val="left" w:pos="1134"/>
      </w:tabs>
      <w:spacing w:line="500" w:lineRule="exact"/>
      <w:ind w:firstLine="567"/>
    </w:pPr>
    <w:rPr>
      <w:rFonts w:ascii="宋体" w:hAnsi="Calibri"/>
      <w:sz w:val="28"/>
      <w:szCs w:val="22"/>
    </w:rPr>
  </w:style>
  <w:style w:type="paragraph" w:customStyle="1" w:styleId="5">
    <w:name w:val="正文1"/>
    <w:next w:val="4"/>
    <w:qFormat/>
    <w:uiPriority w:val="0"/>
    <w:pPr>
      <w:widowControl w:val="0"/>
      <w:jc w:val="both"/>
    </w:pPr>
    <w:rPr>
      <w:rFonts w:ascii="Times New Roman" w:hAnsi="Times New Roman" w:eastAsia="宋体" w:cs="Times New Roman"/>
      <w:kern w:val="2"/>
      <w:sz w:val="21"/>
      <w:lang w:val="en-US" w:eastAsia="zh-CN" w:bidi="ar-SA"/>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envelope return"/>
    <w:basedOn w:val="1"/>
    <w:next w:val="8"/>
    <w:qFormat/>
    <w:uiPriority w:val="0"/>
    <w:pPr>
      <w:snapToGrid w:val="0"/>
    </w:pPr>
    <w:rPr>
      <w:rFonts w:ascii="Calibri Light" w:hAnsi="Calibri Light"/>
    </w:rPr>
  </w:style>
  <w:style w:type="paragraph" w:styleId="8">
    <w:name w:val="Title"/>
    <w:basedOn w:val="1"/>
    <w:next w:val="1"/>
    <w:qFormat/>
    <w:uiPriority w:val="10"/>
    <w:pPr>
      <w:spacing w:before="240" w:after="60"/>
      <w:jc w:val="center"/>
      <w:outlineLvl w:val="0"/>
    </w:pPr>
    <w:rPr>
      <w:rFonts w:ascii="Cambria" w:hAnsi="Cambria"/>
      <w:b/>
      <w:bCs/>
      <w:kern w:val="0"/>
      <w:sz w:val="32"/>
      <w:szCs w:val="32"/>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List"/>
    <w:basedOn w:val="1"/>
    <w:unhideWhenUsed/>
    <w:qFormat/>
    <w:uiPriority w:val="0"/>
    <w:pPr>
      <w:ind w:left="200" w:hanging="200" w:hangingChars="200"/>
    </w:pPr>
    <w:rPr>
      <w:szCs w:val="22"/>
    </w:rPr>
  </w:style>
  <w:style w:type="paragraph" w:styleId="11">
    <w:name w:val="Body Text 2"/>
    <w:basedOn w:val="1"/>
    <w:qFormat/>
    <w:uiPriority w:val="0"/>
    <w:rPr>
      <w:rFonts w:ascii="华文细黑" w:hAnsi="华文细黑" w:eastAsia="华文细黑"/>
      <w:b/>
      <w:bCs/>
      <w:sz w:val="24"/>
    </w:rPr>
  </w:style>
  <w:style w:type="paragraph" w:styleId="12">
    <w:name w:val="Normal (Web)"/>
    <w:basedOn w:val="1"/>
    <w:semiHidden/>
    <w:unhideWhenUsed/>
    <w:qFormat/>
    <w:uiPriority w:val="0"/>
    <w:rPr>
      <w:rFonts w:ascii="Calibri" w:hAnsi="Calibri"/>
      <w:sz w:val="24"/>
      <w:szCs w:val="24"/>
    </w:rPr>
  </w:style>
  <w:style w:type="paragraph" w:styleId="13">
    <w:name w:val="Body Text First Indent"/>
    <w:basedOn w:val="3"/>
    <w:next w:val="14"/>
    <w:qFormat/>
    <w:uiPriority w:val="0"/>
    <w:pPr>
      <w:spacing w:after="120"/>
      <w:ind w:left="300" w:firstLine="420"/>
    </w:pPr>
    <w:rPr>
      <w:rFonts w:ascii="宋体" w:hAnsi="Verdana"/>
      <w:lang w:val="en-GB"/>
    </w:rPr>
  </w:style>
  <w:style w:type="paragraph" w:styleId="14">
    <w:name w:val="Body Text First Indent 2"/>
    <w:basedOn w:val="4"/>
    <w:next w:val="1"/>
    <w:qFormat/>
    <w:uiPriority w:val="0"/>
    <w:pPr>
      <w:ind w:firstLine="420"/>
    </w:pPr>
  </w:style>
  <w:style w:type="paragraph" w:customStyle="1" w:styleId="17">
    <w:name w:val="首行缩进"/>
    <w:basedOn w:val="1"/>
    <w:qFormat/>
    <w:uiPriority w:val="99"/>
    <w:pPr>
      <w:spacing w:line="360" w:lineRule="auto"/>
      <w:ind w:firstLine="480"/>
      <w:jc w:val="left"/>
    </w:pPr>
    <w:rPr>
      <w:rFonts w:ascii="宋体" w:hAnsi="宋体"/>
      <w:sz w:val="24"/>
    </w:rPr>
  </w:style>
  <w:style w:type="paragraph" w:styleId="18">
    <w:name w:val="List Paragraph"/>
    <w:basedOn w:val="1"/>
    <w:qFormat/>
    <w:uiPriority w:val="0"/>
    <w:pPr>
      <w:widowControl/>
      <w:suppressAutoHyphens/>
      <w:spacing w:line="440" w:lineRule="exact"/>
      <w:ind w:left="720" w:firstLine="200"/>
      <w:jc w:val="left"/>
    </w:pPr>
    <w:rPr>
      <w:rFonts w:ascii="Calibri" w:hAnsi="Calibri" w:cs="宋体"/>
      <w:sz w:val="24"/>
      <w:lang w:eastAsia="ar-SA"/>
    </w:rPr>
  </w:style>
  <w:style w:type="paragraph" w:customStyle="1" w:styleId="19">
    <w:name w:val="正文（缩进）"/>
    <w:basedOn w:val="1"/>
    <w:qFormat/>
    <w:uiPriority w:val="99"/>
    <w:pPr>
      <w:ind w:firstLine="480"/>
    </w:pPr>
  </w:style>
  <w:style w:type="character" w:customStyle="1" w:styleId="20">
    <w:name w:val="NormalCharacter"/>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14977</Words>
  <Characters>15787</Characters>
  <Lines>0</Lines>
  <Paragraphs>0</Paragraphs>
  <TotalTime>1</TotalTime>
  <ScaleCrop>false</ScaleCrop>
  <LinksUpToDate>false</LinksUpToDate>
  <CharactersWithSpaces>16791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2025-03-24T07:44:00Z</dcterms:created>
  <dc:creator>朱华卿</dc:creator>
  <cp:lastModifiedBy>朱华卿</cp:lastModifiedBy>
  <dcterms:modified xsi:type="dcterms:W3CDTF">2025-04-07T09:17:06Z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F050C2294F4D4787860613C9D2259340_11</vt:lpwstr>
  </property>
  <property fmtid="{D5CDD505-2E9C-101B-9397-08002B2CF9AE}" pid="4" name="KSOTemplateDocerSaveRecord">
    <vt:lpwstr>eyJoZGlkIjoiMTdmZjMyMDhiY2RkZTYxNmZmYTdjOWU1MjI2YzIzZTciLCJ1c2VySWQiOiIxNjc1OTg2MDQ3In0=</vt:lpwstr>
  </property>
</Properties>
</file>