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sz w:val="24"/>
        </w:rPr>
      </w:pPr>
    </w:p>
    <w:p>
      <w:pPr>
        <w:jc w:val="center"/>
        <w:rPr>
          <w:rFonts w:ascii="宋体"/>
          <w:sz w:val="24"/>
        </w:rPr>
      </w:pPr>
    </w:p>
    <w:p>
      <w:pPr>
        <w:jc w:val="center"/>
        <w:rPr>
          <w:rFonts w:ascii="宋体"/>
          <w:sz w:val="24"/>
        </w:rPr>
      </w:pPr>
    </w:p>
    <w:p>
      <w:pPr>
        <w:jc w:val="center"/>
        <w:rPr>
          <w:rFonts w:ascii="宋体"/>
          <w:sz w:val="24"/>
        </w:rPr>
      </w:pPr>
    </w:p>
    <w:p>
      <w:pPr>
        <w:jc w:val="center"/>
        <w:rPr>
          <w:rFonts w:eastAsia="方正大标宋简体"/>
          <w:b/>
          <w:w w:val="90"/>
          <w:sz w:val="48"/>
          <w:szCs w:val="48"/>
        </w:rPr>
      </w:pPr>
      <w:r>
        <w:rPr>
          <w:rFonts w:hint="eastAsia" w:eastAsia="方正大标宋简体"/>
          <w:b/>
          <w:w w:val="90"/>
          <w:sz w:val="52"/>
          <w:szCs w:val="52"/>
        </w:rPr>
        <w:t>2022-2023年江苏长江水务股份有限公司工程造价咨询服务</w:t>
      </w:r>
    </w:p>
    <w:p>
      <w:pPr>
        <w:jc w:val="center"/>
        <w:rPr>
          <w:rFonts w:ascii="方正大标宋简体" w:eastAsia="方正大标宋简体"/>
          <w:w w:val="90"/>
          <w:sz w:val="48"/>
          <w:szCs w:val="48"/>
        </w:rPr>
      </w:pPr>
    </w:p>
    <w:p>
      <w:pPr>
        <w:jc w:val="center"/>
        <w:rPr>
          <w:rFonts w:ascii="方正大标宋简体" w:eastAsia="方正大标宋简体"/>
          <w:w w:val="90"/>
          <w:sz w:val="48"/>
          <w:szCs w:val="48"/>
        </w:rPr>
      </w:pPr>
    </w:p>
    <w:p>
      <w:pPr>
        <w:jc w:val="center"/>
        <w:rPr>
          <w:rFonts w:ascii="方正大标宋简体" w:eastAsia="方正大标宋简体"/>
          <w:w w:val="90"/>
          <w:sz w:val="48"/>
          <w:szCs w:val="48"/>
        </w:rPr>
      </w:pPr>
    </w:p>
    <w:p>
      <w:pPr>
        <w:jc w:val="center"/>
        <w:rPr>
          <w:rFonts w:ascii="方正大标宋简体" w:eastAsia="方正大标宋简体"/>
          <w:sz w:val="72"/>
          <w:szCs w:val="72"/>
        </w:rPr>
      </w:pPr>
      <w:r>
        <w:rPr>
          <w:rFonts w:hint="eastAsia" w:ascii="方正大标宋简体" w:eastAsia="方正大标宋简体"/>
          <w:sz w:val="72"/>
          <w:szCs w:val="72"/>
        </w:rPr>
        <w:t>招 标 文 件</w:t>
      </w:r>
    </w:p>
    <w:p>
      <w:pPr>
        <w:jc w:val="center"/>
        <w:rPr>
          <w:rFonts w:ascii="宋体"/>
          <w:sz w:val="24"/>
        </w:rPr>
      </w:pPr>
    </w:p>
    <w:p>
      <w:pPr>
        <w:tabs>
          <w:tab w:val="left" w:pos="6300"/>
        </w:tabs>
        <w:ind w:firstLine="2296"/>
        <w:rPr>
          <w:rFonts w:ascii="方正大标宋简体" w:eastAsia="方正大标宋简体"/>
          <w:sz w:val="24"/>
        </w:rPr>
      </w:pPr>
    </w:p>
    <w:p>
      <w:pPr>
        <w:tabs>
          <w:tab w:val="left" w:pos="6300"/>
        </w:tabs>
        <w:ind w:firstLine="2296"/>
        <w:rPr>
          <w:rFonts w:ascii="方正大标宋简体" w:eastAsia="方正大标宋简体"/>
          <w:sz w:val="24"/>
        </w:rPr>
      </w:pPr>
    </w:p>
    <w:p>
      <w:pPr>
        <w:tabs>
          <w:tab w:val="left" w:pos="6300"/>
        </w:tabs>
        <w:ind w:firstLine="2296"/>
        <w:rPr>
          <w:rFonts w:ascii="方正大标宋简体" w:eastAsia="方正大标宋简体"/>
          <w:sz w:val="24"/>
        </w:rPr>
      </w:pPr>
    </w:p>
    <w:p>
      <w:pPr>
        <w:tabs>
          <w:tab w:val="left" w:pos="6300"/>
        </w:tabs>
        <w:ind w:firstLine="2296"/>
        <w:rPr>
          <w:rFonts w:ascii="方正大标宋简体" w:eastAsia="方正大标宋简体"/>
          <w:sz w:val="24"/>
        </w:rPr>
      </w:pPr>
    </w:p>
    <w:p>
      <w:pPr>
        <w:tabs>
          <w:tab w:val="left" w:pos="6300"/>
        </w:tabs>
        <w:ind w:firstLine="2296"/>
        <w:rPr>
          <w:rFonts w:ascii="方正大标宋简体" w:eastAsia="方正大标宋简体"/>
          <w:sz w:val="24"/>
        </w:rPr>
      </w:pPr>
    </w:p>
    <w:p>
      <w:pPr>
        <w:tabs>
          <w:tab w:val="left" w:pos="6300"/>
        </w:tabs>
        <w:ind w:firstLine="2296"/>
        <w:rPr>
          <w:rFonts w:ascii="方正大标宋简体" w:eastAsia="方正大标宋简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jc w:val="center"/>
        <w:rPr>
          <w:rFonts w:ascii="方正大标宋简体" w:eastAsia="方正大标宋简体"/>
          <w:sz w:val="30"/>
          <w:szCs w:val="30"/>
        </w:rPr>
      </w:pPr>
      <w:r>
        <w:rPr>
          <w:rFonts w:hint="eastAsia" w:ascii="方正大标宋简体" w:eastAsia="方正大标宋简体"/>
          <w:sz w:val="30"/>
          <w:szCs w:val="30"/>
        </w:rPr>
        <w:t>招 标 人：江苏长江水务股份有限公司</w:t>
      </w:r>
    </w:p>
    <w:p>
      <w:pPr>
        <w:ind w:firstLine="1980" w:firstLineChars="660"/>
        <w:rPr>
          <w:rFonts w:ascii="方正大标宋简体" w:eastAsia="方正大标宋简体"/>
          <w:sz w:val="30"/>
          <w:szCs w:val="30"/>
        </w:rPr>
      </w:pPr>
    </w:p>
    <w:p>
      <w:pPr>
        <w:ind w:firstLine="2580" w:firstLineChars="860"/>
        <w:rPr>
          <w:rFonts w:ascii="方正大标宋简体" w:eastAsia="方正大标宋简体"/>
          <w:sz w:val="30"/>
          <w:szCs w:val="30"/>
        </w:rPr>
      </w:pPr>
    </w:p>
    <w:p>
      <w:pPr>
        <w:jc w:val="center"/>
        <w:rPr>
          <w:rFonts w:ascii="方正大标宋简体" w:eastAsia="方正大标宋简体"/>
          <w:sz w:val="30"/>
          <w:szCs w:val="30"/>
        </w:rPr>
      </w:pPr>
      <w:r>
        <w:rPr>
          <w:rFonts w:hint="eastAsia" w:ascii="方正大标宋简体" w:eastAsia="方正大标宋简体"/>
          <w:sz w:val="30"/>
          <w:szCs w:val="30"/>
        </w:rPr>
        <w:t>2022年3月18日</w:t>
      </w:r>
    </w:p>
    <w:p>
      <w:pPr>
        <w:ind w:firstLine="2580" w:firstLineChars="860"/>
        <w:rPr>
          <w:rFonts w:ascii="方正大标宋简体" w:eastAsia="方正大标宋简体"/>
          <w:sz w:val="30"/>
          <w:szCs w:val="30"/>
        </w:rPr>
      </w:pPr>
    </w:p>
    <w:p>
      <w:pPr>
        <w:ind w:firstLine="2580" w:firstLineChars="860"/>
        <w:rPr>
          <w:rFonts w:ascii="方正大标宋简体" w:eastAsia="方正大标宋简体"/>
          <w:sz w:val="30"/>
          <w:szCs w:val="30"/>
        </w:rPr>
      </w:pPr>
    </w:p>
    <w:p>
      <w:pPr>
        <w:ind w:firstLine="2580" w:firstLineChars="860"/>
        <w:rPr>
          <w:rFonts w:ascii="方正大标宋简体" w:eastAsia="方正大标宋简体"/>
          <w:sz w:val="30"/>
          <w:szCs w:val="30"/>
        </w:rPr>
      </w:pPr>
    </w:p>
    <w:p>
      <w:pPr>
        <w:jc w:val="center"/>
        <w:rPr>
          <w:rFonts w:ascii="宋体"/>
          <w:b/>
          <w:sz w:val="36"/>
          <w:szCs w:val="36"/>
        </w:rPr>
      </w:pPr>
      <w:bookmarkStart w:id="0" w:name="_投标邀请书"/>
      <w:bookmarkEnd w:id="0"/>
      <w:r>
        <w:rPr>
          <w:rFonts w:hint="eastAsia" w:ascii="宋体"/>
          <w:b/>
          <w:sz w:val="36"/>
          <w:szCs w:val="36"/>
        </w:rPr>
        <w:t>目    录</w:t>
      </w:r>
    </w:p>
    <w:p>
      <w:pPr>
        <w:jc w:val="center"/>
        <w:rPr>
          <w:rFonts w:ascii="宋体"/>
          <w:b/>
          <w:sz w:val="36"/>
          <w:szCs w:val="36"/>
        </w:rPr>
      </w:pPr>
    </w:p>
    <w:p>
      <w:pPr>
        <w:jc w:val="center"/>
        <w:rPr>
          <w:rFonts w:ascii="宋体"/>
          <w:b/>
          <w:sz w:val="36"/>
          <w:szCs w:val="36"/>
        </w:rPr>
      </w:pPr>
    </w:p>
    <w:p>
      <w:pPr>
        <w:pStyle w:val="18"/>
        <w:tabs>
          <w:tab w:val="right" w:leader="dot" w:pos="8776"/>
        </w:tabs>
        <w:spacing w:line="480" w:lineRule="auto"/>
        <w:rPr>
          <w:rStyle w:val="28"/>
          <w:sz w:val="28"/>
          <w:szCs w:val="28"/>
        </w:rPr>
      </w:pPr>
      <w:r>
        <w:rPr>
          <w:rStyle w:val="28"/>
          <w:rFonts w:hint="eastAsia" w:ascii="宋体"/>
          <w:sz w:val="28"/>
          <w:szCs w:val="28"/>
        </w:rPr>
        <w:fldChar w:fldCharType="begin"/>
      </w:r>
      <w:r>
        <w:rPr>
          <w:rStyle w:val="28"/>
          <w:rFonts w:hint="eastAsia" w:ascii="宋体"/>
          <w:sz w:val="28"/>
          <w:szCs w:val="28"/>
        </w:rPr>
        <w:instrText xml:space="preserve"> TOC \o "1-1" \h \z \u </w:instrText>
      </w:r>
      <w:r>
        <w:rPr>
          <w:rFonts w:hint="eastAsia" w:ascii="宋体"/>
          <w:sz w:val="28"/>
          <w:szCs w:val="28"/>
        </w:rPr>
        <w:fldChar w:fldCharType="separate"/>
      </w:r>
      <w:r>
        <w:fldChar w:fldCharType="begin"/>
      </w:r>
      <w:r>
        <w:instrText xml:space="preserve">Hyperlink \l "_Toc367805007#_Toc367805007"</w:instrText>
      </w:r>
      <w:r>
        <w:fldChar w:fldCharType="separate"/>
      </w:r>
      <w:r>
        <w:rPr>
          <w:rFonts w:hint="eastAsia" w:ascii="宋体"/>
          <w:sz w:val="28"/>
          <w:szCs w:val="28"/>
        </w:rPr>
        <w:t>第一章 投标须知</w:t>
      </w:r>
      <w:r>
        <w:fldChar w:fldCharType="end"/>
      </w:r>
      <w:r>
        <w:rPr>
          <w:rFonts w:hint="eastAsia" w:ascii="宋体"/>
          <w:sz w:val="28"/>
          <w:szCs w:val="28"/>
        </w:rPr>
        <w:t>..............................................</w:t>
      </w:r>
      <w:r>
        <w:rPr>
          <w:sz w:val="28"/>
          <w:szCs w:val="28"/>
        </w:rPr>
        <w:t>1</w:t>
      </w:r>
    </w:p>
    <w:p>
      <w:pPr>
        <w:pStyle w:val="18"/>
        <w:tabs>
          <w:tab w:val="right" w:leader="dot" w:pos="8776"/>
        </w:tabs>
        <w:spacing w:line="480" w:lineRule="auto"/>
        <w:rPr>
          <w:rStyle w:val="28"/>
          <w:rFonts w:hint="default" w:ascii="宋体" w:eastAsia="宋体"/>
          <w:sz w:val="28"/>
          <w:szCs w:val="28"/>
          <w:lang w:val="en-US" w:eastAsia="zh-CN"/>
        </w:rPr>
      </w:pPr>
      <w:r>
        <w:fldChar w:fldCharType="begin"/>
      </w:r>
      <w:r>
        <w:instrText xml:space="preserve">Hyperlink \l "_Toc367805008#_Toc367805008"</w:instrText>
      </w:r>
      <w:r>
        <w:fldChar w:fldCharType="separate"/>
      </w:r>
      <w:r>
        <w:rPr>
          <w:rFonts w:hint="eastAsia" w:ascii="宋体"/>
          <w:sz w:val="28"/>
          <w:szCs w:val="28"/>
        </w:rPr>
        <w:t>第二章 评标办法</w:t>
      </w:r>
      <w:r>
        <w:fldChar w:fldCharType="end"/>
      </w:r>
      <w:r>
        <w:rPr>
          <w:rFonts w:hint="eastAsia" w:ascii="宋体"/>
          <w:sz w:val="28"/>
          <w:szCs w:val="28"/>
        </w:rPr>
        <w:t>.............................................</w:t>
      </w:r>
      <w:r>
        <w:rPr>
          <w:rFonts w:hint="eastAsia"/>
          <w:sz w:val="28"/>
          <w:szCs w:val="28"/>
          <w:lang w:val="en-US" w:eastAsia="zh-CN"/>
        </w:rPr>
        <w:t>13</w:t>
      </w:r>
    </w:p>
    <w:p>
      <w:pPr>
        <w:pStyle w:val="18"/>
        <w:tabs>
          <w:tab w:val="right" w:leader="dot" w:pos="8776"/>
        </w:tabs>
        <w:spacing w:line="480" w:lineRule="auto"/>
        <w:rPr>
          <w:rStyle w:val="28"/>
          <w:rFonts w:hint="default" w:ascii="宋体" w:eastAsia="宋体"/>
          <w:sz w:val="28"/>
          <w:szCs w:val="28"/>
          <w:lang w:val="en-US" w:eastAsia="zh-CN"/>
        </w:rPr>
      </w:pPr>
      <w:r>
        <w:fldChar w:fldCharType="begin"/>
      </w:r>
      <w:r>
        <w:instrText xml:space="preserve">Hyperlink \l "_Toc367805009#_Toc367805009"</w:instrText>
      </w:r>
      <w:r>
        <w:fldChar w:fldCharType="separate"/>
      </w:r>
      <w:r>
        <w:rPr>
          <w:rFonts w:hint="eastAsia" w:ascii="宋体"/>
          <w:sz w:val="28"/>
          <w:szCs w:val="28"/>
        </w:rPr>
        <w:t>第三章</w:t>
      </w:r>
      <w:r>
        <w:fldChar w:fldCharType="end"/>
      </w:r>
      <w:r>
        <w:rPr>
          <w:rFonts w:hint="eastAsia" w:ascii="宋体"/>
          <w:sz w:val="28"/>
          <w:szCs w:val="28"/>
        </w:rPr>
        <w:t xml:space="preserve"> </w:t>
      </w:r>
      <w:r>
        <w:rPr>
          <w:rStyle w:val="28"/>
          <w:rFonts w:hint="eastAsia" w:ascii="宋体"/>
          <w:color w:val="auto"/>
          <w:sz w:val="28"/>
          <w:szCs w:val="28"/>
          <w:u w:val="none"/>
        </w:rPr>
        <w:t>投标文件格式.........................................</w:t>
      </w:r>
      <w:r>
        <w:rPr>
          <w:rStyle w:val="28"/>
          <w:rFonts w:hint="eastAsia"/>
          <w:color w:val="auto"/>
          <w:sz w:val="28"/>
          <w:szCs w:val="28"/>
          <w:u w:val="none"/>
          <w:lang w:val="en-US" w:eastAsia="zh-CN"/>
        </w:rPr>
        <w:t>15</w:t>
      </w:r>
    </w:p>
    <w:p>
      <w:pPr>
        <w:spacing w:line="480" w:lineRule="auto"/>
        <w:ind w:left="539"/>
        <w:rPr>
          <w:sz w:val="24"/>
        </w:rPr>
      </w:pPr>
      <w:r>
        <w:rPr>
          <w:rFonts w:hint="eastAsia" w:ascii="宋体"/>
          <w:sz w:val="28"/>
          <w:szCs w:val="28"/>
        </w:rPr>
        <w:fldChar w:fldCharType="end"/>
      </w: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ind w:left="539"/>
        <w:rPr>
          <w:rFonts w:ascii="宋体"/>
          <w:sz w:val="24"/>
        </w:rPr>
      </w:pPr>
    </w:p>
    <w:p>
      <w:pPr>
        <w:pStyle w:val="2"/>
        <w:rPr>
          <w:rFonts w:ascii="宋体"/>
          <w:sz w:val="24"/>
        </w:rPr>
      </w:pPr>
    </w:p>
    <w:p>
      <w:pPr>
        <w:pStyle w:val="2"/>
        <w:rPr>
          <w:rFonts w:ascii="宋体"/>
          <w:sz w:val="24"/>
        </w:rPr>
      </w:pPr>
    </w:p>
    <w:p>
      <w:pPr>
        <w:pStyle w:val="2"/>
        <w:rPr>
          <w:rFonts w:ascii="宋体"/>
          <w:sz w:val="24"/>
        </w:rPr>
      </w:pPr>
    </w:p>
    <w:p>
      <w:pPr>
        <w:ind w:left="539"/>
        <w:rPr>
          <w:rFonts w:ascii="宋体"/>
          <w:sz w:val="24"/>
        </w:rPr>
      </w:pPr>
    </w:p>
    <w:p>
      <w:pPr>
        <w:pStyle w:val="2"/>
      </w:pPr>
    </w:p>
    <w:p>
      <w:pPr>
        <w:pStyle w:val="2"/>
      </w:pPr>
    </w:p>
    <w:p>
      <w:pPr>
        <w:pStyle w:val="2"/>
      </w:pPr>
    </w:p>
    <w:p>
      <w:pPr>
        <w:pStyle w:val="2"/>
      </w:pPr>
    </w:p>
    <w:p>
      <w:pPr>
        <w:pStyle w:val="2"/>
      </w:pPr>
    </w:p>
    <w:p>
      <w:pPr>
        <w:ind w:left="539"/>
        <w:rPr>
          <w:rFonts w:ascii="宋体"/>
          <w:sz w:val="24"/>
        </w:rPr>
      </w:pPr>
    </w:p>
    <w:p>
      <w:pPr>
        <w:pStyle w:val="5"/>
        <w:numPr>
          <w:ilvl w:val="0"/>
          <w:numId w:val="2"/>
        </w:numPr>
        <w:spacing w:before="0" w:after="0" w:line="240" w:lineRule="auto"/>
        <w:jc w:val="center"/>
        <w:rPr>
          <w:rFonts w:ascii="黑体"/>
          <w:bCs w:val="0"/>
        </w:rPr>
        <w:sectPr>
          <w:footerReference r:id="rId3" w:type="default"/>
          <w:footerReference r:id="rId4" w:type="even"/>
          <w:pgSz w:w="11906" w:h="16838"/>
          <w:pgMar w:top="1418" w:right="1418" w:bottom="1418" w:left="1418" w:header="851" w:footer="992" w:gutter="284"/>
          <w:pgNumType w:start="0"/>
          <w:titlePg/>
          <w:docGrid w:linePitch="286" w:charSpace="0"/>
        </w:sectPr>
      </w:pPr>
      <w:bookmarkStart w:id="1" w:name="_Toc76707802"/>
    </w:p>
    <w:p>
      <w:pPr>
        <w:pStyle w:val="5"/>
        <w:numPr>
          <w:ilvl w:val="0"/>
          <w:numId w:val="2"/>
        </w:numPr>
        <w:spacing w:before="0" w:after="0" w:line="240" w:lineRule="auto"/>
        <w:jc w:val="center"/>
        <w:rPr>
          <w:rFonts w:ascii="黑体"/>
          <w:bCs w:val="0"/>
        </w:rPr>
      </w:pPr>
      <w:r>
        <w:rPr>
          <w:rFonts w:hint="eastAsia" w:ascii="黑体"/>
          <w:bCs w:val="0"/>
        </w:rPr>
        <w:t>投标须知</w:t>
      </w:r>
      <w:bookmarkEnd w:id="1"/>
    </w:p>
    <w:p>
      <w:pPr>
        <w:pStyle w:val="6"/>
        <w:jc w:val="center"/>
        <w:rPr>
          <w:sz w:val="28"/>
        </w:rPr>
      </w:pPr>
      <w:bookmarkStart w:id="2" w:name="_Toc76707803"/>
      <w:r>
        <w:rPr>
          <w:rFonts w:hint="eastAsia"/>
          <w:sz w:val="28"/>
        </w:rPr>
        <w:t>前附表</w:t>
      </w:r>
      <w:bookmarkEnd w:id="2"/>
    </w:p>
    <w:tbl>
      <w:tblPr>
        <w:tblStyle w:val="24"/>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460"/>
        <w:gridCol w:w="6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1" w:hRule="atLeast"/>
        </w:trPr>
        <w:tc>
          <w:tcPr>
            <w:tcW w:w="758" w:type="dxa"/>
            <w:tcBorders>
              <w:top w:val="single" w:color="auto" w:sz="8" w:space="0"/>
              <w:left w:val="single" w:color="auto" w:sz="8"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bookmarkStart w:id="3" w:name="_总则"/>
            <w:bookmarkEnd w:id="3"/>
            <w:r>
              <w:rPr>
                <w:rFonts w:hint="eastAsia" w:ascii="宋体"/>
                <w:b/>
                <w:szCs w:val="21"/>
              </w:rPr>
              <w:t>项号</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条款名称</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jc w:val="center"/>
              <w:rPr>
                <w:rFonts w:ascii="宋体"/>
                <w:b/>
                <w:szCs w:val="21"/>
              </w:rPr>
            </w:pPr>
            <w:r>
              <w:rPr>
                <w:rFonts w:hint="eastAsia" w:ascii="宋体"/>
                <w:b/>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1"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1</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招标人</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i/>
                <w:szCs w:val="21"/>
                <w:u w:val="single"/>
              </w:rPr>
            </w:pPr>
            <w:r>
              <w:rPr>
                <w:rFonts w:hint="eastAsia" w:ascii="宋体"/>
                <w:szCs w:val="21"/>
              </w:rPr>
              <w:t>江苏长江水务股份有限公司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2</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招标项目</w:t>
            </w:r>
          </w:p>
          <w:p>
            <w:pPr>
              <w:pStyle w:val="8"/>
              <w:adjustRightInd/>
              <w:spacing w:line="240" w:lineRule="auto"/>
              <w:ind w:firstLine="0"/>
              <w:jc w:val="center"/>
              <w:rPr>
                <w:rFonts w:ascii="宋体"/>
                <w:szCs w:val="21"/>
              </w:rPr>
            </w:pPr>
            <w:r>
              <w:rPr>
                <w:rFonts w:hint="eastAsia" w:ascii="宋体"/>
                <w:b/>
                <w:szCs w:val="21"/>
              </w:rPr>
              <w:t>名称</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ind w:firstLine="0"/>
              <w:rPr>
                <w:rFonts w:ascii="宋体"/>
                <w:szCs w:val="21"/>
              </w:rPr>
            </w:pPr>
            <w:r>
              <w:rPr>
                <w:rFonts w:hint="eastAsia" w:ascii="宋体"/>
                <w:szCs w:val="21"/>
              </w:rPr>
              <w:t>2022-2023年工程造价咨询服务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3</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资金来源和落实情况</w:t>
            </w:r>
          </w:p>
        </w:tc>
        <w:tc>
          <w:tcPr>
            <w:tcW w:w="6861" w:type="dxa"/>
            <w:tcBorders>
              <w:top w:val="single" w:color="auto" w:sz="4" w:space="0"/>
              <w:left w:val="single" w:color="auto" w:sz="4" w:space="0"/>
              <w:bottom w:val="single" w:color="auto" w:sz="4" w:space="0"/>
              <w:right w:val="single" w:color="auto" w:sz="4" w:space="0"/>
            </w:tcBorders>
            <w:vAlign w:val="center"/>
          </w:tcPr>
          <w:p>
            <w:pPr>
              <w:ind w:left="1749" w:hanging="1749" w:hangingChars="833"/>
              <w:rPr>
                <w:rFonts w:ascii="宋体"/>
                <w:szCs w:val="21"/>
              </w:rPr>
            </w:pPr>
            <w:r>
              <w:rPr>
                <w:rFonts w:hint="eastAsia" w:ascii="宋体"/>
                <w:szCs w:val="21"/>
              </w:rPr>
              <w:t>自筹资金，已落实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4</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招标类型</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i/>
                <w:szCs w:val="21"/>
              </w:rPr>
            </w:pPr>
            <w:r>
              <w:rPr>
                <w:rFonts w:hint="eastAsia" w:ascii="宋体"/>
                <w:szCs w:val="21"/>
              </w:rPr>
              <w:t>工程造价咨询服务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1"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5</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b/>
                <w:szCs w:val="21"/>
              </w:rPr>
              <w:t>招标范围</w:t>
            </w:r>
          </w:p>
        </w:tc>
        <w:tc>
          <w:tcPr>
            <w:tcW w:w="6861" w:type="dxa"/>
            <w:tcBorders>
              <w:top w:val="single" w:color="auto" w:sz="4" w:space="0"/>
              <w:left w:val="single" w:color="auto" w:sz="4" w:space="0"/>
              <w:bottom w:val="single" w:color="auto" w:sz="4" w:space="0"/>
              <w:right w:val="single" w:color="auto" w:sz="8" w:space="0"/>
            </w:tcBorders>
            <w:vAlign w:val="center"/>
          </w:tcPr>
          <w:p>
            <w:pPr>
              <w:pStyle w:val="36"/>
              <w:rPr>
                <w:rFonts w:ascii="宋体" w:cs="宋体"/>
                <w:kern w:val="0"/>
                <w:szCs w:val="21"/>
              </w:rPr>
            </w:pPr>
            <w:r>
              <w:rPr>
                <w:rFonts w:hint="eastAsia" w:ascii="宋体" w:cs="宋体"/>
                <w:kern w:val="0"/>
                <w:szCs w:val="21"/>
              </w:rPr>
              <w:t>服务内容包含：工程预算审核，工程结算审核，招标控制价编制及审核，招标代理等，其中工程</w:t>
            </w:r>
            <w:r>
              <w:rPr>
                <w:rFonts w:hint="eastAsia" w:ascii="宋体" w:cs="宋体"/>
                <w:kern w:val="0"/>
                <w:szCs w:val="21"/>
                <w:lang w:val="en-US" w:eastAsia="zh-CN"/>
              </w:rPr>
              <w:t>预</w:t>
            </w:r>
            <w:r>
              <w:rPr>
                <w:rFonts w:hint="eastAsia" w:ascii="宋体" w:cs="宋体"/>
                <w:kern w:val="0"/>
                <w:szCs w:val="21"/>
              </w:rPr>
              <w:t>结算审核分为江苏省定额标准和公司内部定额标准两种审核方式。</w:t>
            </w:r>
          </w:p>
          <w:p>
            <w:pPr>
              <w:pStyle w:val="8"/>
              <w:adjustRightInd/>
              <w:spacing w:line="240" w:lineRule="auto"/>
              <w:ind w:firstLine="0"/>
              <w:rPr>
                <w:rFonts w:ascii="宋体"/>
                <w:szCs w:val="21"/>
              </w:rPr>
            </w:pPr>
            <w:r>
              <w:rPr>
                <w:rFonts w:hint="eastAsia" w:ascii="宋体" w:cs="宋体"/>
                <w:kern w:val="0"/>
                <w:szCs w:val="21"/>
              </w:rPr>
              <w:t xml:space="preserve">（甲方认为应该单独招标的咨询服务项目除外）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6</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
              <w:adjustRightInd/>
              <w:spacing w:line="240" w:lineRule="auto"/>
              <w:ind w:left="-50" w:leftChars="-24" w:firstLine="0"/>
              <w:jc w:val="center"/>
              <w:rPr>
                <w:b/>
                <w:szCs w:val="21"/>
              </w:rPr>
            </w:pPr>
            <w:r>
              <w:rPr>
                <w:b/>
                <w:szCs w:val="21"/>
              </w:rPr>
              <w:t>服务周期</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szCs w:val="21"/>
              </w:rPr>
            </w:pPr>
            <w:r>
              <w:rPr>
                <w:rFonts w:hint="eastAsia" w:ascii="宋体"/>
                <w:szCs w:val="21"/>
              </w:rPr>
              <w:t>2022年3月25日</w:t>
            </w:r>
            <w:r>
              <w:rPr>
                <w:rFonts w:ascii="宋体"/>
                <w:szCs w:val="21"/>
              </w:rPr>
              <w:t>至</w:t>
            </w:r>
            <w:r>
              <w:rPr>
                <w:rFonts w:hint="eastAsia" w:ascii="宋体"/>
                <w:szCs w:val="21"/>
              </w:rPr>
              <w:t>2023年12月31日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7</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资格审查</w:t>
            </w:r>
          </w:p>
          <w:p>
            <w:pPr>
              <w:pStyle w:val="8"/>
              <w:adjustRightInd/>
              <w:spacing w:line="240" w:lineRule="auto"/>
              <w:ind w:firstLine="0"/>
              <w:jc w:val="center"/>
              <w:rPr>
                <w:rFonts w:ascii="宋体"/>
                <w:b/>
                <w:szCs w:val="21"/>
              </w:rPr>
            </w:pPr>
            <w:r>
              <w:rPr>
                <w:rFonts w:hint="eastAsia" w:ascii="宋体"/>
                <w:b/>
                <w:szCs w:val="21"/>
              </w:rPr>
              <w:t>方式</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szCs w:val="21"/>
              </w:rPr>
            </w:pPr>
            <w:r>
              <w:rPr>
                <w:rFonts w:hint="eastAsia" w:ascii="宋体"/>
                <w:szCs w:val="21"/>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02"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8</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资质要求</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szCs w:val="21"/>
              </w:rPr>
            </w:pPr>
            <w:r>
              <w:rPr>
                <w:rFonts w:hint="eastAsia" w:ascii="宋体"/>
                <w:szCs w:val="21"/>
              </w:rPr>
              <w:t>1.法人</w:t>
            </w:r>
            <w:r>
              <w:rPr>
                <w:rFonts w:hint="eastAsia" w:ascii="宋体"/>
                <w:snapToGrid w:val="0"/>
                <w:szCs w:val="21"/>
              </w:rPr>
              <w:t>营业执照（经营范围包含造价咨询和招标代理）</w:t>
            </w:r>
          </w:p>
          <w:p>
            <w:pPr>
              <w:pStyle w:val="8"/>
              <w:adjustRightInd/>
              <w:spacing w:line="240" w:lineRule="auto"/>
              <w:ind w:firstLine="0"/>
              <w:rPr>
                <w:rFonts w:ascii="宋体"/>
                <w:szCs w:val="21"/>
              </w:rPr>
            </w:pPr>
            <w:r>
              <w:rPr>
                <w:rFonts w:hint="eastAsia" w:ascii="宋体"/>
                <w:szCs w:val="21"/>
              </w:rPr>
              <w:t>2.投标企业近三年无不良信用记录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44"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10</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招标文件</w:t>
            </w:r>
          </w:p>
          <w:p>
            <w:pPr>
              <w:pStyle w:val="8"/>
              <w:adjustRightInd/>
              <w:spacing w:line="240" w:lineRule="auto"/>
              <w:ind w:firstLine="0"/>
              <w:jc w:val="center"/>
              <w:rPr>
                <w:rFonts w:ascii="宋体"/>
                <w:b/>
                <w:szCs w:val="21"/>
              </w:rPr>
            </w:pPr>
            <w:r>
              <w:rPr>
                <w:rFonts w:hint="eastAsia" w:ascii="宋体"/>
                <w:b/>
                <w:szCs w:val="21"/>
              </w:rPr>
              <w:t>的澄清</w:t>
            </w:r>
          </w:p>
        </w:tc>
        <w:tc>
          <w:tcPr>
            <w:tcW w:w="6861" w:type="dxa"/>
            <w:tcBorders>
              <w:top w:val="single" w:color="auto" w:sz="4" w:space="0"/>
              <w:left w:val="single" w:color="auto" w:sz="4" w:space="0"/>
              <w:bottom w:val="single" w:color="auto" w:sz="4" w:space="0"/>
              <w:right w:val="single" w:color="auto" w:sz="8" w:space="0"/>
            </w:tcBorders>
            <w:vAlign w:val="center"/>
          </w:tcPr>
          <w:p>
            <w:pPr>
              <w:jc w:val="left"/>
              <w:rPr>
                <w:rFonts w:ascii="宋体"/>
                <w:szCs w:val="21"/>
              </w:rPr>
            </w:pPr>
            <w:r>
              <w:rPr>
                <w:rFonts w:hint="eastAsia" w:ascii="宋体"/>
                <w:szCs w:val="21"/>
              </w:rPr>
              <w:t>本次招标不举行集中答疑</w:t>
            </w:r>
          </w:p>
          <w:p>
            <w:pPr>
              <w:snapToGrid w:val="0"/>
              <w:rPr>
                <w:rFonts w:ascii="宋体" w:cs="宋体"/>
                <w:snapToGrid w:val="0"/>
                <w:color w:val="FF0000"/>
                <w:szCs w:val="21"/>
              </w:rPr>
            </w:pPr>
            <w:r>
              <w:rPr>
                <w:rFonts w:hint="eastAsia" w:ascii="宋体" w:cs="宋体"/>
                <w:snapToGrid w:val="0"/>
                <w:szCs w:val="21"/>
              </w:rPr>
              <w:t>投标人提出问题的截止时间:</w:t>
            </w:r>
            <w:r>
              <w:rPr>
                <w:rFonts w:hint="eastAsia" w:ascii="宋体" w:cs="宋体"/>
                <w:snapToGrid w:val="0"/>
                <w:szCs w:val="21"/>
                <w:u w:val="single"/>
              </w:rPr>
              <w:t xml:space="preserve"> 2022</w:t>
            </w:r>
            <w:r>
              <w:rPr>
                <w:rFonts w:hint="eastAsia" w:ascii="宋体" w:cs="宋体"/>
                <w:snapToGrid w:val="0"/>
                <w:szCs w:val="21"/>
              </w:rPr>
              <w:t>年</w:t>
            </w:r>
            <w:r>
              <w:rPr>
                <w:rFonts w:hint="eastAsia" w:ascii="宋体" w:cs="宋体"/>
                <w:snapToGrid w:val="0"/>
                <w:szCs w:val="21"/>
                <w:u w:val="single"/>
              </w:rPr>
              <w:t xml:space="preserve">  3  </w:t>
            </w:r>
            <w:r>
              <w:rPr>
                <w:rFonts w:hint="eastAsia" w:ascii="宋体" w:cs="宋体"/>
                <w:snapToGrid w:val="0"/>
                <w:szCs w:val="21"/>
              </w:rPr>
              <w:t>月</w:t>
            </w:r>
            <w:r>
              <w:rPr>
                <w:rFonts w:hint="eastAsia" w:ascii="宋体" w:cs="宋体"/>
                <w:snapToGrid w:val="0"/>
                <w:szCs w:val="21"/>
                <w:u w:val="single"/>
              </w:rPr>
              <w:t xml:space="preserve"> 21 </w:t>
            </w:r>
            <w:r>
              <w:rPr>
                <w:rFonts w:hint="eastAsia" w:ascii="宋体" w:cs="宋体"/>
                <w:snapToGrid w:val="0"/>
                <w:szCs w:val="21"/>
              </w:rPr>
              <w:t>日 11：00</w:t>
            </w:r>
          </w:p>
          <w:p>
            <w:pPr>
              <w:snapToGrid w:val="0"/>
              <w:rPr>
                <w:rFonts w:ascii="宋体" w:cs="宋体"/>
                <w:snapToGrid w:val="0"/>
                <w:color w:val="FF0000"/>
                <w:szCs w:val="21"/>
              </w:rPr>
            </w:pPr>
            <w:r>
              <w:rPr>
                <w:rFonts w:hint="eastAsia" w:ascii="宋体" w:cs="宋体"/>
                <w:snapToGrid w:val="0"/>
                <w:szCs w:val="21"/>
              </w:rPr>
              <w:t>招标人澄清的时间：</w:t>
            </w:r>
            <w:r>
              <w:rPr>
                <w:rFonts w:hint="eastAsia" w:ascii="宋体" w:cs="宋体"/>
                <w:snapToGrid w:val="0"/>
                <w:szCs w:val="21"/>
                <w:u w:val="single"/>
              </w:rPr>
              <w:t xml:space="preserve">2022 </w:t>
            </w:r>
            <w:r>
              <w:rPr>
                <w:rFonts w:hint="eastAsia" w:ascii="宋体" w:cs="宋体"/>
                <w:snapToGrid w:val="0"/>
                <w:szCs w:val="21"/>
              </w:rPr>
              <w:t>年</w:t>
            </w:r>
            <w:r>
              <w:rPr>
                <w:rFonts w:hint="eastAsia" w:ascii="宋体" w:cs="宋体"/>
                <w:snapToGrid w:val="0"/>
                <w:szCs w:val="21"/>
                <w:u w:val="single"/>
              </w:rPr>
              <w:t xml:space="preserve">  3  </w:t>
            </w:r>
            <w:r>
              <w:rPr>
                <w:rFonts w:hint="eastAsia" w:ascii="宋体" w:cs="宋体"/>
                <w:snapToGrid w:val="0"/>
                <w:szCs w:val="21"/>
              </w:rPr>
              <w:t>月</w:t>
            </w:r>
            <w:r>
              <w:rPr>
                <w:rFonts w:hint="eastAsia" w:ascii="宋体" w:cs="宋体"/>
                <w:snapToGrid w:val="0"/>
                <w:szCs w:val="21"/>
                <w:u w:val="single"/>
              </w:rPr>
              <w:t xml:space="preserve"> 21 </w:t>
            </w:r>
            <w:r>
              <w:rPr>
                <w:rFonts w:hint="eastAsia" w:ascii="宋体" w:cs="宋体"/>
                <w:snapToGrid w:val="0"/>
                <w:szCs w:val="21"/>
              </w:rPr>
              <w:t xml:space="preserve">日17：00 </w:t>
            </w:r>
          </w:p>
          <w:p>
            <w:pPr>
              <w:pStyle w:val="8"/>
              <w:adjustRightInd/>
              <w:spacing w:line="240" w:lineRule="auto"/>
              <w:ind w:firstLine="0"/>
              <w:rPr>
                <w:rFonts w:ascii="宋体" w:cs="宋体"/>
                <w:snapToGrid w:val="0"/>
                <w:szCs w:val="21"/>
              </w:rPr>
            </w:pPr>
            <w:r>
              <w:rPr>
                <w:rFonts w:hint="eastAsia" w:ascii="宋体" w:cs="宋体"/>
                <w:snapToGrid w:val="0"/>
                <w:szCs w:val="21"/>
              </w:rPr>
              <w:t>方式：书面、电子邮件</w:t>
            </w:r>
          </w:p>
          <w:p>
            <w:pPr>
              <w:pStyle w:val="8"/>
              <w:adjustRightInd/>
              <w:spacing w:line="240" w:lineRule="auto"/>
              <w:ind w:firstLine="0"/>
              <w:rPr>
                <w:rFonts w:ascii="宋体" w:cs="宋体"/>
                <w:snapToGrid w:val="0"/>
                <w:szCs w:val="21"/>
              </w:rPr>
            </w:pPr>
            <w:r>
              <w:rPr>
                <w:rFonts w:hint="eastAsia" w:ascii="宋体" w:cs="宋体"/>
                <w:snapToGrid w:val="0"/>
                <w:szCs w:val="21"/>
              </w:rPr>
              <w:t>联系人：孙运昊</w:t>
            </w:r>
          </w:p>
          <w:p>
            <w:pPr>
              <w:pStyle w:val="8"/>
              <w:adjustRightInd/>
              <w:spacing w:line="240" w:lineRule="auto"/>
              <w:ind w:firstLine="0"/>
              <w:rPr>
                <w:rFonts w:ascii="宋体"/>
                <w:i/>
                <w:szCs w:val="21"/>
                <w:u w:val="single"/>
              </w:rPr>
            </w:pPr>
            <w:r>
              <w:rPr>
                <w:rFonts w:hint="eastAsia" w:ascii="宋体" w:cs="宋体"/>
                <w:snapToGrid w:val="0"/>
                <w:szCs w:val="21"/>
              </w:rPr>
              <w:t>电话：18952758591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11</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投标</w:t>
            </w:r>
          </w:p>
          <w:p>
            <w:pPr>
              <w:pStyle w:val="8"/>
              <w:adjustRightInd/>
              <w:spacing w:line="240" w:lineRule="auto"/>
              <w:ind w:firstLine="0"/>
              <w:jc w:val="center"/>
              <w:rPr>
                <w:rFonts w:ascii="宋体"/>
                <w:szCs w:val="21"/>
              </w:rPr>
            </w:pPr>
            <w:r>
              <w:rPr>
                <w:rFonts w:hint="eastAsia" w:ascii="宋体"/>
                <w:b/>
                <w:szCs w:val="21"/>
              </w:rPr>
              <w:t>有效期</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szCs w:val="21"/>
              </w:rPr>
            </w:pPr>
            <w:r>
              <w:rPr>
                <w:rFonts w:hint="eastAsia" w:ascii="宋体"/>
                <w:szCs w:val="21"/>
              </w:rPr>
              <w:t>本招标项目的投标有效期为投标截止期后</w:t>
            </w:r>
            <w:r>
              <w:rPr>
                <w:rFonts w:hint="eastAsia" w:ascii="宋体"/>
                <w:szCs w:val="21"/>
                <w:u w:val="single"/>
              </w:rPr>
              <w:t xml:space="preserve"> 30 </w:t>
            </w:r>
            <w:r>
              <w:rPr>
                <w:rFonts w:hint="eastAsia" w:ascii="宋体"/>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12</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szCs w:val="21"/>
              </w:rPr>
            </w:pPr>
            <w:r>
              <w:rPr>
                <w:rFonts w:hint="eastAsia" w:ascii="宋体"/>
                <w:b/>
                <w:szCs w:val="21"/>
              </w:rPr>
              <w:t>投标保证金</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szCs w:val="21"/>
              </w:rPr>
            </w:pPr>
            <w:r>
              <w:rPr>
                <w:rFonts w:hint="eastAsia" w:ascii="宋体"/>
                <w:szCs w:val="21"/>
              </w:rPr>
              <w:t>本次招标无须缴纳投标保证金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13</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投标文件</w:t>
            </w:r>
          </w:p>
          <w:p>
            <w:pPr>
              <w:pStyle w:val="8"/>
              <w:adjustRightInd/>
              <w:spacing w:line="240" w:lineRule="auto"/>
              <w:ind w:firstLine="0"/>
              <w:jc w:val="center"/>
              <w:rPr>
                <w:rFonts w:ascii="宋体"/>
                <w:szCs w:val="21"/>
              </w:rPr>
            </w:pPr>
            <w:r>
              <w:rPr>
                <w:rFonts w:hint="eastAsia" w:ascii="宋体"/>
                <w:b/>
                <w:szCs w:val="21"/>
              </w:rPr>
              <w:t>份数</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szCs w:val="21"/>
              </w:rPr>
            </w:pPr>
            <w:r>
              <w:rPr>
                <w:rFonts w:hint="eastAsia" w:ascii="宋体"/>
                <w:szCs w:val="21"/>
              </w:rPr>
              <w:t>所有内容正本1份，副本1份，资格审查文件、商务文件分别装订、密封，同一内容的正、副本密封于一个标袋内。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14</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firstLine="0"/>
              <w:jc w:val="center"/>
              <w:rPr>
                <w:rFonts w:ascii="宋体"/>
                <w:b/>
                <w:szCs w:val="21"/>
              </w:rPr>
            </w:pPr>
            <w:r>
              <w:rPr>
                <w:rFonts w:hint="eastAsia" w:ascii="宋体"/>
                <w:b/>
                <w:szCs w:val="21"/>
              </w:rPr>
              <w:t>投标文件</w:t>
            </w:r>
          </w:p>
          <w:p>
            <w:pPr>
              <w:pStyle w:val="8"/>
              <w:adjustRightInd/>
              <w:spacing w:line="240" w:lineRule="auto"/>
              <w:ind w:firstLine="0"/>
              <w:jc w:val="center"/>
              <w:rPr>
                <w:rFonts w:ascii="宋体"/>
                <w:b/>
                <w:szCs w:val="21"/>
              </w:rPr>
            </w:pPr>
            <w:r>
              <w:rPr>
                <w:rFonts w:hint="eastAsia" w:ascii="宋体"/>
                <w:b/>
                <w:szCs w:val="21"/>
              </w:rPr>
              <w:t>装订要求</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szCs w:val="21"/>
              </w:rPr>
            </w:pPr>
            <w:r>
              <w:rPr>
                <w:rFonts w:hint="eastAsia" w:ascii="宋体" w:cs="宋体"/>
                <w:snapToGrid w:val="0"/>
                <w:szCs w:val="21"/>
              </w:rPr>
              <w:t>投标人应将投标文件密封，封袋上应写明招标人名称、招标项目名称、投标人的名称及地址，封面须加盖单位公章及法定代表人章。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15</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left="-108" w:firstLine="0"/>
              <w:jc w:val="center"/>
              <w:rPr>
                <w:rFonts w:ascii="宋体"/>
                <w:b/>
                <w:szCs w:val="21"/>
              </w:rPr>
            </w:pPr>
            <w:r>
              <w:rPr>
                <w:rFonts w:hint="eastAsia" w:ascii="宋体"/>
                <w:b/>
                <w:szCs w:val="21"/>
              </w:rPr>
              <w:t>递交投标</w:t>
            </w:r>
          </w:p>
          <w:p>
            <w:pPr>
              <w:pStyle w:val="8"/>
              <w:adjustRightInd/>
              <w:spacing w:line="240" w:lineRule="auto"/>
              <w:ind w:left="-108" w:firstLine="0"/>
              <w:jc w:val="center"/>
              <w:rPr>
                <w:rFonts w:ascii="宋体"/>
                <w:b/>
                <w:szCs w:val="21"/>
              </w:rPr>
            </w:pPr>
            <w:r>
              <w:rPr>
                <w:rFonts w:hint="eastAsia" w:ascii="宋体"/>
                <w:b/>
                <w:szCs w:val="21"/>
              </w:rPr>
              <w:t>文件地点</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left="-8" w:firstLine="0"/>
              <w:rPr>
                <w:rFonts w:ascii="宋体"/>
                <w:b/>
                <w:szCs w:val="21"/>
              </w:rPr>
            </w:pPr>
            <w:r>
              <w:rPr>
                <w:rFonts w:hint="eastAsia" w:ascii="宋体"/>
                <w:szCs w:val="21"/>
              </w:rPr>
              <w:t>地点：扬州市文汇东路249号江苏长江水务股份有限公司审计室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1"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16</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left="-108" w:firstLine="0"/>
              <w:jc w:val="center"/>
              <w:rPr>
                <w:rFonts w:ascii="宋体"/>
                <w:b/>
                <w:szCs w:val="21"/>
              </w:rPr>
            </w:pPr>
            <w:r>
              <w:rPr>
                <w:rFonts w:hint="eastAsia" w:ascii="宋体"/>
                <w:b/>
                <w:szCs w:val="21"/>
              </w:rPr>
              <w:t>递交投标文件</w:t>
            </w:r>
          </w:p>
          <w:p>
            <w:pPr>
              <w:pStyle w:val="8"/>
              <w:adjustRightInd/>
              <w:spacing w:line="240" w:lineRule="auto"/>
              <w:ind w:left="-108" w:firstLine="0"/>
              <w:jc w:val="center"/>
              <w:rPr>
                <w:rFonts w:ascii="宋体"/>
                <w:szCs w:val="21"/>
              </w:rPr>
            </w:pPr>
            <w:r>
              <w:rPr>
                <w:rFonts w:hint="eastAsia" w:ascii="宋体"/>
                <w:b/>
                <w:szCs w:val="21"/>
              </w:rPr>
              <w:t>截止时间</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left="308" w:leftChars="-4" w:hanging="316" w:hangingChars="150"/>
              <w:rPr>
                <w:rFonts w:ascii="宋体"/>
                <w:b/>
                <w:szCs w:val="21"/>
                <w:u w:val="double"/>
              </w:rPr>
            </w:pPr>
            <w:r>
              <w:rPr>
                <w:rFonts w:hint="eastAsia" w:ascii="宋体"/>
                <w:b/>
                <w:szCs w:val="21"/>
              </w:rPr>
              <w:t>投标人递交投标文件的截止时间：</w:t>
            </w:r>
            <w:r>
              <w:rPr>
                <w:rFonts w:hint="eastAsia" w:ascii="宋体"/>
                <w:szCs w:val="21"/>
                <w:u w:val="single"/>
              </w:rPr>
              <w:t xml:space="preserve"> 2022</w:t>
            </w:r>
            <w:r>
              <w:rPr>
                <w:rFonts w:hint="eastAsia" w:ascii="宋体"/>
                <w:szCs w:val="21"/>
              </w:rPr>
              <w:t>年</w:t>
            </w:r>
            <w:r>
              <w:rPr>
                <w:rFonts w:hint="eastAsia" w:ascii="宋体"/>
                <w:szCs w:val="21"/>
                <w:u w:val="single"/>
              </w:rPr>
              <w:t xml:space="preserve"> 3 </w:t>
            </w:r>
            <w:r>
              <w:rPr>
                <w:rFonts w:hint="eastAsia" w:ascii="宋体"/>
                <w:szCs w:val="21"/>
              </w:rPr>
              <w:t>月</w:t>
            </w:r>
            <w:r>
              <w:rPr>
                <w:rFonts w:hint="eastAsia" w:ascii="宋体"/>
                <w:szCs w:val="21"/>
                <w:u w:val="single"/>
              </w:rPr>
              <w:t xml:space="preserve"> 22 </w:t>
            </w:r>
            <w:r>
              <w:rPr>
                <w:rFonts w:hint="eastAsia" w:ascii="宋体"/>
                <w:szCs w:val="21"/>
              </w:rPr>
              <w:t>日</w:t>
            </w:r>
            <w:r>
              <w:rPr>
                <w:rFonts w:hint="eastAsia" w:ascii="宋体"/>
                <w:szCs w:val="21"/>
                <w:u w:val="single"/>
              </w:rPr>
              <w:t xml:space="preserve"> 14 </w:t>
            </w:r>
            <w:r>
              <w:rPr>
                <w:rFonts w:hint="eastAsia" w:ascii="宋体"/>
                <w:szCs w:val="21"/>
              </w:rPr>
              <w:t>时</w:t>
            </w:r>
            <w:r>
              <w:rPr>
                <w:rFonts w:hint="eastAsia" w:ascii="宋体"/>
                <w:szCs w:val="21"/>
                <w:u w:val="single"/>
              </w:rPr>
              <w:t xml:space="preserve"> </w:t>
            </w:r>
            <w:r>
              <w:rPr>
                <w:rFonts w:hint="eastAsia" w:ascii="宋体"/>
                <w:szCs w:val="21"/>
                <w:u w:val="single"/>
                <w:lang w:val="en-US" w:eastAsia="zh-CN"/>
              </w:rPr>
              <w:t>30</w:t>
            </w:r>
            <w:bookmarkStart w:id="106" w:name="_GoBack"/>
            <w:bookmarkEnd w:id="106"/>
            <w:r>
              <w:rPr>
                <w:rFonts w:hint="eastAsia" w:ascii="宋体"/>
                <w:szCs w:val="21"/>
                <w:u w:val="single"/>
              </w:rPr>
              <w:t xml:space="preserve"> </w:t>
            </w:r>
            <w:r>
              <w:rPr>
                <w:rFonts w:hint="eastAsia" w:asci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17</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left="24" w:firstLine="0"/>
              <w:jc w:val="center"/>
              <w:rPr>
                <w:rFonts w:ascii="宋体"/>
                <w:b/>
                <w:szCs w:val="21"/>
              </w:rPr>
            </w:pPr>
            <w:r>
              <w:rPr>
                <w:rFonts w:hint="eastAsia" w:ascii="宋体"/>
                <w:b/>
                <w:szCs w:val="21"/>
              </w:rPr>
              <w:t>开标时间</w:t>
            </w:r>
          </w:p>
          <w:p>
            <w:pPr>
              <w:pStyle w:val="8"/>
              <w:adjustRightInd/>
              <w:spacing w:line="240" w:lineRule="auto"/>
              <w:ind w:left="24" w:firstLine="0"/>
              <w:jc w:val="center"/>
              <w:rPr>
                <w:rFonts w:ascii="宋体"/>
                <w:szCs w:val="21"/>
              </w:rPr>
            </w:pPr>
            <w:r>
              <w:rPr>
                <w:rFonts w:hint="eastAsia" w:ascii="宋体"/>
                <w:b/>
                <w:szCs w:val="21"/>
              </w:rPr>
              <w:t>和地点</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hint="default" w:ascii="宋体" w:eastAsia="宋体"/>
                <w:szCs w:val="21"/>
                <w:lang w:val="en-US" w:eastAsia="zh-CN"/>
              </w:rPr>
            </w:pPr>
            <w:r>
              <w:rPr>
                <w:rFonts w:hint="eastAsia" w:ascii="宋体"/>
                <w:szCs w:val="21"/>
              </w:rPr>
              <w:t>开标时间：</w:t>
            </w:r>
            <w:r>
              <w:rPr>
                <w:rFonts w:hint="eastAsia" w:ascii="宋体"/>
                <w:szCs w:val="21"/>
                <w:lang w:val="en-US" w:eastAsia="zh-CN"/>
              </w:rPr>
              <w:t xml:space="preserve"> </w:t>
            </w:r>
            <w:r>
              <w:rPr>
                <w:rFonts w:hint="eastAsia" w:ascii="宋体"/>
                <w:szCs w:val="21"/>
                <w:u w:val="none"/>
                <w:lang w:val="en-US" w:eastAsia="zh-CN"/>
              </w:rPr>
              <w:t>开标时间另行确定</w:t>
            </w:r>
          </w:p>
          <w:p>
            <w:pPr>
              <w:pStyle w:val="8"/>
              <w:adjustRightInd/>
              <w:spacing w:line="240" w:lineRule="auto"/>
              <w:ind w:firstLine="0"/>
              <w:rPr>
                <w:rFonts w:ascii="宋体"/>
                <w:szCs w:val="21"/>
              </w:rPr>
            </w:pPr>
            <w:r>
              <w:rPr>
                <w:rFonts w:hint="eastAsia" w:ascii="宋体"/>
                <w:szCs w:val="21"/>
              </w:rPr>
              <w:t>开标地点：</w:t>
            </w:r>
            <w:r>
              <w:rPr>
                <w:rFonts w:ascii="宋体"/>
                <w:szCs w:val="21"/>
              </w:rPr>
              <w:t xml:space="preserve"> </w:t>
            </w:r>
            <w:r>
              <w:rPr>
                <w:rFonts w:hint="eastAsia" w:ascii="宋体"/>
                <w:szCs w:val="21"/>
              </w:rPr>
              <w:t>江苏长江水务股份有限公司东三楼会议室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8"/>
              <w:tabs>
                <w:tab w:val="center" w:pos="0"/>
              </w:tabs>
              <w:adjustRightInd/>
              <w:spacing w:line="240" w:lineRule="auto"/>
              <w:ind w:firstLine="0"/>
              <w:jc w:val="center"/>
              <w:rPr>
                <w:rFonts w:ascii="宋体"/>
                <w:szCs w:val="21"/>
              </w:rPr>
            </w:pPr>
            <w:r>
              <w:rPr>
                <w:rFonts w:hint="eastAsia" w:ascii="宋体"/>
                <w:szCs w:val="21"/>
              </w:rPr>
              <w:t>18</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left="263" w:hanging="240"/>
              <w:jc w:val="center"/>
              <w:rPr>
                <w:rFonts w:ascii="宋体"/>
                <w:b/>
                <w:szCs w:val="21"/>
              </w:rPr>
            </w:pPr>
            <w:r>
              <w:rPr>
                <w:rFonts w:hint="eastAsia" w:ascii="宋体"/>
                <w:b/>
                <w:szCs w:val="21"/>
              </w:rPr>
              <w:t>其他</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b/>
                <w:szCs w:val="21"/>
              </w:rPr>
            </w:pPr>
            <w:r>
              <w:rPr>
                <w:rFonts w:hint="eastAsia" w:ascii="宋体"/>
                <w:b/>
                <w:szCs w:val="21"/>
              </w:rPr>
              <w:t>由于疫情原因采取不见面开标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22"/>
              <w:tabs>
                <w:tab w:val="center" w:pos="0"/>
              </w:tabs>
              <w:snapToGrid/>
              <w:spacing w:before="0" w:after="0"/>
              <w:jc w:val="center"/>
              <w:outlineLvl w:val="9"/>
              <w:rPr>
                <w:rFonts w:cs="Arial"/>
                <w:b w:val="0"/>
              </w:rPr>
            </w:pPr>
            <w:r>
              <w:rPr>
                <w:rFonts w:hint="eastAsia" w:cs="Arial"/>
                <w:b w:val="0"/>
              </w:rPr>
              <w:t>19</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left="263" w:hanging="240"/>
              <w:jc w:val="center"/>
              <w:rPr>
                <w:rFonts w:ascii="宋体"/>
                <w:b/>
                <w:szCs w:val="21"/>
              </w:rPr>
            </w:pPr>
            <w:r>
              <w:rPr>
                <w:rFonts w:hint="eastAsia" w:ascii="宋体"/>
                <w:b/>
                <w:szCs w:val="21"/>
              </w:rPr>
              <w:t>评标办法</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rPr>
                <w:rFonts w:ascii="宋体"/>
                <w:szCs w:val="21"/>
              </w:rPr>
            </w:pPr>
            <w:r>
              <w:rPr>
                <w:rFonts w:hint="eastAsia" w:ascii="宋体"/>
                <w:szCs w:val="21"/>
              </w:rPr>
              <w:t>本项目采用综合评分法,</w:t>
            </w:r>
            <w:r>
              <w:rPr>
                <w:rFonts w:hint="eastAsia" w:ascii="宋体"/>
              </w:rPr>
              <w:t>评标委员会推荐排序第一名的投标人为本次招标的中标候选人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758" w:type="dxa"/>
            <w:tcBorders>
              <w:top w:val="single" w:color="auto" w:sz="4" w:space="0"/>
              <w:left w:val="single" w:color="auto" w:sz="8" w:space="0"/>
              <w:bottom w:val="single" w:color="auto" w:sz="4" w:space="0"/>
              <w:right w:val="single" w:color="auto" w:sz="4" w:space="0"/>
            </w:tcBorders>
            <w:vAlign w:val="center"/>
          </w:tcPr>
          <w:p>
            <w:pPr>
              <w:pStyle w:val="22"/>
              <w:tabs>
                <w:tab w:val="center" w:pos="0"/>
              </w:tabs>
              <w:snapToGrid/>
              <w:spacing w:before="0" w:after="0"/>
              <w:jc w:val="center"/>
              <w:outlineLvl w:val="9"/>
              <w:rPr>
                <w:rFonts w:cs="Arial"/>
                <w:b w:val="0"/>
              </w:rPr>
            </w:pPr>
            <w:r>
              <w:rPr>
                <w:rFonts w:hint="eastAsia" w:cs="Arial"/>
                <w:b w:val="0"/>
              </w:rPr>
              <w:t>20</w:t>
            </w:r>
          </w:p>
        </w:tc>
        <w:tc>
          <w:tcPr>
            <w:tcW w:w="1460" w:type="dxa"/>
            <w:tcBorders>
              <w:top w:val="single" w:color="auto" w:sz="4" w:space="0"/>
              <w:left w:val="single" w:color="auto" w:sz="4" w:space="0"/>
              <w:bottom w:val="single" w:color="auto" w:sz="4" w:space="0"/>
              <w:right w:val="single" w:color="auto" w:sz="4" w:space="0"/>
            </w:tcBorders>
            <w:vAlign w:val="center"/>
          </w:tcPr>
          <w:p>
            <w:pPr>
              <w:pStyle w:val="8"/>
              <w:adjustRightInd/>
              <w:spacing w:line="240" w:lineRule="auto"/>
              <w:ind w:left="263" w:hanging="240"/>
              <w:jc w:val="center"/>
              <w:rPr>
                <w:rFonts w:ascii="宋体"/>
                <w:b/>
                <w:szCs w:val="21"/>
              </w:rPr>
            </w:pPr>
            <w:r>
              <w:rPr>
                <w:rFonts w:hint="eastAsia" w:ascii="宋体"/>
                <w:b/>
                <w:szCs w:val="21"/>
              </w:rPr>
              <w:t>招标控制价</w:t>
            </w:r>
          </w:p>
        </w:tc>
        <w:tc>
          <w:tcPr>
            <w:tcW w:w="6861" w:type="dxa"/>
            <w:tcBorders>
              <w:top w:val="single" w:color="auto" w:sz="4" w:space="0"/>
              <w:left w:val="single" w:color="auto" w:sz="4" w:space="0"/>
              <w:bottom w:val="single" w:color="auto" w:sz="4" w:space="0"/>
              <w:right w:val="single" w:color="auto" w:sz="8" w:space="0"/>
            </w:tcBorders>
            <w:vAlign w:val="center"/>
          </w:tcPr>
          <w:p>
            <w:pPr>
              <w:pStyle w:val="8"/>
              <w:adjustRightInd/>
              <w:spacing w:line="240" w:lineRule="auto"/>
              <w:ind w:firstLine="0"/>
              <w:jc w:val="left"/>
              <w:rPr>
                <w:rFonts w:ascii="宋体"/>
                <w:b/>
                <w:szCs w:val="21"/>
              </w:rPr>
            </w:pPr>
            <w:r>
              <w:rPr>
                <w:rFonts w:hint="eastAsia" w:ascii="宋体"/>
                <w:b/>
                <w:szCs w:val="21"/>
              </w:rPr>
              <w:t>详见招标文件</w:t>
            </w:r>
          </w:p>
        </w:tc>
      </w:tr>
    </w:tbl>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rPr>
          <w:rFonts w:ascii="宋体"/>
          <w:sz w:val="24"/>
        </w:rPr>
      </w:pPr>
    </w:p>
    <w:p>
      <w:pPr>
        <w:pStyle w:val="2"/>
      </w:pPr>
    </w:p>
    <w:p>
      <w:pPr>
        <w:pStyle w:val="5"/>
        <w:jc w:val="both"/>
      </w:pPr>
      <w:bookmarkStart w:id="4" w:name="_招标文件"/>
      <w:bookmarkEnd w:id="4"/>
      <w:bookmarkStart w:id="5" w:name="_Toc310965891"/>
      <w:bookmarkStart w:id="6" w:name="_Toc316985953"/>
      <w:bookmarkStart w:id="7" w:name="_Toc310966010"/>
      <w:bookmarkStart w:id="8" w:name="_Toc76707811"/>
    </w:p>
    <w:p/>
    <w:p>
      <w:pPr>
        <w:pStyle w:val="5"/>
        <w:jc w:val="center"/>
      </w:pPr>
      <w:r>
        <w:t>(</w:t>
      </w:r>
      <w:r>
        <w:rPr>
          <w:rFonts w:hint="eastAsia"/>
        </w:rPr>
        <w:t>一</w:t>
      </w:r>
      <w:r>
        <w:t>)</w:t>
      </w:r>
      <w:r>
        <w:rPr>
          <w:rFonts w:hint="eastAsia"/>
        </w:rPr>
        <w:t>总</w:t>
      </w:r>
      <w:r>
        <w:t xml:space="preserve">  </w:t>
      </w:r>
      <w:r>
        <w:rPr>
          <w:rFonts w:hint="eastAsia"/>
        </w:rPr>
        <w:t>则</w:t>
      </w:r>
      <w:bookmarkEnd w:id="5"/>
      <w:bookmarkEnd w:id="6"/>
      <w:bookmarkEnd w:id="7"/>
    </w:p>
    <w:p>
      <w:pPr>
        <w:pStyle w:val="8"/>
        <w:numPr>
          <w:ilvl w:val="0"/>
          <w:numId w:val="3"/>
        </w:numPr>
        <w:tabs>
          <w:tab w:val="left" w:pos="400"/>
        </w:tabs>
        <w:spacing w:before="120" w:beforeLines="50" w:after="120" w:afterLines="50" w:line="240" w:lineRule="auto"/>
        <w:outlineLvl w:val="2"/>
        <w:rPr>
          <w:rFonts w:ascii="黑体" w:eastAsia="黑体"/>
          <w:b/>
          <w:sz w:val="28"/>
          <w:szCs w:val="28"/>
        </w:rPr>
      </w:pPr>
      <w:bookmarkStart w:id="9" w:name="_Toc310966012"/>
      <w:bookmarkStart w:id="10" w:name="_Toc316985955"/>
      <w:bookmarkStart w:id="11" w:name="_Toc310965893"/>
      <w:r>
        <w:rPr>
          <w:rFonts w:hint="eastAsia" w:ascii="黑体" w:eastAsia="黑体"/>
          <w:b/>
          <w:sz w:val="28"/>
          <w:szCs w:val="28"/>
        </w:rPr>
        <w:t>资格审查方式</w:t>
      </w:r>
      <w:bookmarkEnd w:id="9"/>
      <w:bookmarkEnd w:id="10"/>
      <w:bookmarkEnd w:id="11"/>
    </w:p>
    <w:p>
      <w:pPr>
        <w:pStyle w:val="8"/>
        <w:numPr>
          <w:ilvl w:val="1"/>
          <w:numId w:val="3"/>
        </w:numPr>
        <w:adjustRightInd w:val="0"/>
        <w:snapToGrid w:val="0"/>
        <w:spacing w:line="360" w:lineRule="auto"/>
        <w:jc w:val="left"/>
        <w:rPr>
          <w:szCs w:val="21"/>
        </w:rPr>
      </w:pPr>
      <w:r>
        <w:rPr>
          <w:rFonts w:hint="eastAsia"/>
          <w:szCs w:val="21"/>
        </w:rPr>
        <w:t>本招标项目招标人对投标人的资格审查方式</w:t>
      </w:r>
      <w:r>
        <w:rPr>
          <w:rFonts w:hint="eastAsia" w:ascii="宋体"/>
          <w:szCs w:val="21"/>
        </w:rPr>
        <w:t>：</w:t>
      </w:r>
      <w:r>
        <w:rPr>
          <w:rFonts w:hint="eastAsia" w:ascii="宋体"/>
          <w:b/>
          <w:szCs w:val="21"/>
          <w:u w:val="single"/>
        </w:rPr>
        <w:t>见投标须知前附表</w:t>
      </w:r>
      <w:r>
        <w:rPr>
          <w:rFonts w:hint="eastAsia"/>
          <w:szCs w:val="21"/>
        </w:rPr>
        <w:t>。</w:t>
      </w:r>
    </w:p>
    <w:p>
      <w:pPr>
        <w:pStyle w:val="8"/>
        <w:numPr>
          <w:ilvl w:val="0"/>
          <w:numId w:val="3"/>
        </w:numPr>
        <w:tabs>
          <w:tab w:val="left" w:pos="400"/>
        </w:tabs>
        <w:spacing w:before="120" w:beforeLines="50" w:after="120" w:afterLines="50" w:line="240" w:lineRule="auto"/>
        <w:outlineLvl w:val="2"/>
        <w:rPr>
          <w:rFonts w:ascii="黑体" w:eastAsia="黑体"/>
          <w:b/>
          <w:sz w:val="28"/>
          <w:szCs w:val="28"/>
        </w:rPr>
      </w:pPr>
      <w:bookmarkStart w:id="12" w:name="_Toc316985956"/>
      <w:bookmarkStart w:id="13" w:name="_Toc310966013"/>
      <w:bookmarkStart w:id="14" w:name="_Toc310965894"/>
      <w:r>
        <w:rPr>
          <w:rFonts w:hint="eastAsia" w:ascii="黑体" w:eastAsia="黑体"/>
          <w:b/>
          <w:sz w:val="28"/>
          <w:szCs w:val="28"/>
        </w:rPr>
        <w:t>投标人的资格要求</w:t>
      </w:r>
      <w:bookmarkEnd w:id="12"/>
      <w:bookmarkEnd w:id="13"/>
      <w:bookmarkEnd w:id="14"/>
    </w:p>
    <w:p>
      <w:pPr>
        <w:pStyle w:val="8"/>
        <w:numPr>
          <w:ilvl w:val="1"/>
          <w:numId w:val="3"/>
        </w:numPr>
        <w:adjustRightInd w:val="0"/>
        <w:snapToGrid w:val="0"/>
        <w:spacing w:line="360" w:lineRule="auto"/>
        <w:jc w:val="left"/>
        <w:rPr>
          <w:rFonts w:ascii="宋体"/>
          <w:b/>
          <w:szCs w:val="21"/>
        </w:rPr>
      </w:pPr>
      <w:r>
        <w:rPr>
          <w:rFonts w:hint="eastAsia" w:ascii="宋体" w:cs="宋体"/>
          <w:kern w:val="0"/>
          <w:szCs w:val="21"/>
        </w:rPr>
        <w:t>为</w:t>
      </w:r>
      <w:r>
        <w:rPr>
          <w:rFonts w:hint="eastAsia"/>
          <w:szCs w:val="21"/>
        </w:rPr>
        <w:t>履行</w:t>
      </w:r>
      <w:r>
        <w:rPr>
          <w:rFonts w:hint="eastAsia" w:ascii="宋体" w:cs="宋体"/>
          <w:kern w:val="0"/>
          <w:szCs w:val="21"/>
        </w:rPr>
        <w:t>本招标项目合同的目的，投标人必须是法人或其他组织，至少应具备下列主体资格：</w:t>
      </w:r>
    </w:p>
    <w:p>
      <w:pPr>
        <w:pStyle w:val="8"/>
        <w:numPr>
          <w:ilvl w:val="0"/>
          <w:numId w:val="4"/>
        </w:numPr>
        <w:adjustRightInd/>
        <w:spacing w:line="360" w:lineRule="auto"/>
        <w:rPr>
          <w:rFonts w:ascii="宋体"/>
          <w:b/>
          <w:szCs w:val="21"/>
        </w:rPr>
      </w:pPr>
      <w:r>
        <w:rPr>
          <w:rFonts w:hint="eastAsia" w:ascii="宋体"/>
          <w:b/>
          <w:szCs w:val="21"/>
        </w:rPr>
        <w:t>在中华人民共和国境内注册的企业，近三年无不良信用记录。</w:t>
      </w:r>
    </w:p>
    <w:p>
      <w:pPr>
        <w:pStyle w:val="8"/>
        <w:numPr>
          <w:ilvl w:val="0"/>
          <w:numId w:val="4"/>
        </w:numPr>
        <w:adjustRightInd/>
        <w:spacing w:line="360" w:lineRule="auto"/>
        <w:rPr>
          <w:rFonts w:ascii="宋体"/>
          <w:szCs w:val="21"/>
        </w:rPr>
      </w:pPr>
      <w:r>
        <w:rPr>
          <w:rFonts w:hint="eastAsia" w:ascii="宋体"/>
          <w:szCs w:val="21"/>
        </w:rPr>
        <w:t>注册在中华人民共和国境外的企业，应当是其所在国或者所在地区的行业协会或组织推荐的会员，并符合国家有关造价咨询服务市场准入的管理规定。</w:t>
      </w:r>
    </w:p>
    <w:p>
      <w:pPr>
        <w:pStyle w:val="8"/>
        <w:numPr>
          <w:ilvl w:val="0"/>
          <w:numId w:val="4"/>
        </w:numPr>
        <w:adjustRightInd/>
        <w:spacing w:line="360" w:lineRule="auto"/>
        <w:rPr>
          <w:rFonts w:ascii="宋体"/>
          <w:szCs w:val="21"/>
        </w:rPr>
      </w:pPr>
      <w:r>
        <w:rPr>
          <w:rFonts w:hint="eastAsia" w:ascii="宋体"/>
          <w:szCs w:val="21"/>
        </w:rPr>
        <w:t>本招标项目不接受联合体投标。</w:t>
      </w:r>
    </w:p>
    <w:p>
      <w:pPr>
        <w:pStyle w:val="8"/>
        <w:numPr>
          <w:ilvl w:val="0"/>
          <w:numId w:val="4"/>
        </w:numPr>
        <w:adjustRightInd/>
        <w:spacing w:line="360" w:lineRule="auto"/>
        <w:rPr>
          <w:rFonts w:ascii="宋体"/>
          <w:szCs w:val="21"/>
        </w:rPr>
      </w:pPr>
      <w:r>
        <w:rPr>
          <w:rFonts w:hint="eastAsia" w:ascii="宋体"/>
          <w:szCs w:val="21"/>
        </w:rPr>
        <w:t>投标人之间有下列情形之一的，不得同时参加工程项目同一标段的投标：法定代表人为同一个人的两个或者两个以上企业法人；投标人之间存在控股关系、隶属关系的。</w:t>
      </w:r>
    </w:p>
    <w:p>
      <w:pPr>
        <w:pStyle w:val="8"/>
        <w:numPr>
          <w:ilvl w:val="1"/>
          <w:numId w:val="3"/>
        </w:numPr>
        <w:adjustRightInd w:val="0"/>
        <w:snapToGrid w:val="0"/>
        <w:spacing w:line="360" w:lineRule="auto"/>
        <w:jc w:val="left"/>
        <w:rPr>
          <w:rFonts w:ascii="宋体"/>
          <w:szCs w:val="21"/>
        </w:rPr>
      </w:pPr>
      <w:r>
        <w:rPr>
          <w:rFonts w:hint="eastAsia" w:ascii="宋体" w:cs="宋体"/>
          <w:kern w:val="0"/>
          <w:szCs w:val="21"/>
        </w:rPr>
        <w:t>本项目不接受联合体投标</w:t>
      </w:r>
      <w:r>
        <w:rPr>
          <w:rFonts w:hint="eastAsia" w:ascii="宋体"/>
          <w:szCs w:val="21"/>
        </w:rPr>
        <w:t>。</w:t>
      </w:r>
    </w:p>
    <w:p>
      <w:pPr>
        <w:pStyle w:val="5"/>
        <w:jc w:val="center"/>
      </w:pPr>
      <w:bookmarkStart w:id="15" w:name="_Toc310966017"/>
      <w:bookmarkStart w:id="16" w:name="_Toc316985960"/>
      <w:bookmarkStart w:id="17" w:name="_Toc310965898"/>
      <w:r>
        <w:t>(</w:t>
      </w:r>
      <w:r>
        <w:rPr>
          <w:rFonts w:hint="eastAsia"/>
        </w:rPr>
        <w:t>二</w:t>
      </w:r>
      <w:r>
        <w:t>)</w:t>
      </w:r>
      <w:bookmarkEnd w:id="15"/>
      <w:bookmarkEnd w:id="16"/>
      <w:bookmarkEnd w:id="17"/>
      <w:r>
        <w:rPr>
          <w:rFonts w:hint="eastAsia"/>
        </w:rPr>
        <w:t xml:space="preserve"> 资格审查要求</w:t>
      </w:r>
    </w:p>
    <w:p>
      <w:pPr>
        <w:pStyle w:val="8"/>
        <w:numPr>
          <w:ilvl w:val="0"/>
          <w:numId w:val="3"/>
        </w:numPr>
        <w:tabs>
          <w:tab w:val="left" w:pos="400"/>
        </w:tabs>
        <w:spacing w:before="120" w:beforeLines="50" w:after="120" w:afterLines="50" w:line="240" w:lineRule="auto"/>
        <w:outlineLvl w:val="2"/>
        <w:rPr>
          <w:rFonts w:ascii="黑体" w:eastAsia="黑体"/>
          <w:b/>
          <w:sz w:val="28"/>
          <w:szCs w:val="28"/>
        </w:rPr>
      </w:pPr>
      <w:r>
        <w:rPr>
          <w:rFonts w:hint="eastAsia" w:ascii="黑体" w:eastAsia="黑体"/>
          <w:b/>
          <w:sz w:val="28"/>
          <w:szCs w:val="28"/>
        </w:rPr>
        <w:t>资格审查方式为资格后审</w:t>
      </w:r>
    </w:p>
    <w:p>
      <w:pPr>
        <w:pStyle w:val="8"/>
        <w:numPr>
          <w:ilvl w:val="1"/>
          <w:numId w:val="3"/>
        </w:numPr>
        <w:tabs>
          <w:tab w:val="left" w:pos="510"/>
          <w:tab w:val="left" w:pos="1000"/>
        </w:tabs>
        <w:spacing w:line="360" w:lineRule="auto"/>
        <w:rPr>
          <w:rFonts w:ascii="宋体"/>
          <w:szCs w:val="21"/>
        </w:rPr>
      </w:pPr>
      <w:r>
        <w:rPr>
          <w:rFonts w:hint="eastAsia" w:ascii="宋体"/>
          <w:szCs w:val="21"/>
        </w:rPr>
        <w:t>投标申请人所提交的资格审查文件有下列情况之一的，将作为符合性检查未通过而不予评审：</w:t>
      </w:r>
    </w:p>
    <w:p>
      <w:pPr>
        <w:widowControl/>
        <w:spacing w:line="460" w:lineRule="exact"/>
        <w:ind w:firstLine="420" w:firstLineChars="200"/>
        <w:jc w:val="left"/>
        <w:rPr>
          <w:szCs w:val="21"/>
        </w:rPr>
      </w:pPr>
      <w:r>
        <w:rPr>
          <w:rFonts w:hint="eastAsia"/>
          <w:szCs w:val="21"/>
        </w:rPr>
        <w:t>（1）未按资格审查文件规定在资格审查申请书相应位置加盖法人公章，或没有法定代表人或其授权代理人印鉴或签字，或授权代理人的签字式样与授权书上的签字明显不符的。</w:t>
      </w:r>
    </w:p>
    <w:p>
      <w:pPr>
        <w:widowControl/>
        <w:spacing w:line="460" w:lineRule="exact"/>
        <w:ind w:firstLine="420" w:firstLineChars="200"/>
        <w:jc w:val="left"/>
        <w:rPr>
          <w:szCs w:val="21"/>
        </w:rPr>
      </w:pPr>
      <w:r>
        <w:rPr>
          <w:rFonts w:hint="eastAsia"/>
          <w:szCs w:val="21"/>
        </w:rPr>
        <w:t>（2）资格审查申请文件(不含申请人的附加说明、证明材料)未按规定的格式、内容和要求编制的，或字迹潦草、模糊无法辨认的。</w:t>
      </w:r>
    </w:p>
    <w:p>
      <w:pPr>
        <w:widowControl/>
        <w:spacing w:line="460" w:lineRule="exact"/>
        <w:ind w:firstLine="420" w:firstLineChars="200"/>
        <w:jc w:val="left"/>
        <w:rPr>
          <w:szCs w:val="21"/>
        </w:rPr>
      </w:pPr>
      <w:r>
        <w:rPr>
          <w:rFonts w:hint="eastAsia"/>
          <w:szCs w:val="21"/>
        </w:rPr>
        <w:t>（3）申请人的资格不满足投标须知前附表</w:t>
      </w:r>
      <w:r>
        <w:rPr>
          <w:rFonts w:hint="eastAsia"/>
          <w:szCs w:val="21"/>
          <w:lang w:val="en-US" w:eastAsia="zh-CN"/>
        </w:rPr>
        <w:t>8</w:t>
      </w:r>
      <w:r>
        <w:rPr>
          <w:rFonts w:hint="eastAsia"/>
          <w:szCs w:val="21"/>
        </w:rPr>
        <w:t>条企业资质的。</w:t>
      </w:r>
    </w:p>
    <w:p>
      <w:pPr>
        <w:widowControl/>
        <w:spacing w:line="460" w:lineRule="exact"/>
        <w:ind w:firstLine="420" w:firstLineChars="200"/>
        <w:jc w:val="left"/>
        <w:rPr>
          <w:szCs w:val="21"/>
        </w:rPr>
      </w:pPr>
      <w:r>
        <w:rPr>
          <w:rFonts w:hint="eastAsia"/>
          <w:szCs w:val="21"/>
        </w:rPr>
        <w:t>（4）申请人采用多种形式，对本工程递交二份或多份资格审查文件，并在递交投标文件截止时间时仍不加以说明的。</w:t>
      </w:r>
    </w:p>
    <w:p>
      <w:pPr>
        <w:widowControl/>
        <w:spacing w:line="460" w:lineRule="exact"/>
        <w:ind w:firstLine="420" w:firstLineChars="200"/>
        <w:jc w:val="left"/>
        <w:rPr>
          <w:szCs w:val="21"/>
        </w:rPr>
      </w:pPr>
      <w:r>
        <w:rPr>
          <w:rFonts w:hint="eastAsia"/>
          <w:szCs w:val="21"/>
        </w:rPr>
        <w:t>（5) 资格申请文件中的授权书不是原件的。</w:t>
      </w:r>
    </w:p>
    <w:p>
      <w:pPr>
        <w:widowControl/>
        <w:spacing w:line="460" w:lineRule="exact"/>
        <w:ind w:firstLine="420" w:firstLineChars="200"/>
        <w:jc w:val="left"/>
        <w:rPr>
          <w:szCs w:val="21"/>
        </w:rPr>
      </w:pPr>
      <w:r>
        <w:rPr>
          <w:rFonts w:hint="eastAsia"/>
          <w:szCs w:val="21"/>
        </w:rPr>
        <w:t>（6）投标单位因不良行为在各级工程建设信息网公告期内的。</w:t>
      </w:r>
    </w:p>
    <w:p>
      <w:pPr>
        <w:widowControl/>
        <w:spacing w:line="460" w:lineRule="exact"/>
        <w:ind w:firstLine="420" w:firstLineChars="200"/>
        <w:jc w:val="left"/>
        <w:rPr>
          <w:szCs w:val="21"/>
        </w:rPr>
      </w:pPr>
      <w:r>
        <w:rPr>
          <w:rFonts w:hint="eastAsia"/>
          <w:szCs w:val="21"/>
        </w:rPr>
        <w:t>（7）其他</w:t>
      </w:r>
      <w:bookmarkStart w:id="18" w:name="EBe02d24408e07410cbd0d45a3f8b8da9b"/>
      <w:r>
        <w:rPr>
          <w:rFonts w:hint="eastAsia"/>
          <w:szCs w:val="21"/>
        </w:rPr>
        <w:t>对投标文件真实性未进行承诺的。</w:t>
      </w:r>
      <w:bookmarkEnd w:id="18"/>
    </w:p>
    <w:p>
      <w:pPr>
        <w:pStyle w:val="2"/>
      </w:pPr>
    </w:p>
    <w:p>
      <w:pPr>
        <w:pStyle w:val="5"/>
        <w:jc w:val="center"/>
      </w:pPr>
      <w:bookmarkStart w:id="19" w:name="_Toc310965902"/>
      <w:bookmarkStart w:id="20" w:name="_Toc316985964"/>
      <w:bookmarkStart w:id="21" w:name="_Toc310966021"/>
      <w:r>
        <w:t xml:space="preserve"> (</w:t>
      </w:r>
      <w:r>
        <w:rPr>
          <w:rFonts w:hint="eastAsia"/>
        </w:rPr>
        <w:t>三</w:t>
      </w:r>
      <w:r>
        <w:t>)</w:t>
      </w:r>
      <w:r>
        <w:rPr>
          <w:rFonts w:hint="eastAsia"/>
        </w:rPr>
        <w:t>招标文件</w:t>
      </w:r>
    </w:p>
    <w:p>
      <w:pPr>
        <w:pStyle w:val="8"/>
        <w:numPr>
          <w:ilvl w:val="0"/>
          <w:numId w:val="3"/>
        </w:numPr>
        <w:tabs>
          <w:tab w:val="left" w:pos="400"/>
        </w:tabs>
        <w:spacing w:before="120" w:beforeLines="50" w:after="120" w:afterLines="50" w:line="240" w:lineRule="auto"/>
        <w:outlineLvl w:val="2"/>
        <w:rPr>
          <w:rFonts w:ascii="黑体" w:eastAsia="黑体"/>
          <w:b/>
          <w:sz w:val="28"/>
          <w:szCs w:val="28"/>
        </w:rPr>
      </w:pPr>
      <w:bookmarkStart w:id="22" w:name="_Toc310965899"/>
      <w:bookmarkStart w:id="23" w:name="_Toc316985961"/>
      <w:bookmarkStart w:id="24" w:name="_Toc310966018"/>
      <w:r>
        <w:rPr>
          <w:rFonts w:hint="eastAsia" w:ascii="黑体" w:eastAsia="黑体"/>
          <w:b/>
          <w:sz w:val="28"/>
          <w:szCs w:val="28"/>
        </w:rPr>
        <w:t>招标文件的组成</w:t>
      </w:r>
      <w:bookmarkEnd w:id="22"/>
      <w:bookmarkEnd w:id="23"/>
      <w:bookmarkEnd w:id="24"/>
    </w:p>
    <w:p>
      <w:pPr>
        <w:pStyle w:val="8"/>
        <w:numPr>
          <w:ilvl w:val="1"/>
          <w:numId w:val="3"/>
        </w:numPr>
        <w:tabs>
          <w:tab w:val="left" w:pos="510"/>
          <w:tab w:val="left" w:pos="1000"/>
        </w:tabs>
        <w:spacing w:line="360" w:lineRule="auto"/>
        <w:rPr>
          <w:rFonts w:ascii="宋体"/>
          <w:szCs w:val="21"/>
        </w:rPr>
      </w:pPr>
      <w:r>
        <w:rPr>
          <w:rFonts w:hint="eastAsia" w:ascii="宋体"/>
          <w:szCs w:val="21"/>
        </w:rPr>
        <w:t>招标文件包括：投标人须知、评标办法、投标文件格式。</w:t>
      </w:r>
    </w:p>
    <w:p>
      <w:pPr>
        <w:pStyle w:val="8"/>
        <w:numPr>
          <w:ilvl w:val="0"/>
          <w:numId w:val="3"/>
        </w:numPr>
        <w:tabs>
          <w:tab w:val="left" w:pos="400"/>
        </w:tabs>
        <w:spacing w:before="120" w:beforeLines="50" w:after="120" w:afterLines="50" w:line="240" w:lineRule="auto"/>
        <w:outlineLvl w:val="2"/>
        <w:rPr>
          <w:rFonts w:ascii="黑体" w:eastAsia="黑体"/>
          <w:b/>
          <w:sz w:val="28"/>
          <w:szCs w:val="28"/>
        </w:rPr>
      </w:pPr>
      <w:bookmarkStart w:id="25" w:name="_Toc316985963"/>
      <w:bookmarkStart w:id="26" w:name="_Toc310966020"/>
      <w:bookmarkStart w:id="27" w:name="_Toc310965901"/>
      <w:r>
        <w:rPr>
          <w:rFonts w:hint="eastAsia" w:ascii="黑体" w:eastAsia="黑体"/>
          <w:b/>
          <w:sz w:val="28"/>
          <w:szCs w:val="28"/>
        </w:rPr>
        <w:t>招标文件的修改、补充</w:t>
      </w:r>
      <w:bookmarkEnd w:id="25"/>
      <w:bookmarkEnd w:id="26"/>
      <w:bookmarkEnd w:id="27"/>
    </w:p>
    <w:p>
      <w:pPr>
        <w:pStyle w:val="8"/>
        <w:numPr>
          <w:ilvl w:val="1"/>
          <w:numId w:val="3"/>
        </w:numPr>
        <w:tabs>
          <w:tab w:val="left" w:pos="510"/>
          <w:tab w:val="left" w:pos="1000"/>
        </w:tabs>
        <w:spacing w:line="360" w:lineRule="auto"/>
        <w:rPr>
          <w:rFonts w:ascii="宋体"/>
          <w:szCs w:val="21"/>
        </w:rPr>
      </w:pPr>
      <w:r>
        <w:rPr>
          <w:rFonts w:hint="eastAsia" w:ascii="宋体"/>
          <w:szCs w:val="21"/>
        </w:rPr>
        <w:t>招标文件发布后，在投标截止期前，确需对招标文件进行修改的，招标人以招标文件澄清、答疑方式，向所有投标人发出。</w:t>
      </w:r>
    </w:p>
    <w:p>
      <w:pPr>
        <w:pStyle w:val="8"/>
        <w:numPr>
          <w:ilvl w:val="1"/>
          <w:numId w:val="3"/>
        </w:numPr>
        <w:tabs>
          <w:tab w:val="left" w:pos="510"/>
          <w:tab w:val="left" w:pos="1000"/>
        </w:tabs>
        <w:spacing w:line="360" w:lineRule="auto"/>
        <w:rPr>
          <w:rFonts w:ascii="宋体"/>
          <w:szCs w:val="21"/>
        </w:rPr>
      </w:pPr>
      <w:r>
        <w:rPr>
          <w:rFonts w:hint="eastAsia" w:ascii="宋体"/>
          <w:szCs w:val="21"/>
        </w:rPr>
        <w:t>投标人应认真阅读本招标文件中所有的内容，并按招标文件的规定和要求编写投标文件，不能满足招标文件实质性要求的投标文件，将被视为无效投标文件。</w:t>
      </w:r>
    </w:p>
    <w:p>
      <w:pPr>
        <w:pStyle w:val="5"/>
        <w:jc w:val="center"/>
      </w:pPr>
      <w:r>
        <w:t xml:space="preserve"> (</w:t>
      </w:r>
      <w:r>
        <w:rPr>
          <w:rFonts w:hint="eastAsia"/>
        </w:rPr>
        <w:t>四</w:t>
      </w:r>
      <w:r>
        <w:t>)</w:t>
      </w:r>
      <w:r>
        <w:rPr>
          <w:rFonts w:hint="eastAsia"/>
        </w:rPr>
        <w:t>投标文件的编制</w:t>
      </w:r>
      <w:bookmarkEnd w:id="19"/>
      <w:bookmarkEnd w:id="20"/>
      <w:bookmarkEnd w:id="21"/>
    </w:p>
    <w:p>
      <w:pPr>
        <w:pStyle w:val="8"/>
        <w:numPr>
          <w:ilvl w:val="0"/>
          <w:numId w:val="3"/>
        </w:numPr>
        <w:tabs>
          <w:tab w:val="left" w:pos="400"/>
        </w:tabs>
        <w:spacing w:before="120" w:beforeLines="50" w:after="120" w:afterLines="50" w:line="240" w:lineRule="auto"/>
        <w:outlineLvl w:val="2"/>
        <w:rPr>
          <w:rFonts w:ascii="黑体" w:eastAsia="黑体"/>
          <w:b/>
          <w:sz w:val="28"/>
          <w:szCs w:val="28"/>
        </w:rPr>
      </w:pPr>
      <w:bookmarkStart w:id="28" w:name="_Toc316985966"/>
      <w:bookmarkStart w:id="29" w:name="_Toc310966023"/>
      <w:bookmarkStart w:id="30" w:name="_Toc310965904"/>
      <w:r>
        <w:rPr>
          <w:rFonts w:hint="eastAsia" w:ascii="黑体" w:eastAsia="黑体"/>
          <w:b/>
          <w:sz w:val="28"/>
          <w:szCs w:val="28"/>
        </w:rPr>
        <w:t>投标文件的组成</w:t>
      </w:r>
      <w:bookmarkEnd w:id="28"/>
      <w:bookmarkEnd w:id="29"/>
      <w:bookmarkEnd w:id="30"/>
    </w:p>
    <w:p>
      <w:pPr>
        <w:pStyle w:val="8"/>
        <w:tabs>
          <w:tab w:val="left" w:pos="1000"/>
        </w:tabs>
        <w:spacing w:line="360" w:lineRule="auto"/>
        <w:ind w:firstLine="420" w:firstLineChars="200"/>
        <w:rPr>
          <w:rFonts w:ascii="宋体"/>
          <w:szCs w:val="21"/>
        </w:rPr>
      </w:pPr>
      <w:r>
        <w:rPr>
          <w:rFonts w:hint="eastAsia" w:ascii="宋体"/>
          <w:szCs w:val="21"/>
        </w:rPr>
        <w:t>投标文件由</w:t>
      </w:r>
      <w:r>
        <w:rPr>
          <w:rFonts w:hint="eastAsia" w:ascii="宋体"/>
          <w:b/>
          <w:szCs w:val="21"/>
        </w:rPr>
        <w:t>资格审查文件、商务标文件</w:t>
      </w:r>
      <w:r>
        <w:rPr>
          <w:rFonts w:hint="eastAsia" w:ascii="宋体"/>
          <w:szCs w:val="21"/>
        </w:rPr>
        <w:t>两部分组成。</w:t>
      </w:r>
    </w:p>
    <w:p>
      <w:pPr>
        <w:pStyle w:val="8"/>
        <w:numPr>
          <w:ilvl w:val="1"/>
          <w:numId w:val="3"/>
        </w:numPr>
        <w:tabs>
          <w:tab w:val="left" w:pos="510"/>
          <w:tab w:val="left" w:pos="1000"/>
        </w:tabs>
        <w:spacing w:line="360" w:lineRule="auto"/>
        <w:rPr>
          <w:rFonts w:ascii="宋体"/>
          <w:szCs w:val="21"/>
        </w:rPr>
      </w:pPr>
      <w:r>
        <w:rPr>
          <w:rFonts w:hint="eastAsia" w:ascii="宋体"/>
          <w:szCs w:val="21"/>
        </w:rPr>
        <w:t>资格审查文件包括下列内容：</w:t>
      </w:r>
    </w:p>
    <w:p>
      <w:pPr>
        <w:pStyle w:val="8"/>
        <w:numPr>
          <w:ilvl w:val="0"/>
          <w:numId w:val="5"/>
        </w:numPr>
        <w:adjustRightInd/>
        <w:spacing w:line="360" w:lineRule="auto"/>
        <w:rPr>
          <w:rFonts w:ascii="宋体"/>
          <w:szCs w:val="21"/>
        </w:rPr>
      </w:pPr>
      <w:r>
        <w:rPr>
          <w:rFonts w:hint="eastAsia" w:ascii="宋体"/>
          <w:szCs w:val="21"/>
        </w:rPr>
        <w:t>法人</w:t>
      </w:r>
      <w:r>
        <w:rPr>
          <w:rFonts w:hint="eastAsia" w:ascii="宋体"/>
          <w:snapToGrid w:val="0"/>
          <w:szCs w:val="21"/>
        </w:rPr>
        <w:t>营业执照（经营范围包含招标代理）</w:t>
      </w:r>
      <w:r>
        <w:rPr>
          <w:rFonts w:hint="eastAsia" w:ascii="宋体"/>
          <w:snapToGrid w:val="0"/>
          <w:szCs w:val="21"/>
          <w:lang w:val="en-US" w:eastAsia="zh-CN"/>
        </w:rPr>
        <w:t>复印件加盖公章</w:t>
      </w:r>
      <w:r>
        <w:rPr>
          <w:rFonts w:hint="eastAsia" w:ascii="宋体"/>
          <w:snapToGrid w:val="0"/>
          <w:szCs w:val="21"/>
        </w:rPr>
        <w:t>；</w:t>
      </w:r>
    </w:p>
    <w:p>
      <w:pPr>
        <w:pStyle w:val="8"/>
        <w:numPr>
          <w:ilvl w:val="0"/>
          <w:numId w:val="5"/>
        </w:numPr>
        <w:adjustRightInd/>
        <w:spacing w:line="360" w:lineRule="auto"/>
        <w:rPr>
          <w:rFonts w:ascii="宋体"/>
          <w:szCs w:val="21"/>
        </w:rPr>
      </w:pPr>
      <w:r>
        <w:rPr>
          <w:rFonts w:hint="eastAsia" w:ascii="宋体"/>
          <w:szCs w:val="21"/>
        </w:rPr>
        <w:t>企业近三年无不良信用记录的声明（自拟）。</w:t>
      </w:r>
    </w:p>
    <w:p>
      <w:pPr>
        <w:pStyle w:val="8"/>
        <w:numPr>
          <w:ilvl w:val="1"/>
          <w:numId w:val="3"/>
        </w:numPr>
        <w:tabs>
          <w:tab w:val="left" w:pos="510"/>
          <w:tab w:val="left" w:pos="1000"/>
        </w:tabs>
        <w:spacing w:line="360" w:lineRule="auto"/>
        <w:rPr>
          <w:rFonts w:ascii="宋体"/>
          <w:szCs w:val="21"/>
        </w:rPr>
      </w:pPr>
      <w:r>
        <w:rPr>
          <w:rFonts w:hint="eastAsia" w:ascii="宋体"/>
          <w:szCs w:val="21"/>
        </w:rPr>
        <w:t>商务标文件包括下列内容：</w:t>
      </w:r>
    </w:p>
    <w:p>
      <w:pPr>
        <w:pStyle w:val="8"/>
        <w:numPr>
          <w:ilvl w:val="0"/>
          <w:numId w:val="6"/>
        </w:numPr>
        <w:adjustRightInd/>
        <w:spacing w:line="360" w:lineRule="auto"/>
        <w:rPr>
          <w:rFonts w:ascii="宋体"/>
          <w:snapToGrid w:val="0"/>
          <w:szCs w:val="21"/>
        </w:rPr>
      </w:pPr>
      <w:r>
        <w:rPr>
          <w:rFonts w:hint="eastAsia" w:ascii="宋体"/>
          <w:snapToGrid w:val="0"/>
          <w:szCs w:val="21"/>
        </w:rPr>
        <w:t>投标函（见附件一）；</w:t>
      </w:r>
    </w:p>
    <w:p>
      <w:pPr>
        <w:pStyle w:val="8"/>
        <w:numPr>
          <w:ilvl w:val="0"/>
          <w:numId w:val="6"/>
        </w:numPr>
        <w:adjustRightInd/>
        <w:spacing w:line="360" w:lineRule="auto"/>
        <w:rPr>
          <w:rFonts w:ascii="宋体"/>
          <w:szCs w:val="21"/>
        </w:rPr>
      </w:pPr>
      <w:r>
        <w:rPr>
          <w:rFonts w:hint="eastAsia" w:ascii="宋体"/>
          <w:szCs w:val="21"/>
        </w:rPr>
        <w:t>法定代表人资格证明（见附件二）；</w:t>
      </w:r>
    </w:p>
    <w:p>
      <w:pPr>
        <w:pStyle w:val="8"/>
        <w:numPr>
          <w:ilvl w:val="0"/>
          <w:numId w:val="6"/>
        </w:numPr>
        <w:adjustRightInd/>
        <w:spacing w:line="360" w:lineRule="auto"/>
        <w:rPr>
          <w:rFonts w:ascii="宋体"/>
          <w:szCs w:val="21"/>
        </w:rPr>
      </w:pPr>
      <w:r>
        <w:rPr>
          <w:rFonts w:hint="eastAsia" w:ascii="宋体"/>
          <w:szCs w:val="21"/>
        </w:rPr>
        <w:t>法定代表人授权委托书（见附件三）；</w:t>
      </w:r>
    </w:p>
    <w:p>
      <w:pPr>
        <w:pStyle w:val="8"/>
        <w:numPr>
          <w:ilvl w:val="0"/>
          <w:numId w:val="6"/>
        </w:numPr>
        <w:adjustRightInd/>
        <w:spacing w:line="360" w:lineRule="auto"/>
        <w:rPr>
          <w:rFonts w:ascii="宋体"/>
          <w:szCs w:val="21"/>
        </w:rPr>
      </w:pPr>
      <w:r>
        <w:rPr>
          <w:rFonts w:hint="eastAsia" w:ascii="宋体"/>
          <w:szCs w:val="21"/>
        </w:rPr>
        <w:t>评分项目汇总表（见附件四）；</w:t>
      </w:r>
    </w:p>
    <w:p>
      <w:pPr>
        <w:pStyle w:val="8"/>
        <w:numPr>
          <w:ilvl w:val="0"/>
          <w:numId w:val="6"/>
        </w:numPr>
        <w:adjustRightInd/>
        <w:spacing w:line="360" w:lineRule="auto"/>
        <w:rPr>
          <w:rFonts w:ascii="宋体"/>
          <w:szCs w:val="21"/>
        </w:rPr>
      </w:pPr>
      <w:r>
        <w:rPr>
          <w:rFonts w:hint="eastAsia" w:ascii="宋体"/>
          <w:szCs w:val="21"/>
        </w:rPr>
        <w:t>企业及人员状况证明材料（见附件</w:t>
      </w:r>
      <w:r>
        <w:rPr>
          <w:rFonts w:hint="eastAsia" w:ascii="宋体"/>
          <w:szCs w:val="21"/>
          <w:lang w:val="en-US" w:eastAsia="zh-CN"/>
        </w:rPr>
        <w:t>五</w:t>
      </w:r>
      <w:r>
        <w:rPr>
          <w:rFonts w:hint="eastAsia" w:ascii="宋体"/>
          <w:szCs w:val="21"/>
        </w:rPr>
        <w:t>）；</w:t>
      </w:r>
    </w:p>
    <w:p>
      <w:pPr>
        <w:pStyle w:val="8"/>
        <w:numPr>
          <w:ilvl w:val="0"/>
          <w:numId w:val="6"/>
        </w:numPr>
        <w:adjustRightInd/>
        <w:spacing w:line="360" w:lineRule="auto"/>
        <w:rPr>
          <w:rFonts w:ascii="宋体"/>
          <w:szCs w:val="21"/>
        </w:rPr>
      </w:pPr>
      <w:r>
        <w:rPr>
          <w:rFonts w:hint="eastAsia" w:ascii="宋体"/>
          <w:szCs w:val="21"/>
        </w:rPr>
        <w:t>2018-2021年企业业绩一览表（见附件</w:t>
      </w:r>
      <w:r>
        <w:rPr>
          <w:rFonts w:hint="eastAsia" w:ascii="宋体"/>
          <w:szCs w:val="21"/>
          <w:lang w:val="en-US" w:eastAsia="zh-CN"/>
        </w:rPr>
        <w:t>六）</w:t>
      </w:r>
      <w:r>
        <w:rPr>
          <w:rFonts w:hint="eastAsia" w:ascii="宋体"/>
          <w:szCs w:val="21"/>
        </w:rPr>
        <w:t>；</w:t>
      </w:r>
    </w:p>
    <w:p>
      <w:pPr>
        <w:pStyle w:val="8"/>
        <w:numPr>
          <w:ilvl w:val="0"/>
          <w:numId w:val="6"/>
        </w:numPr>
        <w:adjustRightInd/>
        <w:spacing w:line="360" w:lineRule="auto"/>
        <w:rPr>
          <w:rFonts w:ascii="宋体"/>
          <w:szCs w:val="21"/>
        </w:rPr>
      </w:pPr>
      <w:r>
        <w:rPr>
          <w:rFonts w:hint="eastAsia" w:ascii="宋体"/>
          <w:szCs w:val="21"/>
        </w:rPr>
        <w:t>质量保证体系</w:t>
      </w:r>
      <w:r>
        <w:rPr>
          <w:rFonts w:hint="eastAsia" w:ascii="宋体"/>
          <w:szCs w:val="21"/>
          <w:lang w:eastAsia="zh-CN"/>
        </w:rPr>
        <w:t>、</w:t>
      </w:r>
      <w:r>
        <w:rPr>
          <w:rFonts w:hint="eastAsia" w:ascii="宋体"/>
          <w:szCs w:val="21"/>
          <w:lang w:val="en-US" w:eastAsia="zh-CN"/>
        </w:rPr>
        <w:t>针对性措施</w:t>
      </w:r>
      <w:r>
        <w:rPr>
          <w:rFonts w:hint="eastAsia" w:ascii="宋体"/>
          <w:szCs w:val="21"/>
        </w:rPr>
        <w:t>相关材料（见附件</w:t>
      </w:r>
      <w:r>
        <w:rPr>
          <w:rFonts w:hint="eastAsia" w:ascii="宋体"/>
          <w:szCs w:val="21"/>
          <w:lang w:val="en-US" w:eastAsia="zh-CN"/>
        </w:rPr>
        <w:t>七</w:t>
      </w:r>
      <w:r>
        <w:rPr>
          <w:rFonts w:hint="eastAsia" w:ascii="宋体"/>
          <w:szCs w:val="21"/>
        </w:rPr>
        <w:t>）；</w:t>
      </w:r>
    </w:p>
    <w:p>
      <w:pPr>
        <w:pStyle w:val="8"/>
        <w:adjustRightInd/>
        <w:spacing w:line="360" w:lineRule="auto"/>
        <w:ind w:left="420" w:firstLine="0"/>
        <w:rPr>
          <w:rFonts w:ascii="宋体"/>
          <w:szCs w:val="21"/>
        </w:rPr>
      </w:pPr>
      <w:r>
        <w:rPr>
          <w:rFonts w:hint="eastAsia" w:ascii="宋体"/>
          <w:szCs w:val="21"/>
        </w:rPr>
        <w:t>(</w:t>
      </w:r>
      <w:r>
        <w:rPr>
          <w:rFonts w:hint="eastAsia" w:ascii="宋体"/>
          <w:szCs w:val="21"/>
          <w:lang w:val="en-US" w:eastAsia="zh-CN"/>
        </w:rPr>
        <w:t>8</w:t>
      </w:r>
      <w:r>
        <w:rPr>
          <w:rFonts w:hint="eastAsia" w:ascii="宋体"/>
          <w:szCs w:val="21"/>
        </w:rPr>
        <w:t>)承诺书（见附件</w:t>
      </w:r>
      <w:r>
        <w:rPr>
          <w:rFonts w:hint="eastAsia" w:ascii="宋体"/>
          <w:szCs w:val="21"/>
          <w:lang w:val="en-US" w:eastAsia="zh-CN"/>
        </w:rPr>
        <w:t>八</w:t>
      </w:r>
      <w:r>
        <w:rPr>
          <w:rFonts w:hint="eastAsia" w:ascii="宋体"/>
          <w:szCs w:val="21"/>
        </w:rPr>
        <w:t>）；</w:t>
      </w:r>
    </w:p>
    <w:p>
      <w:pPr>
        <w:pStyle w:val="8"/>
        <w:adjustRightInd/>
        <w:spacing w:line="360" w:lineRule="auto"/>
        <w:ind w:left="420" w:firstLine="0"/>
        <w:rPr>
          <w:rFonts w:ascii="宋体"/>
          <w:szCs w:val="21"/>
        </w:rPr>
      </w:pPr>
      <w:r>
        <w:rPr>
          <w:rFonts w:hint="eastAsia" w:ascii="宋体"/>
          <w:szCs w:val="21"/>
        </w:rPr>
        <w:t>(</w:t>
      </w:r>
      <w:r>
        <w:rPr>
          <w:rFonts w:hint="eastAsia" w:ascii="宋体"/>
          <w:szCs w:val="21"/>
          <w:lang w:val="en-US" w:eastAsia="zh-CN"/>
        </w:rPr>
        <w:t>9</w:t>
      </w:r>
      <w:r>
        <w:rPr>
          <w:rFonts w:hint="eastAsia" w:ascii="宋体"/>
          <w:szCs w:val="21"/>
        </w:rPr>
        <w:t>)其他(根据招标文件的要求和投标人认为需要提供的资料) （见附件</w:t>
      </w:r>
      <w:r>
        <w:rPr>
          <w:rFonts w:hint="eastAsia" w:ascii="宋体"/>
          <w:szCs w:val="21"/>
          <w:lang w:val="en-US" w:eastAsia="zh-CN"/>
        </w:rPr>
        <w:t>九</w:t>
      </w:r>
      <w:r>
        <w:rPr>
          <w:rFonts w:hint="eastAsia" w:ascii="宋体"/>
          <w:szCs w:val="21"/>
        </w:rPr>
        <w:t>）。</w:t>
      </w:r>
    </w:p>
    <w:p>
      <w:pPr>
        <w:pStyle w:val="8"/>
        <w:numPr>
          <w:ilvl w:val="0"/>
          <w:numId w:val="3"/>
        </w:numPr>
        <w:tabs>
          <w:tab w:val="left" w:pos="400"/>
        </w:tabs>
        <w:spacing w:before="120" w:beforeLines="50" w:after="120" w:afterLines="50" w:line="240" w:lineRule="auto"/>
        <w:outlineLvl w:val="2"/>
        <w:rPr>
          <w:rFonts w:ascii="黑体" w:eastAsia="黑体"/>
          <w:b/>
          <w:sz w:val="28"/>
          <w:szCs w:val="28"/>
        </w:rPr>
      </w:pPr>
      <w:bookmarkStart w:id="31" w:name="_Toc310966025"/>
      <w:bookmarkStart w:id="32" w:name="_Toc316985968"/>
      <w:bookmarkStart w:id="33" w:name="_Toc310965906"/>
      <w:r>
        <w:rPr>
          <w:rFonts w:hint="eastAsia" w:ascii="黑体" w:eastAsia="黑体"/>
          <w:b/>
          <w:sz w:val="28"/>
          <w:szCs w:val="28"/>
        </w:rPr>
        <w:t>投标报价和合同金额</w:t>
      </w:r>
      <w:bookmarkEnd w:id="31"/>
      <w:bookmarkEnd w:id="32"/>
      <w:bookmarkEnd w:id="33"/>
    </w:p>
    <w:p>
      <w:pPr>
        <w:pStyle w:val="8"/>
        <w:numPr>
          <w:ilvl w:val="1"/>
          <w:numId w:val="3"/>
        </w:numPr>
        <w:tabs>
          <w:tab w:val="left" w:pos="510"/>
          <w:tab w:val="left" w:pos="1000"/>
        </w:tabs>
        <w:spacing w:line="360" w:lineRule="auto"/>
        <w:rPr>
          <w:rFonts w:ascii="宋体"/>
          <w:szCs w:val="21"/>
        </w:rPr>
      </w:pPr>
      <w:r>
        <w:rPr>
          <w:rFonts w:hint="eastAsia" w:ascii="宋体"/>
          <w:szCs w:val="21"/>
        </w:rPr>
        <w:t>收费标准及付款方式</w:t>
      </w:r>
    </w:p>
    <w:p>
      <w:pPr>
        <w:pStyle w:val="8"/>
        <w:numPr>
          <w:ilvl w:val="1"/>
          <w:numId w:val="3"/>
        </w:numPr>
        <w:tabs>
          <w:tab w:val="left" w:pos="510"/>
          <w:tab w:val="left" w:pos="1000"/>
        </w:tabs>
        <w:spacing w:line="360" w:lineRule="auto"/>
        <w:rPr>
          <w:rFonts w:ascii="宋体"/>
          <w:szCs w:val="21"/>
        </w:rPr>
      </w:pPr>
      <w:r>
        <w:rPr>
          <w:rFonts w:hint="eastAsia" w:ascii="宋体"/>
          <w:szCs w:val="21"/>
        </w:rPr>
        <w:t>招标控制价</w:t>
      </w:r>
    </w:p>
    <w:tbl>
      <w:tblPr>
        <w:tblStyle w:val="24"/>
        <w:tblW w:w="89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50"/>
        <w:gridCol w:w="4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类别</w:t>
            </w:r>
          </w:p>
        </w:tc>
        <w:tc>
          <w:tcPr>
            <w:tcW w:w="2850"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项目</w:t>
            </w:r>
          </w:p>
        </w:tc>
        <w:tc>
          <w:tcPr>
            <w:tcW w:w="4332"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收费标准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Merge w:val="restart"/>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工程预算审核</w:t>
            </w:r>
          </w:p>
        </w:tc>
        <w:tc>
          <w:tcPr>
            <w:tcW w:w="2850" w:type="dxa"/>
            <w:vAlign w:val="center"/>
          </w:tcPr>
          <w:p>
            <w:pPr>
              <w:pStyle w:val="8"/>
              <w:tabs>
                <w:tab w:val="left" w:pos="747"/>
                <w:tab w:val="left" w:pos="1000"/>
              </w:tabs>
              <w:spacing w:line="360" w:lineRule="auto"/>
              <w:ind w:firstLine="0"/>
              <w:jc w:val="center"/>
              <w:rPr>
                <w:rFonts w:ascii="宋体"/>
                <w:szCs w:val="21"/>
              </w:rPr>
            </w:pPr>
            <w:r>
              <w:rPr>
                <w:rFonts w:hint="eastAsia" w:ascii="宋体"/>
                <w:szCs w:val="21"/>
              </w:rPr>
              <w:t>江苏省定额标准结算项目</w:t>
            </w:r>
          </w:p>
        </w:tc>
        <w:tc>
          <w:tcPr>
            <w:tcW w:w="4332" w:type="dxa"/>
            <w:vAlign w:val="center"/>
          </w:tcPr>
          <w:p>
            <w:pPr>
              <w:pStyle w:val="8"/>
              <w:tabs>
                <w:tab w:val="left" w:pos="510"/>
                <w:tab w:val="left" w:pos="1000"/>
              </w:tabs>
              <w:spacing w:line="360" w:lineRule="auto"/>
              <w:ind w:firstLine="0"/>
              <w:jc w:val="center"/>
              <w:rPr>
                <w:rFonts w:ascii="宋体"/>
                <w:szCs w:val="21"/>
              </w:rPr>
            </w:pPr>
            <w:r>
              <w:rPr>
                <w:rFonts w:hint="eastAsia" w:ascii="宋体" w:cs="宋体"/>
                <w:color w:val="000000"/>
                <w:kern w:val="0"/>
                <w:szCs w:val="21"/>
              </w:rPr>
              <w:t>按</w:t>
            </w:r>
            <w:r>
              <w:rPr>
                <w:rFonts w:hint="eastAsia" w:ascii="宋体"/>
                <w:szCs w:val="21"/>
              </w:rPr>
              <w:t>苏价服【2014】383号文件标准*85%计算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Merge w:val="continue"/>
            <w:vAlign w:val="center"/>
          </w:tcPr>
          <w:p/>
        </w:tc>
        <w:tc>
          <w:tcPr>
            <w:tcW w:w="2850"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公司内部定额标准结算项目</w:t>
            </w:r>
          </w:p>
        </w:tc>
        <w:tc>
          <w:tcPr>
            <w:tcW w:w="4332" w:type="dxa"/>
            <w:vAlign w:val="center"/>
          </w:tcPr>
          <w:p>
            <w:pPr>
              <w:pStyle w:val="8"/>
              <w:tabs>
                <w:tab w:val="left" w:pos="510"/>
                <w:tab w:val="left" w:pos="1000"/>
              </w:tabs>
              <w:spacing w:line="360" w:lineRule="auto"/>
              <w:ind w:firstLine="0"/>
              <w:jc w:val="center"/>
              <w:rPr>
                <w:rFonts w:ascii="宋体" w:cs="宋体"/>
                <w:color w:val="000000"/>
                <w:kern w:val="0"/>
                <w:szCs w:val="21"/>
              </w:rPr>
            </w:pPr>
            <w:r>
              <w:rPr>
                <w:rFonts w:hint="eastAsia" w:ascii="宋体" w:cs="宋体"/>
                <w:color w:val="000000"/>
                <w:kern w:val="0"/>
                <w:szCs w:val="21"/>
              </w:rPr>
              <w:t>按每个结算项目审核费用为</w:t>
            </w:r>
            <w:r>
              <w:rPr>
                <w:rFonts w:hint="eastAsia" w:ascii="宋体" w:cs="宋体"/>
                <w:color w:val="000000"/>
                <w:kern w:val="0"/>
                <w:szCs w:val="21"/>
                <w:lang w:val="en-US" w:eastAsia="zh-CN"/>
              </w:rPr>
              <w:t>700</w:t>
            </w:r>
            <w:r>
              <w:rPr>
                <w:rFonts w:hint="eastAsia" w:ascii="宋体" w:cs="宋体"/>
                <w:color w:val="000000"/>
                <w:kern w:val="0"/>
                <w:szCs w:val="21"/>
              </w:rPr>
              <w:t>元计算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1809" w:type="dxa"/>
            <w:vMerge w:val="restart"/>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工程结算审核</w:t>
            </w:r>
          </w:p>
        </w:tc>
        <w:tc>
          <w:tcPr>
            <w:tcW w:w="2850"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江苏省定额标准结算项目</w:t>
            </w:r>
          </w:p>
        </w:tc>
        <w:tc>
          <w:tcPr>
            <w:tcW w:w="4332" w:type="dxa"/>
            <w:vAlign w:val="center"/>
          </w:tcPr>
          <w:p>
            <w:pPr>
              <w:pStyle w:val="8"/>
              <w:tabs>
                <w:tab w:val="left" w:pos="510"/>
                <w:tab w:val="left" w:pos="1000"/>
              </w:tabs>
              <w:spacing w:line="360" w:lineRule="auto"/>
              <w:ind w:firstLine="0"/>
              <w:jc w:val="center"/>
              <w:rPr>
                <w:rFonts w:ascii="宋体"/>
                <w:szCs w:val="21"/>
              </w:rPr>
            </w:pPr>
            <w:r>
              <w:rPr>
                <w:rFonts w:hint="eastAsia" w:ascii="宋体" w:cs="宋体"/>
                <w:color w:val="000000"/>
                <w:kern w:val="0"/>
                <w:szCs w:val="21"/>
              </w:rPr>
              <w:t>按</w:t>
            </w:r>
            <w:r>
              <w:rPr>
                <w:rFonts w:hint="eastAsia" w:ascii="宋体"/>
                <w:szCs w:val="21"/>
              </w:rPr>
              <w:t>苏价服【2014】383号文件标准*85%计算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809" w:type="dxa"/>
            <w:vMerge w:val="continue"/>
            <w:vAlign w:val="center"/>
          </w:tcPr>
          <w:p/>
        </w:tc>
        <w:tc>
          <w:tcPr>
            <w:tcW w:w="2850"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公司内部定额标准结算项目</w:t>
            </w:r>
          </w:p>
        </w:tc>
        <w:tc>
          <w:tcPr>
            <w:tcW w:w="4332"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按每个结算项目审核费用为</w:t>
            </w:r>
            <w:r>
              <w:rPr>
                <w:rFonts w:hint="eastAsia" w:ascii="宋体"/>
                <w:szCs w:val="21"/>
                <w:lang w:val="en-US" w:eastAsia="zh-CN"/>
              </w:rPr>
              <w:t>700</w:t>
            </w:r>
            <w:r>
              <w:rPr>
                <w:rFonts w:hint="eastAsia" w:ascii="宋体"/>
                <w:szCs w:val="21"/>
              </w:rPr>
              <w:t>元计算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rPr>
        <w:tc>
          <w:tcPr>
            <w:tcW w:w="1809"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招标控制价编制</w:t>
            </w:r>
          </w:p>
        </w:tc>
        <w:tc>
          <w:tcPr>
            <w:tcW w:w="2850" w:type="dxa"/>
            <w:vAlign w:val="center"/>
          </w:tcPr>
          <w:p>
            <w:pPr>
              <w:pStyle w:val="8"/>
              <w:tabs>
                <w:tab w:val="left" w:pos="510"/>
                <w:tab w:val="left" w:pos="1000"/>
              </w:tabs>
              <w:spacing w:line="360" w:lineRule="auto"/>
              <w:ind w:firstLine="0"/>
              <w:jc w:val="center"/>
              <w:rPr>
                <w:rFonts w:ascii="宋体"/>
                <w:szCs w:val="21"/>
              </w:rPr>
            </w:pPr>
          </w:p>
        </w:tc>
        <w:tc>
          <w:tcPr>
            <w:tcW w:w="4332" w:type="dxa"/>
            <w:vAlign w:val="center"/>
          </w:tcPr>
          <w:p>
            <w:pPr>
              <w:pStyle w:val="8"/>
              <w:tabs>
                <w:tab w:val="left" w:pos="510"/>
                <w:tab w:val="left" w:pos="1000"/>
              </w:tabs>
              <w:spacing w:line="360" w:lineRule="auto"/>
              <w:ind w:firstLine="0"/>
              <w:jc w:val="center"/>
              <w:rPr>
                <w:rFonts w:ascii="宋体"/>
                <w:szCs w:val="21"/>
              </w:rPr>
            </w:pPr>
            <w:r>
              <w:rPr>
                <w:rFonts w:hint="eastAsia" w:ascii="宋体" w:cs="宋体"/>
                <w:color w:val="000000"/>
                <w:kern w:val="0"/>
                <w:szCs w:val="21"/>
              </w:rPr>
              <w:t>按</w:t>
            </w:r>
            <w:r>
              <w:rPr>
                <w:rFonts w:hint="eastAsia" w:ascii="宋体"/>
                <w:szCs w:val="21"/>
              </w:rPr>
              <w:t>苏价服【2014】383号文件标准*</w:t>
            </w:r>
            <w:r>
              <w:rPr>
                <w:rFonts w:hint="eastAsia" w:ascii="宋体"/>
                <w:szCs w:val="21"/>
                <w:lang w:val="en-US" w:eastAsia="zh-CN"/>
              </w:rPr>
              <w:t>85</w:t>
            </w:r>
            <w:r>
              <w:rPr>
                <w:rFonts w:hint="eastAsia" w:ascii="宋体"/>
                <w:szCs w:val="21"/>
              </w:rP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招标控制价审核</w:t>
            </w:r>
          </w:p>
        </w:tc>
        <w:tc>
          <w:tcPr>
            <w:tcW w:w="2850" w:type="dxa"/>
            <w:vAlign w:val="center"/>
          </w:tcPr>
          <w:p>
            <w:pPr>
              <w:pStyle w:val="8"/>
              <w:tabs>
                <w:tab w:val="left" w:pos="510"/>
                <w:tab w:val="left" w:pos="1000"/>
              </w:tabs>
              <w:spacing w:line="360" w:lineRule="auto"/>
              <w:ind w:firstLine="0"/>
              <w:jc w:val="center"/>
              <w:rPr>
                <w:rFonts w:ascii="宋体"/>
                <w:szCs w:val="21"/>
              </w:rPr>
            </w:pPr>
          </w:p>
        </w:tc>
        <w:tc>
          <w:tcPr>
            <w:tcW w:w="4332" w:type="dxa"/>
            <w:vAlign w:val="center"/>
          </w:tcPr>
          <w:p>
            <w:pPr>
              <w:pStyle w:val="8"/>
              <w:tabs>
                <w:tab w:val="left" w:pos="510"/>
                <w:tab w:val="left" w:pos="1000"/>
              </w:tabs>
              <w:spacing w:line="360" w:lineRule="auto"/>
              <w:ind w:firstLine="0"/>
              <w:jc w:val="center"/>
              <w:rPr>
                <w:rFonts w:ascii="宋体"/>
                <w:szCs w:val="21"/>
              </w:rPr>
            </w:pPr>
            <w:r>
              <w:rPr>
                <w:rFonts w:hint="eastAsia" w:ascii="宋体" w:cs="宋体"/>
                <w:color w:val="000000"/>
                <w:kern w:val="0"/>
                <w:szCs w:val="21"/>
              </w:rPr>
              <w:t>按</w:t>
            </w:r>
            <w:r>
              <w:rPr>
                <w:rFonts w:hint="eastAsia" w:ascii="宋体"/>
                <w:szCs w:val="21"/>
              </w:rPr>
              <w:t>苏价服【2014】383号文件标准*</w:t>
            </w:r>
            <w:r>
              <w:rPr>
                <w:rFonts w:hint="eastAsia" w:ascii="宋体"/>
                <w:szCs w:val="21"/>
                <w:lang w:val="en-US" w:eastAsia="zh-CN"/>
              </w:rPr>
              <w:t>85</w:t>
            </w:r>
            <w:r>
              <w:rPr>
                <w:rFonts w:hint="eastAsia" w:ascii="宋体"/>
                <w:szCs w:val="21"/>
              </w:rP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招标代理</w:t>
            </w:r>
          </w:p>
        </w:tc>
        <w:tc>
          <w:tcPr>
            <w:tcW w:w="2850" w:type="dxa"/>
            <w:vAlign w:val="center"/>
          </w:tcPr>
          <w:p>
            <w:pPr>
              <w:pStyle w:val="8"/>
              <w:tabs>
                <w:tab w:val="left" w:pos="510"/>
                <w:tab w:val="left" w:pos="1000"/>
              </w:tabs>
              <w:spacing w:line="360" w:lineRule="auto"/>
              <w:ind w:firstLine="0"/>
              <w:jc w:val="center"/>
              <w:rPr>
                <w:rFonts w:ascii="宋体"/>
                <w:szCs w:val="21"/>
              </w:rPr>
            </w:pPr>
          </w:p>
        </w:tc>
        <w:tc>
          <w:tcPr>
            <w:tcW w:w="4332" w:type="dxa"/>
            <w:vAlign w:val="center"/>
          </w:tcPr>
          <w:p>
            <w:pPr>
              <w:pStyle w:val="8"/>
              <w:tabs>
                <w:tab w:val="left" w:pos="510"/>
                <w:tab w:val="left" w:pos="1000"/>
              </w:tabs>
              <w:spacing w:line="360" w:lineRule="auto"/>
              <w:ind w:firstLine="0"/>
              <w:jc w:val="center"/>
              <w:rPr>
                <w:rFonts w:ascii="宋体"/>
                <w:szCs w:val="21"/>
              </w:rPr>
            </w:pPr>
            <w:r>
              <w:rPr>
                <w:rFonts w:hint="eastAsia" w:ascii="宋体" w:cs="宋体"/>
                <w:color w:val="000000"/>
                <w:kern w:val="0"/>
                <w:szCs w:val="21"/>
              </w:rPr>
              <w:t>按</w:t>
            </w:r>
            <w:r>
              <w:rPr>
                <w:rFonts w:hint="eastAsia" w:ascii="宋体"/>
                <w:szCs w:val="21"/>
              </w:rPr>
              <w:t>发改价格【2011】534号文件标准*</w:t>
            </w:r>
            <w:r>
              <w:rPr>
                <w:rFonts w:hint="eastAsia" w:ascii="宋体"/>
                <w:szCs w:val="21"/>
                <w:lang w:val="en-US" w:eastAsia="zh-CN"/>
              </w:rPr>
              <w:t>85</w:t>
            </w:r>
            <w:r>
              <w:rPr>
                <w:rFonts w:hint="eastAsia" w:ascii="宋体"/>
                <w:szCs w:val="21"/>
              </w:rP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1" w:type="dxa"/>
            <w:gridSpan w:val="3"/>
            <w:vAlign w:val="center"/>
          </w:tcPr>
          <w:p>
            <w:pPr>
              <w:pStyle w:val="8"/>
              <w:tabs>
                <w:tab w:val="left" w:pos="510"/>
                <w:tab w:val="left" w:pos="1000"/>
              </w:tabs>
              <w:spacing w:line="360" w:lineRule="auto"/>
              <w:ind w:firstLine="0"/>
              <w:jc w:val="center"/>
              <w:rPr>
                <w:rFonts w:hint="default" w:ascii="宋体" w:eastAsia="宋体" w:cs="宋体"/>
                <w:color w:val="000000"/>
                <w:kern w:val="0"/>
                <w:szCs w:val="21"/>
                <w:lang w:val="en-US" w:eastAsia="zh-CN"/>
              </w:rPr>
            </w:pPr>
            <w:r>
              <w:rPr>
                <w:rFonts w:hint="eastAsia" w:ascii="宋体" w:cs="宋体"/>
                <w:color w:val="000000"/>
                <w:kern w:val="0"/>
                <w:szCs w:val="21"/>
                <w:lang w:val="en-US" w:eastAsia="zh-CN"/>
              </w:rPr>
              <w:t>投标人需根据以上标准进行统一费率报价</w:t>
            </w:r>
          </w:p>
        </w:tc>
      </w:tr>
    </w:tbl>
    <w:p>
      <w:pPr>
        <w:pStyle w:val="8"/>
        <w:tabs>
          <w:tab w:val="left" w:pos="510"/>
          <w:tab w:val="left" w:pos="1000"/>
        </w:tabs>
        <w:spacing w:line="360" w:lineRule="auto"/>
        <w:ind w:firstLine="0"/>
        <w:jc w:val="center"/>
        <w:rPr>
          <w:rFonts w:ascii="宋体"/>
          <w:szCs w:val="21"/>
        </w:rPr>
      </w:pPr>
    </w:p>
    <w:p>
      <w:pPr>
        <w:jc w:val="left"/>
        <w:rPr>
          <w:szCs w:val="21"/>
        </w:rPr>
      </w:pPr>
    </w:p>
    <w:p>
      <w:pPr>
        <w:jc w:val="left"/>
        <w:rPr>
          <w:rFonts w:ascii="宋体"/>
          <w:szCs w:val="21"/>
        </w:rPr>
      </w:pPr>
      <w:r>
        <w:rPr>
          <w:rFonts w:hint="eastAsia"/>
          <w:szCs w:val="21"/>
        </w:rPr>
        <w:t>备注：除公司内部定额标准结算项目以外的咨询服务费用不足1000元时，按1000元计算。公司内部定额标准作为合同附件提供。</w:t>
      </w:r>
    </w:p>
    <w:p>
      <w:pPr>
        <w:pStyle w:val="8"/>
        <w:numPr>
          <w:ilvl w:val="1"/>
          <w:numId w:val="3"/>
        </w:numPr>
        <w:tabs>
          <w:tab w:val="left" w:pos="510"/>
          <w:tab w:val="left" w:pos="1000"/>
        </w:tabs>
        <w:spacing w:line="360" w:lineRule="auto"/>
        <w:rPr>
          <w:rFonts w:ascii="宋体"/>
          <w:szCs w:val="21"/>
        </w:rPr>
      </w:pPr>
      <w:r>
        <w:rPr>
          <w:rFonts w:hint="eastAsia" w:ascii="宋体"/>
          <w:szCs w:val="21"/>
        </w:rPr>
        <w:t>付款方式：合同期内每季度完成工作量统计后按季度付款。</w:t>
      </w:r>
    </w:p>
    <w:p>
      <w:pPr>
        <w:pStyle w:val="8"/>
        <w:numPr>
          <w:ilvl w:val="0"/>
          <w:numId w:val="7"/>
        </w:numPr>
        <w:tabs>
          <w:tab w:val="left" w:pos="400"/>
        </w:tabs>
        <w:spacing w:before="120" w:beforeLines="50" w:after="120" w:afterLines="50" w:line="240" w:lineRule="auto"/>
        <w:outlineLvl w:val="2"/>
        <w:rPr>
          <w:rFonts w:ascii="黑体" w:eastAsia="黑体"/>
          <w:b/>
          <w:sz w:val="28"/>
          <w:szCs w:val="28"/>
        </w:rPr>
      </w:pPr>
      <w:r>
        <w:rPr>
          <w:rFonts w:hint="eastAsia" w:ascii="黑体" w:eastAsia="黑体"/>
          <w:b/>
          <w:sz w:val="28"/>
          <w:szCs w:val="28"/>
        </w:rPr>
        <w:t>投标文件的编制</w:t>
      </w:r>
    </w:p>
    <w:p>
      <w:pPr>
        <w:pStyle w:val="8"/>
        <w:numPr>
          <w:ilvl w:val="1"/>
          <w:numId w:val="7"/>
        </w:numPr>
        <w:tabs>
          <w:tab w:val="left" w:pos="510"/>
          <w:tab w:val="left" w:pos="1000"/>
        </w:tabs>
        <w:spacing w:line="360" w:lineRule="auto"/>
        <w:rPr>
          <w:rFonts w:ascii="宋体"/>
          <w:szCs w:val="21"/>
        </w:rPr>
      </w:pPr>
      <w:r>
        <w:rPr>
          <w:rFonts w:hint="eastAsia" w:ascii="宋体"/>
          <w:szCs w:val="21"/>
        </w:rPr>
        <w:t>投标文件应按 “投标文件格式”进行编写。</w:t>
      </w:r>
    </w:p>
    <w:p>
      <w:pPr>
        <w:pStyle w:val="5"/>
        <w:jc w:val="center"/>
      </w:pPr>
      <w:bookmarkStart w:id="34" w:name="_Toc310965911"/>
      <w:bookmarkStart w:id="35" w:name="_Toc316985973"/>
      <w:bookmarkStart w:id="36" w:name="_Toc310966030"/>
      <w:r>
        <w:t>(</w:t>
      </w:r>
      <w:r>
        <w:rPr>
          <w:rFonts w:hint="eastAsia"/>
        </w:rPr>
        <w:t>五</w:t>
      </w:r>
      <w:r>
        <w:t>)</w:t>
      </w:r>
      <w:r>
        <w:rPr>
          <w:rFonts w:hint="eastAsia"/>
        </w:rPr>
        <w:t>投标文件的递交</w:t>
      </w:r>
      <w:bookmarkEnd w:id="34"/>
      <w:bookmarkEnd w:id="35"/>
      <w:bookmarkEnd w:id="36"/>
    </w:p>
    <w:p>
      <w:pPr>
        <w:pStyle w:val="8"/>
        <w:numPr>
          <w:ilvl w:val="0"/>
          <w:numId w:val="7"/>
        </w:numPr>
        <w:tabs>
          <w:tab w:val="left" w:pos="400"/>
        </w:tabs>
        <w:spacing w:before="120" w:beforeLines="50" w:after="120" w:afterLines="50" w:line="240" w:lineRule="auto"/>
        <w:outlineLvl w:val="2"/>
        <w:rPr>
          <w:rFonts w:ascii="黑体" w:eastAsia="黑体"/>
          <w:b/>
          <w:sz w:val="28"/>
          <w:szCs w:val="28"/>
        </w:rPr>
      </w:pPr>
      <w:bookmarkStart w:id="37" w:name="_Toc310966031"/>
      <w:bookmarkStart w:id="38" w:name="_Toc316985974"/>
      <w:bookmarkStart w:id="39" w:name="_Toc310965912"/>
      <w:r>
        <w:rPr>
          <w:rFonts w:hint="eastAsia" w:ascii="黑体" w:eastAsia="黑体"/>
          <w:b/>
          <w:sz w:val="28"/>
          <w:szCs w:val="28"/>
        </w:rPr>
        <w:t>投标文件的装订、包封、密封和标识</w:t>
      </w:r>
      <w:bookmarkEnd w:id="37"/>
      <w:bookmarkEnd w:id="38"/>
      <w:bookmarkEnd w:id="39"/>
    </w:p>
    <w:p>
      <w:pPr>
        <w:pStyle w:val="8"/>
        <w:numPr>
          <w:ilvl w:val="1"/>
          <w:numId w:val="7"/>
        </w:numPr>
        <w:tabs>
          <w:tab w:val="left" w:pos="510"/>
          <w:tab w:val="left" w:pos="1000"/>
        </w:tabs>
        <w:spacing w:line="360" w:lineRule="auto"/>
        <w:rPr>
          <w:rFonts w:ascii="宋体"/>
          <w:szCs w:val="21"/>
        </w:rPr>
      </w:pPr>
      <w:r>
        <w:rPr>
          <w:rFonts w:hint="eastAsia" w:ascii="宋体"/>
          <w:szCs w:val="21"/>
        </w:rPr>
        <w:t>投标文件装订要求:见投标须知前附表。</w:t>
      </w:r>
    </w:p>
    <w:p>
      <w:pPr>
        <w:pStyle w:val="8"/>
        <w:numPr>
          <w:ilvl w:val="1"/>
          <w:numId w:val="7"/>
        </w:numPr>
        <w:tabs>
          <w:tab w:val="left" w:pos="510"/>
          <w:tab w:val="left" w:pos="1000"/>
        </w:tabs>
        <w:spacing w:line="360" w:lineRule="auto"/>
        <w:rPr>
          <w:rFonts w:ascii="宋体"/>
          <w:szCs w:val="21"/>
        </w:rPr>
      </w:pPr>
      <w:r>
        <w:rPr>
          <w:rFonts w:hint="eastAsia" w:ascii="宋体"/>
          <w:szCs w:val="21"/>
        </w:rPr>
        <w:t>投标文件的包封、密封和标识要求：</w:t>
      </w:r>
    </w:p>
    <w:p>
      <w:pPr>
        <w:pStyle w:val="8"/>
        <w:numPr>
          <w:ilvl w:val="1"/>
          <w:numId w:val="7"/>
        </w:numPr>
        <w:tabs>
          <w:tab w:val="left" w:pos="510"/>
          <w:tab w:val="left" w:pos="1000"/>
        </w:tabs>
        <w:spacing w:line="360" w:lineRule="auto"/>
        <w:rPr>
          <w:rFonts w:ascii="宋体"/>
          <w:szCs w:val="21"/>
        </w:rPr>
      </w:pPr>
      <w:r>
        <w:rPr>
          <w:rFonts w:hint="eastAsia" w:ascii="宋体"/>
          <w:szCs w:val="21"/>
        </w:rPr>
        <w:t>封套的封面标识：</w:t>
      </w:r>
    </w:p>
    <w:p>
      <w:pPr>
        <w:pStyle w:val="8"/>
        <w:numPr>
          <w:ilvl w:val="0"/>
          <w:numId w:val="8"/>
        </w:numPr>
        <w:adjustRightInd/>
        <w:spacing w:line="360" w:lineRule="auto"/>
        <w:rPr>
          <w:rFonts w:ascii="宋体"/>
          <w:szCs w:val="21"/>
        </w:rPr>
      </w:pPr>
      <w:r>
        <w:rPr>
          <w:rFonts w:hint="eastAsia" w:ascii="宋体"/>
          <w:b/>
          <w:szCs w:val="21"/>
        </w:rPr>
        <w:t>按照投标须知前附表要求</w:t>
      </w:r>
      <w:r>
        <w:rPr>
          <w:rFonts w:hint="eastAsia" w:ascii="宋体"/>
          <w:szCs w:val="21"/>
        </w:rPr>
        <w:t>；</w:t>
      </w:r>
    </w:p>
    <w:p>
      <w:pPr>
        <w:pStyle w:val="8"/>
        <w:numPr>
          <w:ilvl w:val="0"/>
          <w:numId w:val="8"/>
        </w:numPr>
        <w:adjustRightInd/>
        <w:spacing w:line="360" w:lineRule="auto"/>
        <w:rPr>
          <w:rFonts w:ascii="宋体"/>
          <w:snapToGrid w:val="0"/>
          <w:szCs w:val="21"/>
        </w:rPr>
      </w:pPr>
      <w:r>
        <w:rPr>
          <w:rFonts w:hint="eastAsia" w:ascii="宋体"/>
          <w:szCs w:val="21"/>
        </w:rPr>
        <w:t>标明投标文件相应的标识。</w:t>
      </w:r>
    </w:p>
    <w:p>
      <w:pPr>
        <w:pStyle w:val="8"/>
        <w:numPr>
          <w:ilvl w:val="1"/>
          <w:numId w:val="7"/>
        </w:numPr>
        <w:tabs>
          <w:tab w:val="left" w:pos="510"/>
          <w:tab w:val="left" w:pos="1000"/>
        </w:tabs>
        <w:spacing w:line="360" w:lineRule="auto"/>
        <w:rPr>
          <w:rFonts w:ascii="宋体"/>
          <w:szCs w:val="21"/>
        </w:rPr>
      </w:pPr>
      <w:r>
        <w:rPr>
          <w:rFonts w:hint="eastAsia" w:ascii="宋体"/>
          <w:szCs w:val="21"/>
        </w:rPr>
        <w:t>封套应密封并加盖投标人单位公章及法人印鉴或授权委托人签字。</w:t>
      </w:r>
    </w:p>
    <w:p>
      <w:pPr>
        <w:pStyle w:val="8"/>
        <w:numPr>
          <w:ilvl w:val="1"/>
          <w:numId w:val="7"/>
        </w:numPr>
        <w:tabs>
          <w:tab w:val="left" w:pos="510"/>
          <w:tab w:val="left" w:pos="1000"/>
        </w:tabs>
        <w:spacing w:line="360" w:lineRule="auto"/>
        <w:rPr>
          <w:rFonts w:ascii="宋体"/>
          <w:szCs w:val="21"/>
        </w:rPr>
      </w:pPr>
      <w:r>
        <w:rPr>
          <w:rFonts w:hint="eastAsia" w:ascii="宋体"/>
          <w:szCs w:val="21"/>
        </w:rPr>
        <w:t>资格审查文件、商务文件应分别装订、密封，同一内容的正、副本密封于一个标袋内。未按招标文件要求密封的投标文件，招标人有权拒收。</w:t>
      </w:r>
    </w:p>
    <w:p>
      <w:pPr>
        <w:pStyle w:val="8"/>
        <w:numPr>
          <w:ilvl w:val="0"/>
          <w:numId w:val="7"/>
        </w:numPr>
        <w:tabs>
          <w:tab w:val="left" w:pos="400"/>
        </w:tabs>
        <w:spacing w:before="120" w:beforeLines="50" w:after="120" w:afterLines="50" w:line="240" w:lineRule="auto"/>
        <w:outlineLvl w:val="2"/>
        <w:rPr>
          <w:rFonts w:ascii="黑体" w:eastAsia="黑体"/>
          <w:b/>
          <w:sz w:val="28"/>
          <w:szCs w:val="28"/>
        </w:rPr>
      </w:pPr>
      <w:bookmarkStart w:id="40" w:name="_Toc310965913"/>
      <w:bookmarkStart w:id="41" w:name="_Toc310966032"/>
      <w:bookmarkStart w:id="42" w:name="_Toc316985975"/>
      <w:r>
        <w:rPr>
          <w:rFonts w:hint="eastAsia" w:ascii="黑体" w:eastAsia="黑体"/>
          <w:b/>
          <w:sz w:val="28"/>
          <w:szCs w:val="28"/>
        </w:rPr>
        <w:t>投标文件的递交</w:t>
      </w:r>
      <w:bookmarkEnd w:id="40"/>
      <w:bookmarkEnd w:id="41"/>
      <w:bookmarkEnd w:id="42"/>
    </w:p>
    <w:p>
      <w:pPr>
        <w:pStyle w:val="8"/>
        <w:numPr>
          <w:ilvl w:val="1"/>
          <w:numId w:val="7"/>
        </w:numPr>
        <w:tabs>
          <w:tab w:val="left" w:pos="510"/>
          <w:tab w:val="left" w:pos="1000"/>
        </w:tabs>
        <w:spacing w:line="360" w:lineRule="auto"/>
        <w:rPr>
          <w:rFonts w:ascii="宋体"/>
          <w:szCs w:val="21"/>
        </w:rPr>
      </w:pPr>
      <w:r>
        <w:rPr>
          <w:rFonts w:hint="eastAsia" w:ascii="宋体"/>
          <w:szCs w:val="21"/>
        </w:rPr>
        <w:t>投标人应按投标须知前附表所规定的地点，于投标截止时间前递交投标文件给招标人。</w:t>
      </w:r>
    </w:p>
    <w:p>
      <w:pPr>
        <w:pStyle w:val="8"/>
        <w:numPr>
          <w:ilvl w:val="1"/>
          <w:numId w:val="7"/>
        </w:numPr>
        <w:tabs>
          <w:tab w:val="left" w:pos="510"/>
          <w:tab w:val="left" w:pos="1000"/>
        </w:tabs>
        <w:spacing w:line="360" w:lineRule="auto"/>
        <w:rPr>
          <w:rFonts w:ascii="宋体"/>
          <w:szCs w:val="21"/>
        </w:rPr>
      </w:pPr>
      <w:r>
        <w:rPr>
          <w:rFonts w:hint="eastAsia" w:ascii="宋体"/>
          <w:szCs w:val="21"/>
        </w:rPr>
        <w:t>逾期送达的或者未送达指定地点的投标文件，招标人不予受理。</w:t>
      </w:r>
    </w:p>
    <w:p>
      <w:pPr>
        <w:pStyle w:val="8"/>
        <w:numPr>
          <w:ilvl w:val="0"/>
          <w:numId w:val="9"/>
        </w:numPr>
        <w:tabs>
          <w:tab w:val="left" w:pos="400"/>
        </w:tabs>
        <w:spacing w:before="120" w:beforeLines="50" w:after="120" w:afterLines="50" w:line="240" w:lineRule="auto"/>
        <w:outlineLvl w:val="2"/>
        <w:rPr>
          <w:rFonts w:ascii="黑体" w:eastAsia="黑体"/>
          <w:b/>
          <w:sz w:val="28"/>
          <w:szCs w:val="28"/>
        </w:rPr>
      </w:pPr>
      <w:bookmarkStart w:id="43" w:name="_Toc316985976"/>
      <w:bookmarkStart w:id="44" w:name="_Toc310966033"/>
      <w:bookmarkStart w:id="45" w:name="_Toc310965914"/>
      <w:r>
        <w:rPr>
          <w:rFonts w:hint="eastAsia" w:ascii="黑体" w:eastAsia="黑体"/>
          <w:b/>
          <w:sz w:val="28"/>
          <w:szCs w:val="28"/>
        </w:rPr>
        <w:t>投标文件递交的截止时间</w:t>
      </w:r>
      <w:bookmarkEnd w:id="43"/>
      <w:bookmarkEnd w:id="44"/>
      <w:bookmarkEnd w:id="45"/>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投标人须在</w:t>
      </w:r>
      <w:r>
        <w:rPr>
          <w:rFonts w:hint="eastAsia" w:ascii="宋体"/>
          <w:b/>
          <w:szCs w:val="21"/>
          <w:u w:val="single"/>
        </w:rPr>
        <w:t>投标须知前附表</w:t>
      </w:r>
      <w:r>
        <w:rPr>
          <w:rFonts w:hint="eastAsia" w:ascii="宋体"/>
          <w:szCs w:val="21"/>
        </w:rPr>
        <w:t>规定的投标文件递交截止时间之前将投标文件递交至开标现场给招标人。</w:t>
      </w:r>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超过投标截止时间送达的投标文件将被拒绝并原封退给投标人。</w:t>
      </w:r>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到投标截止时间止，招标人收到的投标文件少于3份的，招标人将依规重新组织招标。</w:t>
      </w:r>
    </w:p>
    <w:p>
      <w:pPr>
        <w:pStyle w:val="8"/>
        <w:numPr>
          <w:ilvl w:val="0"/>
          <w:numId w:val="9"/>
        </w:numPr>
        <w:tabs>
          <w:tab w:val="left" w:pos="400"/>
        </w:tabs>
        <w:spacing w:before="120" w:beforeLines="50" w:after="120" w:afterLines="50" w:line="240" w:lineRule="auto"/>
        <w:outlineLvl w:val="2"/>
        <w:rPr>
          <w:rFonts w:ascii="黑体" w:eastAsia="黑体"/>
          <w:b/>
          <w:sz w:val="28"/>
          <w:szCs w:val="28"/>
        </w:rPr>
      </w:pPr>
      <w:bookmarkStart w:id="46" w:name="_Toc310965915"/>
      <w:bookmarkStart w:id="47" w:name="_Toc316985977"/>
      <w:bookmarkStart w:id="48" w:name="_Toc310966034"/>
      <w:r>
        <w:rPr>
          <w:rFonts w:hint="eastAsia" w:ascii="黑体" w:eastAsia="黑体"/>
          <w:b/>
          <w:sz w:val="28"/>
          <w:szCs w:val="28"/>
        </w:rPr>
        <w:t>投标文件的补充、修改与撤回</w:t>
      </w:r>
      <w:bookmarkEnd w:id="46"/>
      <w:bookmarkEnd w:id="47"/>
      <w:bookmarkEnd w:id="48"/>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投标人可以在递交投标文件以后，在</w:t>
      </w:r>
      <w:r>
        <w:rPr>
          <w:rFonts w:hint="eastAsia" w:ascii="宋体"/>
          <w:b/>
          <w:szCs w:val="21"/>
        </w:rPr>
        <w:t>投标须知</w:t>
      </w:r>
      <w:r>
        <w:rPr>
          <w:rFonts w:hint="eastAsia" w:ascii="宋体"/>
          <w:szCs w:val="21"/>
        </w:rPr>
        <w:t>规定的投标截止时间之前，可以书面形式向招标人递交补充修改或撤回其投标文件的通知。补充、修改的内容为投标文件的组成部分。在投标截止日期以后，不能更改投标文件。</w:t>
      </w:r>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投标人的补充、修改或撤回通知，应按</w:t>
      </w:r>
      <w:r>
        <w:rPr>
          <w:rFonts w:hint="eastAsia" w:ascii="宋体"/>
          <w:b/>
          <w:szCs w:val="21"/>
        </w:rPr>
        <w:t>投标须知</w:t>
      </w:r>
      <w:r>
        <w:rPr>
          <w:rFonts w:hint="eastAsia" w:ascii="宋体"/>
          <w:szCs w:val="21"/>
        </w:rPr>
        <w:t>的规定编制、密封、标识和发送，还要在包封上标明“补充、修改”或“撤回”字样。</w:t>
      </w:r>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从投标截止期至投标有效期之间的这段时间内，投标人不得撤回其投标文件。</w:t>
      </w:r>
    </w:p>
    <w:p>
      <w:pPr>
        <w:pStyle w:val="5"/>
        <w:jc w:val="center"/>
      </w:pPr>
      <w:bookmarkStart w:id="49" w:name="_Toc310965916"/>
      <w:bookmarkStart w:id="50" w:name="_Toc310966035"/>
      <w:bookmarkStart w:id="51" w:name="_Toc316985978"/>
      <w:r>
        <w:t>(</w:t>
      </w:r>
      <w:r>
        <w:rPr>
          <w:rFonts w:hint="eastAsia"/>
        </w:rPr>
        <w:t>六</w:t>
      </w:r>
      <w:r>
        <w:t>)</w:t>
      </w:r>
      <w:r>
        <w:rPr>
          <w:rFonts w:hint="eastAsia"/>
        </w:rPr>
        <w:t>开标</w:t>
      </w:r>
      <w:bookmarkEnd w:id="49"/>
      <w:bookmarkEnd w:id="50"/>
      <w:bookmarkEnd w:id="51"/>
    </w:p>
    <w:p>
      <w:pPr>
        <w:pStyle w:val="8"/>
        <w:numPr>
          <w:ilvl w:val="0"/>
          <w:numId w:val="9"/>
        </w:numPr>
        <w:tabs>
          <w:tab w:val="left" w:pos="400"/>
        </w:tabs>
        <w:spacing w:before="120" w:beforeLines="50" w:after="120" w:afterLines="50" w:line="240" w:lineRule="auto"/>
        <w:outlineLvl w:val="2"/>
        <w:rPr>
          <w:rFonts w:ascii="黑体" w:eastAsia="黑体"/>
          <w:b/>
          <w:sz w:val="28"/>
          <w:szCs w:val="28"/>
        </w:rPr>
      </w:pPr>
      <w:bookmarkStart w:id="52" w:name="_Toc310966036"/>
      <w:bookmarkStart w:id="53" w:name="_Toc316985979"/>
      <w:bookmarkStart w:id="54" w:name="_Toc310965917"/>
      <w:r>
        <w:rPr>
          <w:rFonts w:hint="eastAsia" w:ascii="黑体" w:eastAsia="黑体"/>
          <w:b/>
          <w:sz w:val="28"/>
          <w:szCs w:val="28"/>
        </w:rPr>
        <w:t>开标</w:t>
      </w:r>
      <w:bookmarkEnd w:id="52"/>
      <w:bookmarkEnd w:id="53"/>
      <w:bookmarkEnd w:id="54"/>
    </w:p>
    <w:p>
      <w:pPr>
        <w:pStyle w:val="8"/>
        <w:numPr>
          <w:ilvl w:val="1"/>
          <w:numId w:val="9"/>
        </w:numPr>
        <w:tabs>
          <w:tab w:val="left" w:pos="510"/>
          <w:tab w:val="left" w:pos="1000"/>
        </w:tabs>
        <w:adjustRightInd w:val="0"/>
        <w:snapToGrid w:val="0"/>
        <w:spacing w:line="360" w:lineRule="auto"/>
        <w:jc w:val="left"/>
        <w:rPr>
          <w:rFonts w:ascii="宋体"/>
          <w:snapToGrid w:val="0"/>
          <w:szCs w:val="21"/>
        </w:rPr>
      </w:pPr>
      <w:r>
        <w:rPr>
          <w:rFonts w:hint="eastAsia" w:ascii="宋体"/>
          <w:snapToGrid w:val="0"/>
          <w:szCs w:val="21"/>
        </w:rPr>
        <w:t>招标人在</w:t>
      </w:r>
      <w:r>
        <w:rPr>
          <w:rFonts w:hint="eastAsia" w:ascii="宋体"/>
          <w:b/>
          <w:szCs w:val="21"/>
          <w:u w:val="single"/>
        </w:rPr>
        <w:t>投标须知前附表</w:t>
      </w:r>
      <w:r>
        <w:rPr>
          <w:rFonts w:hint="eastAsia" w:ascii="宋体"/>
          <w:snapToGrid w:val="0"/>
          <w:szCs w:val="21"/>
        </w:rPr>
        <w:t>规定的投标截止时间(开标时间)和</w:t>
      </w:r>
      <w:r>
        <w:rPr>
          <w:rFonts w:hint="eastAsia" w:ascii="宋体"/>
          <w:b/>
          <w:szCs w:val="21"/>
          <w:u w:val="single"/>
        </w:rPr>
        <w:t>投标须知前附表</w:t>
      </w:r>
      <w:r>
        <w:rPr>
          <w:rFonts w:hint="eastAsia" w:ascii="宋体"/>
          <w:snapToGrid w:val="0"/>
          <w:szCs w:val="21"/>
        </w:rPr>
        <w:t>规定的地点公开开标。</w:t>
      </w:r>
    </w:p>
    <w:p>
      <w:pPr>
        <w:pStyle w:val="8"/>
        <w:numPr>
          <w:ilvl w:val="1"/>
          <w:numId w:val="9"/>
        </w:numPr>
        <w:tabs>
          <w:tab w:val="left" w:pos="510"/>
          <w:tab w:val="left" w:pos="1000"/>
        </w:tabs>
        <w:adjustRightInd w:val="0"/>
        <w:snapToGrid w:val="0"/>
        <w:spacing w:line="360" w:lineRule="auto"/>
        <w:jc w:val="left"/>
        <w:rPr>
          <w:rFonts w:ascii="宋体"/>
          <w:snapToGrid w:val="0"/>
          <w:szCs w:val="21"/>
        </w:rPr>
      </w:pPr>
      <w:r>
        <w:rPr>
          <w:rFonts w:hint="eastAsia" w:ascii="宋体"/>
          <w:szCs w:val="21"/>
        </w:rPr>
        <w:t>开标程序</w:t>
      </w:r>
    </w:p>
    <w:p>
      <w:pPr>
        <w:pStyle w:val="8"/>
        <w:tabs>
          <w:tab w:val="left" w:pos="510"/>
          <w:tab w:val="left" w:pos="1000"/>
        </w:tabs>
        <w:adjustRightInd w:val="0"/>
        <w:snapToGrid w:val="0"/>
        <w:spacing w:line="360" w:lineRule="auto"/>
        <w:ind w:firstLine="420" w:firstLineChars="200"/>
        <w:jc w:val="left"/>
        <w:rPr>
          <w:rFonts w:hint="default" w:ascii="宋体"/>
          <w:szCs w:val="21"/>
          <w:lang w:val="en-US"/>
        </w:rPr>
      </w:pPr>
      <w:r>
        <w:rPr>
          <w:rFonts w:hint="eastAsia" w:ascii="宋体"/>
          <w:szCs w:val="21"/>
          <w:lang w:val="en-US" w:eastAsia="zh-CN"/>
        </w:rPr>
        <w:t>不见面开标，投标人无需参加开标会。</w:t>
      </w:r>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开标会议由招标人或招标代理单位主持。</w:t>
      </w:r>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投标文件有下列情形之一的，招标人将不予受理，该投标文件不予送交评标委员会评审：</w:t>
      </w:r>
    </w:p>
    <w:p>
      <w:pPr>
        <w:widowControl/>
        <w:spacing w:line="360" w:lineRule="auto"/>
        <w:ind w:firstLine="420" w:firstLineChars="200"/>
        <w:rPr>
          <w:rFonts w:ascii="宋体"/>
          <w:snapToGrid w:val="0"/>
          <w:szCs w:val="21"/>
        </w:rPr>
      </w:pPr>
      <w:r>
        <w:rPr>
          <w:rFonts w:hint="eastAsia" w:ascii="宋体"/>
          <w:snapToGrid w:val="0"/>
          <w:szCs w:val="21"/>
        </w:rPr>
        <w:t>(1)逾期送达的或者未送达指定地点的；</w:t>
      </w:r>
    </w:p>
    <w:p>
      <w:pPr>
        <w:widowControl/>
        <w:spacing w:line="360" w:lineRule="auto"/>
        <w:ind w:firstLine="420" w:firstLineChars="200"/>
        <w:rPr>
          <w:rFonts w:ascii="宋体"/>
          <w:snapToGrid w:val="0"/>
          <w:szCs w:val="21"/>
        </w:rPr>
      </w:pPr>
      <w:r>
        <w:rPr>
          <w:rFonts w:hint="eastAsia" w:ascii="宋体"/>
          <w:snapToGrid w:val="0"/>
          <w:szCs w:val="21"/>
        </w:rPr>
        <w:t>(2)投标文件未按招标文件要求予以密封的；</w:t>
      </w:r>
    </w:p>
    <w:p>
      <w:pPr>
        <w:widowControl/>
        <w:spacing w:line="360" w:lineRule="auto"/>
        <w:ind w:firstLine="420" w:firstLineChars="200"/>
        <w:rPr>
          <w:rFonts w:ascii="宋体"/>
          <w:snapToGrid w:val="0"/>
          <w:szCs w:val="21"/>
        </w:rPr>
      </w:pPr>
      <w:r>
        <w:rPr>
          <w:rFonts w:hint="eastAsia" w:ascii="宋体"/>
          <w:snapToGrid w:val="0"/>
          <w:szCs w:val="21"/>
        </w:rPr>
        <w:t>(</w:t>
      </w:r>
      <w:r>
        <w:rPr>
          <w:rFonts w:hint="eastAsia" w:ascii="宋体"/>
          <w:snapToGrid w:val="0"/>
          <w:szCs w:val="21"/>
          <w:lang w:val="en-US" w:eastAsia="zh-CN"/>
        </w:rPr>
        <w:t>3</w:t>
      </w:r>
      <w:r>
        <w:rPr>
          <w:rFonts w:hint="eastAsia" w:ascii="宋体"/>
          <w:snapToGrid w:val="0"/>
          <w:szCs w:val="21"/>
        </w:rPr>
        <w:t>)违反有关规定的其他情形。</w:t>
      </w:r>
    </w:p>
    <w:p>
      <w:pPr>
        <w:pStyle w:val="5"/>
        <w:jc w:val="center"/>
      </w:pPr>
      <w:bookmarkStart w:id="55" w:name="_Toc310965918"/>
      <w:bookmarkStart w:id="56" w:name="_Toc310966037"/>
      <w:bookmarkStart w:id="57" w:name="_Toc316985980"/>
      <w:r>
        <w:t>(</w:t>
      </w:r>
      <w:r>
        <w:rPr>
          <w:rFonts w:hint="eastAsia"/>
        </w:rPr>
        <w:t>七</w:t>
      </w:r>
      <w:r>
        <w:t>)</w:t>
      </w:r>
      <w:r>
        <w:rPr>
          <w:rFonts w:hint="eastAsia"/>
        </w:rPr>
        <w:t>评标</w:t>
      </w:r>
      <w:bookmarkEnd w:id="55"/>
      <w:bookmarkEnd w:id="56"/>
      <w:bookmarkEnd w:id="57"/>
    </w:p>
    <w:p>
      <w:pPr>
        <w:pStyle w:val="8"/>
        <w:numPr>
          <w:ilvl w:val="0"/>
          <w:numId w:val="9"/>
        </w:numPr>
        <w:tabs>
          <w:tab w:val="left" w:pos="400"/>
        </w:tabs>
        <w:spacing w:before="120" w:beforeLines="50" w:after="120" w:afterLines="50" w:line="240" w:lineRule="auto"/>
        <w:outlineLvl w:val="2"/>
        <w:rPr>
          <w:rFonts w:ascii="黑体" w:eastAsia="黑体"/>
          <w:b/>
          <w:sz w:val="28"/>
          <w:szCs w:val="28"/>
        </w:rPr>
      </w:pPr>
      <w:bookmarkStart w:id="58" w:name="_Toc310965919"/>
      <w:bookmarkStart w:id="59" w:name="_Toc310966038"/>
      <w:bookmarkStart w:id="60" w:name="_Toc316985981"/>
      <w:r>
        <w:rPr>
          <w:rFonts w:hint="eastAsia" w:ascii="黑体" w:eastAsia="黑体"/>
          <w:b/>
          <w:sz w:val="28"/>
          <w:szCs w:val="28"/>
        </w:rPr>
        <w:t>评标委员会</w:t>
      </w:r>
      <w:bookmarkEnd w:id="58"/>
      <w:bookmarkEnd w:id="59"/>
      <w:bookmarkEnd w:id="60"/>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长江水务公司设立评标委员会，负责本次评标工作。评标委员会完成评标后，应当向公司提交书面评标报告，说明评标委员会对各投标文件的评审和比较意见，并按照招标文件中规定的评标方法，推荐3名有排序的预选中标候选人。</w:t>
      </w:r>
    </w:p>
    <w:p>
      <w:pPr>
        <w:widowControl/>
        <w:spacing w:line="360" w:lineRule="auto"/>
        <w:ind w:firstLine="420" w:firstLineChars="200"/>
        <w:rPr>
          <w:rFonts w:ascii="黑体" w:eastAsia="黑体"/>
          <w:b/>
          <w:sz w:val="28"/>
          <w:szCs w:val="28"/>
        </w:rPr>
      </w:pPr>
      <w:r>
        <w:rPr>
          <w:rFonts w:hint="eastAsia" w:ascii="宋体"/>
          <w:snapToGrid w:val="0"/>
          <w:szCs w:val="21"/>
        </w:rPr>
        <w:t>排序原则：（1）按得分从高到低进行排序；（2）当得分相同时，由评标委员会决定。</w:t>
      </w:r>
    </w:p>
    <w:p>
      <w:pPr>
        <w:pStyle w:val="8"/>
        <w:numPr>
          <w:ilvl w:val="0"/>
          <w:numId w:val="9"/>
        </w:numPr>
        <w:tabs>
          <w:tab w:val="left" w:pos="400"/>
        </w:tabs>
        <w:spacing w:before="120" w:beforeLines="50" w:after="120" w:afterLines="50" w:line="240" w:lineRule="auto"/>
        <w:outlineLvl w:val="2"/>
        <w:rPr>
          <w:rFonts w:ascii="黑体" w:eastAsia="黑体"/>
          <w:b/>
          <w:sz w:val="28"/>
          <w:szCs w:val="28"/>
        </w:rPr>
      </w:pPr>
      <w:bookmarkStart w:id="61" w:name="_Toc310965920"/>
      <w:bookmarkStart w:id="62" w:name="_Toc316985982"/>
      <w:bookmarkStart w:id="63" w:name="_Toc310966039"/>
      <w:r>
        <w:rPr>
          <w:rFonts w:hint="eastAsia" w:ascii="黑体" w:eastAsia="黑体"/>
          <w:b/>
          <w:sz w:val="28"/>
          <w:szCs w:val="28"/>
        </w:rPr>
        <w:t>评标原则</w:t>
      </w:r>
      <w:bookmarkEnd w:id="61"/>
      <w:bookmarkEnd w:id="62"/>
      <w:bookmarkEnd w:id="63"/>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评委应遵循公平、公正、客观、科学、独立、实事求是的评标原则。</w:t>
      </w:r>
    </w:p>
    <w:p>
      <w:pPr>
        <w:pStyle w:val="8"/>
        <w:numPr>
          <w:ilvl w:val="0"/>
          <w:numId w:val="9"/>
        </w:numPr>
        <w:tabs>
          <w:tab w:val="left" w:pos="400"/>
        </w:tabs>
        <w:spacing w:before="120" w:beforeLines="50" w:after="120" w:afterLines="50" w:line="240" w:lineRule="auto"/>
        <w:outlineLvl w:val="2"/>
        <w:rPr>
          <w:rFonts w:ascii="黑体" w:eastAsia="黑体"/>
          <w:b/>
          <w:sz w:val="28"/>
          <w:szCs w:val="28"/>
        </w:rPr>
      </w:pPr>
      <w:bookmarkStart w:id="64" w:name="_Toc310965922"/>
      <w:bookmarkStart w:id="65" w:name="_Toc316985984"/>
      <w:bookmarkStart w:id="66" w:name="_Toc310966041"/>
      <w:r>
        <w:rPr>
          <w:rFonts w:hint="eastAsia" w:ascii="黑体" w:eastAsia="黑体"/>
          <w:b/>
          <w:sz w:val="28"/>
          <w:szCs w:val="28"/>
        </w:rPr>
        <w:t>评标</w:t>
      </w:r>
      <w:bookmarkEnd w:id="64"/>
      <w:bookmarkEnd w:id="65"/>
      <w:bookmarkEnd w:id="66"/>
      <w:r>
        <w:rPr>
          <w:rFonts w:hint="eastAsia" w:ascii="黑体" w:eastAsia="黑体"/>
          <w:b/>
          <w:sz w:val="28"/>
          <w:szCs w:val="28"/>
        </w:rPr>
        <w:t>与定标</w:t>
      </w:r>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本招标项目采用的评标办法见</w:t>
      </w:r>
      <w:r>
        <w:rPr>
          <w:rFonts w:hint="eastAsia" w:ascii="宋体"/>
          <w:b/>
          <w:szCs w:val="21"/>
          <w:u w:val="single"/>
        </w:rPr>
        <w:t>投标须知前附表</w:t>
      </w:r>
      <w:r>
        <w:rPr>
          <w:rFonts w:hint="eastAsia" w:ascii="宋体"/>
          <w:szCs w:val="21"/>
        </w:rPr>
        <w:t>的规定。</w:t>
      </w:r>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评标委员会按照招标文件</w:t>
      </w:r>
      <w:r>
        <w:rPr>
          <w:rFonts w:hint="eastAsia" w:ascii="宋体"/>
          <w:b/>
          <w:szCs w:val="21"/>
        </w:rPr>
        <w:t>第二章“评标办法”</w:t>
      </w:r>
      <w:r>
        <w:rPr>
          <w:rFonts w:hint="eastAsia" w:ascii="宋体"/>
          <w:szCs w:val="21"/>
        </w:rPr>
        <w:t>规定进行评标。</w:t>
      </w:r>
    </w:p>
    <w:p>
      <w:pPr>
        <w:pStyle w:val="8"/>
        <w:numPr>
          <w:ilvl w:val="1"/>
          <w:numId w:val="9"/>
        </w:numPr>
        <w:tabs>
          <w:tab w:val="left" w:pos="510"/>
          <w:tab w:val="left" w:pos="1000"/>
        </w:tabs>
        <w:adjustRightInd w:val="0"/>
        <w:snapToGrid w:val="0"/>
        <w:spacing w:line="360" w:lineRule="auto"/>
        <w:jc w:val="left"/>
        <w:rPr>
          <w:rFonts w:ascii="宋体"/>
          <w:szCs w:val="21"/>
        </w:rPr>
      </w:pPr>
      <w:r>
        <w:rPr>
          <w:rFonts w:hint="eastAsia" w:ascii="宋体"/>
          <w:szCs w:val="21"/>
        </w:rPr>
        <w:t>投标文件有下列情形之一的，经评标委员会评审后按废标处理或被否决：</w:t>
      </w:r>
    </w:p>
    <w:p>
      <w:pPr>
        <w:widowControl/>
        <w:spacing w:line="360" w:lineRule="auto"/>
        <w:ind w:firstLine="420" w:firstLineChars="200"/>
        <w:rPr>
          <w:rFonts w:ascii="宋体" w:cs="宋体"/>
          <w:szCs w:val="21"/>
        </w:rPr>
      </w:pPr>
      <w:bookmarkStart w:id="67" w:name="_Toc261518402"/>
      <w:bookmarkStart w:id="68" w:name="_Toc277937836"/>
      <w:bookmarkStart w:id="69" w:name="_Toc263777169"/>
      <w:bookmarkStart w:id="70" w:name="_Toc267475074"/>
      <w:r>
        <w:rPr>
          <w:rFonts w:hint="eastAsia" w:ascii="宋体" w:cs="宋体"/>
          <w:szCs w:val="21"/>
        </w:rPr>
        <w:t>（1）投标文件中的投标函未加盖投标人的公章及企业法定代表人印章的，或者企业法定代表人委托代理人没有合法、有效的委托书（原件）及委托代理人签字或盖章的；</w:t>
      </w:r>
    </w:p>
    <w:p>
      <w:pPr>
        <w:widowControl/>
        <w:spacing w:line="360" w:lineRule="auto"/>
        <w:ind w:firstLine="420" w:firstLineChars="200"/>
        <w:rPr>
          <w:rFonts w:ascii="宋体" w:cs="宋体"/>
          <w:szCs w:val="21"/>
        </w:rPr>
      </w:pPr>
      <w:r>
        <w:rPr>
          <w:rFonts w:hint="eastAsia" w:ascii="宋体" w:cs="宋体"/>
          <w:szCs w:val="21"/>
        </w:rPr>
        <w:t xml:space="preserve">（2）未按招标文件规定的格式填写，内容不全或关键内容字迹模糊、无法辨认的；  </w:t>
      </w:r>
    </w:p>
    <w:p>
      <w:pPr>
        <w:widowControl/>
        <w:spacing w:line="360" w:lineRule="auto"/>
        <w:ind w:firstLine="420" w:firstLineChars="200"/>
        <w:rPr>
          <w:rFonts w:ascii="宋体" w:cs="宋体"/>
          <w:szCs w:val="21"/>
        </w:rPr>
      </w:pPr>
      <w:r>
        <w:rPr>
          <w:rFonts w:hint="eastAsia" w:ascii="宋体" w:cs="宋体"/>
          <w:szCs w:val="21"/>
        </w:rPr>
        <w:t>（3）投标人递交两份或者多份内容不同的投标文件且未声明哪个有效；</w:t>
      </w:r>
    </w:p>
    <w:p>
      <w:pPr>
        <w:widowControl/>
        <w:spacing w:line="360" w:lineRule="auto"/>
        <w:ind w:firstLine="420" w:firstLineChars="200"/>
        <w:rPr>
          <w:rFonts w:ascii="宋体" w:cs="宋体"/>
          <w:szCs w:val="21"/>
        </w:rPr>
      </w:pPr>
      <w:r>
        <w:rPr>
          <w:rFonts w:hint="eastAsia" w:ascii="宋体" w:cs="宋体"/>
          <w:szCs w:val="21"/>
        </w:rPr>
        <w:t>（4）投标有效期不满足招标文件要求的；</w:t>
      </w:r>
    </w:p>
    <w:p>
      <w:pPr>
        <w:widowControl/>
        <w:spacing w:line="360" w:lineRule="auto"/>
        <w:ind w:firstLine="420" w:firstLineChars="200"/>
        <w:rPr>
          <w:rFonts w:ascii="宋体" w:cs="宋体"/>
          <w:szCs w:val="21"/>
        </w:rPr>
      </w:pPr>
      <w:r>
        <w:rPr>
          <w:rFonts w:hint="eastAsia" w:ascii="宋体" w:cs="宋体"/>
          <w:szCs w:val="21"/>
        </w:rPr>
        <w:t>（5）投标文件载明的货物包装方式、检验标准和方法不符合招标文件要求的；</w:t>
      </w:r>
    </w:p>
    <w:p>
      <w:pPr>
        <w:widowControl/>
        <w:spacing w:line="360" w:lineRule="auto"/>
        <w:ind w:firstLine="420" w:firstLineChars="200"/>
        <w:rPr>
          <w:rFonts w:ascii="宋体" w:cs="宋体"/>
          <w:szCs w:val="21"/>
        </w:rPr>
      </w:pPr>
      <w:r>
        <w:rPr>
          <w:rFonts w:hint="eastAsia" w:ascii="宋体" w:cs="宋体"/>
          <w:szCs w:val="21"/>
        </w:rPr>
        <w:t>（6）明显不符合招标文件所要求的技术规格、技术标准和要求的；</w:t>
      </w:r>
    </w:p>
    <w:p>
      <w:pPr>
        <w:widowControl/>
        <w:spacing w:line="360" w:lineRule="auto"/>
        <w:ind w:firstLine="420" w:firstLineChars="200"/>
        <w:rPr>
          <w:rFonts w:ascii="宋体" w:cs="宋体"/>
          <w:szCs w:val="21"/>
        </w:rPr>
      </w:pPr>
      <w:r>
        <w:rPr>
          <w:rFonts w:hint="eastAsia" w:ascii="宋体" w:cs="宋体"/>
          <w:szCs w:val="21"/>
        </w:rPr>
        <w:t>（7）投标文件附有招标人不能接受的条件的；</w:t>
      </w:r>
    </w:p>
    <w:p>
      <w:pPr>
        <w:widowControl/>
        <w:spacing w:line="360" w:lineRule="auto"/>
        <w:ind w:firstLine="420" w:firstLineChars="200"/>
        <w:rPr>
          <w:rFonts w:ascii="宋体" w:cs="宋体"/>
          <w:szCs w:val="21"/>
        </w:rPr>
      </w:pPr>
      <w:r>
        <w:rPr>
          <w:rFonts w:hint="eastAsia" w:ascii="宋体" w:cs="宋体"/>
          <w:szCs w:val="21"/>
        </w:rPr>
        <w:t>（8）未响应招标文件规定的其他实质性要求；</w:t>
      </w:r>
    </w:p>
    <w:p>
      <w:pPr>
        <w:widowControl/>
        <w:spacing w:line="360" w:lineRule="auto"/>
        <w:ind w:firstLine="420" w:firstLineChars="200"/>
        <w:rPr>
          <w:rFonts w:ascii="宋体" w:cs="宋体"/>
          <w:szCs w:val="21"/>
        </w:rPr>
      </w:pPr>
      <w:r>
        <w:rPr>
          <w:rFonts w:hint="eastAsia" w:ascii="宋体" w:cs="宋体"/>
          <w:szCs w:val="21"/>
        </w:rPr>
        <w:t>（9）不同投标人的投标文件出现了评标委员会认为不应当雷同的情况；</w:t>
      </w:r>
    </w:p>
    <w:p>
      <w:pPr>
        <w:widowControl/>
        <w:spacing w:line="360" w:lineRule="auto"/>
        <w:ind w:firstLine="420" w:firstLineChars="200"/>
        <w:rPr>
          <w:rFonts w:ascii="宋体" w:cs="宋体"/>
          <w:szCs w:val="21"/>
        </w:rPr>
      </w:pPr>
      <w:r>
        <w:rPr>
          <w:rFonts w:hint="eastAsia" w:ascii="宋体" w:cs="宋体"/>
          <w:szCs w:val="21"/>
        </w:rPr>
        <w:t>（10）投标人未按照招标文件的要求提供必须提交的相关资料或提供虚假资料的；</w:t>
      </w:r>
    </w:p>
    <w:p>
      <w:pPr>
        <w:widowControl/>
        <w:spacing w:line="360" w:lineRule="auto"/>
        <w:ind w:firstLine="420" w:firstLineChars="200"/>
        <w:rPr>
          <w:rFonts w:ascii="宋体" w:cs="宋体"/>
          <w:szCs w:val="21"/>
        </w:rPr>
      </w:pPr>
      <w:r>
        <w:rPr>
          <w:rFonts w:hint="eastAsia" w:ascii="宋体" w:cs="宋体"/>
          <w:szCs w:val="21"/>
        </w:rPr>
        <w:t xml:space="preserve"> (11) 招标文件明确规定废标和拒绝接受的其他情形；</w:t>
      </w:r>
    </w:p>
    <w:p>
      <w:pPr>
        <w:widowControl/>
        <w:spacing w:line="360" w:lineRule="auto"/>
        <w:ind w:firstLine="420" w:firstLineChars="200"/>
        <w:rPr>
          <w:rFonts w:ascii="宋体" w:cs="宋体"/>
          <w:szCs w:val="21"/>
        </w:rPr>
      </w:pPr>
      <w:r>
        <w:rPr>
          <w:rFonts w:hint="eastAsia" w:ascii="宋体" w:cs="宋体"/>
          <w:szCs w:val="21"/>
        </w:rPr>
        <w:t>（12）投标报价不满足招标文件要求的；</w:t>
      </w:r>
    </w:p>
    <w:p>
      <w:pPr>
        <w:widowControl/>
        <w:spacing w:line="360" w:lineRule="auto"/>
        <w:ind w:left="525" w:leftChars="200" w:hanging="105" w:hangingChars="50"/>
        <w:rPr>
          <w:rFonts w:ascii="宋体" w:cs="宋体"/>
          <w:szCs w:val="21"/>
        </w:rPr>
      </w:pPr>
      <w:r>
        <w:rPr>
          <w:rFonts w:hint="eastAsia" w:ascii="宋体" w:cs="宋体"/>
          <w:szCs w:val="21"/>
        </w:rPr>
        <w:t xml:space="preserve">（13）以他人的名义投标、串通投标、以行贿手段谋取中标或者以其他弄虚作假方式投标的。  </w:t>
      </w:r>
    </w:p>
    <w:p>
      <w:pPr>
        <w:widowControl/>
        <w:spacing w:line="360" w:lineRule="auto"/>
        <w:ind w:left="525" w:leftChars="200" w:hanging="105" w:hangingChars="50"/>
        <w:rPr>
          <w:rFonts w:ascii="宋体" w:cs="宋体"/>
          <w:szCs w:val="21"/>
        </w:rPr>
      </w:pPr>
      <w:r>
        <w:rPr>
          <w:rFonts w:hint="eastAsia" w:ascii="宋体" w:cs="宋体"/>
          <w:szCs w:val="21"/>
        </w:rPr>
        <w:t>经评标委员会认定为存在重大偏差的投标文件，将作为废标处理。</w:t>
      </w:r>
    </w:p>
    <w:p>
      <w:pPr>
        <w:widowControl/>
        <w:spacing w:line="360" w:lineRule="auto"/>
        <w:rPr>
          <w:rFonts w:ascii="宋体" w:cs="宋体"/>
          <w:szCs w:val="21"/>
        </w:rPr>
      </w:pPr>
      <w:r>
        <w:rPr>
          <w:rFonts w:hint="eastAsia" w:ascii="宋体" w:cs="宋体"/>
          <w:szCs w:val="21"/>
        </w:rPr>
        <w:t>16.4定标原则：</w:t>
      </w:r>
    </w:p>
    <w:p>
      <w:pPr>
        <w:widowControl/>
        <w:spacing w:line="360" w:lineRule="auto"/>
        <w:ind w:left="525" w:leftChars="200" w:hanging="105" w:hangingChars="50"/>
        <w:rPr>
          <w:rFonts w:ascii="宋体" w:cs="宋体"/>
          <w:szCs w:val="21"/>
        </w:rPr>
      </w:pPr>
      <w:r>
        <w:rPr>
          <w:rFonts w:hint="eastAsia" w:ascii="宋体" w:cs="宋体"/>
          <w:szCs w:val="21"/>
        </w:rPr>
        <w:t>（1）按得分高低从高到低进行排序；</w:t>
      </w:r>
    </w:p>
    <w:p>
      <w:pPr>
        <w:widowControl/>
        <w:spacing w:line="360" w:lineRule="auto"/>
        <w:ind w:left="525" w:leftChars="200" w:hanging="105" w:hangingChars="50"/>
        <w:rPr>
          <w:rFonts w:ascii="宋体" w:cs="宋体"/>
          <w:szCs w:val="21"/>
        </w:rPr>
      </w:pPr>
      <w:r>
        <w:rPr>
          <w:rFonts w:hint="eastAsia" w:ascii="宋体" w:cs="宋体"/>
          <w:szCs w:val="21"/>
        </w:rPr>
        <w:t>（2）当得分相同时，取报价低者优先；</w:t>
      </w:r>
    </w:p>
    <w:p>
      <w:pPr>
        <w:widowControl/>
        <w:spacing w:line="360" w:lineRule="auto"/>
        <w:ind w:left="525" w:leftChars="200" w:hanging="105" w:hangingChars="50"/>
        <w:rPr>
          <w:rFonts w:ascii="宋体" w:cs="宋体"/>
          <w:szCs w:val="21"/>
        </w:rPr>
      </w:pPr>
      <w:r>
        <w:rPr>
          <w:rFonts w:hint="eastAsia" w:ascii="宋体" w:cs="宋体"/>
          <w:szCs w:val="21"/>
        </w:rPr>
        <w:t>（3）当得分、报价均相同时，由评标委员会决定。</w:t>
      </w:r>
    </w:p>
    <w:p>
      <w:pPr>
        <w:widowControl/>
        <w:spacing w:line="360" w:lineRule="auto"/>
        <w:ind w:left="525" w:leftChars="200" w:hanging="105" w:hangingChars="50"/>
        <w:rPr>
          <w:rFonts w:ascii="宋体" w:cs="宋体"/>
          <w:szCs w:val="21"/>
        </w:rPr>
      </w:pPr>
      <w:r>
        <w:rPr>
          <w:rFonts w:hint="eastAsia" w:ascii="宋体" w:cs="宋体"/>
          <w:szCs w:val="21"/>
        </w:rPr>
        <w:t>（4）报价相同时由评标委员会确定；</w:t>
      </w:r>
    </w:p>
    <w:p>
      <w:pPr>
        <w:widowControl/>
        <w:spacing w:line="360" w:lineRule="auto"/>
        <w:rPr>
          <w:rFonts w:ascii="宋体" w:cs="宋体"/>
          <w:szCs w:val="21"/>
        </w:rPr>
      </w:pPr>
      <w:r>
        <w:rPr>
          <w:rFonts w:hint="eastAsia" w:ascii="宋体" w:cs="宋体"/>
          <w:szCs w:val="21"/>
        </w:rPr>
        <w:t>16.5依法必须进行招标的项目，招标人应当确定排名第一的中标候选人为中标人。排名第一的中标候选人放弃中标、因不可抗力提出不能履行合同，或者招标文件规定应当提交履约保证金而在规定的期限内未能提交的，招标人可以确定排名第二的中标候选人为中标人。排名第二的中标候选人因前款规定的同样原因不能签订合同的，招标人可以确定排名第三的中标候选人为中标人。</w:t>
      </w:r>
    </w:p>
    <w:p>
      <w:pPr>
        <w:widowControl/>
        <w:spacing w:line="360" w:lineRule="auto"/>
        <w:rPr>
          <w:rFonts w:ascii="宋体" w:cs="宋体"/>
          <w:szCs w:val="21"/>
        </w:rPr>
      </w:pPr>
      <w:r>
        <w:rPr>
          <w:rFonts w:hint="eastAsia" w:ascii="宋体" w:cs="宋体"/>
          <w:szCs w:val="21"/>
        </w:rPr>
        <w:t>16.6评标和定标将在投标有效期结束日30个工作日前完成。不能在投标有效期结束日30个工作日前完成评标和定标的，招标人将通知所有投标人延长投标有效期。因延长投标有效期造成投标人损失的，招标人将给予补偿，但因不可抗力需延长投标有效期的除外。</w:t>
      </w:r>
    </w:p>
    <w:p>
      <w:pPr>
        <w:pStyle w:val="2"/>
        <w:ind w:firstLine="0" w:firstLineChars="0"/>
      </w:pPr>
    </w:p>
    <w:p>
      <w:pPr>
        <w:pStyle w:val="2"/>
        <w:ind w:firstLine="0" w:firstLineChars="0"/>
      </w:pPr>
    </w:p>
    <w:bookmarkEnd w:id="67"/>
    <w:bookmarkEnd w:id="68"/>
    <w:bookmarkEnd w:id="69"/>
    <w:bookmarkEnd w:id="70"/>
    <w:p>
      <w:pPr>
        <w:pStyle w:val="5"/>
        <w:jc w:val="center"/>
      </w:pPr>
      <w:bookmarkStart w:id="71" w:name="_Toc310965924"/>
      <w:bookmarkStart w:id="72" w:name="_Toc316985986"/>
      <w:bookmarkStart w:id="73" w:name="_Toc310966043"/>
      <w:bookmarkStart w:id="74" w:name="_Toc277937846"/>
      <w:bookmarkStart w:id="75" w:name="_Toc152045574"/>
      <w:bookmarkStart w:id="76" w:name="_Toc267475084"/>
      <w:bookmarkStart w:id="77" w:name="_Toc152042350"/>
      <w:bookmarkStart w:id="78" w:name="_Toc144974542"/>
      <w:bookmarkStart w:id="79" w:name="_Toc263403079"/>
      <w:bookmarkStart w:id="80" w:name="_Toc263777179"/>
      <w:r>
        <w:t xml:space="preserve"> (</w:t>
      </w:r>
      <w:r>
        <w:rPr>
          <w:rFonts w:hint="eastAsia"/>
        </w:rPr>
        <w:t>八</w:t>
      </w:r>
      <w:r>
        <w:t>)</w:t>
      </w:r>
      <w:r>
        <w:rPr>
          <w:rFonts w:hint="eastAsia"/>
        </w:rPr>
        <w:t>合同授予</w:t>
      </w:r>
      <w:bookmarkEnd w:id="71"/>
      <w:bookmarkEnd w:id="72"/>
      <w:bookmarkEnd w:id="73"/>
    </w:p>
    <w:p>
      <w:pPr>
        <w:pStyle w:val="8"/>
        <w:numPr>
          <w:ilvl w:val="0"/>
          <w:numId w:val="9"/>
        </w:numPr>
        <w:tabs>
          <w:tab w:val="left" w:pos="400"/>
        </w:tabs>
        <w:spacing w:before="120" w:beforeLines="50" w:after="120" w:afterLines="50" w:line="240" w:lineRule="auto"/>
        <w:outlineLvl w:val="2"/>
        <w:rPr>
          <w:rFonts w:ascii="黑体" w:eastAsia="黑体"/>
          <w:b/>
          <w:sz w:val="28"/>
          <w:szCs w:val="28"/>
        </w:rPr>
      </w:pPr>
      <w:r>
        <w:rPr>
          <w:rFonts w:hint="eastAsia" w:ascii="黑体" w:eastAsia="黑体"/>
          <w:b/>
          <w:sz w:val="28"/>
          <w:szCs w:val="28"/>
        </w:rPr>
        <w:t>合同</w:t>
      </w:r>
    </w:p>
    <w:bookmarkEnd w:id="8"/>
    <w:bookmarkEnd w:id="74"/>
    <w:bookmarkEnd w:id="75"/>
    <w:bookmarkEnd w:id="76"/>
    <w:bookmarkEnd w:id="77"/>
    <w:bookmarkEnd w:id="78"/>
    <w:bookmarkEnd w:id="79"/>
    <w:bookmarkEnd w:id="80"/>
    <w:p>
      <w:pPr>
        <w:jc w:val="center"/>
        <w:rPr>
          <w:rFonts w:hint="eastAsia"/>
          <w:b/>
          <w:sz w:val="28"/>
          <w:szCs w:val="28"/>
        </w:rPr>
      </w:pPr>
      <w:r>
        <w:rPr>
          <w:rFonts w:hint="eastAsia"/>
          <w:b/>
          <w:sz w:val="28"/>
          <w:szCs w:val="28"/>
        </w:rPr>
        <w:t>合同主要条款</w:t>
      </w:r>
    </w:p>
    <w:p>
      <w:pPr>
        <w:pStyle w:val="6"/>
        <w:contextualSpacing/>
        <w:jc w:val="center"/>
        <w:rPr>
          <w:rFonts w:hint="eastAsia"/>
          <w:bCs w:val="0"/>
          <w:sz w:val="24"/>
          <w:szCs w:val="24"/>
        </w:rPr>
      </w:pPr>
      <w:r>
        <w:rPr>
          <w:rFonts w:hint="eastAsia"/>
          <w:bCs w:val="0"/>
          <w:sz w:val="24"/>
          <w:szCs w:val="24"/>
        </w:rPr>
        <w:t>第一部分　建设工程造价咨询协议书</w:t>
      </w:r>
    </w:p>
    <w:p>
      <w:pPr>
        <w:pStyle w:val="21"/>
        <w:adjustRightInd w:val="0"/>
        <w:spacing w:before="0" w:after="0"/>
        <w:contextualSpacing/>
        <w:rPr>
          <w:rFonts w:hint="eastAsia"/>
          <w:u w:val="single"/>
        </w:rPr>
      </w:pPr>
      <w:r>
        <w:rPr>
          <w:rFonts w:hint="eastAsia"/>
          <w:u w:val="single"/>
        </w:rPr>
        <w:t xml:space="preserve">                </w:t>
      </w:r>
      <w:r>
        <w:t>（以下简称委托人）</w:t>
      </w:r>
    </w:p>
    <w:p>
      <w:pPr>
        <w:pStyle w:val="21"/>
        <w:adjustRightInd w:val="0"/>
        <w:spacing w:before="0" w:after="0"/>
        <w:contextualSpacing/>
        <w:rPr>
          <w:rFonts w:hint="eastAsia"/>
        </w:rPr>
      </w:pPr>
      <w:r>
        <w:rPr>
          <w:rFonts w:hint="eastAsia"/>
          <w:u w:val="single"/>
        </w:rPr>
        <w:t xml:space="preserve">               </w:t>
      </w:r>
      <w:r>
        <w:rPr>
          <w:rFonts w:hint="eastAsia"/>
        </w:rPr>
        <w:t>_</w:t>
      </w:r>
      <w:r>
        <w:rPr>
          <w:rFonts w:hint="eastAsia"/>
          <w:u w:val="single"/>
        </w:rPr>
        <w:t xml:space="preserve">_ </w:t>
      </w:r>
      <w:r>
        <w:t>（以下简称咨询人）</w:t>
      </w:r>
    </w:p>
    <w:p>
      <w:pPr>
        <w:pStyle w:val="21"/>
        <w:adjustRightInd w:val="0"/>
        <w:spacing w:before="0" w:after="0"/>
        <w:ind w:firstLine="480" w:firstLineChars="200"/>
        <w:contextualSpacing/>
      </w:pPr>
      <w:r>
        <w:rPr>
          <w:rFonts w:hint="eastAsia"/>
        </w:rPr>
        <w:t>依据《中华人民共和国民法典》及工程造价相关管理规定，经过双方协商一致，签订本工程造价咨询合同</w:t>
      </w:r>
      <w:r>
        <w:rPr>
          <w:rFonts w:hint="eastAsia"/>
          <w:color w:val="000000"/>
        </w:rPr>
        <w:t>。</w:t>
      </w:r>
    </w:p>
    <w:p>
      <w:pPr>
        <w:pStyle w:val="21"/>
        <w:adjustRightInd w:val="0"/>
        <w:spacing w:before="0" w:after="0"/>
        <w:ind w:firstLine="420"/>
        <w:contextualSpacing/>
      </w:pPr>
      <w:r>
        <w:t>一、委托人委托咨询人为以下项目提供建设工程造价咨询服务：</w:t>
      </w:r>
    </w:p>
    <w:p>
      <w:pPr>
        <w:pStyle w:val="21"/>
        <w:adjustRightInd w:val="0"/>
        <w:spacing w:before="0" w:beforeAutospacing="0" w:after="0" w:afterAutospacing="0"/>
        <w:ind w:firstLine="480" w:firstLineChars="200"/>
        <w:contextualSpacing/>
        <w:rPr>
          <w:rFonts w:hint="eastAsia"/>
        </w:rPr>
      </w:pPr>
      <w:r>
        <w:t> 1、项目名称：</w:t>
      </w:r>
      <w:r>
        <w:rPr>
          <w:rFonts w:hint="eastAsia"/>
          <w:u w:val="single"/>
        </w:rPr>
        <w:t xml:space="preserve">                                     </w:t>
      </w:r>
      <w:r>
        <w:rPr>
          <w:u w:val="single"/>
        </w:rPr>
        <w:t>_</w:t>
      </w:r>
    </w:p>
    <w:p>
      <w:pPr>
        <w:pStyle w:val="21"/>
        <w:adjustRightInd w:val="0"/>
        <w:spacing w:before="0" w:beforeAutospacing="0" w:after="0" w:afterAutospacing="0"/>
        <w:ind w:firstLine="600" w:firstLineChars="250"/>
        <w:contextualSpacing/>
        <w:rPr>
          <w:rFonts w:hint="eastAsia"/>
        </w:rPr>
      </w:pPr>
      <w:r>
        <w:rPr>
          <w:rFonts w:hint="eastAsia"/>
        </w:rPr>
        <w:t xml:space="preserve"> 2、项目规模：</w:t>
      </w:r>
      <w:r>
        <w:rPr>
          <w:rFonts w:hint="eastAsia"/>
          <w:u w:val="single"/>
        </w:rPr>
        <w:t xml:space="preserve">                                       </w:t>
      </w:r>
    </w:p>
    <w:p>
      <w:pPr>
        <w:pStyle w:val="21"/>
        <w:adjustRightInd w:val="0"/>
        <w:spacing w:before="0" w:beforeAutospacing="0" w:after="0" w:afterAutospacing="0"/>
        <w:ind w:firstLine="600" w:firstLineChars="250"/>
        <w:contextualSpacing/>
        <w:rPr>
          <w:rFonts w:hint="eastAsia"/>
          <w:u w:val="single"/>
        </w:rPr>
      </w:pPr>
      <w:r>
        <w:rPr>
          <w:rFonts w:hint="eastAsia"/>
        </w:rPr>
        <w:t xml:space="preserve"> 3、建设地点：</w:t>
      </w:r>
      <w:r>
        <w:rPr>
          <w:rFonts w:hint="eastAsia"/>
          <w:u w:val="single"/>
        </w:rPr>
        <w:t xml:space="preserve">                                         </w:t>
      </w:r>
    </w:p>
    <w:p>
      <w:pPr>
        <w:pStyle w:val="21"/>
        <w:adjustRightInd w:val="0"/>
        <w:spacing w:before="0" w:beforeAutospacing="0" w:after="0" w:afterAutospacing="0"/>
        <w:ind w:firstLine="600" w:firstLineChars="250"/>
        <w:contextualSpacing/>
        <w:rPr>
          <w:rFonts w:hint="eastAsia"/>
        </w:rPr>
      </w:pPr>
      <w:r>
        <w:rPr>
          <w:rFonts w:hint="eastAsia"/>
        </w:rPr>
        <w:t xml:space="preserve"> 4、总 投 资：</w:t>
      </w:r>
      <w:r>
        <w:rPr>
          <w:rFonts w:hint="eastAsia"/>
          <w:u w:val="single"/>
        </w:rPr>
        <w:t xml:space="preserve">                                </w:t>
      </w:r>
    </w:p>
    <w:p>
      <w:pPr>
        <w:pStyle w:val="21"/>
        <w:adjustRightInd w:val="0"/>
        <w:spacing w:before="0" w:after="0"/>
        <w:contextualSpacing/>
        <w:rPr>
          <w:rFonts w:hint="eastAsia"/>
          <w:u w:val="single"/>
        </w:rPr>
      </w:pPr>
      <w:r>
        <w:t> </w:t>
      </w:r>
      <w:r>
        <w:rPr>
          <w:rFonts w:hint="eastAsia"/>
        </w:rPr>
        <w:t xml:space="preserve">    5</w:t>
      </w:r>
      <w:r>
        <w:t>、</w:t>
      </w:r>
      <w:r>
        <w:rPr>
          <w:rFonts w:hint="eastAsia"/>
        </w:rPr>
        <w:t>咨询业务范围及内容：</w:t>
      </w:r>
      <w:r>
        <w:rPr>
          <w:rFonts w:hint="eastAsia"/>
          <w:u w:val="single"/>
        </w:rPr>
        <w:t xml:space="preserve">造价咨询服务                  </w:t>
      </w:r>
    </w:p>
    <w:p>
      <w:pPr>
        <w:pStyle w:val="21"/>
        <w:adjustRightInd w:val="0"/>
        <w:spacing w:before="0" w:after="0"/>
        <w:contextualSpacing/>
        <w:rPr>
          <w:rFonts w:hint="eastAsia"/>
        </w:rPr>
      </w:pPr>
      <w:r>
        <w:rPr>
          <w:rFonts w:hint="eastAsia"/>
        </w:rPr>
        <w:t xml:space="preserve">      </w:t>
      </w:r>
      <w:r>
        <w:t>二、</w:t>
      </w:r>
      <w:r>
        <w:rPr>
          <w:rFonts w:hint="eastAsia"/>
        </w:rPr>
        <w:t>本协议书的措词和用语与所属建设工程造价咨询合同通用条款赋予的定义相同。</w:t>
      </w:r>
    </w:p>
    <w:p>
      <w:pPr>
        <w:pStyle w:val="21"/>
        <w:adjustRightInd w:val="0"/>
        <w:spacing w:before="0" w:after="0"/>
        <w:ind w:firstLine="420"/>
        <w:contextualSpacing/>
        <w:rPr>
          <w:rFonts w:hint="eastAsia"/>
        </w:rPr>
      </w:pPr>
      <w:r>
        <w:rPr>
          <w:rFonts w:hint="eastAsia"/>
        </w:rPr>
        <w:t>三、本合同的组成部分及解释顺序为：</w:t>
      </w:r>
    </w:p>
    <w:p>
      <w:pPr>
        <w:pStyle w:val="21"/>
        <w:adjustRightInd w:val="0"/>
        <w:spacing w:before="0" w:after="0"/>
        <w:ind w:firstLine="600" w:firstLineChars="250"/>
        <w:contextualSpacing/>
        <w:rPr>
          <w:rFonts w:hint="eastAsia"/>
        </w:rPr>
      </w:pPr>
      <w:r>
        <w:rPr>
          <w:rFonts w:hint="eastAsia"/>
        </w:rPr>
        <w:t>1、建设工程造价咨询协议书；</w:t>
      </w:r>
    </w:p>
    <w:p>
      <w:pPr>
        <w:pStyle w:val="21"/>
        <w:adjustRightInd w:val="0"/>
        <w:spacing w:before="0" w:after="0"/>
        <w:ind w:firstLine="600" w:firstLineChars="250"/>
        <w:contextualSpacing/>
        <w:rPr>
          <w:rFonts w:hint="eastAsia"/>
        </w:rPr>
      </w:pPr>
      <w:r>
        <w:rPr>
          <w:rFonts w:hint="eastAsia"/>
        </w:rPr>
        <w:t>2、建设工程造价咨询合同专用条款；</w:t>
      </w:r>
    </w:p>
    <w:p>
      <w:pPr>
        <w:pStyle w:val="21"/>
        <w:adjustRightInd w:val="0"/>
        <w:spacing w:before="0" w:after="0"/>
        <w:ind w:firstLine="600" w:firstLineChars="250"/>
        <w:contextualSpacing/>
        <w:rPr>
          <w:rFonts w:hint="eastAsia"/>
        </w:rPr>
      </w:pPr>
      <w:r>
        <w:rPr>
          <w:rFonts w:hint="eastAsia"/>
        </w:rPr>
        <w:t>3、建设工程造价咨询合同通用条款；</w:t>
      </w:r>
    </w:p>
    <w:p>
      <w:pPr>
        <w:pStyle w:val="21"/>
        <w:adjustRightInd w:val="0"/>
        <w:spacing w:before="0" w:after="0"/>
        <w:ind w:firstLine="600" w:firstLineChars="250"/>
        <w:contextualSpacing/>
        <w:rPr>
          <w:rFonts w:hint="eastAsia"/>
        </w:rPr>
      </w:pPr>
      <w:r>
        <w:rPr>
          <w:rFonts w:hint="eastAsia"/>
        </w:rPr>
        <w:t>4、建设工程造价咨询合同履行中共同签署的补充文件；</w:t>
      </w:r>
    </w:p>
    <w:p>
      <w:pPr>
        <w:pStyle w:val="21"/>
        <w:adjustRightInd w:val="0"/>
        <w:ind w:firstLine="600" w:firstLineChars="250"/>
        <w:contextualSpacing/>
      </w:pPr>
      <w:r>
        <w:rPr>
          <w:rFonts w:hint="eastAsia"/>
        </w:rPr>
        <w:t>5、通过招标方式获得咨询业务的，还包括下列资料：招标文件；投标书及附件；中标通知书。</w:t>
      </w:r>
      <w:r>
        <w:t> </w:t>
      </w:r>
    </w:p>
    <w:p>
      <w:pPr>
        <w:pStyle w:val="21"/>
        <w:adjustRightInd w:val="0"/>
        <w:spacing w:before="0" w:after="0"/>
        <w:ind w:firstLine="420"/>
        <w:contextualSpacing/>
      </w:pPr>
      <w:r>
        <w:t>四、咨询人同意按照本合</w:t>
      </w:r>
      <w:r>
        <w:rPr>
          <w:spacing w:val="-20"/>
        </w:rPr>
        <w:t>同的规定，承担本合</w:t>
      </w:r>
      <w:r>
        <w:t>同专用条件中议定范围内的建设工程造价咨询业务。 </w:t>
      </w:r>
    </w:p>
    <w:p>
      <w:pPr>
        <w:pStyle w:val="21"/>
        <w:adjustRightInd w:val="0"/>
        <w:spacing w:before="0" w:after="0"/>
        <w:ind w:firstLine="420"/>
        <w:contextualSpacing/>
      </w:pPr>
      <w:r>
        <w:t>五、委托人同意按照本合同规定的期限、方式、币种</w:t>
      </w:r>
      <w:r>
        <w:rPr>
          <w:rFonts w:hint="eastAsia"/>
        </w:rPr>
        <w:t>和</w:t>
      </w:r>
      <w:r>
        <w:t>额度向咨询人支付酬金。 </w:t>
      </w:r>
    </w:p>
    <w:p>
      <w:pPr>
        <w:pStyle w:val="21"/>
        <w:adjustRightInd w:val="0"/>
        <w:spacing w:before="0" w:after="0"/>
        <w:ind w:firstLine="420"/>
        <w:contextualSpacing/>
      </w:pPr>
      <w:r>
        <w:t>六、本合同的建设工程造价业务自</w:t>
      </w:r>
      <w:r>
        <w:rPr>
          <w:rFonts w:hint="eastAsia"/>
          <w:u w:val="single"/>
        </w:rPr>
        <w:t xml:space="preserve">    </w:t>
      </w:r>
      <w:r>
        <w:rPr>
          <w:color w:val="000000"/>
        </w:rPr>
        <w:t>年</w:t>
      </w:r>
      <w:r>
        <w:rPr>
          <w:rFonts w:hint="eastAsia"/>
          <w:color w:val="000000"/>
          <w:u w:val="single"/>
        </w:rPr>
        <w:t xml:space="preserve">   </w:t>
      </w:r>
      <w:r>
        <w:rPr>
          <w:color w:val="000000"/>
        </w:rPr>
        <w:t>月</w:t>
      </w:r>
      <w:r>
        <w:rPr>
          <w:rFonts w:hint="eastAsia"/>
          <w:color w:val="000000"/>
          <w:u w:val="single"/>
        </w:rPr>
        <w:t xml:space="preserve">    </w:t>
      </w:r>
      <w:r>
        <w:rPr>
          <w:color w:val="000000"/>
        </w:rPr>
        <w:t>日开始实施，至</w:t>
      </w:r>
      <w:r>
        <w:rPr>
          <w:rFonts w:hint="eastAsia"/>
          <w:color w:val="000000"/>
          <w:u w:val="single"/>
        </w:rPr>
        <w:t xml:space="preserve">     </w:t>
      </w:r>
      <w:r>
        <w:rPr>
          <w:color w:val="000000"/>
        </w:rPr>
        <w:t>年</w:t>
      </w:r>
      <w:r>
        <w:rPr>
          <w:rFonts w:hint="eastAsia"/>
          <w:color w:val="000000"/>
          <w:u w:val="single"/>
        </w:rPr>
        <w:t xml:space="preserve">   </w:t>
      </w:r>
      <w:r>
        <w:rPr>
          <w:color w:val="000000"/>
        </w:rPr>
        <w:t>月</w:t>
      </w:r>
      <w:r>
        <w:rPr>
          <w:rFonts w:hint="eastAsia"/>
          <w:color w:val="000000"/>
          <w:u w:val="single"/>
        </w:rPr>
        <w:t xml:space="preserve">   </w:t>
      </w:r>
      <w:r>
        <w:rPr>
          <w:rFonts w:hint="eastAsia"/>
          <w:color w:val="000000"/>
        </w:rPr>
        <w:t>（或项目结束）</w:t>
      </w:r>
      <w:r>
        <w:rPr>
          <w:color w:val="000000"/>
        </w:rPr>
        <w:t>终结。</w:t>
      </w:r>
      <w:r>
        <w:rPr>
          <w:rFonts w:hint="eastAsia"/>
        </w:rPr>
        <w:t>若委托人提供咨询资料延后则时间相应顺延，若增加工作内容具体完成时间另行约定。</w:t>
      </w:r>
      <w:r>
        <w:t> </w:t>
      </w:r>
    </w:p>
    <w:p>
      <w:pPr>
        <w:pStyle w:val="21"/>
        <w:adjustRightInd w:val="0"/>
        <w:spacing w:before="0" w:after="0"/>
        <w:ind w:firstLine="420"/>
        <w:contextualSpacing/>
      </w:pPr>
      <w:r>
        <w:t>七、</w:t>
      </w:r>
      <w:r>
        <w:rPr>
          <w:rFonts w:hint="eastAsia"/>
        </w:rPr>
        <w:t>本合同正本二份，委托人、咨询人各执一份，副本</w:t>
      </w:r>
      <w:r>
        <w:rPr>
          <w:rFonts w:hint="eastAsia"/>
          <w:u w:val="single"/>
        </w:rPr>
        <w:t>二</w:t>
      </w:r>
      <w:r>
        <w:rPr>
          <w:rFonts w:hint="eastAsia"/>
        </w:rPr>
        <w:t>份，委托人</w:t>
      </w:r>
      <w:r>
        <w:rPr>
          <w:rFonts w:hint="eastAsia"/>
          <w:u w:val="single"/>
        </w:rPr>
        <w:t xml:space="preserve"> 一</w:t>
      </w:r>
      <w:r>
        <w:rPr>
          <w:rFonts w:hint="eastAsia"/>
        </w:rPr>
        <w:t>份，咨询人</w:t>
      </w:r>
      <w:r>
        <w:rPr>
          <w:rFonts w:hint="eastAsia"/>
          <w:u w:val="single"/>
        </w:rPr>
        <w:t xml:space="preserve"> 一 </w:t>
      </w:r>
      <w:r>
        <w:rPr>
          <w:rFonts w:hint="eastAsia"/>
        </w:rPr>
        <w:t>份。</w:t>
      </w:r>
    </w:p>
    <w:p>
      <w:pPr>
        <w:pStyle w:val="21"/>
        <w:adjustRightInd w:val="0"/>
        <w:spacing w:before="0" w:after="0"/>
        <w:contextualSpacing/>
      </w:pPr>
      <w:r>
        <w:t>  </w:t>
      </w:r>
    </w:p>
    <w:p>
      <w:pPr>
        <w:pStyle w:val="21"/>
        <w:adjustRightInd w:val="0"/>
        <w:spacing w:before="0" w:after="0"/>
        <w:ind w:firstLine="420"/>
        <w:contextualSpacing/>
      </w:pPr>
      <w:r>
        <w:t>委托人：（盖章）     </w:t>
      </w:r>
      <w:r>
        <w:rPr>
          <w:rFonts w:hint="eastAsia"/>
        </w:rPr>
        <w:t xml:space="preserve">      </w:t>
      </w:r>
      <w:r>
        <w:t>     咨询人：（盖章）</w:t>
      </w:r>
    </w:p>
    <w:p>
      <w:pPr>
        <w:pStyle w:val="21"/>
        <w:adjustRightInd w:val="0"/>
        <w:spacing w:before="0" w:after="0"/>
        <w:contextualSpacing/>
      </w:pPr>
      <w:r>
        <w:t>  </w:t>
      </w:r>
    </w:p>
    <w:p>
      <w:pPr>
        <w:pStyle w:val="21"/>
        <w:adjustRightInd w:val="0"/>
        <w:spacing w:before="0" w:after="0"/>
        <w:ind w:firstLine="420"/>
        <w:contextualSpacing/>
      </w:pPr>
      <w:r>
        <w:t>法定代表人：（签</w:t>
      </w:r>
      <w:r>
        <w:rPr>
          <w:rFonts w:hint="eastAsia"/>
        </w:rPr>
        <w:t>章</w:t>
      </w:r>
      <w:r>
        <w:t>）     </w:t>
      </w:r>
      <w:r>
        <w:rPr>
          <w:rFonts w:hint="eastAsia"/>
        </w:rPr>
        <w:t xml:space="preserve">       </w:t>
      </w:r>
      <w:r>
        <w:t>   法定代表人：（签</w:t>
      </w:r>
      <w:r>
        <w:rPr>
          <w:rFonts w:hint="eastAsia"/>
        </w:rPr>
        <w:t>章</w:t>
      </w:r>
      <w:r>
        <w:t>）</w:t>
      </w:r>
    </w:p>
    <w:p>
      <w:pPr>
        <w:pStyle w:val="21"/>
        <w:adjustRightInd w:val="0"/>
        <w:spacing w:before="0" w:after="0"/>
        <w:contextualSpacing/>
      </w:pPr>
    </w:p>
    <w:p>
      <w:pPr>
        <w:pStyle w:val="21"/>
        <w:adjustRightInd w:val="0"/>
        <w:spacing w:before="0" w:after="0"/>
        <w:ind w:firstLine="420"/>
        <w:contextualSpacing/>
      </w:pPr>
      <w:r>
        <w:t>委托代理人：（签字）       </w:t>
      </w:r>
      <w:r>
        <w:rPr>
          <w:rFonts w:hint="eastAsia"/>
        </w:rPr>
        <w:t xml:space="preserve">       </w:t>
      </w:r>
      <w:r>
        <w:t xml:space="preserve"> 委托代理人：（签字）</w:t>
      </w:r>
    </w:p>
    <w:p>
      <w:pPr>
        <w:pStyle w:val="21"/>
        <w:adjustRightInd w:val="0"/>
        <w:spacing w:before="0" w:after="0"/>
        <w:contextualSpacing/>
      </w:pPr>
      <w:r>
        <w:t>  </w:t>
      </w:r>
    </w:p>
    <w:p>
      <w:pPr>
        <w:pStyle w:val="21"/>
        <w:adjustRightInd w:val="0"/>
        <w:spacing w:before="0" w:after="0"/>
        <w:ind w:left="240" w:hanging="240" w:hangingChars="100"/>
        <w:contextualSpacing/>
      </w:pPr>
      <w:r>
        <w:rPr>
          <w:rFonts w:hint="eastAsia"/>
        </w:rPr>
        <w:t xml:space="preserve">    </w:t>
      </w:r>
      <w:r>
        <w:t>年   月    日       </w:t>
      </w:r>
      <w:r>
        <w:rPr>
          <w:rFonts w:hint="eastAsia"/>
        </w:rPr>
        <w:t xml:space="preserve">        </w:t>
      </w:r>
      <w:r>
        <w:t xml:space="preserve"> 年 </w:t>
      </w:r>
      <w:r>
        <w:rPr>
          <w:rFonts w:hint="eastAsia"/>
        </w:rPr>
        <w:t xml:space="preserve"> </w:t>
      </w:r>
      <w:r>
        <w:t xml:space="preserve"> 月 </w:t>
      </w:r>
      <w:r>
        <w:rPr>
          <w:rFonts w:hint="eastAsia"/>
        </w:rPr>
        <w:t xml:space="preserve"> </w:t>
      </w:r>
      <w:r>
        <w:t>  日</w:t>
      </w:r>
    </w:p>
    <w:p>
      <w:pPr>
        <w:contextualSpacing/>
        <w:jc w:val="center"/>
        <w:rPr>
          <w:rFonts w:hint="eastAsia" w:ascii="黑体" w:eastAsia="黑体"/>
          <w:sz w:val="24"/>
        </w:rPr>
      </w:pPr>
      <w:r>
        <w:rPr>
          <w:rFonts w:ascii="黑体" w:eastAsia="黑体"/>
          <w:sz w:val="24"/>
        </w:rPr>
        <w:br w:type="page"/>
      </w:r>
    </w:p>
    <w:p>
      <w:pPr>
        <w:contextualSpacing/>
        <w:jc w:val="center"/>
        <w:rPr>
          <w:rFonts w:hint="eastAsia" w:ascii="宋体"/>
          <w:b/>
          <w:kern w:val="0"/>
          <w:szCs w:val="28"/>
        </w:rPr>
      </w:pPr>
      <w:r>
        <w:rPr>
          <w:rFonts w:hint="eastAsia" w:ascii="宋体"/>
          <w:b/>
          <w:kern w:val="0"/>
          <w:szCs w:val="28"/>
        </w:rPr>
        <w:t>第二部分　建设工程造价咨询合同通用条款</w:t>
      </w:r>
    </w:p>
    <w:p>
      <w:pPr>
        <w:contextualSpacing/>
        <w:jc w:val="center"/>
        <w:rPr>
          <w:rFonts w:hint="eastAsia" w:ascii="宋体"/>
          <w:b/>
          <w:kern w:val="0"/>
          <w:szCs w:val="28"/>
        </w:rPr>
      </w:pPr>
      <w:r>
        <w:rPr>
          <w:rFonts w:hint="eastAsia" w:ascii="宋体"/>
          <w:b/>
          <w:kern w:val="0"/>
          <w:szCs w:val="28"/>
        </w:rPr>
        <w:t>词语定义、适用语言和法律、法规</w:t>
      </w:r>
    </w:p>
    <w:p>
      <w:pPr>
        <w:contextualSpacing/>
        <w:rPr>
          <w:rFonts w:ascii="宋体"/>
          <w:kern w:val="0"/>
          <w:szCs w:val="28"/>
        </w:rPr>
      </w:pPr>
      <w:r>
        <w:rPr>
          <w:rFonts w:hint="eastAsia" w:ascii="宋体"/>
          <w:kern w:val="0"/>
          <w:szCs w:val="28"/>
        </w:rPr>
        <w:t>　　第一条　下列名词和用语，除上下文另有规定外具有如下含义。</w:t>
      </w:r>
    </w:p>
    <w:p>
      <w:pPr>
        <w:contextualSpacing/>
        <w:rPr>
          <w:rFonts w:ascii="宋体"/>
          <w:kern w:val="0"/>
          <w:szCs w:val="28"/>
        </w:rPr>
      </w:pPr>
      <w:r>
        <w:rPr>
          <w:rFonts w:hint="eastAsia" w:ascii="宋体"/>
          <w:kern w:val="0"/>
          <w:szCs w:val="28"/>
        </w:rPr>
        <w:t>　　1、“委托人”是指在建设工程造价咨询协议书上指明并与咨询人在该协议书上签字、盖章的当事人。</w:t>
      </w:r>
    </w:p>
    <w:p>
      <w:pPr>
        <w:contextualSpacing/>
        <w:rPr>
          <w:rFonts w:ascii="宋体"/>
          <w:kern w:val="0"/>
          <w:szCs w:val="28"/>
        </w:rPr>
      </w:pPr>
      <w:r>
        <w:rPr>
          <w:rFonts w:hint="eastAsia" w:ascii="宋体"/>
          <w:kern w:val="0"/>
          <w:szCs w:val="28"/>
        </w:rPr>
        <w:t>　　2、“咨询人”是指具有《工程造价咨询企业资质证书》,在建设工程造价咨询协议书上指明并与委托人在该协议书上签字、盖章的当事人。</w:t>
      </w:r>
    </w:p>
    <w:p>
      <w:pPr>
        <w:ind w:firstLine="570"/>
        <w:contextualSpacing/>
        <w:rPr>
          <w:rFonts w:hint="eastAsia" w:ascii="宋体"/>
          <w:kern w:val="0"/>
          <w:szCs w:val="28"/>
        </w:rPr>
      </w:pPr>
      <w:r>
        <w:rPr>
          <w:rFonts w:hint="eastAsia" w:ascii="宋体"/>
          <w:kern w:val="0"/>
          <w:szCs w:val="28"/>
        </w:rPr>
        <w:t>3、“第三人”是指除委托人、咨询人以外与本咨询业务有关的当事人。</w:t>
      </w:r>
    </w:p>
    <w:p>
      <w:pPr>
        <w:ind w:firstLine="570"/>
        <w:contextualSpacing/>
        <w:rPr>
          <w:rFonts w:hint="eastAsia" w:ascii="宋体"/>
          <w:kern w:val="0"/>
          <w:szCs w:val="28"/>
        </w:rPr>
      </w:pPr>
      <w:r>
        <w:rPr>
          <w:rFonts w:hint="eastAsia" w:ascii="宋体"/>
          <w:kern w:val="0"/>
          <w:szCs w:val="28"/>
        </w:rPr>
        <w:t>4、“日”是指任何一个午夜至下一个午夜的时间段。</w:t>
      </w:r>
    </w:p>
    <w:p>
      <w:pPr>
        <w:ind w:firstLine="570"/>
        <w:contextualSpacing/>
        <w:rPr>
          <w:rFonts w:hint="eastAsia" w:ascii="宋体"/>
          <w:kern w:val="0"/>
          <w:szCs w:val="28"/>
        </w:rPr>
      </w:pPr>
      <w:r>
        <w:rPr>
          <w:rFonts w:hint="eastAsia" w:ascii="宋体"/>
          <w:kern w:val="0"/>
          <w:szCs w:val="28"/>
        </w:rPr>
        <w:t>5、“正常服务”是指双方在专用条款中约定的工程造价咨询工作；</w:t>
      </w:r>
    </w:p>
    <w:p>
      <w:pPr>
        <w:ind w:firstLine="570"/>
        <w:contextualSpacing/>
        <w:rPr>
          <w:rFonts w:hint="eastAsia" w:ascii="宋体"/>
          <w:kern w:val="0"/>
          <w:szCs w:val="28"/>
        </w:rPr>
      </w:pPr>
      <w:r>
        <w:rPr>
          <w:rFonts w:hint="eastAsia" w:ascii="宋体"/>
          <w:kern w:val="0"/>
          <w:szCs w:val="28"/>
        </w:rPr>
        <w:t>6、“附加服务”是指在“正常服务”以外，经双方书面协议确定的附加服务；</w:t>
      </w:r>
    </w:p>
    <w:p>
      <w:pPr>
        <w:ind w:firstLine="420" w:firstLineChars="200"/>
        <w:contextualSpacing/>
        <w:rPr>
          <w:rFonts w:hint="eastAsia" w:ascii="宋体"/>
          <w:kern w:val="0"/>
          <w:szCs w:val="28"/>
        </w:rPr>
      </w:pPr>
      <w:r>
        <w:rPr>
          <w:rFonts w:hint="eastAsia" w:ascii="宋体"/>
          <w:kern w:val="0"/>
          <w:szCs w:val="28"/>
        </w:rPr>
        <w:t>7、“额外服务”是指不属于“正常服务”和“附加服务”，咨询人增加的额外工作量。</w:t>
      </w:r>
    </w:p>
    <w:p>
      <w:pPr>
        <w:contextualSpacing/>
        <w:rPr>
          <w:rFonts w:ascii="宋体"/>
          <w:kern w:val="0"/>
          <w:szCs w:val="28"/>
        </w:rPr>
      </w:pPr>
      <w:r>
        <w:rPr>
          <w:rFonts w:hint="eastAsia" w:ascii="宋体"/>
          <w:kern w:val="0"/>
          <w:szCs w:val="28"/>
        </w:rPr>
        <w:t>　　第二条　建设工程造价咨询合同适用的法律、法规是中华人民共和国的法律、法规，以及专用条款中约定的部门规章、工程造价有关计价办法、规定，及项目所在地的地方法规、地方规章。</w:t>
      </w:r>
    </w:p>
    <w:p>
      <w:pPr>
        <w:contextualSpacing/>
        <w:rPr>
          <w:rFonts w:hint="eastAsia" w:ascii="宋体"/>
          <w:kern w:val="0"/>
          <w:szCs w:val="28"/>
        </w:rPr>
      </w:pPr>
      <w:r>
        <w:rPr>
          <w:rFonts w:hint="eastAsia" w:ascii="宋体"/>
          <w:kern w:val="0"/>
          <w:szCs w:val="28"/>
        </w:rPr>
        <w:t>　　第三条　建设工程造价咨询合同的书写、解释和说明，以汉语为主导语言。当不同语言文本发生不同解释时，以汉语合同文本为准。</w:t>
      </w:r>
    </w:p>
    <w:p>
      <w:pPr>
        <w:contextualSpacing/>
        <w:jc w:val="center"/>
        <w:rPr>
          <w:rFonts w:ascii="宋体"/>
          <w:b/>
          <w:kern w:val="0"/>
          <w:szCs w:val="28"/>
        </w:rPr>
      </w:pPr>
      <w:r>
        <w:rPr>
          <w:rFonts w:hint="eastAsia" w:ascii="宋体"/>
          <w:b/>
          <w:kern w:val="0"/>
          <w:szCs w:val="28"/>
        </w:rPr>
        <w:t>咨询人的义务</w:t>
      </w:r>
    </w:p>
    <w:p>
      <w:pPr>
        <w:contextualSpacing/>
        <w:rPr>
          <w:rFonts w:ascii="宋体"/>
          <w:kern w:val="0"/>
          <w:szCs w:val="28"/>
        </w:rPr>
      </w:pPr>
      <w:r>
        <w:rPr>
          <w:rFonts w:hint="eastAsia" w:ascii="宋体"/>
          <w:kern w:val="0"/>
          <w:szCs w:val="28"/>
        </w:rPr>
        <w:t>　　第四条　向委托人提供与工程造价咨询业务有关的资料，包括工程造价咨询企业资质证书及承担本合同咨询业务的专业人员名单、咨询工作计划等。</w:t>
      </w:r>
    </w:p>
    <w:p>
      <w:pPr>
        <w:contextualSpacing/>
        <w:rPr>
          <w:rFonts w:hint="eastAsia" w:ascii="宋体"/>
          <w:kern w:val="0"/>
          <w:szCs w:val="28"/>
        </w:rPr>
      </w:pPr>
      <w:r>
        <w:rPr>
          <w:rFonts w:hint="eastAsia" w:ascii="宋体"/>
          <w:kern w:val="0"/>
          <w:szCs w:val="28"/>
        </w:rPr>
        <w:t>　　第五条　咨询人按专用条款中约定的工作范围和内容，向委托人提供工程造价咨询专业服务，包括正常服务、附加服务和额外服务。并在合同约定的时间内，提供符合行业管理规定的咨询成果文件。</w:t>
      </w:r>
    </w:p>
    <w:p>
      <w:pPr>
        <w:ind w:firstLine="420" w:firstLineChars="200"/>
        <w:contextualSpacing/>
        <w:rPr>
          <w:rFonts w:ascii="宋体"/>
          <w:kern w:val="0"/>
          <w:szCs w:val="28"/>
        </w:rPr>
      </w:pPr>
      <w:r>
        <w:rPr>
          <w:rFonts w:hint="eastAsia" w:ascii="宋体"/>
          <w:kern w:val="0"/>
          <w:szCs w:val="28"/>
        </w:rPr>
        <w:t>第六条  咨询人从事工程造价咨询活动，应当遵循独立、客观、公正、诚实信用的原则，不得损害社会公共利益和他人的合法权益。除委托人书面同意外，咨询人及咨询专业人员不应接受建设工程造价咨询合同约定以外的与本工程造价咨询项目有关的任何报酬。咨询人不得参与可能影响合同规定的委托人利益的任何活动。</w:t>
      </w:r>
    </w:p>
    <w:p>
      <w:pPr>
        <w:ind w:firstLine="420" w:firstLineChars="200"/>
        <w:contextualSpacing/>
        <w:rPr>
          <w:rFonts w:hint="eastAsia" w:ascii="宋体"/>
          <w:kern w:val="0"/>
          <w:szCs w:val="28"/>
        </w:rPr>
      </w:pPr>
      <w:r>
        <w:rPr>
          <w:rFonts w:hint="eastAsia" w:ascii="宋体"/>
          <w:kern w:val="0"/>
          <w:szCs w:val="28"/>
        </w:rPr>
        <w:t>第七条　咨询人不得泄露与本合同规定业务活动有关的保密资料。</w:t>
      </w:r>
    </w:p>
    <w:p>
      <w:pPr>
        <w:contextualSpacing/>
        <w:jc w:val="center"/>
        <w:rPr>
          <w:rFonts w:ascii="宋体"/>
          <w:b/>
          <w:kern w:val="0"/>
          <w:szCs w:val="28"/>
        </w:rPr>
      </w:pPr>
      <w:r>
        <w:rPr>
          <w:rFonts w:hint="eastAsia" w:ascii="宋体"/>
          <w:b/>
          <w:kern w:val="0"/>
          <w:szCs w:val="28"/>
        </w:rPr>
        <w:t>委托人的义务</w:t>
      </w:r>
    </w:p>
    <w:p>
      <w:pPr>
        <w:contextualSpacing/>
        <w:rPr>
          <w:rFonts w:ascii="宋体"/>
          <w:kern w:val="0"/>
          <w:szCs w:val="28"/>
        </w:rPr>
      </w:pPr>
      <w:r>
        <w:rPr>
          <w:rFonts w:hint="eastAsia" w:ascii="宋体"/>
          <w:kern w:val="0"/>
          <w:szCs w:val="28"/>
        </w:rPr>
        <w:t>　　第八条　委托人应负责与本建设工程造价咨询业务有关的第三人的协调，为咨询人工作提供外部条件。委托人应当授权胜任本咨询业务的代表，负责与咨询人联系，解决在咨询业务中的委托方问题，并代表委托人签署相关文件。</w:t>
      </w:r>
    </w:p>
    <w:p>
      <w:pPr>
        <w:ind w:firstLine="420" w:firstLineChars="200"/>
        <w:contextualSpacing/>
        <w:rPr>
          <w:rFonts w:hint="eastAsia" w:ascii="宋体"/>
          <w:kern w:val="0"/>
          <w:szCs w:val="28"/>
        </w:rPr>
      </w:pPr>
      <w:r>
        <w:rPr>
          <w:rFonts w:hint="eastAsia" w:ascii="宋体"/>
          <w:kern w:val="0"/>
          <w:szCs w:val="28"/>
        </w:rPr>
        <w:t>第九条　委托人在约定的时间内，免费向咨询人提供与本项目咨询业务有关的资料。并对资料的真实性、完整性负责。</w:t>
      </w:r>
    </w:p>
    <w:p>
      <w:pPr>
        <w:ind w:left="105" w:leftChars="50" w:firstLine="315" w:firstLineChars="150"/>
        <w:contextualSpacing/>
        <w:rPr>
          <w:rFonts w:hint="eastAsia" w:ascii="宋体"/>
          <w:kern w:val="0"/>
          <w:szCs w:val="28"/>
        </w:rPr>
      </w:pPr>
      <w:r>
        <w:rPr>
          <w:rFonts w:hint="eastAsia" w:ascii="宋体"/>
          <w:kern w:val="0"/>
          <w:szCs w:val="28"/>
        </w:rPr>
        <w:t>第十条 委托人在约定的时间内就咨询人书面提交并要求做出答复的事宜做出书面答复。　　</w:t>
      </w:r>
    </w:p>
    <w:p>
      <w:pPr>
        <w:ind w:firstLine="420" w:firstLineChars="200"/>
        <w:contextualSpacing/>
        <w:rPr>
          <w:rFonts w:hint="eastAsia" w:ascii="宋体"/>
          <w:kern w:val="0"/>
          <w:szCs w:val="28"/>
        </w:rPr>
      </w:pPr>
      <w:r>
        <w:rPr>
          <w:rFonts w:hint="eastAsia" w:ascii="宋体"/>
          <w:kern w:val="0"/>
          <w:szCs w:val="28"/>
        </w:rPr>
        <w:t>第十一条　委托人应当按合同条款规定及时支付咨询费用。</w:t>
      </w:r>
    </w:p>
    <w:p>
      <w:pPr>
        <w:contextualSpacing/>
        <w:jc w:val="center"/>
        <w:rPr>
          <w:rFonts w:ascii="宋体"/>
          <w:b/>
          <w:kern w:val="0"/>
          <w:szCs w:val="28"/>
        </w:rPr>
      </w:pPr>
      <w:r>
        <w:rPr>
          <w:rFonts w:hint="eastAsia" w:ascii="宋体"/>
          <w:b/>
          <w:kern w:val="0"/>
          <w:szCs w:val="28"/>
        </w:rPr>
        <w:t>咨询人的权利</w:t>
      </w:r>
    </w:p>
    <w:p>
      <w:pPr>
        <w:ind w:firstLine="420"/>
        <w:contextualSpacing/>
        <w:rPr>
          <w:rFonts w:hint="eastAsia" w:ascii="宋体"/>
          <w:kern w:val="0"/>
          <w:szCs w:val="28"/>
        </w:rPr>
      </w:pPr>
      <w:r>
        <w:rPr>
          <w:rFonts w:hint="eastAsia" w:ascii="宋体"/>
          <w:kern w:val="0"/>
          <w:szCs w:val="28"/>
        </w:rPr>
        <w:t>第十二条　咨询人在咨询过程中，如委托人提供的资料不明确时可向委托人提出书面报告。</w:t>
      </w:r>
    </w:p>
    <w:p>
      <w:pPr>
        <w:ind w:firstLine="420"/>
        <w:contextualSpacing/>
        <w:rPr>
          <w:rFonts w:hint="eastAsia" w:ascii="宋体"/>
          <w:kern w:val="0"/>
          <w:szCs w:val="28"/>
        </w:rPr>
      </w:pPr>
      <w:r>
        <w:rPr>
          <w:rFonts w:hint="eastAsia" w:ascii="宋体"/>
          <w:kern w:val="0"/>
          <w:szCs w:val="28"/>
        </w:rPr>
        <w:t>第十三条  咨询人在咨询过程中，有权对与本咨询业务有关的问题进行核对或查问，以及到工程现场勘察。</w:t>
      </w:r>
    </w:p>
    <w:p>
      <w:pPr>
        <w:ind w:firstLine="420"/>
        <w:contextualSpacing/>
        <w:rPr>
          <w:rFonts w:hint="eastAsia" w:ascii="宋体"/>
          <w:kern w:val="0"/>
          <w:szCs w:val="28"/>
        </w:rPr>
      </w:pPr>
      <w:r>
        <w:rPr>
          <w:rFonts w:hint="eastAsia" w:ascii="宋体"/>
          <w:kern w:val="0"/>
          <w:szCs w:val="28"/>
        </w:rPr>
        <w:t>第十四条  咨询人在咨询过程中，由于委托人原因造成咨询人无法继续履行合同时，咨询人有权解除合同并要求委托人承担相应赔偿。</w:t>
      </w:r>
    </w:p>
    <w:p>
      <w:pPr>
        <w:ind w:firstLine="420"/>
        <w:contextualSpacing/>
        <w:rPr>
          <w:rFonts w:hint="eastAsia" w:ascii="宋体"/>
          <w:kern w:val="0"/>
          <w:szCs w:val="28"/>
        </w:rPr>
      </w:pPr>
      <w:r>
        <w:rPr>
          <w:rFonts w:hint="eastAsia" w:ascii="宋体"/>
          <w:kern w:val="0"/>
          <w:szCs w:val="28"/>
        </w:rPr>
        <w:t>第十五条  咨询人在咨询过程中，有独立执行工程造价咨询业务工作的权利。</w:t>
      </w:r>
    </w:p>
    <w:p>
      <w:pPr>
        <w:ind w:firstLine="420"/>
        <w:contextualSpacing/>
        <w:rPr>
          <w:rFonts w:ascii="宋体"/>
          <w:kern w:val="0"/>
          <w:szCs w:val="28"/>
        </w:rPr>
      </w:pPr>
      <w:r>
        <w:rPr>
          <w:rFonts w:hint="eastAsia" w:ascii="宋体"/>
          <w:kern w:val="0"/>
          <w:szCs w:val="28"/>
        </w:rPr>
        <w:t>咨询人有权拒绝委托人提出的有失公平、公正及违反法律法规的要求，由此原因造成的咨询合同终止咨询人免责。对于造成咨询人损失的，由委托人给予赔偿。</w:t>
      </w:r>
    </w:p>
    <w:p>
      <w:pPr>
        <w:contextualSpacing/>
        <w:jc w:val="center"/>
        <w:rPr>
          <w:rFonts w:ascii="宋体"/>
          <w:b/>
          <w:kern w:val="0"/>
          <w:szCs w:val="28"/>
        </w:rPr>
      </w:pPr>
      <w:r>
        <w:rPr>
          <w:rFonts w:hint="eastAsia" w:ascii="宋体"/>
          <w:b/>
          <w:kern w:val="0"/>
          <w:szCs w:val="28"/>
        </w:rPr>
        <w:t>委托人的权利</w:t>
      </w:r>
    </w:p>
    <w:p>
      <w:pPr>
        <w:ind w:firstLine="420"/>
        <w:contextualSpacing/>
        <w:rPr>
          <w:rFonts w:hint="eastAsia" w:ascii="宋体"/>
          <w:kern w:val="0"/>
          <w:szCs w:val="28"/>
        </w:rPr>
      </w:pPr>
      <w:r>
        <w:rPr>
          <w:rFonts w:hint="eastAsia" w:ascii="宋体"/>
          <w:kern w:val="0"/>
          <w:szCs w:val="28"/>
        </w:rPr>
        <w:t>第十六条　委托人有权向咨询人询问工作进展情况及相关的内容。</w:t>
      </w:r>
    </w:p>
    <w:p>
      <w:pPr>
        <w:ind w:firstLine="420"/>
        <w:contextualSpacing/>
        <w:rPr>
          <w:rFonts w:hint="eastAsia" w:ascii="宋体"/>
          <w:kern w:val="0"/>
          <w:szCs w:val="28"/>
        </w:rPr>
      </w:pPr>
      <w:r>
        <w:rPr>
          <w:rFonts w:hint="eastAsia" w:ascii="宋体"/>
          <w:kern w:val="0"/>
          <w:szCs w:val="28"/>
        </w:rPr>
        <w:t>第十七条  委托人有权阐述对具体问题的意见和建议。</w:t>
      </w:r>
    </w:p>
    <w:p>
      <w:pPr>
        <w:ind w:firstLine="420"/>
        <w:contextualSpacing/>
        <w:rPr>
          <w:rFonts w:hint="eastAsia" w:ascii="宋体"/>
          <w:kern w:val="0"/>
          <w:szCs w:val="28"/>
        </w:rPr>
      </w:pPr>
      <w:r>
        <w:rPr>
          <w:rFonts w:hint="eastAsia" w:ascii="宋体"/>
          <w:kern w:val="0"/>
          <w:szCs w:val="28"/>
        </w:rPr>
        <w:t>第十八条  当委托人认定咨询专业人员不按咨询合同履行其职责，或与第三人串通给委托人造成经济损失的，委托人有权要求更换咨询专业人员，直至终止合同并要求咨询人承担相应的赔偿责任。</w:t>
      </w:r>
    </w:p>
    <w:p>
      <w:pPr>
        <w:ind w:firstLine="420"/>
        <w:contextualSpacing/>
        <w:rPr>
          <w:rFonts w:ascii="宋体"/>
          <w:kern w:val="0"/>
          <w:szCs w:val="28"/>
        </w:rPr>
      </w:pPr>
      <w:r>
        <w:rPr>
          <w:rFonts w:hint="eastAsia" w:ascii="宋体"/>
          <w:kern w:val="0"/>
          <w:szCs w:val="28"/>
        </w:rPr>
        <w:t>第十九条  当委托人认定咨询人执行的专业咨询业务不符合相关规范时，有向行业主管部门申诉的权利。</w:t>
      </w:r>
    </w:p>
    <w:p>
      <w:pPr>
        <w:contextualSpacing/>
        <w:jc w:val="center"/>
        <w:rPr>
          <w:rFonts w:ascii="宋体"/>
          <w:b/>
          <w:kern w:val="0"/>
          <w:szCs w:val="28"/>
        </w:rPr>
      </w:pPr>
      <w:r>
        <w:rPr>
          <w:rFonts w:hint="eastAsia" w:ascii="宋体"/>
          <w:b/>
          <w:kern w:val="0"/>
          <w:szCs w:val="28"/>
        </w:rPr>
        <w:t>咨询人的责任</w:t>
      </w:r>
    </w:p>
    <w:p>
      <w:pPr>
        <w:contextualSpacing/>
        <w:rPr>
          <w:rFonts w:ascii="宋体"/>
          <w:kern w:val="0"/>
          <w:szCs w:val="28"/>
        </w:rPr>
      </w:pPr>
      <w:r>
        <w:rPr>
          <w:rFonts w:hint="eastAsia" w:ascii="宋体"/>
          <w:kern w:val="0"/>
          <w:szCs w:val="28"/>
        </w:rPr>
        <w:t>　　第二十条　咨询人的责任期即建设工程造价咨询合同有效期。咨询人责任期内，应当履行建设工程造价咨询合同中约定的义务。因咨询人的单方过失造成的经济损失，应当向委托人进行赔偿。累计赔偿总额不应超过建设工程造价咨询酬金总额（除去税金）。</w:t>
      </w:r>
    </w:p>
    <w:p>
      <w:pPr>
        <w:contextualSpacing/>
        <w:rPr>
          <w:rFonts w:ascii="宋体"/>
          <w:kern w:val="0"/>
          <w:szCs w:val="28"/>
        </w:rPr>
      </w:pPr>
      <w:r>
        <w:rPr>
          <w:rFonts w:hint="eastAsia" w:ascii="宋体"/>
          <w:kern w:val="0"/>
          <w:szCs w:val="28"/>
        </w:rPr>
        <w:t>　　第二十一条　咨询人对委托人或第三人所提出的咨询业务范围内的问题不能及时核对或答复，导致合同不能全部或部分履行，咨询人应承担相应的责任。</w:t>
      </w:r>
    </w:p>
    <w:p>
      <w:pPr>
        <w:contextualSpacing/>
        <w:rPr>
          <w:rFonts w:ascii="宋体"/>
          <w:kern w:val="0"/>
          <w:szCs w:val="28"/>
        </w:rPr>
      </w:pPr>
      <w:r>
        <w:rPr>
          <w:rFonts w:hint="eastAsia" w:ascii="宋体"/>
          <w:kern w:val="0"/>
          <w:szCs w:val="28"/>
        </w:rPr>
        <w:t>　　第二十二条　咨询人向委托人提出赔偿要求不能成立时，则应补偿由于该赔偿或其他要求所导致委托人的各种费用的支出。</w:t>
      </w:r>
    </w:p>
    <w:p>
      <w:pPr>
        <w:contextualSpacing/>
        <w:jc w:val="center"/>
        <w:rPr>
          <w:rFonts w:ascii="宋体"/>
          <w:b/>
          <w:kern w:val="0"/>
          <w:szCs w:val="28"/>
        </w:rPr>
      </w:pPr>
      <w:r>
        <w:rPr>
          <w:rFonts w:hint="eastAsia" w:ascii="宋体"/>
          <w:b/>
          <w:kern w:val="0"/>
          <w:szCs w:val="28"/>
        </w:rPr>
        <w:t>委托人的责任</w:t>
      </w:r>
    </w:p>
    <w:p>
      <w:pPr>
        <w:contextualSpacing/>
        <w:rPr>
          <w:rFonts w:ascii="宋体"/>
          <w:kern w:val="0"/>
          <w:szCs w:val="28"/>
        </w:rPr>
      </w:pPr>
      <w:r>
        <w:rPr>
          <w:rFonts w:hint="eastAsia" w:ascii="宋体"/>
          <w:kern w:val="0"/>
          <w:szCs w:val="28"/>
        </w:rPr>
        <w:t>　　第二十三条　委托人应当履行建设工程造价咨询合同约定的义务，如有违反则应当承担违约责任，赔偿给咨询人造成的损失。累计赔偿总额不应超过工程造价咨询酬金总额。</w:t>
      </w:r>
    </w:p>
    <w:p>
      <w:pPr>
        <w:contextualSpacing/>
        <w:rPr>
          <w:rFonts w:hint="eastAsia" w:ascii="宋体"/>
          <w:kern w:val="0"/>
          <w:szCs w:val="28"/>
        </w:rPr>
      </w:pPr>
      <w:r>
        <w:rPr>
          <w:rFonts w:hint="eastAsia" w:ascii="宋体"/>
          <w:kern w:val="0"/>
          <w:szCs w:val="28"/>
        </w:rPr>
        <w:t>　　第二十四条　委托人如果向咨询人提出赔偿或其他要求不能成立时，则应补偿由于该赔偿或其他要求所导致咨询人的各种费用的支出。</w:t>
      </w:r>
    </w:p>
    <w:p>
      <w:pPr>
        <w:contextualSpacing/>
        <w:jc w:val="center"/>
        <w:rPr>
          <w:rFonts w:ascii="宋体"/>
          <w:b/>
          <w:kern w:val="0"/>
          <w:szCs w:val="28"/>
        </w:rPr>
      </w:pPr>
      <w:r>
        <w:rPr>
          <w:rFonts w:hint="eastAsia" w:ascii="宋体"/>
          <w:b/>
          <w:kern w:val="0"/>
          <w:szCs w:val="28"/>
        </w:rPr>
        <w:t>合同生效、变更与终止</w:t>
      </w:r>
    </w:p>
    <w:p>
      <w:pPr>
        <w:contextualSpacing/>
        <w:rPr>
          <w:rFonts w:ascii="宋体"/>
          <w:kern w:val="0"/>
          <w:szCs w:val="28"/>
        </w:rPr>
      </w:pPr>
      <w:r>
        <w:rPr>
          <w:rFonts w:hint="eastAsia" w:ascii="宋体"/>
          <w:kern w:val="0"/>
          <w:szCs w:val="28"/>
        </w:rPr>
        <w:t>　　第二十五条　本合同自双方签字盖章之日起生效。</w:t>
      </w:r>
    </w:p>
    <w:p>
      <w:pPr>
        <w:contextualSpacing/>
        <w:rPr>
          <w:rFonts w:ascii="宋体"/>
          <w:kern w:val="0"/>
          <w:szCs w:val="28"/>
        </w:rPr>
      </w:pPr>
      <w:r>
        <w:rPr>
          <w:rFonts w:hint="eastAsia" w:ascii="宋体"/>
          <w:kern w:val="0"/>
          <w:szCs w:val="28"/>
        </w:rPr>
        <w:t>　　第二十六条　由于委托人的原因使咨询人工作受到阻碍、延误或重复以致增加了工作量或延长了约定的咨询时间，则咨询人应当将此情况与可能产生的影响及时书面通知委托人。由此增加的工作量视为额外服务，完成建设工程造价咨询工作的时间应当相应延长，并得到额外的酬金。</w:t>
      </w:r>
    </w:p>
    <w:p>
      <w:pPr>
        <w:contextualSpacing/>
        <w:rPr>
          <w:rFonts w:ascii="宋体"/>
          <w:kern w:val="0"/>
          <w:szCs w:val="28"/>
        </w:rPr>
      </w:pPr>
      <w:r>
        <w:rPr>
          <w:rFonts w:hint="eastAsia" w:ascii="宋体"/>
          <w:kern w:val="0"/>
          <w:szCs w:val="28"/>
        </w:rPr>
        <w:t>　　第二十七条　当事人一方要求变更或解除合同时，则应当在7个工作日前通知对方；因变更或解除合同使一方遭受损失的，应由责任方负责赔偿。</w:t>
      </w:r>
    </w:p>
    <w:p>
      <w:pPr>
        <w:contextualSpacing/>
        <w:rPr>
          <w:rFonts w:ascii="宋体"/>
          <w:kern w:val="0"/>
          <w:szCs w:val="28"/>
        </w:rPr>
      </w:pPr>
      <w:r>
        <w:rPr>
          <w:rFonts w:hint="eastAsia" w:ascii="宋体"/>
          <w:kern w:val="0"/>
          <w:szCs w:val="28"/>
        </w:rPr>
        <w:t>　　第二十八条　咨询人由于委托人原因暂停或中止执行建设工程造价咨询业务，由此而增加的恢复执行建设工程造价咨询业务的工作，应视为额外服务，有权得到额外的时间和酬金。</w:t>
      </w:r>
    </w:p>
    <w:p>
      <w:pPr>
        <w:contextualSpacing/>
        <w:rPr>
          <w:rFonts w:ascii="宋体"/>
          <w:kern w:val="0"/>
          <w:szCs w:val="28"/>
        </w:rPr>
      </w:pPr>
      <w:r>
        <w:rPr>
          <w:rFonts w:hint="eastAsia" w:ascii="宋体"/>
          <w:kern w:val="0"/>
          <w:szCs w:val="28"/>
        </w:rPr>
        <w:t>　　第二十九条　变更或解除合同的通知或协议应当采取书面形式，新的协议未达成之前，原合同仍然有效。</w:t>
      </w:r>
    </w:p>
    <w:p>
      <w:pPr>
        <w:contextualSpacing/>
        <w:jc w:val="center"/>
        <w:rPr>
          <w:rFonts w:ascii="宋体"/>
          <w:b/>
          <w:kern w:val="0"/>
          <w:szCs w:val="28"/>
        </w:rPr>
      </w:pPr>
      <w:r>
        <w:rPr>
          <w:rFonts w:hint="eastAsia" w:ascii="宋体"/>
          <w:b/>
          <w:kern w:val="0"/>
          <w:szCs w:val="28"/>
        </w:rPr>
        <w:t>咨询业务酬金</w:t>
      </w:r>
    </w:p>
    <w:p>
      <w:pPr>
        <w:contextualSpacing/>
        <w:rPr>
          <w:rFonts w:ascii="宋体"/>
          <w:kern w:val="0"/>
          <w:szCs w:val="28"/>
        </w:rPr>
      </w:pPr>
      <w:r>
        <w:rPr>
          <w:rFonts w:hint="eastAsia" w:ascii="宋体"/>
          <w:kern w:val="0"/>
          <w:szCs w:val="28"/>
        </w:rPr>
        <w:t>　　第三十条　正常服务，附加服务和额外服务的酬金，按照建设工程造价咨询合同专用条款约定的方法计取，并按约定的时间、数额和币种支付。</w:t>
      </w:r>
    </w:p>
    <w:p>
      <w:pPr>
        <w:contextualSpacing/>
        <w:rPr>
          <w:rFonts w:ascii="宋体"/>
          <w:kern w:val="0"/>
          <w:szCs w:val="28"/>
        </w:rPr>
      </w:pPr>
      <w:r>
        <w:rPr>
          <w:rFonts w:hint="eastAsia" w:ascii="宋体"/>
          <w:kern w:val="0"/>
          <w:szCs w:val="28"/>
        </w:rPr>
        <w:t>　　第三十一条　如果委托人在规定的支付期限内未支付建设工程造价咨询酬金，自规定支付之日起，应当向咨询人补偿应支付的酬金利息。利息额按规定支付期限最后一日银行贷款利率计算。</w:t>
      </w:r>
    </w:p>
    <w:p>
      <w:pPr>
        <w:contextualSpacing/>
        <w:rPr>
          <w:rFonts w:ascii="宋体"/>
          <w:kern w:val="0"/>
          <w:szCs w:val="28"/>
        </w:rPr>
      </w:pPr>
      <w:r>
        <w:rPr>
          <w:rFonts w:hint="eastAsia" w:ascii="宋体"/>
          <w:kern w:val="0"/>
          <w:szCs w:val="28"/>
        </w:rPr>
        <w:t>　　第三十二条　如果委托人对咨询人提交的支付通知书中酬金或部分酬金项目提出异议，应当在收到支付通知书两日内向咨询人发出异议的通知，但委托人不得拖延其无异议部分酬金的支付。</w:t>
      </w:r>
    </w:p>
    <w:p>
      <w:pPr>
        <w:contextualSpacing/>
        <w:rPr>
          <w:rFonts w:hint="eastAsia" w:ascii="宋体"/>
          <w:kern w:val="0"/>
          <w:szCs w:val="28"/>
        </w:rPr>
      </w:pPr>
      <w:r>
        <w:rPr>
          <w:rFonts w:hint="eastAsia" w:ascii="宋体"/>
          <w:kern w:val="0"/>
          <w:szCs w:val="28"/>
        </w:rPr>
        <w:t>　　第三十三条　支付建设工程造价咨询酬金所采取的货币币种、汇率由合同专用条款约定。</w:t>
      </w:r>
    </w:p>
    <w:p>
      <w:pPr>
        <w:contextualSpacing/>
        <w:jc w:val="center"/>
        <w:rPr>
          <w:rFonts w:ascii="宋体"/>
          <w:b/>
          <w:kern w:val="0"/>
          <w:szCs w:val="28"/>
        </w:rPr>
      </w:pPr>
      <w:r>
        <w:rPr>
          <w:rFonts w:hint="eastAsia" w:ascii="宋体"/>
          <w:b/>
          <w:kern w:val="0"/>
          <w:szCs w:val="28"/>
        </w:rPr>
        <w:t>其　　他</w:t>
      </w:r>
    </w:p>
    <w:p>
      <w:pPr>
        <w:contextualSpacing/>
        <w:rPr>
          <w:rFonts w:ascii="宋体"/>
          <w:kern w:val="0"/>
          <w:szCs w:val="28"/>
        </w:rPr>
      </w:pPr>
      <w:r>
        <w:rPr>
          <w:rFonts w:hint="eastAsia" w:ascii="宋体"/>
          <w:kern w:val="0"/>
          <w:szCs w:val="28"/>
        </w:rPr>
        <w:t>　　第三十四条　因建设工程造价咨询业务的需要，咨询人在合同约定外的外出考察，经委托人同意，其所需费用由委托人负责。</w:t>
      </w:r>
    </w:p>
    <w:p>
      <w:pPr>
        <w:contextualSpacing/>
        <w:rPr>
          <w:rFonts w:ascii="宋体"/>
          <w:kern w:val="0"/>
          <w:szCs w:val="28"/>
        </w:rPr>
      </w:pPr>
      <w:r>
        <w:rPr>
          <w:rFonts w:hint="eastAsia" w:ascii="宋体"/>
          <w:kern w:val="0"/>
          <w:szCs w:val="28"/>
        </w:rPr>
        <w:t>　　第三十五条　咨询人如需外聘专家协助，在委托的建设工程造价咨询业务范围内其费用由咨询人承担；在委托的建设工程造价咨询业务范围以外经委托人认可其费用由委托人承担。</w:t>
      </w:r>
    </w:p>
    <w:p>
      <w:pPr>
        <w:contextualSpacing/>
        <w:rPr>
          <w:rFonts w:ascii="宋体"/>
          <w:kern w:val="0"/>
          <w:szCs w:val="28"/>
        </w:rPr>
      </w:pPr>
      <w:r>
        <w:rPr>
          <w:rFonts w:hint="eastAsia" w:ascii="宋体"/>
          <w:kern w:val="0"/>
          <w:szCs w:val="28"/>
        </w:rPr>
        <w:t>　　第三十六条　未经对方的书面同意，各方均不得转让合同约定的权利和义务。</w:t>
      </w:r>
    </w:p>
    <w:p>
      <w:pPr>
        <w:contextualSpacing/>
        <w:rPr>
          <w:rFonts w:hint="eastAsia" w:ascii="宋体"/>
          <w:kern w:val="0"/>
          <w:szCs w:val="28"/>
        </w:rPr>
      </w:pPr>
      <w:r>
        <w:rPr>
          <w:rFonts w:hint="eastAsia" w:ascii="宋体"/>
          <w:kern w:val="0"/>
          <w:szCs w:val="28"/>
        </w:rPr>
        <w:t>　　第三十七条  咨询人应对咨询报告的质量负责，委托人有对咨询工作和实施效果进行评价的权利。评价时间在咨询成果报告提交后一个月完成，并根据有关规定填写《咨询效果评价意见表》。对评价结果有争议时，以项目所在地造价行业主管部门裁定意见为准。</w:t>
      </w:r>
    </w:p>
    <w:p>
      <w:pPr>
        <w:contextualSpacing/>
        <w:jc w:val="center"/>
        <w:rPr>
          <w:rFonts w:ascii="宋体"/>
          <w:b/>
          <w:kern w:val="0"/>
          <w:szCs w:val="28"/>
        </w:rPr>
      </w:pPr>
      <w:r>
        <w:rPr>
          <w:rFonts w:hint="eastAsia" w:ascii="宋体"/>
          <w:b/>
          <w:kern w:val="0"/>
          <w:szCs w:val="28"/>
        </w:rPr>
        <w:t>合同争议的解决</w:t>
      </w:r>
    </w:p>
    <w:p>
      <w:pPr>
        <w:ind w:firstLine="420" w:firstLineChars="200"/>
        <w:contextualSpacing/>
        <w:rPr>
          <w:rFonts w:hint="eastAsia" w:ascii="宋体"/>
          <w:kern w:val="0"/>
          <w:szCs w:val="28"/>
        </w:rPr>
      </w:pPr>
      <w:r>
        <w:rPr>
          <w:rFonts w:hint="eastAsia" w:ascii="宋体"/>
          <w:kern w:val="0"/>
          <w:szCs w:val="28"/>
        </w:rPr>
        <w:t>第三十九条　因违约或终止合同而引起的损失和损害的赔偿，委托人与咨询人之间应当协商解决；如未能达成一致，可提交有关主管部门调解；协商或调解不成的，根据双方约定提交仲裁机关仲裁，或向人民法院提起诉讼。</w:t>
      </w:r>
    </w:p>
    <w:p>
      <w:pPr>
        <w:ind w:firstLine="420"/>
        <w:contextualSpacing/>
        <w:rPr>
          <w:rFonts w:hint="eastAsia" w:ascii="宋体"/>
          <w:kern w:val="0"/>
          <w:szCs w:val="28"/>
        </w:rPr>
      </w:pPr>
    </w:p>
    <w:p>
      <w:pPr>
        <w:ind w:firstLine="420"/>
        <w:contextualSpacing/>
        <w:rPr>
          <w:rFonts w:hint="eastAsia" w:ascii="宋体"/>
          <w:kern w:val="0"/>
          <w:szCs w:val="28"/>
        </w:rPr>
      </w:pPr>
    </w:p>
    <w:p>
      <w:pPr>
        <w:ind w:firstLine="420"/>
        <w:contextualSpacing/>
        <w:rPr>
          <w:rFonts w:hint="eastAsia" w:ascii="宋体"/>
          <w:kern w:val="0"/>
          <w:szCs w:val="28"/>
        </w:rPr>
      </w:pPr>
    </w:p>
    <w:p>
      <w:pPr>
        <w:ind w:firstLine="420"/>
        <w:contextualSpacing/>
        <w:rPr>
          <w:rFonts w:hint="eastAsia" w:ascii="宋体"/>
          <w:kern w:val="0"/>
          <w:szCs w:val="28"/>
        </w:rPr>
      </w:pPr>
    </w:p>
    <w:p>
      <w:pPr>
        <w:ind w:firstLine="420"/>
        <w:contextualSpacing/>
        <w:rPr>
          <w:rFonts w:hint="eastAsia" w:ascii="宋体"/>
          <w:kern w:val="0"/>
          <w:szCs w:val="28"/>
        </w:rPr>
      </w:pPr>
    </w:p>
    <w:p>
      <w:pPr>
        <w:ind w:firstLine="420"/>
        <w:contextualSpacing/>
        <w:rPr>
          <w:rFonts w:hint="eastAsia" w:ascii="宋体"/>
          <w:kern w:val="0"/>
          <w:szCs w:val="28"/>
        </w:rPr>
      </w:pPr>
    </w:p>
    <w:p>
      <w:pPr>
        <w:ind w:firstLine="420"/>
        <w:contextualSpacing/>
        <w:rPr>
          <w:rFonts w:hint="eastAsia" w:ascii="宋体"/>
          <w:kern w:val="0"/>
          <w:szCs w:val="28"/>
        </w:rPr>
      </w:pPr>
    </w:p>
    <w:p>
      <w:pPr>
        <w:ind w:firstLine="420"/>
        <w:contextualSpacing/>
        <w:rPr>
          <w:rFonts w:hint="eastAsia" w:ascii="宋体"/>
          <w:kern w:val="0"/>
          <w:szCs w:val="28"/>
        </w:rPr>
      </w:pPr>
    </w:p>
    <w:p>
      <w:pPr>
        <w:ind w:firstLine="420"/>
        <w:contextualSpacing/>
        <w:rPr>
          <w:rFonts w:hint="eastAsia" w:ascii="宋体"/>
          <w:kern w:val="0"/>
          <w:szCs w:val="28"/>
        </w:rPr>
      </w:pPr>
    </w:p>
    <w:p>
      <w:pPr>
        <w:contextualSpacing/>
        <w:jc w:val="center"/>
        <w:rPr>
          <w:rFonts w:hint="eastAsia" w:ascii="宋体"/>
          <w:b/>
          <w:kern w:val="0"/>
          <w:szCs w:val="28"/>
        </w:rPr>
      </w:pPr>
    </w:p>
    <w:p>
      <w:pPr>
        <w:contextualSpacing/>
        <w:jc w:val="center"/>
        <w:rPr>
          <w:rFonts w:hint="eastAsia" w:ascii="宋体"/>
          <w:b/>
          <w:kern w:val="0"/>
          <w:szCs w:val="28"/>
        </w:rPr>
      </w:pPr>
    </w:p>
    <w:p>
      <w:pPr>
        <w:contextualSpacing/>
        <w:jc w:val="center"/>
        <w:rPr>
          <w:rFonts w:ascii="宋体"/>
          <w:b/>
          <w:kern w:val="0"/>
          <w:szCs w:val="28"/>
        </w:rPr>
      </w:pPr>
      <w:r>
        <w:rPr>
          <w:rFonts w:hint="eastAsia" w:ascii="宋体"/>
          <w:b/>
          <w:kern w:val="0"/>
          <w:szCs w:val="28"/>
        </w:rPr>
        <w:t>第三部分　建设工程造价咨询合同专用条款</w:t>
      </w:r>
    </w:p>
    <w:p>
      <w:pPr>
        <w:ind w:firstLine="420" w:firstLineChars="200"/>
        <w:contextualSpacing/>
        <w:rPr>
          <w:rFonts w:hint="eastAsia" w:ascii="宋体"/>
          <w:kern w:val="0"/>
          <w:szCs w:val="28"/>
        </w:rPr>
      </w:pPr>
      <w:r>
        <w:rPr>
          <w:rFonts w:hint="eastAsia" w:ascii="宋体"/>
          <w:kern w:val="0"/>
          <w:szCs w:val="28"/>
        </w:rPr>
        <w:t>第二条  本合同适用的法律、法规及工程造价计价办法和规定</w:t>
      </w:r>
    </w:p>
    <w:p>
      <w:pPr>
        <w:ind w:firstLine="420" w:firstLineChars="200"/>
        <w:contextualSpacing/>
        <w:rPr>
          <w:rFonts w:hint="eastAsia" w:ascii="宋体"/>
          <w:kern w:val="0"/>
          <w:szCs w:val="28"/>
        </w:rPr>
      </w:pPr>
      <w:r>
        <w:rPr>
          <w:rFonts w:hint="eastAsia" w:ascii="宋体"/>
          <w:kern w:val="0"/>
          <w:szCs w:val="28"/>
        </w:rPr>
        <w:t>1、适用法律和法规：</w:t>
      </w:r>
      <w:r>
        <w:rPr>
          <w:rFonts w:hint="eastAsia" w:ascii="宋体"/>
          <w:kern w:val="0"/>
          <w:szCs w:val="28"/>
          <w:u w:val="single"/>
        </w:rPr>
        <w:t>　《民法典》、《建筑法》、《招标投标法》等　　</w:t>
      </w:r>
    </w:p>
    <w:p>
      <w:pPr>
        <w:ind w:firstLine="420" w:firstLineChars="200"/>
        <w:contextualSpacing/>
        <w:rPr>
          <w:rFonts w:hint="eastAsia" w:ascii="宋体"/>
          <w:kern w:val="0"/>
          <w:szCs w:val="28"/>
          <w:u w:val="single"/>
        </w:rPr>
      </w:pPr>
      <w:r>
        <w:rPr>
          <w:rFonts w:hint="eastAsia" w:ascii="宋体"/>
          <w:kern w:val="0"/>
          <w:szCs w:val="28"/>
        </w:rPr>
        <w:t>2、工程造价计价办法：</w:t>
      </w:r>
      <w:r>
        <w:rPr>
          <w:rFonts w:hint="eastAsia" w:ascii="宋体"/>
          <w:kern w:val="0"/>
          <w:szCs w:val="28"/>
          <w:u w:val="single"/>
        </w:rPr>
        <w:t xml:space="preserve">　江苏省、扬州市        </w:t>
      </w:r>
    </w:p>
    <w:p>
      <w:pPr>
        <w:ind w:firstLine="420" w:firstLineChars="200"/>
        <w:contextualSpacing/>
        <w:rPr>
          <w:rFonts w:hint="eastAsia" w:ascii="宋体"/>
          <w:kern w:val="0"/>
          <w:szCs w:val="28"/>
        </w:rPr>
      </w:pPr>
      <w:r>
        <w:rPr>
          <w:rFonts w:hint="eastAsia" w:ascii="宋体"/>
          <w:kern w:val="0"/>
          <w:szCs w:val="28"/>
        </w:rPr>
        <w:t>3、标准规范：</w:t>
      </w:r>
      <w:r>
        <w:rPr>
          <w:rFonts w:hint="eastAsia" w:ascii="宋体"/>
          <w:kern w:val="0"/>
          <w:szCs w:val="28"/>
          <w:u w:val="single"/>
        </w:rPr>
        <w:t>　江苏省、扬州市相关标准规范　　</w:t>
      </w:r>
    </w:p>
    <w:p>
      <w:pPr>
        <w:ind w:firstLine="470" w:firstLineChars="224"/>
        <w:contextualSpacing/>
        <w:rPr>
          <w:rFonts w:hint="eastAsia" w:ascii="宋体"/>
          <w:kern w:val="0"/>
          <w:szCs w:val="28"/>
        </w:rPr>
      </w:pPr>
      <w:r>
        <w:rPr>
          <w:rFonts w:hint="eastAsia" w:ascii="宋体"/>
          <w:kern w:val="0"/>
          <w:szCs w:val="28"/>
        </w:rPr>
        <w:t xml:space="preserve">第四条  本合同咨询项目负责人由 </w:t>
      </w:r>
      <w:r>
        <w:rPr>
          <w:rFonts w:hint="eastAsia" w:ascii="宋体"/>
          <w:kern w:val="0"/>
          <w:szCs w:val="28"/>
          <w:u w:val="single"/>
        </w:rPr>
        <w:t xml:space="preserve">  </w:t>
      </w:r>
      <w:r>
        <w:rPr>
          <w:rFonts w:hint="eastAsia" w:ascii="宋体"/>
          <w:kern w:val="0"/>
          <w:szCs w:val="28"/>
          <w:u w:val="single"/>
          <w:lang w:val="en-US" w:eastAsia="zh-CN"/>
        </w:rPr>
        <w:t xml:space="preserve"> </w:t>
      </w:r>
      <w:r>
        <w:rPr>
          <w:rFonts w:hint="eastAsia" w:ascii="宋体"/>
          <w:kern w:val="0"/>
          <w:szCs w:val="28"/>
          <w:u w:val="single"/>
        </w:rPr>
        <w:t xml:space="preserve">  </w:t>
      </w:r>
      <w:r>
        <w:rPr>
          <w:rFonts w:hint="eastAsia" w:ascii="宋体"/>
          <w:kern w:val="0"/>
          <w:szCs w:val="28"/>
        </w:rPr>
        <w:t xml:space="preserve"> 担任，负责本咨询项目的具体实施及与委托方的联系等事宜。 </w:t>
      </w:r>
    </w:p>
    <w:p>
      <w:pPr>
        <w:ind w:firstLine="472" w:firstLineChars="225"/>
        <w:contextualSpacing/>
        <w:rPr>
          <w:rFonts w:hint="eastAsia" w:ascii="宋体"/>
          <w:kern w:val="0"/>
          <w:szCs w:val="28"/>
        </w:rPr>
      </w:pPr>
      <w:r>
        <w:rPr>
          <w:rFonts w:hint="eastAsia" w:ascii="宋体"/>
          <w:kern w:val="0"/>
          <w:szCs w:val="28"/>
        </w:rPr>
        <w:t>第五条　建设工程造价咨询业务范围及内容</w:t>
      </w:r>
    </w:p>
    <w:p>
      <w:pPr>
        <w:adjustRightInd w:val="0"/>
        <w:ind w:firstLine="420" w:firstLineChars="200"/>
        <w:contextualSpacing/>
        <w:rPr>
          <w:rFonts w:hint="default" w:ascii="宋体" w:eastAsia="宋体"/>
          <w:kern w:val="0"/>
          <w:szCs w:val="28"/>
          <w:lang w:val="en-US" w:eastAsia="zh-CN"/>
        </w:rPr>
      </w:pPr>
      <w:r>
        <w:rPr>
          <w:rFonts w:hint="eastAsia" w:ascii="宋体"/>
          <w:kern w:val="0"/>
          <w:szCs w:val="28"/>
        </w:rPr>
        <w:t>1、委托工程造价咨询的工程范围：</w:t>
      </w:r>
      <w:r>
        <w:rPr>
          <w:rFonts w:hint="eastAsia" w:ascii="宋体"/>
          <w:kern w:val="0"/>
          <w:szCs w:val="28"/>
          <w:lang w:val="en-US" w:eastAsia="zh-CN"/>
        </w:rPr>
        <w:t xml:space="preserve"> </w:t>
      </w:r>
    </w:p>
    <w:p>
      <w:pPr>
        <w:ind w:firstLine="420" w:firstLineChars="200"/>
        <w:rPr>
          <w:rFonts w:ascii="宋体"/>
          <w:color w:val="000000"/>
          <w:kern w:val="0"/>
          <w:szCs w:val="28"/>
        </w:rPr>
      </w:pPr>
      <w:r>
        <w:rPr>
          <w:rFonts w:hint="eastAsia" w:ascii="宋体"/>
          <w:color w:val="000000"/>
          <w:kern w:val="0"/>
          <w:szCs w:val="28"/>
        </w:rPr>
        <w:t xml:space="preserve">2、委托工程造价咨询业务的内容（下列内容由委托方选定）：　                                  </w:t>
      </w:r>
    </w:p>
    <w:p>
      <w:pPr>
        <w:adjustRightInd w:val="0"/>
        <w:snapToGrid w:val="0"/>
        <w:ind w:firstLine="420" w:firstLineChars="200"/>
        <w:rPr>
          <w:rFonts w:hint="eastAsia" w:ascii="宋体"/>
          <w:color w:val="000000"/>
          <w:kern w:val="0"/>
          <w:szCs w:val="28"/>
        </w:rPr>
      </w:pPr>
      <w:r>
        <w:rPr>
          <w:rFonts w:hint="eastAsia" w:ascii="宋体"/>
          <w:color w:val="000000"/>
          <w:kern w:val="0"/>
          <w:szCs w:val="28"/>
        </w:rPr>
        <w:t>2.1 建设工程造价咨询业务</w:t>
      </w:r>
    </w:p>
    <w:p>
      <w:pPr>
        <w:ind w:firstLine="470" w:firstLineChars="224"/>
        <w:rPr>
          <w:rFonts w:hint="eastAsia" w:ascii="宋体"/>
          <w:color w:val="000000"/>
          <w:kern w:val="0"/>
          <w:szCs w:val="28"/>
          <w:u w:val="single"/>
        </w:rPr>
      </w:pPr>
      <w:r>
        <w:rPr>
          <w:rFonts w:hint="eastAsia" w:ascii="宋体"/>
          <w:color w:val="000000"/>
          <w:kern w:val="0"/>
          <w:szCs w:val="28"/>
        </w:rPr>
        <w:t>A、投资决策阶段</w:t>
      </w:r>
      <w:r>
        <w:rPr>
          <w:rFonts w:hint="eastAsia" w:ascii="宋体"/>
          <w:color w:val="000000"/>
          <w:kern w:val="0"/>
          <w:szCs w:val="28"/>
          <w:u w:val="single"/>
        </w:rPr>
        <w:t xml:space="preserve">                /               </w:t>
      </w:r>
    </w:p>
    <w:p>
      <w:pPr>
        <w:tabs>
          <w:tab w:val="left" w:pos="0"/>
        </w:tabs>
        <w:ind w:firstLine="420" w:firstLineChars="200"/>
        <w:rPr>
          <w:rFonts w:hint="eastAsia" w:ascii="宋体"/>
          <w:color w:val="000000"/>
          <w:kern w:val="0"/>
          <w:szCs w:val="28"/>
        </w:rPr>
      </w:pPr>
      <w:r>
        <w:rPr>
          <w:rFonts w:hint="eastAsia" w:ascii="宋体"/>
          <w:color w:val="000000"/>
          <w:kern w:val="0"/>
          <w:szCs w:val="28"/>
        </w:rPr>
        <w:t>a编制建设工程投资估算                 b审核建设工程投资估算</w:t>
      </w:r>
    </w:p>
    <w:p>
      <w:pPr>
        <w:tabs>
          <w:tab w:val="left" w:pos="476"/>
        </w:tabs>
        <w:ind w:firstLine="420" w:firstLineChars="200"/>
        <w:rPr>
          <w:rFonts w:hint="eastAsia" w:ascii="宋体"/>
          <w:color w:val="000000"/>
          <w:kern w:val="0"/>
          <w:szCs w:val="28"/>
        </w:rPr>
      </w:pPr>
      <w:r>
        <w:rPr>
          <w:rFonts w:hint="eastAsia" w:ascii="宋体"/>
          <w:color w:val="000000"/>
          <w:kern w:val="0"/>
          <w:szCs w:val="28"/>
        </w:rPr>
        <w:t>c建设工程项目经济评价                 d其它</w:t>
      </w:r>
      <w:r>
        <w:rPr>
          <w:rFonts w:hint="eastAsia" w:ascii="宋体"/>
          <w:color w:val="000000"/>
          <w:kern w:val="0"/>
          <w:szCs w:val="28"/>
          <w:u w:val="single"/>
        </w:rPr>
        <w:t xml:space="preserve">      </w:t>
      </w:r>
    </w:p>
    <w:p>
      <w:pPr>
        <w:ind w:firstLine="470" w:firstLineChars="224"/>
        <w:rPr>
          <w:rFonts w:hint="eastAsia" w:ascii="宋体"/>
          <w:color w:val="000000"/>
          <w:kern w:val="0"/>
          <w:szCs w:val="28"/>
        </w:rPr>
      </w:pPr>
      <w:r>
        <w:rPr>
          <w:rFonts w:hint="eastAsia" w:ascii="宋体"/>
          <w:color w:val="000000"/>
          <w:kern w:val="0"/>
          <w:szCs w:val="28"/>
        </w:rPr>
        <w:t>B、工程设计阶段</w:t>
      </w:r>
      <w:r>
        <w:rPr>
          <w:rFonts w:hint="eastAsia" w:ascii="宋体"/>
          <w:color w:val="000000"/>
          <w:kern w:val="0"/>
          <w:szCs w:val="28"/>
          <w:u w:val="single"/>
        </w:rPr>
        <w:t xml:space="preserve">                /                  </w:t>
      </w:r>
    </w:p>
    <w:p>
      <w:pPr>
        <w:ind w:firstLine="420" w:firstLineChars="200"/>
        <w:rPr>
          <w:rFonts w:hint="eastAsia" w:ascii="宋体"/>
          <w:color w:val="000000"/>
          <w:kern w:val="0"/>
          <w:szCs w:val="28"/>
        </w:rPr>
      </w:pPr>
      <w:r>
        <w:rPr>
          <w:rFonts w:hint="eastAsia" w:ascii="宋体"/>
          <w:color w:val="000000"/>
          <w:kern w:val="0"/>
          <w:szCs w:val="28"/>
        </w:rPr>
        <w:t>a编制建设工程概算                     b审核建设工程概算</w:t>
      </w:r>
    </w:p>
    <w:p>
      <w:pPr>
        <w:ind w:firstLine="420" w:firstLineChars="200"/>
        <w:rPr>
          <w:rFonts w:hint="eastAsia" w:ascii="宋体"/>
          <w:color w:val="000000"/>
          <w:kern w:val="0"/>
          <w:szCs w:val="28"/>
        </w:rPr>
      </w:pPr>
      <w:r>
        <w:rPr>
          <w:rFonts w:hint="eastAsia" w:ascii="宋体"/>
          <w:color w:val="000000"/>
          <w:kern w:val="0"/>
          <w:szCs w:val="28"/>
        </w:rPr>
        <w:t>c编制建设工程预算                     d审核建设工程预算</w:t>
      </w:r>
    </w:p>
    <w:p>
      <w:pPr>
        <w:ind w:firstLine="420" w:firstLineChars="200"/>
        <w:rPr>
          <w:rFonts w:hint="eastAsia" w:ascii="宋体"/>
          <w:color w:val="000000"/>
          <w:kern w:val="0"/>
          <w:szCs w:val="28"/>
          <w:u w:val="single"/>
        </w:rPr>
      </w:pPr>
      <w:r>
        <w:rPr>
          <w:rFonts w:hint="eastAsia" w:ascii="宋体"/>
          <w:color w:val="000000"/>
          <w:kern w:val="0"/>
          <w:szCs w:val="28"/>
        </w:rPr>
        <w:t>e设计方案经济比较                     f其它</w:t>
      </w:r>
      <w:r>
        <w:rPr>
          <w:rFonts w:hint="eastAsia" w:ascii="宋体"/>
          <w:color w:val="000000"/>
          <w:kern w:val="0"/>
          <w:szCs w:val="28"/>
          <w:u w:val="single"/>
        </w:rPr>
        <w:t xml:space="preserve">               </w:t>
      </w:r>
    </w:p>
    <w:p>
      <w:pPr>
        <w:ind w:firstLine="420"/>
        <w:rPr>
          <w:rFonts w:hint="eastAsia" w:ascii="宋体"/>
          <w:color w:val="000000"/>
          <w:kern w:val="0"/>
          <w:szCs w:val="28"/>
        </w:rPr>
      </w:pPr>
      <w:r>
        <w:rPr>
          <w:rFonts w:hint="eastAsia" w:ascii="宋体"/>
          <w:color w:val="000000"/>
          <w:kern w:val="0"/>
          <w:szCs w:val="28"/>
        </w:rPr>
        <w:t>C、工程发承包/招投标阶段</w:t>
      </w:r>
      <w:r>
        <w:rPr>
          <w:rFonts w:hint="eastAsia" w:ascii="宋体"/>
          <w:color w:val="000000"/>
          <w:kern w:val="0"/>
          <w:szCs w:val="28"/>
          <w:u w:val="single"/>
        </w:rPr>
        <w:t xml:space="preserve">                     </w:t>
      </w:r>
    </w:p>
    <w:p>
      <w:pPr>
        <w:tabs>
          <w:tab w:val="left" w:pos="0"/>
        </w:tabs>
        <w:ind w:firstLine="420" w:firstLineChars="200"/>
        <w:rPr>
          <w:rFonts w:hint="eastAsia" w:ascii="宋体"/>
          <w:color w:val="000000"/>
          <w:kern w:val="0"/>
          <w:szCs w:val="28"/>
        </w:rPr>
      </w:pPr>
      <w:r>
        <w:rPr>
          <w:rFonts w:hint="eastAsia" w:ascii="宋体"/>
          <w:color w:val="000000"/>
          <w:kern w:val="0"/>
          <w:szCs w:val="28"/>
        </w:rPr>
        <w:t>a编制招标文件造价控制条款             b编制工程量清单</w:t>
      </w:r>
    </w:p>
    <w:p>
      <w:pPr>
        <w:tabs>
          <w:tab w:val="left" w:pos="0"/>
        </w:tabs>
        <w:ind w:firstLine="420" w:firstLineChars="200"/>
        <w:rPr>
          <w:rFonts w:hint="eastAsia" w:ascii="宋体"/>
          <w:color w:val="000000"/>
          <w:kern w:val="0"/>
          <w:szCs w:val="28"/>
        </w:rPr>
      </w:pPr>
      <w:r>
        <w:rPr>
          <w:rFonts w:hint="eastAsia" w:ascii="宋体"/>
          <w:color w:val="000000"/>
          <w:kern w:val="0"/>
          <w:szCs w:val="28"/>
        </w:rPr>
        <w:t>c编制招标控制价/发包工程预算（标底）  d审核工程量清单</w:t>
      </w:r>
    </w:p>
    <w:p>
      <w:pPr>
        <w:tabs>
          <w:tab w:val="left" w:pos="0"/>
        </w:tabs>
        <w:ind w:firstLine="420" w:firstLineChars="200"/>
        <w:rPr>
          <w:rFonts w:hint="eastAsia" w:ascii="宋体"/>
          <w:color w:val="000000"/>
          <w:kern w:val="0"/>
          <w:szCs w:val="28"/>
        </w:rPr>
      </w:pPr>
      <w:r>
        <w:rPr>
          <w:rFonts w:hint="eastAsia" w:ascii="宋体"/>
          <w:color w:val="000000"/>
          <w:kern w:val="0"/>
          <w:szCs w:val="28"/>
        </w:rPr>
        <w:t xml:space="preserve">e审核招标控制价/发包工程预算（标底）  f参与审查经济标             </w:t>
      </w:r>
    </w:p>
    <w:p>
      <w:pPr>
        <w:tabs>
          <w:tab w:val="left" w:pos="0"/>
          <w:tab w:val="left" w:pos="4536"/>
        </w:tabs>
        <w:ind w:firstLine="420" w:firstLineChars="200"/>
        <w:rPr>
          <w:rFonts w:hint="eastAsia" w:ascii="宋体"/>
          <w:color w:val="000000"/>
          <w:kern w:val="0"/>
          <w:szCs w:val="28"/>
        </w:rPr>
      </w:pPr>
      <w:r>
        <w:rPr>
          <w:rFonts w:hint="eastAsia" w:ascii="宋体"/>
          <w:color w:val="000000"/>
          <w:kern w:val="0"/>
          <w:szCs w:val="28"/>
        </w:rPr>
        <w:t>g参与合同谈判，协助起草合同文本       h其它</w:t>
      </w:r>
      <w:r>
        <w:rPr>
          <w:rFonts w:hint="eastAsia" w:ascii="宋体"/>
          <w:color w:val="000000"/>
          <w:kern w:val="0"/>
          <w:szCs w:val="28"/>
          <w:u w:val="single"/>
        </w:rPr>
        <w:t xml:space="preserve">      </w:t>
      </w:r>
    </w:p>
    <w:p>
      <w:pPr>
        <w:ind w:firstLine="420"/>
        <w:rPr>
          <w:rFonts w:hint="eastAsia" w:ascii="宋体"/>
          <w:color w:val="000000"/>
          <w:kern w:val="0"/>
          <w:szCs w:val="28"/>
        </w:rPr>
      </w:pPr>
      <w:r>
        <w:rPr>
          <w:rFonts w:hint="eastAsia" w:ascii="宋体"/>
          <w:color w:val="000000"/>
          <w:kern w:val="0"/>
          <w:szCs w:val="28"/>
        </w:rPr>
        <w:t>D、工程施工阶段</w:t>
      </w:r>
      <w:r>
        <w:rPr>
          <w:rFonts w:hint="eastAsia" w:ascii="宋体"/>
          <w:color w:val="000000"/>
          <w:kern w:val="0"/>
          <w:szCs w:val="28"/>
          <w:u w:val="single"/>
        </w:rPr>
        <w:t xml:space="preserve">     </w:t>
      </w:r>
      <w:r>
        <w:rPr>
          <w:rFonts w:hint="eastAsia" w:ascii="宋体"/>
          <w:b/>
          <w:color w:val="000000"/>
          <w:kern w:val="0"/>
          <w:szCs w:val="28"/>
          <w:u w:val="single"/>
        </w:rPr>
        <w:t xml:space="preserve"> </w:t>
      </w:r>
      <w:r>
        <w:rPr>
          <w:rFonts w:hint="eastAsia" w:ascii="宋体"/>
          <w:color w:val="000000"/>
          <w:kern w:val="0"/>
          <w:szCs w:val="28"/>
          <w:u w:val="single"/>
        </w:rPr>
        <w:t xml:space="preserve">         /                      </w:t>
      </w:r>
    </w:p>
    <w:p>
      <w:pPr>
        <w:tabs>
          <w:tab w:val="left" w:pos="0"/>
        </w:tabs>
        <w:ind w:left="466" w:leftChars="172" w:hanging="105" w:hangingChars="50"/>
        <w:rPr>
          <w:rFonts w:hint="eastAsia" w:ascii="宋体"/>
          <w:color w:val="000000"/>
          <w:kern w:val="0"/>
          <w:szCs w:val="28"/>
        </w:rPr>
      </w:pPr>
      <w:r>
        <w:rPr>
          <w:rFonts w:hint="eastAsia" w:ascii="宋体"/>
          <w:color w:val="000000"/>
          <w:kern w:val="0"/>
          <w:szCs w:val="28"/>
        </w:rPr>
        <w:t>a分析合同价款（投标报价/发包工程预算），</w:t>
      </w:r>
      <w:r>
        <w:rPr>
          <w:rFonts w:ascii="宋体"/>
          <w:color w:val="000000"/>
          <w:kern w:val="0"/>
          <w:szCs w:val="28"/>
        </w:rPr>
        <w:t>确定</w:t>
      </w:r>
      <w:r>
        <w:rPr>
          <w:rFonts w:hint="eastAsia" w:ascii="宋体"/>
          <w:color w:val="000000"/>
          <w:kern w:val="0"/>
          <w:szCs w:val="28"/>
        </w:rPr>
        <w:t>工程造价</w:t>
      </w:r>
      <w:r>
        <w:rPr>
          <w:rFonts w:ascii="宋体"/>
          <w:color w:val="000000"/>
          <w:kern w:val="0"/>
          <w:szCs w:val="28"/>
        </w:rPr>
        <w:t>控制目标</w:t>
      </w:r>
      <w:r>
        <w:rPr>
          <w:rFonts w:hint="eastAsia" w:ascii="宋体"/>
          <w:color w:val="000000"/>
          <w:kern w:val="0"/>
          <w:szCs w:val="28"/>
        </w:rPr>
        <w:t>，编制资金使用计划</w:t>
      </w:r>
    </w:p>
    <w:p>
      <w:pPr>
        <w:tabs>
          <w:tab w:val="left" w:pos="0"/>
        </w:tabs>
        <w:ind w:firstLine="420" w:firstLineChars="200"/>
        <w:rPr>
          <w:rFonts w:hint="eastAsia" w:ascii="宋体"/>
          <w:color w:val="000000"/>
          <w:kern w:val="0"/>
          <w:szCs w:val="28"/>
        </w:rPr>
      </w:pPr>
      <w:r>
        <w:rPr>
          <w:rFonts w:hint="eastAsia" w:ascii="宋体"/>
          <w:color w:val="000000"/>
          <w:kern w:val="0"/>
          <w:szCs w:val="28"/>
        </w:rPr>
        <w:t>b审核工程计量与价款支付             c审核工程索赔与签证费用</w:t>
      </w:r>
    </w:p>
    <w:p>
      <w:pPr>
        <w:tabs>
          <w:tab w:val="left" w:pos="0"/>
        </w:tabs>
        <w:ind w:left="466" w:leftChars="172" w:hanging="105" w:hangingChars="50"/>
        <w:rPr>
          <w:rFonts w:hint="eastAsia" w:ascii="宋体"/>
          <w:color w:val="000000"/>
          <w:kern w:val="0"/>
          <w:szCs w:val="28"/>
        </w:rPr>
      </w:pPr>
      <w:r>
        <w:rPr>
          <w:rFonts w:hint="eastAsia" w:ascii="宋体"/>
          <w:color w:val="000000"/>
          <w:kern w:val="0"/>
          <w:szCs w:val="28"/>
        </w:rPr>
        <w:t>d审核工程价款调整                    e业主分包的专业工程招标咨询，材料设备询价</w:t>
      </w:r>
    </w:p>
    <w:p>
      <w:pPr>
        <w:tabs>
          <w:tab w:val="left" w:pos="0"/>
        </w:tabs>
        <w:ind w:left="571" w:leftChars="172" w:hanging="210" w:hangingChars="100"/>
        <w:rPr>
          <w:rFonts w:hint="eastAsia" w:ascii="宋体"/>
          <w:color w:val="000000"/>
          <w:kern w:val="0"/>
          <w:szCs w:val="28"/>
        </w:rPr>
      </w:pPr>
      <w:r>
        <w:rPr>
          <w:rFonts w:hint="eastAsia" w:ascii="宋体"/>
          <w:color w:val="000000"/>
          <w:kern w:val="0"/>
          <w:szCs w:val="28"/>
        </w:rPr>
        <w:t>f分析工程投资偏差，调整造价控制目标   g其它</w:t>
      </w:r>
      <w:r>
        <w:rPr>
          <w:rFonts w:hint="eastAsia" w:ascii="宋体"/>
          <w:color w:val="000000"/>
          <w:kern w:val="0"/>
          <w:szCs w:val="28"/>
          <w:u w:val="single"/>
        </w:rPr>
        <w:t xml:space="preserve">  /  </w:t>
      </w:r>
      <w:r>
        <w:rPr>
          <w:rFonts w:hint="eastAsia" w:ascii="宋体"/>
          <w:color w:val="000000"/>
          <w:kern w:val="0"/>
          <w:szCs w:val="28"/>
        </w:rPr>
        <w:t xml:space="preserve">          </w:t>
      </w:r>
    </w:p>
    <w:p>
      <w:pPr>
        <w:ind w:firstLine="420"/>
        <w:rPr>
          <w:rFonts w:hint="eastAsia" w:ascii="宋体"/>
          <w:color w:val="000000"/>
          <w:kern w:val="0"/>
          <w:szCs w:val="28"/>
        </w:rPr>
      </w:pPr>
      <w:r>
        <w:rPr>
          <w:rFonts w:hint="eastAsia" w:ascii="宋体"/>
          <w:color w:val="000000"/>
          <w:kern w:val="0"/>
          <w:szCs w:val="28"/>
        </w:rPr>
        <w:t>E、工程竣工阶段</w:t>
      </w:r>
      <w:r>
        <w:rPr>
          <w:rFonts w:hint="eastAsia" w:ascii="宋体"/>
          <w:color w:val="000000"/>
          <w:kern w:val="0"/>
          <w:szCs w:val="28"/>
          <w:u w:val="single"/>
        </w:rPr>
        <w:t xml:space="preserve">     /     </w:t>
      </w:r>
    </w:p>
    <w:p>
      <w:pPr>
        <w:tabs>
          <w:tab w:val="left" w:pos="0"/>
          <w:tab w:val="left" w:pos="3402"/>
        </w:tabs>
        <w:ind w:firstLine="420" w:firstLineChars="200"/>
        <w:rPr>
          <w:rFonts w:hint="eastAsia" w:ascii="宋体"/>
          <w:color w:val="000000"/>
          <w:kern w:val="0"/>
          <w:szCs w:val="28"/>
        </w:rPr>
      </w:pPr>
      <w:r>
        <w:rPr>
          <w:rFonts w:hint="eastAsia" w:ascii="宋体"/>
          <w:color w:val="000000"/>
          <w:kern w:val="0"/>
          <w:szCs w:val="28"/>
        </w:rPr>
        <w:t>a编制工程竣工结算书      b审核工程竣工结算      c其它</w:t>
      </w:r>
      <w:r>
        <w:rPr>
          <w:rFonts w:hint="eastAsia" w:ascii="宋体"/>
          <w:color w:val="000000"/>
          <w:kern w:val="0"/>
          <w:szCs w:val="28"/>
          <w:u w:val="single"/>
        </w:rPr>
        <w:t xml:space="preserve">  /          </w:t>
      </w:r>
      <w:r>
        <w:rPr>
          <w:rFonts w:hint="eastAsia" w:ascii="宋体"/>
          <w:color w:val="000000"/>
          <w:kern w:val="0"/>
          <w:szCs w:val="28"/>
        </w:rPr>
        <w:t xml:space="preserve"> </w:t>
      </w:r>
    </w:p>
    <w:p>
      <w:pPr>
        <w:adjustRightInd w:val="0"/>
        <w:snapToGrid w:val="0"/>
        <w:ind w:firstLine="420"/>
        <w:rPr>
          <w:rFonts w:hint="eastAsia" w:ascii="宋体"/>
          <w:color w:val="000000"/>
          <w:kern w:val="0"/>
          <w:szCs w:val="28"/>
        </w:rPr>
      </w:pPr>
      <w:r>
        <w:rPr>
          <w:rFonts w:hint="eastAsia" w:ascii="宋体"/>
          <w:color w:val="000000"/>
          <w:kern w:val="0"/>
          <w:szCs w:val="28"/>
        </w:rPr>
        <w:t>2.2 造价咨询其它业务</w:t>
      </w:r>
      <w:r>
        <w:rPr>
          <w:rFonts w:hint="eastAsia" w:ascii="宋体"/>
          <w:color w:val="000000"/>
          <w:kern w:val="0"/>
          <w:szCs w:val="28"/>
          <w:u w:val="single"/>
        </w:rPr>
        <w:t xml:space="preserve">           /                </w:t>
      </w:r>
    </w:p>
    <w:p>
      <w:pPr>
        <w:tabs>
          <w:tab w:val="left" w:pos="0"/>
        </w:tabs>
        <w:ind w:firstLine="420" w:firstLineChars="200"/>
        <w:rPr>
          <w:rFonts w:hint="eastAsia" w:ascii="宋体"/>
          <w:color w:val="000000"/>
          <w:kern w:val="0"/>
          <w:szCs w:val="28"/>
        </w:rPr>
      </w:pPr>
      <w:r>
        <w:rPr>
          <w:rFonts w:hint="eastAsia" w:ascii="宋体"/>
          <w:color w:val="000000"/>
          <w:kern w:val="0"/>
          <w:szCs w:val="28"/>
        </w:rPr>
        <w:t>a工程造价鉴定及仲裁咨询     b编制工程造价计价依据</w:t>
      </w:r>
    </w:p>
    <w:p>
      <w:pPr>
        <w:tabs>
          <w:tab w:val="left" w:pos="0"/>
        </w:tabs>
        <w:ind w:firstLine="420" w:firstLineChars="200"/>
        <w:rPr>
          <w:rFonts w:hint="eastAsia" w:ascii="宋体"/>
          <w:color w:val="000000"/>
          <w:kern w:val="0"/>
          <w:szCs w:val="28"/>
        </w:rPr>
      </w:pPr>
      <w:r>
        <w:rPr>
          <w:rFonts w:hint="eastAsia" w:ascii="宋体"/>
          <w:color w:val="000000"/>
          <w:kern w:val="0"/>
          <w:szCs w:val="28"/>
        </w:rPr>
        <w:t>c提供工程造价信息服务       d其它</w:t>
      </w:r>
      <w:r>
        <w:rPr>
          <w:rFonts w:hint="eastAsia" w:ascii="宋体"/>
          <w:color w:val="000000"/>
          <w:kern w:val="0"/>
          <w:szCs w:val="28"/>
          <w:u w:val="single"/>
        </w:rPr>
        <w:t xml:space="preserve">              </w:t>
      </w:r>
    </w:p>
    <w:p>
      <w:pPr>
        <w:ind w:firstLine="420" w:firstLineChars="200"/>
        <w:contextualSpacing/>
        <w:rPr>
          <w:rFonts w:hint="eastAsia" w:ascii="宋体"/>
          <w:kern w:val="0"/>
          <w:szCs w:val="28"/>
        </w:rPr>
      </w:pPr>
      <w:r>
        <w:rPr>
          <w:rFonts w:hint="eastAsia" w:ascii="宋体"/>
          <w:kern w:val="0"/>
          <w:szCs w:val="28"/>
        </w:rPr>
        <w:t>第八条  委托人授权</w:t>
      </w:r>
      <w:r>
        <w:rPr>
          <w:rFonts w:hint="eastAsia" w:ascii="宋体"/>
          <w:kern w:val="0"/>
          <w:szCs w:val="28"/>
          <w:u w:val="single"/>
        </w:rPr>
        <w:t xml:space="preserve">      </w:t>
      </w:r>
      <w:r>
        <w:rPr>
          <w:rFonts w:hint="eastAsia" w:ascii="宋体"/>
          <w:kern w:val="0"/>
          <w:szCs w:val="28"/>
        </w:rPr>
        <w:t>为本咨询业务的代表，负责与咨询人联系。实施工程施工阶段造价咨询业务，要求咨询人常驻施工现场时，由委托人提供下列必要的办公条件：</w:t>
      </w:r>
      <w:r>
        <w:rPr>
          <w:rFonts w:hint="eastAsia" w:ascii="宋体"/>
          <w:kern w:val="0"/>
          <w:szCs w:val="28"/>
          <w:u w:val="single"/>
        </w:rPr>
        <w:t xml:space="preserve">      /     </w:t>
      </w:r>
    </w:p>
    <w:p>
      <w:pPr>
        <w:ind w:firstLine="420" w:firstLineChars="200"/>
        <w:contextualSpacing/>
        <w:rPr>
          <w:rFonts w:ascii="宋体"/>
          <w:kern w:val="0"/>
          <w:szCs w:val="28"/>
        </w:rPr>
      </w:pPr>
      <w:r>
        <w:rPr>
          <w:rFonts w:hint="eastAsia" w:ascii="宋体"/>
          <w:kern w:val="0"/>
          <w:szCs w:val="28"/>
        </w:rPr>
        <w:t>第九条　双方约定的委托人应提供的建设工程造价咨询材料及提供时间：</w:t>
      </w:r>
      <w:r>
        <w:rPr>
          <w:rFonts w:hint="eastAsia" w:ascii="宋体"/>
          <w:kern w:val="0"/>
          <w:szCs w:val="28"/>
          <w:u w:val="single"/>
        </w:rPr>
        <w:t xml:space="preserve">   。</w:t>
      </w:r>
    </w:p>
    <w:p>
      <w:pPr>
        <w:ind w:firstLine="420" w:firstLineChars="200"/>
        <w:contextualSpacing/>
        <w:rPr>
          <w:rFonts w:hint="eastAsia" w:ascii="宋体"/>
          <w:kern w:val="0"/>
          <w:szCs w:val="28"/>
        </w:rPr>
      </w:pPr>
      <w:r>
        <w:rPr>
          <w:rFonts w:hint="eastAsia" w:ascii="宋体"/>
          <w:kern w:val="0"/>
          <w:szCs w:val="28"/>
        </w:rPr>
        <w:t>第十条　委托人应在</w:t>
      </w:r>
      <w:r>
        <w:rPr>
          <w:rFonts w:hint="eastAsia" w:ascii="宋体"/>
          <w:kern w:val="0"/>
          <w:szCs w:val="28"/>
          <w:u w:val="single"/>
        </w:rPr>
        <w:t xml:space="preserve">  2   </w:t>
      </w:r>
      <w:r>
        <w:rPr>
          <w:rFonts w:hint="eastAsia" w:ascii="宋体"/>
          <w:kern w:val="0"/>
          <w:szCs w:val="28"/>
        </w:rPr>
        <w:t>日内对咨询人书面提交并要求做出答复的事宜做出书面答复。</w:t>
      </w:r>
    </w:p>
    <w:p>
      <w:pPr>
        <w:contextualSpacing/>
        <w:rPr>
          <w:rFonts w:hint="eastAsia" w:ascii="宋体"/>
          <w:kern w:val="0"/>
          <w:szCs w:val="28"/>
        </w:rPr>
      </w:pPr>
      <w:r>
        <w:rPr>
          <w:rFonts w:hint="eastAsia" w:ascii="宋体"/>
          <w:kern w:val="0"/>
          <w:szCs w:val="28"/>
        </w:rPr>
        <w:t>　　第二十条　咨询人在其责任期内如果因自身原因给委托方造成经济损失时，同意在</w:t>
      </w:r>
      <w:r>
        <w:rPr>
          <w:rFonts w:ascii="宋体"/>
          <w:kern w:val="0"/>
          <w:szCs w:val="28"/>
        </w:rPr>
        <w:t>酬金</w:t>
      </w:r>
      <w:r>
        <w:rPr>
          <w:rFonts w:hint="eastAsia" w:ascii="宋体"/>
          <w:kern w:val="0"/>
          <w:szCs w:val="28"/>
        </w:rPr>
        <w:t>范围内按以下办法承担责任，向委托方支付赔偿金：赔偿金=</w:t>
      </w:r>
      <w:r>
        <w:rPr>
          <w:rFonts w:ascii="宋体"/>
          <w:kern w:val="0"/>
          <w:szCs w:val="28"/>
        </w:rPr>
        <w:t>酬金（扣除税金）×</w:t>
      </w:r>
      <w:r>
        <w:rPr>
          <w:rFonts w:hint="eastAsia" w:ascii="宋体"/>
          <w:kern w:val="0"/>
          <w:szCs w:val="28"/>
        </w:rPr>
        <w:t>5%</w:t>
      </w:r>
      <w:r>
        <w:rPr>
          <w:rFonts w:ascii="宋体"/>
          <w:kern w:val="0"/>
          <w:szCs w:val="28"/>
        </w:rPr>
        <w:t> </w:t>
      </w:r>
      <w:r>
        <w:rPr>
          <w:rFonts w:hint="eastAsia" w:ascii="宋体"/>
          <w:kern w:val="0"/>
          <w:szCs w:val="28"/>
        </w:rPr>
        <w:t>。</w:t>
      </w:r>
    </w:p>
    <w:p>
      <w:pPr>
        <w:ind w:firstLine="420"/>
        <w:contextualSpacing/>
        <w:rPr>
          <w:rFonts w:hint="eastAsia" w:ascii="宋体"/>
          <w:kern w:val="0"/>
          <w:szCs w:val="28"/>
        </w:rPr>
      </w:pPr>
      <w:r>
        <w:rPr>
          <w:rFonts w:hint="eastAsia" w:ascii="宋体"/>
          <w:kern w:val="0"/>
          <w:szCs w:val="28"/>
        </w:rPr>
        <w:t>第二十三条  委托人对其提供资料的真实性、完整性和有效性负责，由此造成的咨询人工作的缺陷或失误及额外工作由委托人负责对咨询人进行赔偿。</w:t>
      </w:r>
      <w:r>
        <w:rPr>
          <w:rFonts w:hint="eastAsia" w:ascii="黑体" w:hAnsi="黑体"/>
          <w:szCs w:val="28"/>
        </w:rPr>
        <w:t>委托人违反建设工程造价咨询合同约定的义务，同意</w:t>
      </w:r>
      <w:r>
        <w:rPr>
          <w:rFonts w:hint="eastAsia" w:ascii="宋体"/>
          <w:kern w:val="0"/>
          <w:szCs w:val="28"/>
        </w:rPr>
        <w:t>在</w:t>
      </w:r>
      <w:r>
        <w:rPr>
          <w:rFonts w:ascii="宋体"/>
          <w:kern w:val="0"/>
          <w:szCs w:val="28"/>
        </w:rPr>
        <w:t>酬金</w:t>
      </w:r>
      <w:r>
        <w:rPr>
          <w:rFonts w:hint="eastAsia" w:ascii="宋体"/>
          <w:kern w:val="0"/>
          <w:szCs w:val="28"/>
        </w:rPr>
        <w:t>范围内按</w:t>
      </w:r>
      <w:r>
        <w:rPr>
          <w:rFonts w:ascii="宋体"/>
          <w:kern w:val="0"/>
          <w:szCs w:val="28"/>
        </w:rPr>
        <w:t>酬金（扣除税金）×</w:t>
      </w:r>
      <w:r>
        <w:rPr>
          <w:rFonts w:hint="eastAsia" w:ascii="宋体"/>
          <w:kern w:val="0"/>
          <w:szCs w:val="28"/>
        </w:rPr>
        <w:t>5%</w:t>
      </w:r>
      <w:r>
        <w:rPr>
          <w:rFonts w:ascii="宋体"/>
          <w:kern w:val="0"/>
          <w:szCs w:val="28"/>
        </w:rPr>
        <w:t> </w:t>
      </w:r>
      <w:r>
        <w:rPr>
          <w:szCs w:val="28"/>
        </w:rPr>
        <w:t>承担因单方责任而</w:t>
      </w:r>
      <w:r>
        <w:rPr>
          <w:rFonts w:hint="eastAsia"/>
          <w:szCs w:val="28"/>
        </w:rPr>
        <w:t>承担的违约责任</w:t>
      </w:r>
      <w:r>
        <w:rPr>
          <w:szCs w:val="28"/>
        </w:rPr>
        <w:t>。</w:t>
      </w:r>
      <w:r>
        <w:rPr>
          <w:rFonts w:hint="eastAsia" w:ascii="宋体"/>
          <w:kern w:val="0"/>
          <w:szCs w:val="28"/>
        </w:rPr>
        <w:t>本合同约定的资料完整提供时间为：</w:t>
      </w:r>
      <w:r>
        <w:rPr>
          <w:rFonts w:hint="eastAsia" w:ascii="宋体"/>
          <w:kern w:val="0"/>
          <w:szCs w:val="28"/>
          <w:u w:val="single"/>
        </w:rPr>
        <w:t xml:space="preserve">    </w:t>
      </w:r>
      <w:r>
        <w:rPr>
          <w:rFonts w:hint="eastAsia" w:ascii="宋体"/>
          <w:kern w:val="0"/>
          <w:szCs w:val="28"/>
        </w:rPr>
        <w:t>年</w:t>
      </w:r>
      <w:r>
        <w:rPr>
          <w:rFonts w:hint="eastAsia" w:ascii="宋体"/>
          <w:kern w:val="0"/>
          <w:szCs w:val="28"/>
          <w:u w:val="single"/>
        </w:rPr>
        <w:t xml:space="preserve">    </w:t>
      </w:r>
      <w:r>
        <w:rPr>
          <w:rFonts w:hint="eastAsia" w:ascii="宋体"/>
          <w:kern w:val="0"/>
          <w:szCs w:val="28"/>
        </w:rPr>
        <w:t>月</w:t>
      </w:r>
      <w:r>
        <w:rPr>
          <w:rFonts w:hint="eastAsia" w:ascii="宋体"/>
          <w:kern w:val="0"/>
          <w:szCs w:val="28"/>
          <w:u w:val="single"/>
        </w:rPr>
        <w:t xml:space="preserve">    </w:t>
      </w:r>
      <w:r>
        <w:rPr>
          <w:rFonts w:hint="eastAsia" w:ascii="宋体"/>
          <w:kern w:val="0"/>
          <w:szCs w:val="28"/>
        </w:rPr>
        <w:t>日。</w:t>
      </w:r>
    </w:p>
    <w:p>
      <w:pPr>
        <w:ind w:firstLine="435"/>
        <w:contextualSpacing/>
        <w:rPr>
          <w:rFonts w:hint="eastAsia" w:ascii="宋体"/>
          <w:kern w:val="0"/>
          <w:szCs w:val="28"/>
        </w:rPr>
      </w:pPr>
      <w:r>
        <w:rPr>
          <w:rFonts w:hint="eastAsia" w:ascii="宋体"/>
          <w:kern w:val="0"/>
          <w:szCs w:val="28"/>
        </w:rPr>
        <w:t>第二十六条  咨询人发生额外工作包括：</w:t>
      </w:r>
      <w:r>
        <w:rPr>
          <w:rFonts w:hint="eastAsia" w:ascii="宋体"/>
          <w:kern w:val="0"/>
          <w:szCs w:val="28"/>
          <w:u w:val="single"/>
        </w:rPr>
        <w:t xml:space="preserve">   a </w:t>
      </w:r>
    </w:p>
    <w:p>
      <w:pPr>
        <w:ind w:firstLine="435"/>
        <w:contextualSpacing/>
        <w:rPr>
          <w:rFonts w:hint="eastAsia" w:ascii="宋体"/>
          <w:kern w:val="0"/>
          <w:szCs w:val="28"/>
        </w:rPr>
      </w:pPr>
      <w:r>
        <w:rPr>
          <w:rFonts w:hint="eastAsia" w:ascii="宋体"/>
          <w:kern w:val="0"/>
          <w:szCs w:val="28"/>
        </w:rPr>
        <w:t>a由于委托人提供的图纸等条件资料不全或发生变化，咨询人根据变化的条件资料发生的重复咨询工作；</w:t>
      </w:r>
    </w:p>
    <w:p>
      <w:pPr>
        <w:ind w:firstLine="435"/>
        <w:contextualSpacing/>
        <w:rPr>
          <w:rFonts w:hint="eastAsia" w:ascii="宋体"/>
          <w:kern w:val="0"/>
          <w:szCs w:val="28"/>
        </w:rPr>
      </w:pPr>
      <w:r>
        <w:rPr>
          <w:rFonts w:hint="eastAsia" w:ascii="宋体"/>
          <w:kern w:val="0"/>
          <w:szCs w:val="28"/>
        </w:rPr>
        <w:t>b其它</w:t>
      </w:r>
      <w:r>
        <w:rPr>
          <w:rFonts w:hint="eastAsia" w:ascii="宋体"/>
          <w:kern w:val="0"/>
          <w:szCs w:val="28"/>
          <w:u w:val="single"/>
        </w:rPr>
        <w:t xml:space="preserve">   /   </w:t>
      </w:r>
      <w:r>
        <w:rPr>
          <w:rFonts w:hint="eastAsia" w:ascii="宋体"/>
          <w:kern w:val="0"/>
          <w:szCs w:val="28"/>
        </w:rPr>
        <w:t>。</w:t>
      </w:r>
    </w:p>
    <w:p>
      <w:pPr>
        <w:ind w:firstLine="420"/>
        <w:contextualSpacing/>
        <w:rPr>
          <w:rFonts w:hint="eastAsia" w:ascii="宋体"/>
          <w:kern w:val="0"/>
          <w:szCs w:val="28"/>
        </w:rPr>
      </w:pPr>
      <w:r>
        <w:rPr>
          <w:rFonts w:hint="eastAsia" w:ascii="宋体"/>
          <w:kern w:val="0"/>
          <w:szCs w:val="28"/>
        </w:rPr>
        <w:t>第三十条　委托人同意按以下的计算方法、支付时间与金额，支付咨询人的正常服务酬金：</w:t>
      </w:r>
    </w:p>
    <w:p>
      <w:pPr>
        <w:ind w:firstLine="435"/>
        <w:contextualSpacing/>
        <w:rPr>
          <w:rFonts w:hint="eastAsia"/>
          <w:color w:val="000000"/>
          <w:szCs w:val="28"/>
        </w:rPr>
      </w:pPr>
      <w:r>
        <w:rPr>
          <w:rFonts w:hint="eastAsia" w:ascii="宋体"/>
          <w:kern w:val="0"/>
          <w:szCs w:val="28"/>
        </w:rPr>
        <w:t>1、正常服务酬金计算方法：</w:t>
      </w:r>
      <w:r>
        <w:rPr>
          <w:rFonts w:hint="eastAsia"/>
          <w:color w:val="000000"/>
          <w:szCs w:val="28"/>
        </w:rPr>
        <w:t xml:space="preserve"> </w:t>
      </w:r>
    </w:p>
    <w:p>
      <w:pPr>
        <w:ind w:firstLine="420"/>
        <w:contextualSpacing/>
        <w:rPr>
          <w:rFonts w:hint="default" w:ascii="宋体" w:eastAsia="宋体"/>
          <w:kern w:val="0"/>
          <w:szCs w:val="28"/>
          <w:lang w:val="en-US" w:eastAsia="zh-CN"/>
        </w:rPr>
      </w:pPr>
      <w:r>
        <w:rPr>
          <w:rFonts w:hint="eastAsia" w:ascii="宋体"/>
          <w:kern w:val="0"/>
          <w:szCs w:val="28"/>
        </w:rPr>
        <w:t>2、正常服务酬金支付方式：本咨询项目合同生效后</w:t>
      </w:r>
      <w:r>
        <w:rPr>
          <w:rFonts w:hint="eastAsia" w:ascii="宋体"/>
          <w:kern w:val="0"/>
          <w:szCs w:val="28"/>
          <w:lang w:eastAsia="zh-CN"/>
        </w:rPr>
        <w:t>，</w:t>
      </w:r>
      <w:r>
        <w:rPr>
          <w:rFonts w:hint="eastAsia" w:ascii="宋体"/>
          <w:kern w:val="0"/>
          <w:szCs w:val="28"/>
          <w:lang w:val="en-US" w:eastAsia="zh-CN"/>
        </w:rPr>
        <w:t>每季度根据完成工程量按季度支付酬金，在咨询人提供完整的咨询报告等资料后提交合规发票后一个月内完成支付。</w:t>
      </w:r>
    </w:p>
    <w:p>
      <w:pPr>
        <w:contextualSpacing/>
        <w:rPr>
          <w:rFonts w:hint="eastAsia" w:ascii="宋体"/>
          <w:kern w:val="0"/>
          <w:szCs w:val="28"/>
        </w:rPr>
      </w:pPr>
      <w:r>
        <w:rPr>
          <w:rFonts w:hint="eastAsia" w:ascii="宋体"/>
          <w:kern w:val="0"/>
          <w:szCs w:val="28"/>
        </w:rPr>
        <w:t xml:space="preserve">    3、其他约定</w:t>
      </w:r>
    </w:p>
    <w:p>
      <w:pPr>
        <w:ind w:firstLine="570"/>
        <w:contextualSpacing/>
        <w:rPr>
          <w:rFonts w:hint="eastAsia" w:ascii="宋体"/>
          <w:kern w:val="0"/>
          <w:szCs w:val="28"/>
        </w:rPr>
      </w:pPr>
      <w:r>
        <w:rPr>
          <w:rFonts w:hint="eastAsia" w:ascii="宋体"/>
          <w:kern w:val="0"/>
          <w:szCs w:val="28"/>
        </w:rPr>
        <w:t>附加服务酬金：</w:t>
      </w:r>
      <w:r>
        <w:rPr>
          <w:rFonts w:hint="eastAsia"/>
          <w:szCs w:val="28"/>
          <w:u w:val="single"/>
        </w:rPr>
        <w:t>如发生，可根据实际情况按照合同期内本省工程造价咨询费用管理规定处理。</w:t>
      </w:r>
      <w:r>
        <w:rPr>
          <w:rFonts w:hint="eastAsia" w:ascii="宋体"/>
          <w:kern w:val="0"/>
          <w:szCs w:val="28"/>
        </w:rPr>
        <w:t xml:space="preserve"> </w:t>
      </w:r>
    </w:p>
    <w:p>
      <w:pPr>
        <w:ind w:firstLine="570"/>
        <w:contextualSpacing/>
        <w:rPr>
          <w:rFonts w:hint="eastAsia"/>
          <w:szCs w:val="28"/>
          <w:u w:val="single"/>
        </w:rPr>
      </w:pPr>
      <w:r>
        <w:rPr>
          <w:rFonts w:hint="eastAsia" w:ascii="宋体"/>
          <w:kern w:val="0"/>
          <w:szCs w:val="28"/>
        </w:rPr>
        <w:t>额外服务酬金：</w:t>
      </w:r>
      <w:r>
        <w:rPr>
          <w:rFonts w:hint="eastAsia"/>
          <w:szCs w:val="28"/>
          <w:u w:val="single"/>
        </w:rPr>
        <w:t>额外服务酬金=额外工作时间×合同报酬/咨询服务时间。</w:t>
      </w:r>
    </w:p>
    <w:p>
      <w:pPr>
        <w:ind w:firstLine="570"/>
        <w:contextualSpacing/>
        <w:rPr>
          <w:rFonts w:hint="eastAsia" w:ascii="宋体"/>
          <w:kern w:val="0"/>
          <w:szCs w:val="28"/>
        </w:rPr>
      </w:pPr>
      <w:r>
        <w:rPr>
          <w:rFonts w:hint="eastAsia" w:ascii="宋体"/>
          <w:kern w:val="0"/>
          <w:szCs w:val="28"/>
        </w:rPr>
        <w:t xml:space="preserve">附加服务酬金、额外服务酬金随正常酬金同期支付。 </w:t>
      </w:r>
    </w:p>
    <w:p>
      <w:pPr>
        <w:ind w:firstLine="570"/>
        <w:contextualSpacing/>
        <w:rPr>
          <w:rFonts w:hint="eastAsia" w:ascii="宋体"/>
          <w:kern w:val="0"/>
          <w:szCs w:val="28"/>
        </w:rPr>
      </w:pPr>
      <w:r>
        <w:rPr>
          <w:rFonts w:hint="eastAsia" w:ascii="宋体"/>
          <w:kern w:val="0"/>
          <w:szCs w:val="28"/>
        </w:rPr>
        <w:t>第三十三条　双方同意用</w:t>
      </w:r>
      <w:r>
        <w:rPr>
          <w:rFonts w:hint="eastAsia" w:ascii="宋体"/>
          <w:kern w:val="0"/>
          <w:szCs w:val="28"/>
          <w:u w:val="single"/>
        </w:rPr>
        <w:t>人民币</w:t>
      </w:r>
      <w:r>
        <w:rPr>
          <w:rFonts w:hint="eastAsia" w:ascii="宋体"/>
          <w:kern w:val="0"/>
          <w:szCs w:val="28"/>
        </w:rPr>
        <w:t>支付酬金，按</w:t>
      </w:r>
      <w:r>
        <w:rPr>
          <w:rFonts w:hint="eastAsia" w:ascii="宋体"/>
          <w:kern w:val="0"/>
          <w:szCs w:val="28"/>
          <w:u w:val="single"/>
        </w:rPr>
        <w:t xml:space="preserve">   /    </w:t>
      </w:r>
      <w:r>
        <w:rPr>
          <w:rFonts w:hint="eastAsia" w:ascii="宋体"/>
          <w:kern w:val="0"/>
          <w:szCs w:val="28"/>
        </w:rPr>
        <w:t>汇率计付。</w:t>
      </w:r>
    </w:p>
    <w:p>
      <w:pPr>
        <w:ind w:firstLine="420" w:firstLineChars="200"/>
        <w:contextualSpacing/>
        <w:rPr>
          <w:rFonts w:hint="eastAsia" w:ascii="宋体"/>
          <w:kern w:val="0"/>
          <w:szCs w:val="28"/>
          <w:u w:val="single"/>
        </w:rPr>
      </w:pPr>
      <w:r>
        <w:rPr>
          <w:rFonts w:hint="eastAsia" w:ascii="宋体"/>
          <w:kern w:val="0"/>
          <w:szCs w:val="28"/>
        </w:rPr>
        <w:t>第三十八条  咨询人依据造价行业主管部门及国家的有关规定及要求开展造价咨询工作，咨询质量满足委托方及行业主管的要求。咨询人提交的咨询成果报告须文字清晰整齐，有较强的可复查性。</w:t>
      </w:r>
    </w:p>
    <w:p>
      <w:pPr>
        <w:contextualSpacing/>
        <w:rPr>
          <w:rFonts w:hint="eastAsia" w:ascii="宋体"/>
          <w:kern w:val="0"/>
          <w:szCs w:val="28"/>
        </w:rPr>
      </w:pPr>
      <w:r>
        <w:rPr>
          <w:rFonts w:hint="eastAsia" w:ascii="宋体"/>
          <w:kern w:val="0"/>
          <w:szCs w:val="28"/>
        </w:rPr>
        <w:t>　　第三十九条　建设工程造价咨询合同在履行过程中发生争议，委托人与咨询人应及时协商解决；如未能达成一致，可提交</w:t>
      </w:r>
      <w:r>
        <w:rPr>
          <w:rFonts w:hint="eastAsia"/>
          <w:szCs w:val="28"/>
          <w:u w:val="single"/>
        </w:rPr>
        <w:t>扬州市建设工程造价管理站</w:t>
      </w:r>
      <w:r>
        <w:rPr>
          <w:rFonts w:hint="eastAsia" w:ascii="宋体"/>
          <w:kern w:val="0"/>
          <w:szCs w:val="28"/>
        </w:rPr>
        <w:t>调解；协商或调解不成的，按下列第</w:t>
      </w:r>
      <w:r>
        <w:rPr>
          <w:rFonts w:hint="eastAsia" w:ascii="宋体"/>
          <w:kern w:val="0"/>
          <w:szCs w:val="28"/>
          <w:u w:val="single"/>
        </w:rPr>
        <w:t xml:space="preserve">  1  </w:t>
      </w:r>
      <w:r>
        <w:rPr>
          <w:rFonts w:hint="eastAsia" w:ascii="宋体"/>
          <w:kern w:val="0"/>
          <w:szCs w:val="28"/>
        </w:rPr>
        <w:t>种方式解决：</w:t>
      </w:r>
    </w:p>
    <w:p>
      <w:pPr>
        <w:contextualSpacing/>
        <w:rPr>
          <w:rFonts w:hint="eastAsia" w:ascii="宋体"/>
          <w:kern w:val="0"/>
          <w:szCs w:val="28"/>
        </w:rPr>
      </w:pPr>
      <w:r>
        <w:rPr>
          <w:rFonts w:hint="eastAsia" w:ascii="宋体"/>
          <w:kern w:val="0"/>
          <w:szCs w:val="28"/>
        </w:rPr>
        <w:t>　　1、提交</w:t>
      </w:r>
      <w:r>
        <w:rPr>
          <w:rFonts w:hint="eastAsia" w:ascii="宋体"/>
          <w:kern w:val="0"/>
          <w:szCs w:val="28"/>
          <w:u w:val="single"/>
        </w:rPr>
        <w:t xml:space="preserve"> 扬州 </w:t>
      </w:r>
      <w:r>
        <w:rPr>
          <w:rFonts w:hint="eastAsia" w:ascii="宋体"/>
          <w:kern w:val="0"/>
          <w:szCs w:val="28"/>
        </w:rPr>
        <w:t>仲裁委员会仲裁；</w:t>
      </w:r>
    </w:p>
    <w:p>
      <w:pPr>
        <w:ind w:firstLine="555"/>
        <w:contextualSpacing/>
        <w:rPr>
          <w:rFonts w:hint="eastAsia" w:ascii="宋体"/>
          <w:kern w:val="0"/>
          <w:szCs w:val="28"/>
        </w:rPr>
      </w:pPr>
      <w:r>
        <w:rPr>
          <w:rFonts w:hint="eastAsia" w:ascii="宋体"/>
          <w:kern w:val="0"/>
          <w:szCs w:val="28"/>
        </w:rPr>
        <w:t>2、依法向工程所在地人民法院起诉。</w:t>
      </w:r>
    </w:p>
    <w:p>
      <w:pPr>
        <w:ind w:firstLine="555"/>
        <w:contextualSpacing/>
        <w:rPr>
          <w:rFonts w:hint="eastAsia" w:ascii="宋体"/>
          <w:kern w:val="0"/>
          <w:szCs w:val="28"/>
          <w:u w:val="single"/>
        </w:rPr>
      </w:pPr>
      <w:r>
        <w:rPr>
          <w:rFonts w:hint="eastAsia" w:ascii="宋体"/>
          <w:kern w:val="0"/>
          <w:szCs w:val="28"/>
        </w:rPr>
        <w:t>附加协议条款：</w:t>
      </w:r>
      <w:r>
        <w:rPr>
          <w:rFonts w:hint="eastAsia" w:ascii="宋体"/>
          <w:kern w:val="0"/>
          <w:szCs w:val="28"/>
          <w:u w:val="single"/>
        </w:rPr>
        <w:t xml:space="preserve">  /   </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8"/>
        <w:widowControl/>
        <w:tabs>
          <w:tab w:val="left" w:pos="510"/>
          <w:tab w:val="left" w:pos="1000"/>
        </w:tabs>
        <w:adjustRightInd w:val="0"/>
        <w:snapToGrid w:val="0"/>
        <w:spacing w:line="360" w:lineRule="auto"/>
        <w:ind w:firstLine="0"/>
        <w:jc w:val="center"/>
        <w:rPr>
          <w:rFonts w:ascii="宋体" w:cs="宋体"/>
          <w:szCs w:val="21"/>
        </w:rPr>
      </w:pPr>
      <w:r>
        <w:rPr>
          <w:rFonts w:ascii="宋体" w:cs="宋体"/>
          <w:szCs w:val="21"/>
        </w:rPr>
        <w:br w:type="page"/>
      </w:r>
      <w:bookmarkStart w:id="81" w:name="_Toc316985994"/>
      <w:bookmarkStart w:id="82" w:name="_Toc367805008"/>
      <w:r>
        <w:rPr>
          <w:rFonts w:hint="eastAsia" w:eastAsia="黑体"/>
          <w:b/>
          <w:bCs/>
          <w:kern w:val="0"/>
          <w:sz w:val="32"/>
          <w:szCs w:val="44"/>
        </w:rPr>
        <w:t>第二章</w:t>
      </w:r>
      <w:r>
        <w:rPr>
          <w:rFonts w:eastAsia="黑体"/>
          <w:b/>
          <w:bCs/>
          <w:kern w:val="0"/>
          <w:sz w:val="32"/>
          <w:szCs w:val="44"/>
        </w:rPr>
        <w:t xml:space="preserve"> </w:t>
      </w:r>
      <w:r>
        <w:rPr>
          <w:rFonts w:hint="eastAsia" w:eastAsia="黑体"/>
          <w:b/>
          <w:bCs/>
          <w:kern w:val="0"/>
          <w:sz w:val="32"/>
          <w:szCs w:val="44"/>
        </w:rPr>
        <w:t>评标办法</w:t>
      </w:r>
      <w:bookmarkEnd w:id="81"/>
      <w:bookmarkEnd w:id="82"/>
    </w:p>
    <w:p>
      <w:pPr>
        <w:adjustRightInd w:val="0"/>
        <w:spacing w:before="120" w:after="120"/>
        <w:jc w:val="center"/>
        <w:textAlignment w:val="baseline"/>
        <w:outlineLvl w:val="1"/>
        <w:rPr>
          <w:rFonts w:ascii="Arial" w:hAnsi="Arial" w:eastAsia="黑体"/>
          <w:b/>
          <w:bCs/>
          <w:kern w:val="0"/>
          <w:sz w:val="30"/>
          <w:szCs w:val="32"/>
        </w:rPr>
      </w:pPr>
      <w:bookmarkStart w:id="83" w:name="_Toc310966052"/>
      <w:bookmarkStart w:id="84" w:name="_Toc310965933"/>
      <w:bookmarkStart w:id="85" w:name="_Toc316985995"/>
      <w:r>
        <w:rPr>
          <w:rFonts w:ascii="Arial" w:hAnsi="Arial" w:eastAsia="黑体"/>
          <w:b/>
          <w:bCs/>
          <w:kern w:val="0"/>
          <w:sz w:val="30"/>
          <w:szCs w:val="32"/>
        </w:rPr>
        <w:t>(</w:t>
      </w:r>
      <w:r>
        <w:rPr>
          <w:rFonts w:hint="eastAsia" w:ascii="Arial" w:hAnsi="Arial" w:eastAsia="黑体"/>
          <w:b/>
          <w:bCs/>
          <w:kern w:val="0"/>
          <w:sz w:val="30"/>
          <w:szCs w:val="32"/>
        </w:rPr>
        <w:t>一</w:t>
      </w:r>
      <w:r>
        <w:rPr>
          <w:rFonts w:ascii="Arial" w:hAnsi="Arial" w:eastAsia="黑体"/>
          <w:b/>
          <w:bCs/>
          <w:kern w:val="0"/>
          <w:sz w:val="30"/>
          <w:szCs w:val="32"/>
        </w:rPr>
        <w:t>)</w:t>
      </w:r>
      <w:bookmarkEnd w:id="83"/>
      <w:bookmarkEnd w:id="84"/>
      <w:bookmarkEnd w:id="85"/>
      <w:r>
        <w:rPr>
          <w:rFonts w:hint="eastAsia" w:ascii="Arial" w:hAnsi="Arial" w:eastAsia="黑体"/>
          <w:b/>
          <w:bCs/>
          <w:kern w:val="0"/>
          <w:sz w:val="30"/>
          <w:szCs w:val="32"/>
        </w:rPr>
        <w:t xml:space="preserve"> 评标办法和标准</w:t>
      </w:r>
    </w:p>
    <w:tbl>
      <w:tblPr>
        <w:tblStyle w:val="24"/>
        <w:tblW w:w="83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6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1451" w:type="dxa"/>
            <w:vAlign w:val="center"/>
          </w:tcPr>
          <w:p>
            <w:pPr>
              <w:jc w:val="center"/>
              <w:rPr>
                <w:rFonts w:ascii="宋体" w:cs="方正仿宋_GBK"/>
                <w:b/>
                <w:bCs/>
                <w:sz w:val="24"/>
              </w:rPr>
            </w:pPr>
            <w:r>
              <w:rPr>
                <w:rFonts w:hint="eastAsia" w:ascii="宋体" w:cs="方正仿宋_GBK"/>
                <w:b/>
                <w:bCs/>
                <w:sz w:val="24"/>
              </w:rPr>
              <w:t>项  目</w:t>
            </w:r>
          </w:p>
        </w:tc>
        <w:tc>
          <w:tcPr>
            <w:tcW w:w="6925" w:type="dxa"/>
            <w:vAlign w:val="center"/>
          </w:tcPr>
          <w:p>
            <w:pPr>
              <w:jc w:val="center"/>
              <w:rPr>
                <w:rFonts w:ascii="宋体" w:cs="方正仿宋_GBK"/>
                <w:b/>
                <w:bCs/>
                <w:sz w:val="24"/>
              </w:rPr>
            </w:pPr>
            <w:r>
              <w:rPr>
                <w:rFonts w:hint="eastAsia" w:ascii="宋体" w:cs="方正仿宋_GBK"/>
                <w:b/>
                <w:bCs/>
                <w:sz w:val="24"/>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1451" w:type="dxa"/>
            <w:vAlign w:val="center"/>
          </w:tcPr>
          <w:p>
            <w:pPr>
              <w:jc w:val="center"/>
              <w:rPr>
                <w:sz w:val="24"/>
              </w:rPr>
            </w:pPr>
            <w:r>
              <w:rPr>
                <w:rFonts w:hint="eastAsia"/>
                <w:sz w:val="24"/>
              </w:rPr>
              <w:t>报价得分</w:t>
            </w:r>
          </w:p>
          <w:p>
            <w:pPr>
              <w:pStyle w:val="2"/>
              <w:ind w:firstLine="240" w:firstLineChars="100"/>
            </w:pPr>
            <w:r>
              <w:rPr>
                <w:rFonts w:hint="eastAsia"/>
                <w:color w:val="auto"/>
                <w:sz w:val="24"/>
              </w:rPr>
              <w:t>（35分）</w:t>
            </w:r>
          </w:p>
        </w:tc>
        <w:tc>
          <w:tcPr>
            <w:tcW w:w="6925" w:type="dxa"/>
            <w:vAlign w:val="center"/>
          </w:tcPr>
          <w:p/>
          <w:p>
            <w:pPr>
              <w:pStyle w:val="2"/>
              <w:ind w:firstLine="0" w:firstLineChars="0"/>
              <w:rPr>
                <w:color w:val="auto"/>
                <w:sz w:val="24"/>
              </w:rPr>
            </w:pPr>
            <w:r>
              <w:rPr>
                <w:rFonts w:hint="eastAsia"/>
                <w:color w:val="auto"/>
                <w:sz w:val="24"/>
              </w:rPr>
              <w:t>投标人＜5家时，取有效投标价的算术平均值为A，投标人≧5家≦</w:t>
            </w:r>
            <w:r>
              <w:rPr>
                <w:rFonts w:hint="eastAsia"/>
                <w:color w:val="auto"/>
                <w:sz w:val="24"/>
                <w:lang w:val="en-US" w:eastAsia="zh-CN"/>
              </w:rPr>
              <w:t>7</w:t>
            </w:r>
            <w:r>
              <w:rPr>
                <w:rFonts w:hint="eastAsia"/>
                <w:color w:val="auto"/>
                <w:sz w:val="24"/>
              </w:rPr>
              <w:t>家时，去掉一个最低价和一个最高价，取有效投标价的算术平均值为A，投标人＞</w:t>
            </w:r>
            <w:r>
              <w:rPr>
                <w:rFonts w:hint="eastAsia"/>
                <w:color w:val="auto"/>
                <w:sz w:val="24"/>
                <w:lang w:val="en-US" w:eastAsia="zh-CN"/>
              </w:rPr>
              <w:t>7</w:t>
            </w:r>
            <w:r>
              <w:rPr>
                <w:rFonts w:hint="eastAsia"/>
                <w:color w:val="auto"/>
                <w:sz w:val="24"/>
              </w:rPr>
              <w:t>家时，去掉±</w:t>
            </w:r>
            <w:r>
              <w:rPr>
                <w:rFonts w:hint="eastAsia"/>
                <w:color w:val="auto"/>
                <w:sz w:val="24"/>
                <w:lang w:val="en-US" w:eastAsia="zh-CN"/>
              </w:rPr>
              <w:t>20%的投标报价</w:t>
            </w:r>
            <w:r>
              <w:rPr>
                <w:rFonts w:hint="eastAsia"/>
                <w:color w:val="auto"/>
                <w:sz w:val="24"/>
              </w:rPr>
              <w:t>，取有效投标价的算术平均值为A，</w:t>
            </w:r>
            <w:r>
              <w:rPr>
                <w:rFonts w:hint="eastAsia"/>
                <w:color w:val="auto"/>
                <w:sz w:val="24"/>
                <w:szCs w:val="24"/>
              </w:rPr>
              <w:t>投标报价每高于基准价1%扣0.</w:t>
            </w:r>
            <w:r>
              <w:rPr>
                <w:rFonts w:hint="eastAsia"/>
                <w:color w:val="auto"/>
                <w:sz w:val="24"/>
                <w:szCs w:val="24"/>
                <w:lang w:val="en-US" w:eastAsia="zh-CN"/>
              </w:rPr>
              <w:t>15</w:t>
            </w:r>
            <w:r>
              <w:rPr>
                <w:rFonts w:hint="eastAsia"/>
                <w:color w:val="auto"/>
                <w:sz w:val="24"/>
                <w:szCs w:val="24"/>
              </w:rPr>
              <w:t>分，低于基准价1%扣0.</w:t>
            </w:r>
            <w:r>
              <w:rPr>
                <w:rFonts w:hint="eastAsia"/>
                <w:color w:val="auto"/>
                <w:sz w:val="24"/>
                <w:szCs w:val="24"/>
                <w:lang w:val="en-US" w:eastAsia="zh-CN"/>
              </w:rPr>
              <w:t>1</w:t>
            </w:r>
            <w:r>
              <w:rPr>
                <w:rFonts w:hint="eastAsia"/>
                <w:color w:val="auto"/>
                <w:sz w:val="24"/>
                <w:szCs w:val="24"/>
              </w:rPr>
              <w:t>分，如偏差不足1%按插入法计算，结果四舍五入保留两位小数。</w:t>
            </w:r>
            <w:r>
              <w:rPr>
                <w:rFonts w:hint="eastAsia"/>
                <w:color w:val="auto"/>
                <w:sz w:val="24"/>
              </w:rPr>
              <w:t xml:space="preserve"> </w:t>
            </w:r>
          </w:p>
          <w:p>
            <w:pPr>
              <w:pStyle w:val="2"/>
              <w:ind w:left="420" w:firstLine="0" w:firstLineChars="0"/>
              <w:rPr>
                <w:rFonts w:hint="default" w:eastAsia="宋体"/>
                <w:color w:val="auto"/>
                <w:sz w:val="24"/>
                <w:lang w:val="en-US" w:eastAsia="zh-CN"/>
              </w:rPr>
            </w:pPr>
            <w:r>
              <w:rPr>
                <w:rFonts w:hint="eastAsia"/>
                <w:color w:val="auto"/>
                <w:sz w:val="24"/>
              </w:rPr>
              <w:t>注：</w:t>
            </w:r>
            <w:r>
              <w:rPr>
                <w:rFonts w:hint="eastAsia" w:ascii="宋体" w:cs="宋体"/>
                <w:color w:val="000000"/>
                <w:kern w:val="0"/>
                <w:szCs w:val="21"/>
                <w:lang w:val="en-US" w:eastAsia="zh-CN"/>
              </w:rPr>
              <w:t>投标人需根据招标控制价进行统一费率报价。</w:t>
            </w:r>
          </w:p>
          <w:p>
            <w:pPr>
              <w:pStyle w:val="2"/>
              <w:ind w:firstLine="0" w:firstLineChars="0"/>
              <w:rPr>
                <w:rFonts w:ascii="宋体" w:cs="方正仿宋_GBK"/>
                <w:b/>
                <w:bCs/>
                <w:sz w:val="24"/>
              </w:rPr>
            </w:pPr>
          </w:p>
          <w:p>
            <w:pPr>
              <w:pStyle w:val="2"/>
              <w:ind w:firstLine="0" w:firstLineChars="0"/>
              <w:rPr>
                <w:rFonts w:ascii="宋体" w:cs="方正仿宋_GBK"/>
                <w:b/>
                <w:bCs/>
                <w:sz w:val="24"/>
              </w:rPr>
            </w:pPr>
          </w:p>
          <w:p>
            <w:pPr>
              <w:pStyle w:val="2"/>
              <w:ind w:firstLine="0" w:firstLineChars="0"/>
              <w:rPr>
                <w:rFonts w:ascii="宋体" w:cs="方正仿宋_GBK"/>
                <w:b/>
                <w:bCs/>
                <w:sz w:val="24"/>
              </w:rPr>
            </w:pPr>
          </w:p>
          <w:p>
            <w:pPr>
              <w:pStyle w:val="2"/>
              <w:ind w:firstLine="0" w:firstLineChars="0"/>
              <w:rPr>
                <w:rFonts w:ascii="宋体" w:cs="方正仿宋_GBK"/>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2" w:hRule="atLeast"/>
          <w:jc w:val="center"/>
        </w:trPr>
        <w:tc>
          <w:tcPr>
            <w:tcW w:w="1451" w:type="dxa"/>
            <w:vAlign w:val="center"/>
          </w:tcPr>
          <w:p>
            <w:pPr>
              <w:jc w:val="center"/>
              <w:rPr>
                <w:rFonts w:ascii="宋体" w:cs="宋体"/>
                <w:sz w:val="24"/>
              </w:rPr>
            </w:pPr>
            <w:r>
              <w:rPr>
                <w:rFonts w:hint="eastAsia" w:ascii="宋体" w:cs="宋体"/>
                <w:sz w:val="24"/>
              </w:rPr>
              <w:t>企业及人员状况</w:t>
            </w:r>
          </w:p>
          <w:p>
            <w:pPr>
              <w:jc w:val="center"/>
              <w:rPr>
                <w:rFonts w:ascii="宋体" w:cs="宋体"/>
                <w:sz w:val="24"/>
              </w:rPr>
            </w:pPr>
            <w:r>
              <w:rPr>
                <w:rFonts w:hint="eastAsia" w:ascii="宋体" w:cs="宋体"/>
                <w:sz w:val="24"/>
              </w:rPr>
              <w:t>（10分）</w:t>
            </w:r>
          </w:p>
        </w:tc>
        <w:tc>
          <w:tcPr>
            <w:tcW w:w="6925" w:type="dxa"/>
            <w:vAlign w:val="center"/>
          </w:tcPr>
          <w:p>
            <w:pPr>
              <w:rPr>
                <w:rFonts w:ascii="宋体" w:cs="宋体"/>
                <w:sz w:val="24"/>
              </w:rPr>
            </w:pPr>
            <w:r>
              <w:rPr>
                <w:rFonts w:hint="eastAsia" w:ascii="宋体" w:cs="宋体"/>
                <w:sz w:val="24"/>
              </w:rPr>
              <w:t>国家注册造价工程师或一级造价工程师中每有1名在</w:t>
            </w:r>
            <w:r>
              <w:rPr>
                <w:rFonts w:hint="eastAsia" w:ascii="宋体" w:cs="宋体"/>
                <w:sz w:val="24"/>
                <w:lang w:val="en-US" w:eastAsia="zh-CN"/>
              </w:rPr>
              <w:t>本企业</w:t>
            </w:r>
            <w:r>
              <w:rPr>
                <w:rFonts w:hint="eastAsia" w:ascii="宋体" w:cs="宋体"/>
                <w:sz w:val="24"/>
              </w:rPr>
              <w:t>连续缴纳近6个月（2021年9月-2022年2月）社保的得2分，满分10分。</w:t>
            </w:r>
          </w:p>
          <w:p>
            <w:pPr>
              <w:rPr>
                <w:rFonts w:ascii="宋体" w:cs="宋体"/>
                <w:sz w:val="24"/>
              </w:rPr>
            </w:pPr>
            <w:r>
              <w:rPr>
                <w:rFonts w:hint="eastAsia" w:ascii="宋体" w:cs="宋体"/>
                <w:b/>
                <w:sz w:val="24"/>
              </w:rPr>
              <w:t>（提供复印件加盖投标人公章，原件备查）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451" w:type="dxa"/>
            <w:vAlign w:val="center"/>
          </w:tcPr>
          <w:p>
            <w:pPr>
              <w:jc w:val="center"/>
              <w:rPr>
                <w:rFonts w:ascii="宋体" w:cs="宋体"/>
                <w:sz w:val="24"/>
              </w:rPr>
            </w:pPr>
            <w:r>
              <w:rPr>
                <w:rFonts w:hint="eastAsia" w:ascii="宋体" w:cs="宋体"/>
                <w:sz w:val="24"/>
              </w:rPr>
              <w:t>工作业绩</w:t>
            </w:r>
          </w:p>
          <w:p>
            <w:pPr>
              <w:jc w:val="center"/>
              <w:rPr>
                <w:rFonts w:ascii="宋体" w:cs="宋体"/>
                <w:sz w:val="24"/>
              </w:rPr>
            </w:pPr>
            <w:r>
              <w:rPr>
                <w:rFonts w:hint="eastAsia" w:ascii="宋体" w:cs="宋体"/>
                <w:sz w:val="24"/>
              </w:rPr>
              <w:t>（15分）</w:t>
            </w:r>
          </w:p>
        </w:tc>
        <w:tc>
          <w:tcPr>
            <w:tcW w:w="6925" w:type="dxa"/>
            <w:vAlign w:val="center"/>
          </w:tcPr>
          <w:p>
            <w:pPr>
              <w:spacing w:before="240"/>
              <w:rPr>
                <w:rFonts w:ascii="宋体" w:cs="宋体"/>
                <w:sz w:val="24"/>
              </w:rPr>
            </w:pPr>
            <w:r>
              <w:rPr>
                <w:rFonts w:hint="eastAsia" w:ascii="宋体" w:cs="宋体"/>
                <w:sz w:val="24"/>
              </w:rPr>
              <w:t>投标人近三年（2019-2021年）在扬州市内从事年度造价咨询服务的，有一项得1分，最多得5分；如有城控集团下属子公司年度造价咨询服务的，有一项得1分，最多得5分；如有长江水务公司下属子公司年度造价咨询服务，有一项得1分，最多得5分。</w:t>
            </w:r>
          </w:p>
          <w:p>
            <w:pPr>
              <w:spacing w:after="240"/>
              <w:rPr>
                <w:rFonts w:ascii="宋体" w:cs="宋体"/>
                <w:b/>
                <w:sz w:val="24"/>
              </w:rPr>
            </w:pPr>
            <w:r>
              <w:rPr>
                <w:rFonts w:hint="eastAsia" w:ascii="宋体" w:cs="宋体"/>
                <w:b/>
                <w:sz w:val="24"/>
              </w:rPr>
              <w:t>（提供咨询合同复印件加盖投标人公章）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8" w:hRule="atLeast"/>
          <w:jc w:val="center"/>
        </w:trPr>
        <w:tc>
          <w:tcPr>
            <w:tcW w:w="1451" w:type="dxa"/>
            <w:vAlign w:val="center"/>
          </w:tcPr>
          <w:p>
            <w:pPr>
              <w:jc w:val="center"/>
              <w:rPr>
                <w:rFonts w:ascii="宋体" w:cs="宋体"/>
                <w:sz w:val="24"/>
              </w:rPr>
            </w:pPr>
            <w:r>
              <w:rPr>
                <w:rFonts w:hint="eastAsia" w:ascii="宋体" w:cs="宋体"/>
                <w:sz w:val="24"/>
              </w:rPr>
              <w:t>质量保证体系</w:t>
            </w:r>
          </w:p>
          <w:p>
            <w:pPr>
              <w:jc w:val="center"/>
              <w:rPr>
                <w:rFonts w:ascii="宋体" w:cs="宋体"/>
                <w:sz w:val="24"/>
              </w:rPr>
            </w:pPr>
            <w:r>
              <w:rPr>
                <w:rFonts w:hint="eastAsia" w:ascii="宋体" w:cs="宋体"/>
                <w:sz w:val="24"/>
              </w:rPr>
              <w:t>（15分）</w:t>
            </w:r>
          </w:p>
        </w:tc>
        <w:tc>
          <w:tcPr>
            <w:tcW w:w="6925" w:type="dxa"/>
            <w:vAlign w:val="center"/>
          </w:tcPr>
          <w:p>
            <w:pPr>
              <w:rPr>
                <w:rFonts w:ascii="宋体" w:cs="宋体"/>
                <w:sz w:val="24"/>
              </w:rPr>
            </w:pPr>
            <w:r>
              <w:rPr>
                <w:rFonts w:hint="eastAsia" w:ascii="宋体" w:cs="宋体"/>
                <w:sz w:val="24"/>
              </w:rPr>
              <w:t>针对工程造价咨询、代理业务制定的内部质量控制保证体系，内部控制制度健全，内部控制程序规范，内部控制风险评估完全覆盖，得12-15分；内部控制制度较为健全，内部控制程序较为规范，内部控制风险评估基本覆盖得7-11分；内部控制制度不够健全、内部控制程序不够规范、内部控制风险评估不完全覆盖得0-6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8" w:hRule="atLeast"/>
          <w:jc w:val="center"/>
        </w:trPr>
        <w:tc>
          <w:tcPr>
            <w:tcW w:w="1451" w:type="dxa"/>
            <w:vAlign w:val="center"/>
          </w:tcPr>
          <w:p>
            <w:pPr>
              <w:pStyle w:val="2"/>
              <w:ind w:firstLine="240" w:firstLineChars="100"/>
              <w:jc w:val="center"/>
            </w:pPr>
            <w:r>
              <w:rPr>
                <w:rFonts w:hint="eastAsia" w:ascii="宋体" w:cs="宋体"/>
                <w:color w:val="auto"/>
                <w:sz w:val="24"/>
              </w:rPr>
              <w:t>本项目的针对性措施（15分）</w:t>
            </w:r>
          </w:p>
        </w:tc>
        <w:tc>
          <w:tcPr>
            <w:tcW w:w="6925" w:type="dxa"/>
            <w:vAlign w:val="center"/>
          </w:tcPr>
          <w:p>
            <w:r>
              <w:rPr>
                <w:rFonts w:hint="eastAsia"/>
                <w:sz w:val="24"/>
              </w:rPr>
              <w:t>对工程造价咨询、代理业务提出的针对性措施，内容全面，合理性高，对各类工程针对性强的，得12-15分；内容较为全面，合理性较高，对各类工程针对性较强的，得7-11分；内容不够全面，合理性不高，对各类工程针对性不强的，得0-6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8" w:hRule="exact"/>
          <w:jc w:val="center"/>
        </w:trPr>
        <w:tc>
          <w:tcPr>
            <w:tcW w:w="1451" w:type="dxa"/>
            <w:vAlign w:val="center"/>
          </w:tcPr>
          <w:p>
            <w:pPr>
              <w:jc w:val="center"/>
              <w:rPr>
                <w:rFonts w:ascii="宋体" w:cs="宋体"/>
                <w:sz w:val="24"/>
              </w:rPr>
            </w:pPr>
            <w:r>
              <w:rPr>
                <w:rFonts w:hint="eastAsia" w:ascii="宋体" w:cs="宋体"/>
                <w:sz w:val="24"/>
              </w:rPr>
              <w:t>服务承诺（10分）</w:t>
            </w:r>
          </w:p>
        </w:tc>
        <w:tc>
          <w:tcPr>
            <w:tcW w:w="6925" w:type="dxa"/>
            <w:vAlign w:val="center"/>
          </w:tcPr>
          <w:p>
            <w:pPr>
              <w:rPr>
                <w:rFonts w:ascii="宋体" w:cs="宋体"/>
                <w:sz w:val="24"/>
              </w:rPr>
            </w:pPr>
            <w:r>
              <w:rPr>
                <w:rFonts w:hint="eastAsia" w:ascii="宋体" w:cs="宋体"/>
                <w:sz w:val="24"/>
              </w:rPr>
              <w:t>对各项造价咨询、代理业务服务按时完成，无条件接受委托单位审计或纪律检查部门的监督检查的承诺。</w:t>
            </w:r>
          </w:p>
        </w:tc>
      </w:tr>
    </w:tbl>
    <w:p>
      <w:pPr>
        <w:tabs>
          <w:tab w:val="left" w:pos="540"/>
        </w:tabs>
        <w:spacing w:line="360" w:lineRule="auto"/>
        <w:ind w:left="780"/>
        <w:rPr>
          <w:rFonts w:ascii="宋体" w:cs="宋体"/>
          <w:szCs w:val="21"/>
        </w:rPr>
      </w:pPr>
    </w:p>
    <w:p>
      <w:pPr>
        <w:adjustRightInd w:val="0"/>
        <w:spacing w:before="120" w:after="120"/>
        <w:jc w:val="left"/>
        <w:textAlignment w:val="baseline"/>
        <w:outlineLvl w:val="1"/>
        <w:rPr>
          <w:rFonts w:ascii="宋体" w:cs="宋体"/>
          <w:b/>
          <w:szCs w:val="21"/>
        </w:rPr>
      </w:pPr>
      <w:r>
        <w:rPr>
          <w:rFonts w:hint="eastAsia" w:ascii="宋体" w:cs="宋体"/>
          <w:b/>
          <w:szCs w:val="21"/>
        </w:rPr>
        <w:t>注：1、因疫情影响本次进行不见面评标，投标时，业绩证明材料、企业资质证书、人员资质证书、职称证书、获奖证书、养老保险证明材料等均需提供</w:t>
      </w:r>
      <w:r>
        <w:rPr>
          <w:rFonts w:hint="eastAsia" w:ascii="宋体" w:cs="宋体"/>
          <w:b/>
          <w:szCs w:val="21"/>
          <w:lang w:val="en-US" w:eastAsia="zh-CN"/>
        </w:rPr>
        <w:t>复印件加盖公章，</w:t>
      </w:r>
      <w:r>
        <w:rPr>
          <w:rFonts w:hint="eastAsia" w:ascii="宋体" w:cs="宋体"/>
          <w:b/>
          <w:szCs w:val="21"/>
        </w:rPr>
        <w:t>原件备查。造价咨询业绩时间及规模以合同为准，合同不能说明规模的提供咨询报告。</w:t>
      </w:r>
    </w:p>
    <w:p>
      <w:pPr>
        <w:adjustRightInd w:val="0"/>
        <w:spacing w:before="120" w:after="120"/>
        <w:ind w:firstLine="422" w:firstLineChars="200"/>
        <w:jc w:val="left"/>
        <w:textAlignment w:val="baseline"/>
        <w:outlineLvl w:val="1"/>
        <w:rPr>
          <w:rFonts w:ascii="宋体"/>
          <w:szCs w:val="21"/>
        </w:rPr>
      </w:pPr>
      <w:r>
        <w:rPr>
          <w:rFonts w:hint="eastAsia" w:ascii="宋体" w:cs="宋体"/>
          <w:b/>
          <w:szCs w:val="21"/>
        </w:rPr>
        <w:t>2、要求提供文件证明材料的，可提供文件证明材料复印件或网络截图并加盖投标人公章。</w:t>
      </w: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p>
    <w:p/>
    <w:p>
      <w:pPr>
        <w:spacing w:line="360" w:lineRule="auto"/>
        <w:rPr>
          <w:rFonts w:ascii="宋体"/>
          <w:b/>
          <w:szCs w:val="21"/>
        </w:rPr>
      </w:pPr>
    </w:p>
    <w:p>
      <w:pPr>
        <w:jc w:val="center"/>
        <w:rPr>
          <w:rFonts w:ascii="宋体"/>
          <w:b/>
          <w:sz w:val="28"/>
          <w:szCs w:val="28"/>
        </w:rPr>
      </w:pPr>
    </w:p>
    <w:p>
      <w:pPr>
        <w:pStyle w:val="4"/>
        <w:keepNext w:val="0"/>
        <w:keepLines w:val="0"/>
        <w:widowControl w:val="0"/>
      </w:pPr>
      <w:bookmarkStart w:id="86" w:name="_Toc310965981"/>
      <w:bookmarkStart w:id="87" w:name="_Toc316986043"/>
      <w:bookmarkStart w:id="88" w:name="_Toc367805012"/>
      <w:bookmarkStart w:id="89" w:name="_Toc310966100"/>
      <w:r>
        <w:br w:type="page"/>
      </w:r>
      <w:r>
        <w:rPr>
          <w:rFonts w:hint="eastAsia"/>
        </w:rPr>
        <w:t>第三章</w:t>
      </w:r>
      <w:r>
        <w:t xml:space="preserve"> </w:t>
      </w:r>
      <w:r>
        <w:rPr>
          <w:rFonts w:hint="eastAsia"/>
        </w:rPr>
        <w:t>投标文件格式</w:t>
      </w:r>
      <w:bookmarkEnd w:id="86"/>
      <w:bookmarkEnd w:id="87"/>
      <w:bookmarkEnd w:id="88"/>
      <w:bookmarkEnd w:id="89"/>
    </w:p>
    <w:p>
      <w:pPr>
        <w:jc w:val="center"/>
        <w:rPr>
          <w:rFonts w:ascii="宋体"/>
          <w:b/>
          <w:bCs/>
          <w:sz w:val="44"/>
        </w:rPr>
      </w:pPr>
      <w:bookmarkStart w:id="90" w:name="_Toc310966101"/>
      <w:bookmarkStart w:id="91" w:name="_Toc310965982"/>
      <w:bookmarkStart w:id="92" w:name="_Toc316986044"/>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p>
    <w:p>
      <w:pPr>
        <w:jc w:val="center"/>
        <w:rPr>
          <w:rFonts w:ascii="宋体"/>
          <w:b/>
          <w:bCs/>
          <w:sz w:val="44"/>
        </w:rPr>
      </w:pPr>
      <w:r>
        <w:rPr>
          <w:rFonts w:hint="eastAsia" w:ascii="宋体"/>
          <w:b/>
          <w:bCs/>
          <w:sz w:val="44"/>
        </w:rPr>
        <w:t>（一）资格审查文件</w:t>
      </w:r>
    </w:p>
    <w:p>
      <w:pPr>
        <w:jc w:val="center"/>
        <w:rPr>
          <w:rFonts w:ascii="宋体"/>
        </w:rPr>
      </w:pPr>
    </w:p>
    <w:p>
      <w:pPr>
        <w:rPr>
          <w:rFonts w:ascii="宋体"/>
          <w:sz w:val="30"/>
          <w:u w:val="thick"/>
        </w:rPr>
      </w:pPr>
    </w:p>
    <w:p>
      <w:pPr>
        <w:ind w:firstLine="2730" w:firstLineChars="1300"/>
        <w:rPr>
          <w:rFonts w:ascii="宋体"/>
          <w:u w:val="single"/>
        </w:rPr>
      </w:pPr>
    </w:p>
    <w:p>
      <w:pPr>
        <w:ind w:firstLine="2730" w:firstLineChars="1300"/>
        <w:rPr>
          <w:rFonts w:ascii="宋体"/>
          <w:u w:val="single"/>
        </w:rPr>
      </w:pPr>
    </w:p>
    <w:p>
      <w:pPr>
        <w:rPr>
          <w:rFonts w:ascii="宋体"/>
          <w:u w:val="single"/>
        </w:rPr>
      </w:pPr>
    </w:p>
    <w:p>
      <w:pPr>
        <w:rPr>
          <w:rFonts w:ascii="宋体"/>
          <w:u w:val="single"/>
        </w:rPr>
      </w:pPr>
    </w:p>
    <w:p>
      <w:pPr>
        <w:rPr>
          <w:rFonts w:ascii="宋体"/>
          <w:u w:val="single"/>
        </w:rPr>
      </w:pPr>
    </w:p>
    <w:p>
      <w:pPr>
        <w:rPr>
          <w:rFonts w:ascii="宋体"/>
          <w:u w:val="single"/>
        </w:rPr>
      </w:pPr>
    </w:p>
    <w:p>
      <w:pPr>
        <w:rPr>
          <w:rFonts w:ascii="宋体"/>
          <w:u w:val="single"/>
        </w:rPr>
      </w:pPr>
    </w:p>
    <w:p>
      <w:pPr>
        <w:rPr>
          <w:rFonts w:ascii="宋体"/>
          <w:u w:val="single"/>
        </w:rPr>
      </w:pPr>
    </w:p>
    <w:p>
      <w:pPr>
        <w:rPr>
          <w:rFonts w:ascii="宋体"/>
          <w:u w:val="single"/>
        </w:rPr>
      </w:pPr>
    </w:p>
    <w:p>
      <w:pPr>
        <w:ind w:firstLine="2730" w:firstLineChars="1300"/>
        <w:rPr>
          <w:rFonts w:ascii="宋体"/>
          <w:u w:val="single"/>
        </w:rPr>
      </w:pPr>
    </w:p>
    <w:p>
      <w:pPr>
        <w:ind w:firstLine="3900" w:firstLineChars="1300"/>
        <w:rPr>
          <w:rFonts w:ascii="宋体"/>
          <w:sz w:val="30"/>
          <w:u w:val="single"/>
        </w:rPr>
      </w:pPr>
    </w:p>
    <w:p>
      <w:pPr>
        <w:ind w:firstLine="3900" w:firstLineChars="1300"/>
        <w:rPr>
          <w:rFonts w:ascii="宋体"/>
          <w:sz w:val="30"/>
          <w:u w:val="single"/>
        </w:rPr>
      </w:pPr>
    </w:p>
    <w:p>
      <w:pPr>
        <w:rPr>
          <w:rFonts w:ascii="宋体"/>
          <w:sz w:val="30"/>
          <w:u w:val="single"/>
        </w:rPr>
      </w:pPr>
    </w:p>
    <w:p>
      <w:pPr>
        <w:ind w:firstLine="3900" w:firstLineChars="1300"/>
        <w:rPr>
          <w:rFonts w:ascii="宋体"/>
          <w:sz w:val="30"/>
          <w:u w:val="single"/>
        </w:rPr>
      </w:pPr>
    </w:p>
    <w:p>
      <w:pPr>
        <w:ind w:firstLine="1500" w:firstLineChars="500"/>
        <w:rPr>
          <w:rFonts w:ascii="宋体"/>
          <w:sz w:val="30"/>
        </w:rPr>
      </w:pPr>
      <w:r>
        <w:rPr>
          <w:rFonts w:hint="eastAsia" w:ascii="宋体"/>
          <w:sz w:val="30"/>
        </w:rPr>
        <w:t>项目名称：</w:t>
      </w:r>
      <w:r>
        <w:rPr>
          <w:rFonts w:hint="eastAsia" w:ascii="宋体"/>
          <w:sz w:val="30"/>
          <w:u w:val="single"/>
        </w:rPr>
        <w:t xml:space="preserve">                                   </w:t>
      </w:r>
      <w:r>
        <w:rPr>
          <w:rFonts w:hint="eastAsia" w:ascii="宋体"/>
          <w:sz w:val="30"/>
        </w:rPr>
        <w:t xml:space="preserve">    </w:t>
      </w:r>
      <w:r>
        <w:rPr>
          <w:rFonts w:ascii="宋体"/>
          <w:sz w:val="30"/>
        </w:rPr>
        <w:t xml:space="preserve">  </w:t>
      </w:r>
    </w:p>
    <w:p>
      <w:pPr>
        <w:ind w:firstLine="1500" w:firstLineChars="500"/>
        <w:rPr>
          <w:rFonts w:ascii="宋体"/>
          <w:sz w:val="30"/>
        </w:rPr>
      </w:pPr>
      <w:r>
        <w:rPr>
          <w:rFonts w:ascii="宋体"/>
          <w:sz w:val="30"/>
        </w:rPr>
        <w:t xml:space="preserve">        </w:t>
      </w:r>
      <w:r>
        <w:rPr>
          <w:rFonts w:hint="eastAsia" w:ascii="宋体"/>
          <w:sz w:val="30"/>
        </w:rPr>
        <w:t xml:space="preserve">  </w:t>
      </w:r>
    </w:p>
    <w:p>
      <w:pPr>
        <w:ind w:firstLine="1500" w:firstLineChars="500"/>
        <w:rPr>
          <w:rFonts w:ascii="宋体"/>
          <w:sz w:val="30"/>
          <w:u w:val="single"/>
        </w:rPr>
      </w:pPr>
      <w:r>
        <w:rPr>
          <w:rFonts w:hint="eastAsia" w:ascii="宋体"/>
          <w:sz w:val="30"/>
        </w:rPr>
        <w:t xml:space="preserve">投标申请人： </w:t>
      </w:r>
      <w:r>
        <w:rPr>
          <w:rFonts w:hint="eastAsia" w:ascii="宋体"/>
          <w:sz w:val="30"/>
          <w:u w:val="single"/>
        </w:rPr>
        <w:t xml:space="preserve">       （ 盖  章）              </w:t>
      </w:r>
    </w:p>
    <w:p>
      <w:pPr>
        <w:ind w:firstLine="1500" w:firstLineChars="500"/>
        <w:rPr>
          <w:rFonts w:ascii="宋体"/>
          <w:sz w:val="30"/>
          <w:u w:val="single"/>
        </w:rPr>
      </w:pPr>
    </w:p>
    <w:p>
      <w:pPr>
        <w:ind w:firstLine="1500" w:firstLineChars="500"/>
        <w:rPr>
          <w:rFonts w:ascii="宋体"/>
          <w:sz w:val="30"/>
          <w:u w:val="single"/>
        </w:rPr>
      </w:pPr>
      <w:r>
        <w:rPr>
          <w:rFonts w:hint="eastAsia" w:ascii="宋体"/>
          <w:sz w:val="30"/>
        </w:rPr>
        <w:t>法定代表人或其委托代理人</w:t>
      </w:r>
      <w:r>
        <w:rPr>
          <w:rFonts w:hint="eastAsia" w:ascii="宋体"/>
          <w:sz w:val="30"/>
          <w:u w:val="single"/>
        </w:rPr>
        <w:t xml:space="preserve">：  （签字或盖章）   </w:t>
      </w:r>
    </w:p>
    <w:p>
      <w:pPr>
        <w:ind w:firstLine="1500" w:firstLineChars="500"/>
        <w:rPr>
          <w:rFonts w:ascii="宋体"/>
          <w:sz w:val="30"/>
          <w:u w:val="single"/>
        </w:rPr>
      </w:pPr>
    </w:p>
    <w:p>
      <w:pPr>
        <w:ind w:firstLine="1500" w:firstLineChars="500"/>
        <w:rPr>
          <w:rFonts w:ascii="宋体"/>
          <w:sz w:val="30"/>
          <w:u w:val="single"/>
        </w:rPr>
      </w:pPr>
      <w:r>
        <w:rPr>
          <w:rFonts w:hint="eastAsia" w:ascii="宋体"/>
          <w:sz w:val="30"/>
        </w:rPr>
        <w:t>地     址：</w:t>
      </w:r>
      <w:r>
        <w:rPr>
          <w:rFonts w:hint="eastAsia" w:ascii="宋体"/>
          <w:sz w:val="30"/>
          <w:u w:val="single"/>
        </w:rPr>
        <w:t xml:space="preserve">                                  </w:t>
      </w:r>
    </w:p>
    <w:p>
      <w:pPr>
        <w:rPr>
          <w:rFonts w:ascii="宋体"/>
          <w:sz w:val="30"/>
          <w:u w:val="single"/>
        </w:rPr>
      </w:pPr>
    </w:p>
    <w:p>
      <w:pPr>
        <w:rPr>
          <w:rFonts w:ascii="宋体"/>
          <w:sz w:val="30"/>
          <w:u w:val="single"/>
        </w:rPr>
      </w:pPr>
      <w:r>
        <w:rPr>
          <w:rFonts w:hint="eastAsia" w:ascii="宋体"/>
          <w:sz w:val="30"/>
        </w:rPr>
        <w:t xml:space="preserve">          日     期：</w:t>
      </w:r>
      <w:r>
        <w:rPr>
          <w:rFonts w:hint="eastAsia" w:ascii="宋体"/>
          <w:sz w:val="30"/>
          <w:u w:val="single"/>
        </w:rPr>
        <w:t xml:space="preserve">          年        月        日  </w:t>
      </w:r>
    </w:p>
    <w:p>
      <w:pPr>
        <w:rPr>
          <w:rFonts w:ascii="宋体"/>
          <w:sz w:val="30"/>
          <w:u w:val="single"/>
        </w:rPr>
      </w:pPr>
    </w:p>
    <w:p>
      <w:pPr>
        <w:rPr>
          <w:rFonts w:ascii="宋体"/>
          <w:sz w:val="30"/>
          <w:u w:val="single"/>
        </w:rPr>
      </w:pPr>
    </w:p>
    <w:p>
      <w:pPr>
        <w:pStyle w:val="6"/>
        <w:keepNext w:val="0"/>
        <w:keepLines w:val="0"/>
        <w:widowControl w:val="0"/>
        <w:tabs>
          <w:tab w:val="left" w:pos="720"/>
        </w:tabs>
        <w:spacing w:before="120" w:after="120" w:line="360" w:lineRule="auto"/>
        <w:jc w:val="center"/>
        <w:rPr>
          <w:rFonts w:ascii="黑体" w:hAnsi="黑体"/>
          <w:sz w:val="36"/>
        </w:rPr>
      </w:pPr>
    </w:p>
    <w:p>
      <w:pPr>
        <w:pStyle w:val="6"/>
        <w:keepNext w:val="0"/>
        <w:keepLines w:val="0"/>
        <w:widowControl w:val="0"/>
        <w:tabs>
          <w:tab w:val="left" w:pos="720"/>
        </w:tabs>
        <w:spacing w:before="120" w:after="120" w:line="360" w:lineRule="auto"/>
        <w:jc w:val="center"/>
        <w:rPr>
          <w:rFonts w:ascii="黑体" w:hAnsi="黑体"/>
          <w:sz w:val="36"/>
        </w:rPr>
      </w:pPr>
    </w:p>
    <w:p>
      <w:pPr>
        <w:pStyle w:val="6"/>
        <w:keepNext w:val="0"/>
        <w:keepLines w:val="0"/>
        <w:widowControl w:val="0"/>
        <w:tabs>
          <w:tab w:val="left" w:pos="720"/>
        </w:tabs>
        <w:spacing w:before="120" w:after="120" w:line="360" w:lineRule="auto"/>
        <w:jc w:val="center"/>
        <w:rPr>
          <w:rFonts w:ascii="黑体" w:hAnsi="黑体"/>
          <w:sz w:val="36"/>
        </w:rPr>
      </w:pPr>
    </w:p>
    <w:p>
      <w:pPr>
        <w:pStyle w:val="6"/>
        <w:keepNext w:val="0"/>
        <w:keepLines w:val="0"/>
        <w:widowControl w:val="0"/>
        <w:tabs>
          <w:tab w:val="left" w:pos="720"/>
        </w:tabs>
        <w:spacing w:before="120" w:after="120" w:line="360" w:lineRule="auto"/>
        <w:jc w:val="center"/>
        <w:rPr>
          <w:rFonts w:ascii="黑体" w:hAnsi="黑体"/>
          <w:sz w:val="36"/>
        </w:rPr>
      </w:pPr>
    </w:p>
    <w:p>
      <w:pPr>
        <w:pStyle w:val="6"/>
        <w:keepNext w:val="0"/>
        <w:keepLines w:val="0"/>
        <w:widowControl w:val="0"/>
        <w:tabs>
          <w:tab w:val="left" w:pos="720"/>
        </w:tabs>
        <w:spacing w:before="120" w:after="120" w:line="360" w:lineRule="auto"/>
        <w:jc w:val="center"/>
        <w:rPr>
          <w:rFonts w:ascii="黑体" w:hAnsi="黑体"/>
          <w:sz w:val="36"/>
        </w:rPr>
      </w:pPr>
    </w:p>
    <w:p>
      <w:pPr>
        <w:pStyle w:val="6"/>
        <w:keepNext w:val="0"/>
        <w:keepLines w:val="0"/>
        <w:widowControl w:val="0"/>
        <w:tabs>
          <w:tab w:val="left" w:pos="720"/>
        </w:tabs>
        <w:spacing w:before="120" w:after="120" w:line="360" w:lineRule="auto"/>
        <w:jc w:val="center"/>
      </w:pPr>
      <w:r>
        <w:rPr>
          <w:rFonts w:hint="eastAsia" w:ascii="黑体" w:hAnsi="黑体"/>
          <w:sz w:val="36"/>
        </w:rPr>
        <w:t>目     录</w:t>
      </w:r>
    </w:p>
    <w:p>
      <w:pPr>
        <w:pStyle w:val="8"/>
      </w:pPr>
    </w:p>
    <w:p>
      <w:pPr>
        <w:widowControl/>
        <w:spacing w:line="460" w:lineRule="exact"/>
        <w:ind w:firstLine="560" w:firstLineChars="200"/>
        <w:jc w:val="left"/>
        <w:rPr>
          <w:sz w:val="28"/>
          <w:szCs w:val="28"/>
        </w:rPr>
      </w:pPr>
      <w:r>
        <w:rPr>
          <w:rFonts w:hint="eastAsia"/>
          <w:sz w:val="28"/>
          <w:szCs w:val="28"/>
        </w:rPr>
        <w:t>（1）法人营业执照（经营范围包含招标代理）；</w:t>
      </w:r>
    </w:p>
    <w:p>
      <w:pPr>
        <w:widowControl/>
        <w:spacing w:line="460" w:lineRule="exact"/>
        <w:ind w:firstLine="560" w:firstLineChars="200"/>
        <w:jc w:val="left"/>
      </w:pPr>
      <w:r>
        <w:rPr>
          <w:rFonts w:hint="eastAsia"/>
          <w:sz w:val="28"/>
          <w:szCs w:val="28"/>
        </w:rPr>
        <w:t>（2）企业近三年无不良信用记录的声明（自拟）。</w:t>
      </w:r>
    </w:p>
    <w:p>
      <w:pPr>
        <w:autoSpaceDE w:val="0"/>
        <w:autoSpaceDN w:val="0"/>
        <w:adjustRightInd w:val="0"/>
        <w:spacing w:line="500" w:lineRule="exact"/>
        <w:rPr>
          <w:rFonts w:ascii="宋体"/>
          <w:color w:val="000000"/>
          <w:sz w:val="24"/>
          <w:szCs w:val="28"/>
        </w:rPr>
      </w:pPr>
    </w:p>
    <w:p>
      <w:pPr>
        <w:autoSpaceDE w:val="0"/>
        <w:autoSpaceDN w:val="0"/>
        <w:adjustRightInd w:val="0"/>
        <w:spacing w:line="500" w:lineRule="exact"/>
        <w:rPr>
          <w:rFonts w:ascii="宋体"/>
          <w:color w:val="000000"/>
          <w:sz w:val="24"/>
          <w:szCs w:val="28"/>
        </w:rPr>
      </w:pPr>
    </w:p>
    <w:p>
      <w:pPr>
        <w:spacing w:line="400" w:lineRule="exact"/>
        <w:jc w:val="center"/>
        <w:rPr>
          <w:rFonts w:ascii="宋体"/>
          <w:b/>
          <w:sz w:val="24"/>
          <w:szCs w:val="36"/>
        </w:rPr>
      </w:pPr>
    </w:p>
    <w:p>
      <w:pPr>
        <w:spacing w:line="400" w:lineRule="exact"/>
        <w:jc w:val="center"/>
        <w:rPr>
          <w:rFonts w:ascii="宋体"/>
          <w:b/>
          <w:sz w:val="36"/>
          <w:szCs w:val="36"/>
        </w:rPr>
      </w:pPr>
    </w:p>
    <w:p>
      <w:pPr>
        <w:spacing w:line="400" w:lineRule="exact"/>
        <w:jc w:val="center"/>
        <w:rPr>
          <w:rFonts w:ascii="宋体"/>
          <w:b/>
          <w:sz w:val="36"/>
          <w:szCs w:val="36"/>
        </w:rPr>
      </w:pPr>
    </w:p>
    <w:p>
      <w:pPr>
        <w:spacing w:line="400" w:lineRule="exact"/>
        <w:jc w:val="center"/>
        <w:rPr>
          <w:rFonts w:ascii="宋体"/>
          <w:b/>
          <w:sz w:val="36"/>
          <w:szCs w:val="36"/>
        </w:rPr>
      </w:pPr>
    </w:p>
    <w:p>
      <w:pPr>
        <w:spacing w:line="400" w:lineRule="exact"/>
        <w:jc w:val="center"/>
        <w:rPr>
          <w:rFonts w:ascii="宋体"/>
          <w:b/>
          <w:sz w:val="36"/>
          <w:szCs w:val="36"/>
        </w:rPr>
      </w:pPr>
    </w:p>
    <w:p>
      <w:pPr>
        <w:spacing w:line="400" w:lineRule="exact"/>
        <w:jc w:val="center"/>
        <w:rPr>
          <w:rFonts w:ascii="宋体"/>
          <w:b/>
          <w:sz w:val="36"/>
          <w:szCs w:val="36"/>
        </w:rPr>
      </w:pPr>
    </w:p>
    <w:p>
      <w:pPr>
        <w:spacing w:line="400" w:lineRule="exact"/>
        <w:jc w:val="center"/>
        <w:rPr>
          <w:rFonts w:ascii="宋体"/>
          <w:b/>
          <w:sz w:val="36"/>
          <w:szCs w:val="36"/>
        </w:rPr>
      </w:pPr>
    </w:p>
    <w:p>
      <w:pPr>
        <w:spacing w:line="400" w:lineRule="exact"/>
        <w:jc w:val="center"/>
        <w:rPr>
          <w:rFonts w:ascii="宋体"/>
          <w:b/>
          <w:sz w:val="36"/>
          <w:szCs w:val="36"/>
        </w:rPr>
      </w:pPr>
    </w:p>
    <w:p>
      <w:pPr>
        <w:spacing w:line="400" w:lineRule="exact"/>
        <w:jc w:val="center"/>
        <w:rPr>
          <w:rFonts w:ascii="宋体"/>
          <w:b/>
          <w:sz w:val="36"/>
          <w:szCs w:val="36"/>
        </w:rPr>
      </w:pPr>
    </w:p>
    <w:p>
      <w:pPr>
        <w:spacing w:line="400" w:lineRule="exact"/>
        <w:jc w:val="center"/>
        <w:rPr>
          <w:rFonts w:ascii="宋体"/>
          <w:b/>
          <w:sz w:val="36"/>
          <w:szCs w:val="36"/>
        </w:rPr>
      </w:pPr>
    </w:p>
    <w:p>
      <w:pPr>
        <w:spacing w:line="400" w:lineRule="exact"/>
        <w:jc w:val="center"/>
        <w:rPr>
          <w:rFonts w:ascii="宋体"/>
          <w:b/>
          <w:sz w:val="36"/>
          <w:szCs w:val="36"/>
        </w:rPr>
      </w:pPr>
    </w:p>
    <w:p>
      <w:pPr>
        <w:spacing w:line="400" w:lineRule="exact"/>
        <w:jc w:val="center"/>
        <w:rPr>
          <w:rFonts w:ascii="宋体"/>
          <w:b/>
          <w:sz w:val="36"/>
          <w:szCs w:val="36"/>
        </w:rPr>
      </w:pPr>
    </w:p>
    <w:p>
      <w:pPr>
        <w:pStyle w:val="2"/>
        <w:rPr>
          <w:rFonts w:ascii="宋体"/>
          <w:b/>
          <w:sz w:val="36"/>
          <w:szCs w:val="36"/>
        </w:rPr>
      </w:pPr>
    </w:p>
    <w:p>
      <w:pPr>
        <w:pStyle w:val="2"/>
        <w:rPr>
          <w:rFonts w:ascii="宋体"/>
          <w:b/>
          <w:sz w:val="36"/>
          <w:szCs w:val="36"/>
        </w:rPr>
      </w:pPr>
    </w:p>
    <w:p>
      <w:pPr>
        <w:pStyle w:val="2"/>
        <w:rPr>
          <w:rFonts w:ascii="宋体"/>
          <w:b/>
          <w:sz w:val="36"/>
          <w:szCs w:val="36"/>
        </w:rPr>
      </w:pPr>
    </w:p>
    <w:p>
      <w:pPr>
        <w:pStyle w:val="2"/>
        <w:rPr>
          <w:rFonts w:ascii="宋体"/>
          <w:b/>
          <w:sz w:val="36"/>
          <w:szCs w:val="36"/>
        </w:rPr>
      </w:pPr>
    </w:p>
    <w:p>
      <w:pPr>
        <w:pStyle w:val="2"/>
        <w:rPr>
          <w:rFonts w:ascii="宋体"/>
          <w:b/>
          <w:sz w:val="36"/>
          <w:szCs w:val="36"/>
        </w:rPr>
      </w:pPr>
    </w:p>
    <w:p>
      <w:pPr>
        <w:pStyle w:val="2"/>
        <w:rPr>
          <w:rFonts w:ascii="宋体"/>
          <w:b/>
          <w:sz w:val="36"/>
          <w:szCs w:val="36"/>
        </w:rPr>
      </w:pPr>
    </w:p>
    <w:p>
      <w:pPr>
        <w:pStyle w:val="2"/>
        <w:rPr>
          <w:rFonts w:ascii="宋体"/>
          <w:b/>
          <w:sz w:val="36"/>
          <w:szCs w:val="36"/>
        </w:rPr>
      </w:pPr>
    </w:p>
    <w:p>
      <w:pPr>
        <w:pStyle w:val="2"/>
        <w:rPr>
          <w:rFonts w:ascii="宋体"/>
          <w:b/>
          <w:sz w:val="36"/>
          <w:szCs w:val="36"/>
        </w:rPr>
      </w:pPr>
    </w:p>
    <w:p>
      <w:pPr>
        <w:pStyle w:val="2"/>
        <w:rPr>
          <w:rFonts w:ascii="宋体"/>
          <w:b/>
          <w:sz w:val="36"/>
          <w:szCs w:val="36"/>
        </w:rPr>
      </w:pPr>
    </w:p>
    <w:p>
      <w:pPr>
        <w:snapToGrid w:val="0"/>
        <w:spacing w:line="360" w:lineRule="auto"/>
        <w:rPr>
          <w:rFonts w:ascii="黑体" w:eastAsia="黑体" w:cs="Courier New"/>
          <w:b/>
          <w:sz w:val="36"/>
          <w:szCs w:val="21"/>
        </w:rPr>
      </w:pPr>
    </w:p>
    <w:p>
      <w:pPr>
        <w:pStyle w:val="5"/>
      </w:pPr>
      <w:r>
        <w:t xml:space="preserve"> (二)</w:t>
      </w:r>
      <w:r>
        <w:rPr>
          <w:rFonts w:hint="eastAsia"/>
        </w:rPr>
        <w:t>商务文件格式</w:t>
      </w:r>
    </w:p>
    <w:p>
      <w:pPr>
        <w:pStyle w:val="12"/>
        <w:tabs>
          <w:tab w:val="left" w:pos="285"/>
          <w:tab w:val="center" w:pos="4320"/>
        </w:tabs>
        <w:spacing w:line="264" w:lineRule="auto"/>
        <w:rPr>
          <w:rFonts w:ascii="黑体" w:eastAsia="黑体"/>
          <w:b/>
          <w:sz w:val="32"/>
        </w:rPr>
      </w:pPr>
    </w:p>
    <w:p>
      <w:pPr>
        <w:pStyle w:val="12"/>
        <w:tabs>
          <w:tab w:val="left" w:pos="285"/>
          <w:tab w:val="center" w:pos="4320"/>
        </w:tabs>
        <w:spacing w:line="264" w:lineRule="auto"/>
        <w:rPr>
          <w:rFonts w:ascii="Times New Roman" w:hAnsi="Times New Roman" w:eastAsia="黑体"/>
          <w:sz w:val="24"/>
          <w:szCs w:val="24"/>
        </w:rPr>
      </w:pPr>
    </w:p>
    <w:p>
      <w:pPr>
        <w:pStyle w:val="12"/>
        <w:tabs>
          <w:tab w:val="left" w:pos="285"/>
          <w:tab w:val="center" w:pos="4320"/>
        </w:tabs>
        <w:spacing w:line="264" w:lineRule="auto"/>
        <w:rPr>
          <w:rFonts w:ascii="Times New Roman" w:hAnsi="Times New Roman" w:eastAsia="黑体"/>
          <w:sz w:val="24"/>
          <w:szCs w:val="24"/>
        </w:rPr>
      </w:pPr>
      <w:r>
        <w:rPr>
          <w:rFonts w:ascii="Times New Roman" w:hAnsi="Times New Roman" w:eastAsia="黑体"/>
          <w:sz w:val="24"/>
          <w:szCs w:val="24"/>
        </w:rPr>
        <w:br w:type="page"/>
      </w:r>
      <w:r>
        <w:rPr>
          <w:rFonts w:ascii="Times New Roman" w:hAnsi="Times New Roman" w:eastAsia="黑体"/>
          <w:sz w:val="24"/>
          <w:szCs w:val="24"/>
        </w:rPr>
        <w:t>(</w:t>
      </w:r>
      <w:r>
        <w:rPr>
          <w:rFonts w:hint="eastAsia" w:ascii="Times New Roman" w:hAnsi="Times New Roman" w:eastAsia="黑体"/>
          <w:sz w:val="24"/>
          <w:szCs w:val="24"/>
        </w:rPr>
        <w:t>用于商务文件封面</w:t>
      </w:r>
      <w:r>
        <w:rPr>
          <w:rFonts w:ascii="Times New Roman" w:hAnsi="Times New Roman" w:eastAsia="黑体"/>
          <w:sz w:val="24"/>
          <w:szCs w:val="24"/>
        </w:rPr>
        <w:t>)</w:t>
      </w:r>
    </w:p>
    <w:p>
      <w:pPr>
        <w:pStyle w:val="12"/>
        <w:spacing w:line="264" w:lineRule="auto"/>
        <w:jc w:val="center"/>
        <w:rPr>
          <w:rFonts w:ascii="Times New Roman" w:hAnsi="Times New Roman" w:eastAsia="黑体"/>
          <w:sz w:val="36"/>
        </w:rPr>
      </w:pPr>
    </w:p>
    <w:p>
      <w:pPr>
        <w:pStyle w:val="12"/>
        <w:spacing w:line="264" w:lineRule="auto"/>
        <w:jc w:val="center"/>
        <w:rPr>
          <w:sz w:val="36"/>
        </w:rPr>
      </w:pPr>
      <w:r>
        <w:rPr>
          <w:rFonts w:hint="eastAsia"/>
          <w:b/>
          <w:sz w:val="32"/>
        </w:rPr>
        <w:t>项目名称：</w:t>
      </w:r>
      <w:r>
        <w:rPr>
          <w:rFonts w:hint="eastAsia"/>
          <w:sz w:val="36"/>
        </w:rPr>
        <w:t>__________________</w:t>
      </w:r>
    </w:p>
    <w:p>
      <w:pPr>
        <w:pStyle w:val="12"/>
        <w:spacing w:before="240" w:beforeLines="100" w:after="240" w:afterLines="100" w:line="264" w:lineRule="auto"/>
        <w:jc w:val="center"/>
        <w:rPr>
          <w:sz w:val="36"/>
        </w:rPr>
      </w:pPr>
      <w:r>
        <w:rPr>
          <w:rFonts w:hint="eastAsia"/>
          <w:b/>
          <w:sz w:val="32"/>
        </w:rPr>
        <w:t>招标编号：</w:t>
      </w:r>
      <w:r>
        <w:rPr>
          <w:rFonts w:hint="eastAsia"/>
          <w:sz w:val="36"/>
        </w:rPr>
        <w:t>__________________</w:t>
      </w:r>
      <w:r>
        <w:rPr>
          <w:rFonts w:hint="eastAsia"/>
          <w:b/>
          <w:sz w:val="32"/>
        </w:rPr>
        <w:br w:type="textWrapping"/>
      </w:r>
    </w:p>
    <w:p>
      <w:pPr>
        <w:pStyle w:val="12"/>
        <w:spacing w:line="264" w:lineRule="auto"/>
        <w:jc w:val="center"/>
        <w:rPr>
          <w:b/>
          <w:sz w:val="84"/>
        </w:rPr>
      </w:pPr>
    </w:p>
    <w:p>
      <w:pPr>
        <w:pStyle w:val="12"/>
        <w:spacing w:line="264" w:lineRule="auto"/>
        <w:jc w:val="center"/>
        <w:rPr>
          <w:rFonts w:ascii="黑体" w:eastAsia="黑体"/>
          <w:sz w:val="28"/>
        </w:rPr>
      </w:pPr>
      <w:r>
        <w:rPr>
          <w:rFonts w:hint="eastAsia" w:ascii="黑体" w:eastAsia="黑体"/>
          <w:b/>
          <w:sz w:val="84"/>
        </w:rPr>
        <w:t>投 标 文 件</w:t>
      </w:r>
    </w:p>
    <w:p>
      <w:pPr>
        <w:pStyle w:val="12"/>
        <w:spacing w:line="264" w:lineRule="auto"/>
        <w:jc w:val="center"/>
        <w:rPr>
          <w:sz w:val="72"/>
        </w:rPr>
      </w:pPr>
    </w:p>
    <w:p>
      <w:pPr>
        <w:pStyle w:val="12"/>
        <w:spacing w:line="264" w:lineRule="auto"/>
        <w:jc w:val="center"/>
        <w:rPr>
          <w:sz w:val="72"/>
        </w:rPr>
      </w:pPr>
    </w:p>
    <w:p>
      <w:pPr>
        <w:pStyle w:val="12"/>
        <w:spacing w:before="240" w:after="240"/>
        <w:rPr>
          <w:sz w:val="72"/>
        </w:rPr>
      </w:pPr>
    </w:p>
    <w:p>
      <w:pPr>
        <w:pStyle w:val="12"/>
        <w:spacing w:before="240" w:after="240"/>
        <w:ind w:firstLine="560" w:firstLineChars="200"/>
        <w:rPr>
          <w:sz w:val="28"/>
          <w:szCs w:val="28"/>
          <w:u w:val="single"/>
        </w:rPr>
      </w:pPr>
      <w:r>
        <w:rPr>
          <w:rFonts w:hint="eastAsia"/>
          <w:sz w:val="28"/>
          <w:szCs w:val="28"/>
        </w:rPr>
        <w:t>投标文件内容</w:t>
      </w:r>
      <w:r>
        <w:rPr>
          <w:rFonts w:hint="eastAsia"/>
          <w:sz w:val="30"/>
        </w:rPr>
        <w:t>：</w:t>
      </w:r>
      <w:r>
        <w:rPr>
          <w:rFonts w:hint="eastAsia"/>
          <w:sz w:val="28"/>
          <w:szCs w:val="28"/>
          <w:u w:val="single"/>
        </w:rPr>
        <w:t xml:space="preserve">                  商务文件                </w:t>
      </w:r>
    </w:p>
    <w:p>
      <w:pPr>
        <w:pStyle w:val="12"/>
        <w:spacing w:before="240" w:after="240"/>
        <w:ind w:firstLine="600" w:firstLineChars="200"/>
        <w:rPr>
          <w:sz w:val="30"/>
          <w:u w:val="single"/>
        </w:rPr>
      </w:pPr>
      <w:r>
        <w:rPr>
          <w:rFonts w:hint="eastAsia"/>
          <w:sz w:val="30"/>
        </w:rPr>
        <w:t>投  标  人：</w:t>
      </w:r>
      <w:r>
        <w:rPr>
          <w:rFonts w:hint="eastAsia"/>
          <w:sz w:val="30"/>
          <w:u w:val="single"/>
        </w:rPr>
        <w:t xml:space="preserve">              (盖投标人单位公章)        </w:t>
      </w:r>
    </w:p>
    <w:p>
      <w:pPr>
        <w:pStyle w:val="12"/>
        <w:spacing w:before="240" w:after="240"/>
        <w:ind w:firstLine="600" w:firstLineChars="200"/>
        <w:rPr>
          <w:sz w:val="30"/>
        </w:rPr>
      </w:pPr>
      <w:r>
        <w:rPr>
          <w:rFonts w:hint="eastAsia"/>
          <w:sz w:val="30"/>
        </w:rPr>
        <w:t>法定代表人或其委托代理人：</w:t>
      </w:r>
      <w:r>
        <w:rPr>
          <w:rFonts w:hint="eastAsia"/>
          <w:sz w:val="30"/>
          <w:u w:val="single"/>
        </w:rPr>
        <w:t xml:space="preserve">            (签字)        </w:t>
      </w:r>
    </w:p>
    <w:p>
      <w:pPr>
        <w:pStyle w:val="12"/>
        <w:spacing w:before="240" w:after="240"/>
        <w:ind w:firstLine="600" w:firstLineChars="200"/>
        <w:rPr>
          <w:sz w:val="30"/>
        </w:rPr>
      </w:pPr>
      <w:r>
        <w:rPr>
          <w:rFonts w:hint="eastAsia"/>
          <w:sz w:val="30"/>
        </w:rPr>
        <w:t>日      期：__________年___</w:t>
      </w:r>
      <w:r>
        <w:rPr>
          <w:rFonts w:hint="eastAsia"/>
          <w:sz w:val="30"/>
          <w:u w:val="single"/>
        </w:rPr>
        <w:t xml:space="preserve">_    </w:t>
      </w:r>
      <w:r>
        <w:rPr>
          <w:rFonts w:hint="eastAsia"/>
          <w:sz w:val="30"/>
        </w:rPr>
        <w:t>_月___</w:t>
      </w:r>
      <w:r>
        <w:rPr>
          <w:rFonts w:hint="eastAsia"/>
          <w:sz w:val="30"/>
          <w:u w:val="single"/>
        </w:rPr>
        <w:t xml:space="preserve">    _</w:t>
      </w:r>
      <w:r>
        <w:rPr>
          <w:rFonts w:hint="eastAsia"/>
          <w:sz w:val="30"/>
        </w:rPr>
        <w:t>_日</w:t>
      </w:r>
    </w:p>
    <w:p>
      <w:pPr>
        <w:pStyle w:val="12"/>
        <w:spacing w:before="240" w:after="240"/>
        <w:ind w:firstLine="600" w:firstLineChars="200"/>
        <w:rPr>
          <w:sz w:val="30"/>
        </w:rPr>
      </w:pPr>
    </w:p>
    <w:p>
      <w:pPr>
        <w:pStyle w:val="12"/>
        <w:spacing w:before="240" w:after="240"/>
        <w:ind w:firstLine="600" w:firstLineChars="200"/>
        <w:rPr>
          <w:sz w:val="30"/>
        </w:rPr>
      </w:pPr>
    </w:p>
    <w:p>
      <w:pPr>
        <w:pStyle w:val="12"/>
        <w:spacing w:before="240" w:after="240"/>
        <w:ind w:firstLine="600" w:firstLineChars="200"/>
        <w:rPr>
          <w:sz w:val="30"/>
        </w:rPr>
      </w:pPr>
    </w:p>
    <w:p>
      <w:pPr>
        <w:pStyle w:val="12"/>
        <w:spacing w:before="240" w:after="240"/>
        <w:ind w:firstLine="600" w:firstLineChars="200"/>
        <w:rPr>
          <w:sz w:val="30"/>
        </w:rPr>
      </w:pPr>
    </w:p>
    <w:p>
      <w:pPr>
        <w:pStyle w:val="12"/>
        <w:spacing w:line="360" w:lineRule="auto"/>
        <w:jc w:val="center"/>
        <w:rPr>
          <w:rFonts w:ascii="黑体" w:eastAsia="黑体"/>
          <w:b/>
          <w:sz w:val="36"/>
          <w:szCs w:val="36"/>
        </w:rPr>
      </w:pPr>
      <w:r>
        <w:rPr>
          <w:rFonts w:hint="eastAsia" w:ascii="黑体" w:eastAsia="黑体"/>
          <w:b/>
          <w:sz w:val="36"/>
          <w:szCs w:val="36"/>
        </w:rPr>
        <w:t>说  明</w:t>
      </w:r>
    </w:p>
    <w:p>
      <w:pPr>
        <w:pStyle w:val="12"/>
        <w:spacing w:line="360" w:lineRule="auto"/>
        <w:ind w:left="629"/>
        <w:jc w:val="center"/>
      </w:pPr>
    </w:p>
    <w:p>
      <w:pPr>
        <w:pStyle w:val="12"/>
        <w:spacing w:line="360" w:lineRule="auto"/>
        <w:ind w:firstLine="480" w:firstLineChars="200"/>
        <w:jc w:val="left"/>
        <w:rPr>
          <w:sz w:val="24"/>
          <w:szCs w:val="24"/>
        </w:rPr>
      </w:pPr>
      <w:r>
        <w:rPr>
          <w:rFonts w:hint="eastAsia"/>
          <w:sz w:val="24"/>
          <w:szCs w:val="24"/>
        </w:rPr>
        <w:t>商务文件应包含下列内容：</w:t>
      </w:r>
    </w:p>
    <w:p>
      <w:pPr>
        <w:pStyle w:val="8"/>
        <w:adjustRightInd/>
        <w:spacing w:line="360" w:lineRule="auto"/>
        <w:rPr>
          <w:rFonts w:ascii="宋体"/>
          <w:snapToGrid w:val="0"/>
          <w:szCs w:val="21"/>
        </w:rPr>
      </w:pPr>
      <w:r>
        <w:rPr>
          <w:rFonts w:hint="eastAsia" w:ascii="宋体"/>
          <w:snapToGrid w:val="0"/>
          <w:sz w:val="24"/>
          <w:szCs w:val="24"/>
        </w:rPr>
        <w:t>一、</w:t>
      </w:r>
      <w:r>
        <w:rPr>
          <w:rFonts w:hint="eastAsia" w:ascii="宋体"/>
          <w:snapToGrid w:val="0"/>
          <w:szCs w:val="21"/>
        </w:rPr>
        <w:t>投标函（见附件一）；</w:t>
      </w:r>
    </w:p>
    <w:p>
      <w:pPr>
        <w:pStyle w:val="8"/>
        <w:adjustRightInd/>
        <w:spacing w:line="360" w:lineRule="auto"/>
        <w:rPr>
          <w:rFonts w:ascii="宋体"/>
          <w:szCs w:val="21"/>
        </w:rPr>
      </w:pPr>
      <w:r>
        <w:rPr>
          <w:rFonts w:hint="eastAsia" w:ascii="宋体"/>
          <w:szCs w:val="21"/>
        </w:rPr>
        <w:t>二、法定代表人资格证明（见附件二）；</w:t>
      </w:r>
    </w:p>
    <w:p>
      <w:pPr>
        <w:pStyle w:val="8"/>
        <w:adjustRightInd/>
        <w:spacing w:line="360" w:lineRule="auto"/>
        <w:rPr>
          <w:rFonts w:ascii="宋体"/>
          <w:szCs w:val="21"/>
        </w:rPr>
      </w:pPr>
      <w:r>
        <w:rPr>
          <w:rFonts w:hint="eastAsia" w:ascii="宋体"/>
          <w:szCs w:val="21"/>
        </w:rPr>
        <w:t>三、法定代表人授权委托书（见附件三）；</w:t>
      </w:r>
    </w:p>
    <w:p>
      <w:pPr>
        <w:pStyle w:val="8"/>
        <w:adjustRightInd/>
        <w:spacing w:line="360" w:lineRule="auto"/>
        <w:rPr>
          <w:rFonts w:ascii="宋体"/>
          <w:szCs w:val="21"/>
        </w:rPr>
      </w:pPr>
      <w:r>
        <w:rPr>
          <w:rFonts w:hint="eastAsia" w:ascii="宋体"/>
          <w:szCs w:val="21"/>
        </w:rPr>
        <w:t>四、评分项目汇总表（见附件四）；</w:t>
      </w:r>
    </w:p>
    <w:p>
      <w:pPr>
        <w:pStyle w:val="8"/>
        <w:adjustRightInd/>
        <w:spacing w:line="360" w:lineRule="auto"/>
        <w:rPr>
          <w:rFonts w:ascii="宋体"/>
          <w:szCs w:val="21"/>
        </w:rPr>
      </w:pPr>
      <w:r>
        <w:rPr>
          <w:rFonts w:hint="eastAsia" w:ascii="宋体"/>
          <w:szCs w:val="21"/>
        </w:rPr>
        <w:t>五、企业及人员状况证明材料（见附件五）；</w:t>
      </w:r>
    </w:p>
    <w:p>
      <w:pPr>
        <w:pStyle w:val="8"/>
        <w:adjustRightInd/>
        <w:spacing w:line="360" w:lineRule="auto"/>
        <w:rPr>
          <w:rFonts w:ascii="宋体"/>
          <w:szCs w:val="21"/>
        </w:rPr>
      </w:pPr>
      <w:r>
        <w:rPr>
          <w:rFonts w:hint="eastAsia" w:ascii="宋体"/>
          <w:szCs w:val="21"/>
        </w:rPr>
        <w:t>六、2019-2021年企业业绩一览表（见附件六）；</w:t>
      </w:r>
    </w:p>
    <w:p>
      <w:pPr>
        <w:pStyle w:val="8"/>
        <w:adjustRightInd/>
        <w:spacing w:line="360" w:lineRule="auto"/>
        <w:rPr>
          <w:rFonts w:ascii="宋体"/>
          <w:szCs w:val="21"/>
        </w:rPr>
      </w:pPr>
      <w:r>
        <w:rPr>
          <w:rFonts w:hint="eastAsia" w:ascii="宋体"/>
          <w:szCs w:val="21"/>
        </w:rPr>
        <w:t>七、质量保证体系</w:t>
      </w:r>
      <w:r>
        <w:rPr>
          <w:rFonts w:hint="eastAsia" w:ascii="宋体"/>
          <w:szCs w:val="21"/>
          <w:lang w:eastAsia="zh-CN"/>
        </w:rPr>
        <w:t>、</w:t>
      </w:r>
      <w:r>
        <w:rPr>
          <w:rFonts w:hint="eastAsia" w:ascii="宋体"/>
          <w:szCs w:val="21"/>
          <w:lang w:val="en-US" w:eastAsia="zh-CN"/>
        </w:rPr>
        <w:t>针对性措施</w:t>
      </w:r>
      <w:r>
        <w:rPr>
          <w:rFonts w:hint="eastAsia" w:ascii="宋体"/>
          <w:szCs w:val="21"/>
        </w:rPr>
        <w:t>相关材料（见附件七）；</w:t>
      </w:r>
    </w:p>
    <w:p>
      <w:pPr>
        <w:pStyle w:val="8"/>
        <w:adjustRightInd/>
        <w:spacing w:line="360" w:lineRule="auto"/>
        <w:ind w:left="420" w:firstLine="0"/>
        <w:rPr>
          <w:rFonts w:ascii="宋体"/>
          <w:szCs w:val="21"/>
        </w:rPr>
      </w:pPr>
      <w:r>
        <w:rPr>
          <w:rFonts w:hint="eastAsia" w:ascii="宋体"/>
          <w:szCs w:val="21"/>
        </w:rPr>
        <w:t>八、承诺书（见附件八）；</w:t>
      </w:r>
    </w:p>
    <w:p>
      <w:pPr>
        <w:pStyle w:val="12"/>
        <w:spacing w:line="360" w:lineRule="auto"/>
        <w:ind w:firstLine="420" w:firstLineChars="200"/>
        <w:jc w:val="left"/>
        <w:rPr>
          <w:sz w:val="24"/>
          <w:szCs w:val="24"/>
        </w:rPr>
      </w:pPr>
      <w:r>
        <w:rPr>
          <w:rFonts w:hint="eastAsia"/>
        </w:rPr>
        <w:t>九、其他(根据招标文件的要求和投标人认为需要提供的资料)（见附件九）</w:t>
      </w:r>
      <w:r>
        <w:rPr>
          <w:rFonts w:hint="eastAsia"/>
          <w:sz w:val="24"/>
          <w:szCs w:val="24"/>
        </w:rPr>
        <w:t>。</w:t>
      </w:r>
    </w:p>
    <w:p>
      <w:pPr>
        <w:pStyle w:val="12"/>
        <w:spacing w:line="360" w:lineRule="auto"/>
        <w:jc w:val="left"/>
      </w:pPr>
    </w:p>
    <w:p>
      <w:pPr>
        <w:pStyle w:val="12"/>
        <w:spacing w:line="360" w:lineRule="auto"/>
        <w:jc w:val="left"/>
      </w:pPr>
    </w:p>
    <w:p>
      <w:pPr>
        <w:pStyle w:val="12"/>
        <w:spacing w:line="360" w:lineRule="auto"/>
        <w:jc w:val="left"/>
      </w:pPr>
    </w:p>
    <w:p>
      <w:pPr>
        <w:pStyle w:val="12"/>
        <w:spacing w:line="360" w:lineRule="auto"/>
        <w:jc w:val="left"/>
      </w:pPr>
    </w:p>
    <w:p>
      <w:pPr>
        <w:pStyle w:val="12"/>
        <w:spacing w:line="360" w:lineRule="auto"/>
        <w:jc w:val="left"/>
      </w:pPr>
    </w:p>
    <w:p>
      <w:pPr>
        <w:pStyle w:val="12"/>
        <w:spacing w:line="360" w:lineRule="auto"/>
        <w:ind w:firstLine="420"/>
        <w:jc w:val="left"/>
      </w:pPr>
      <w:r>
        <w:rPr>
          <w:rFonts w:hint="eastAsia"/>
          <w:b/>
        </w:rPr>
        <w:t>注：</w:t>
      </w:r>
      <w:r>
        <w:rPr>
          <w:rFonts w:hint="eastAsia"/>
          <w:b/>
          <w:u w:val="double"/>
        </w:rPr>
        <w:t>目录、序号和页码由投标人自行编列</w:t>
      </w:r>
      <w:r>
        <w:rPr>
          <w:rFonts w:hint="eastAsia"/>
        </w:rPr>
        <w:t>。</w:t>
      </w:r>
    </w:p>
    <w:p>
      <w:pPr>
        <w:pStyle w:val="12"/>
        <w:spacing w:before="240" w:after="240"/>
        <w:ind w:firstLine="600" w:firstLineChars="200"/>
        <w:rPr>
          <w:sz w:val="30"/>
        </w:rPr>
      </w:pPr>
    </w:p>
    <w:p>
      <w:pPr>
        <w:pStyle w:val="12"/>
        <w:spacing w:before="240" w:after="240"/>
        <w:ind w:firstLine="600" w:firstLineChars="200"/>
        <w:rPr>
          <w:sz w:val="30"/>
        </w:rPr>
      </w:pPr>
    </w:p>
    <w:p>
      <w:pPr>
        <w:pStyle w:val="12"/>
        <w:spacing w:before="240" w:after="240"/>
        <w:ind w:firstLine="600" w:firstLineChars="200"/>
        <w:rPr>
          <w:sz w:val="30"/>
        </w:rPr>
      </w:pPr>
    </w:p>
    <w:p>
      <w:pPr>
        <w:pStyle w:val="12"/>
        <w:spacing w:before="240" w:after="240"/>
        <w:ind w:firstLine="600" w:firstLineChars="200"/>
        <w:rPr>
          <w:sz w:val="30"/>
        </w:rPr>
      </w:pPr>
    </w:p>
    <w:p>
      <w:pPr>
        <w:pStyle w:val="12"/>
        <w:spacing w:before="240" w:after="240"/>
        <w:ind w:firstLine="600" w:firstLineChars="200"/>
        <w:rPr>
          <w:sz w:val="30"/>
        </w:rPr>
      </w:pPr>
    </w:p>
    <w:p>
      <w:pPr>
        <w:pStyle w:val="12"/>
        <w:spacing w:before="240" w:after="240"/>
        <w:ind w:firstLine="600" w:firstLineChars="200"/>
        <w:rPr>
          <w:sz w:val="30"/>
        </w:rPr>
      </w:pPr>
    </w:p>
    <w:p>
      <w:pPr>
        <w:pStyle w:val="12"/>
        <w:spacing w:before="240" w:after="240"/>
        <w:rPr>
          <w:sz w:val="30"/>
        </w:rPr>
      </w:pPr>
    </w:p>
    <w:p>
      <w:pPr>
        <w:pStyle w:val="12"/>
        <w:spacing w:before="240" w:after="240"/>
        <w:rPr>
          <w:sz w:val="30"/>
        </w:rPr>
      </w:pPr>
    </w:p>
    <w:p>
      <w:pPr>
        <w:pStyle w:val="12"/>
        <w:spacing w:before="240" w:after="240"/>
        <w:rPr>
          <w:sz w:val="30"/>
        </w:rPr>
      </w:pPr>
    </w:p>
    <w:p>
      <w:pPr>
        <w:pStyle w:val="32"/>
        <w:outlineLvl w:val="2"/>
      </w:pPr>
      <w:bookmarkStart w:id="93" w:name="_Toc310966103"/>
      <w:bookmarkStart w:id="94" w:name="_Toc310965984"/>
      <w:bookmarkStart w:id="95" w:name="_Toc316986046"/>
      <w:r>
        <w:rPr>
          <w:rFonts w:hint="eastAsia"/>
        </w:rPr>
        <w:t>一、投标函</w:t>
      </w:r>
      <w:bookmarkEnd w:id="93"/>
      <w:bookmarkEnd w:id="94"/>
      <w:bookmarkEnd w:id="95"/>
    </w:p>
    <w:tbl>
      <w:tblPr>
        <w:tblStyle w:val="24"/>
        <w:tblpPr w:leftFromText="180" w:rightFromText="180" w:vertAnchor="text" w:horzAnchor="page" w:tblpX="1702" w:tblpY="57"/>
        <w:tblOverlap w:val="never"/>
        <w:tblW w:w="89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50"/>
        <w:gridCol w:w="4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Align w:val="center"/>
          </w:tcPr>
          <w:p>
            <w:pPr>
              <w:pStyle w:val="8"/>
              <w:tabs>
                <w:tab w:val="left" w:pos="1000"/>
              </w:tabs>
              <w:spacing w:line="360" w:lineRule="auto"/>
              <w:ind w:firstLine="0"/>
              <w:jc w:val="center"/>
              <w:rPr>
                <w:rFonts w:ascii="宋体"/>
                <w:szCs w:val="21"/>
              </w:rPr>
            </w:pPr>
            <w:r>
              <w:rPr>
                <w:rFonts w:hint="eastAsia" w:ascii="宋体"/>
                <w:szCs w:val="21"/>
              </w:rPr>
              <w:t>投标项目名称</w:t>
            </w:r>
          </w:p>
        </w:tc>
        <w:tc>
          <w:tcPr>
            <w:tcW w:w="7182" w:type="dxa"/>
            <w:gridSpan w:val="2"/>
            <w:vAlign w:val="center"/>
          </w:tcPr>
          <w:p>
            <w:pPr>
              <w:pStyle w:val="8"/>
              <w:tabs>
                <w:tab w:val="left" w:pos="510"/>
                <w:tab w:val="left" w:pos="1000"/>
              </w:tabs>
              <w:spacing w:line="360" w:lineRule="auto"/>
              <w:ind w:firstLine="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投标人名称</w:t>
            </w:r>
          </w:p>
        </w:tc>
        <w:tc>
          <w:tcPr>
            <w:tcW w:w="7182" w:type="dxa"/>
            <w:gridSpan w:val="2"/>
            <w:vAlign w:val="center"/>
          </w:tcPr>
          <w:p>
            <w:pPr>
              <w:pStyle w:val="8"/>
              <w:tabs>
                <w:tab w:val="left" w:pos="510"/>
                <w:tab w:val="left" w:pos="1000"/>
              </w:tabs>
              <w:spacing w:line="360" w:lineRule="auto"/>
              <w:ind w:firstLine="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类别</w:t>
            </w:r>
          </w:p>
        </w:tc>
        <w:tc>
          <w:tcPr>
            <w:tcW w:w="2850"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项目</w:t>
            </w:r>
          </w:p>
        </w:tc>
        <w:tc>
          <w:tcPr>
            <w:tcW w:w="4332" w:type="dxa"/>
            <w:vAlign w:val="center"/>
          </w:tcPr>
          <w:p>
            <w:pPr>
              <w:pStyle w:val="8"/>
              <w:tabs>
                <w:tab w:val="left" w:pos="510"/>
                <w:tab w:val="left" w:pos="1000"/>
              </w:tabs>
              <w:spacing w:line="360" w:lineRule="auto"/>
              <w:ind w:firstLine="0"/>
              <w:jc w:val="center"/>
              <w:rPr>
                <w:rFonts w:hint="eastAsia" w:ascii="宋体" w:eastAsia="宋体"/>
                <w:szCs w:val="21"/>
                <w:lang w:eastAsia="zh-CN"/>
              </w:rPr>
            </w:pPr>
            <w:r>
              <w:rPr>
                <w:rFonts w:hint="eastAsia" w:ascii="宋体"/>
                <w:szCs w:val="21"/>
              </w:rPr>
              <w:t>投标报价</w:t>
            </w:r>
            <w:r>
              <w:rPr>
                <w:rFonts w:hint="eastAsia" w:ascii="宋体"/>
                <w:szCs w:val="21"/>
                <w:lang w:eastAsia="zh-CN"/>
              </w:rPr>
              <w:t>（</w:t>
            </w:r>
            <w:r>
              <w:rPr>
                <w:rFonts w:hint="eastAsia" w:ascii="宋体"/>
                <w:szCs w:val="21"/>
                <w:lang w:val="en-US" w:eastAsia="zh-CN"/>
              </w:rPr>
              <w:t>统一费率</w:t>
            </w:r>
            <w:r>
              <w:rPr>
                <w:rFonts w:hint="eastAsia" w:asci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1809" w:type="dxa"/>
            <w:vMerge w:val="restart"/>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工程预算审核</w:t>
            </w:r>
          </w:p>
          <w:p>
            <w:pPr>
              <w:pStyle w:val="8"/>
              <w:tabs>
                <w:tab w:val="left" w:pos="510"/>
                <w:tab w:val="left" w:pos="1000"/>
              </w:tabs>
              <w:spacing w:line="360" w:lineRule="auto"/>
              <w:ind w:firstLine="0"/>
              <w:jc w:val="center"/>
              <w:rPr>
                <w:rFonts w:ascii="宋体"/>
                <w:szCs w:val="21"/>
              </w:rPr>
            </w:pPr>
          </w:p>
        </w:tc>
        <w:tc>
          <w:tcPr>
            <w:tcW w:w="2850"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江苏省定额标准结算项目</w:t>
            </w:r>
          </w:p>
        </w:tc>
        <w:tc>
          <w:tcPr>
            <w:tcW w:w="4332" w:type="dxa"/>
            <w:vMerge w:val="restart"/>
            <w:vAlign w:val="center"/>
          </w:tcPr>
          <w:p>
            <w:pPr>
              <w:pStyle w:val="8"/>
              <w:tabs>
                <w:tab w:val="left" w:pos="510"/>
                <w:tab w:val="left" w:pos="1000"/>
              </w:tabs>
              <w:spacing w:line="360" w:lineRule="auto"/>
              <w:ind w:firstLine="0"/>
              <w:jc w:val="center"/>
              <w:rPr>
                <w:rFonts w:hint="eastAsia" w:asci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1809" w:type="dxa"/>
            <w:vMerge w:val="continue"/>
            <w:vAlign w:val="bottom"/>
          </w:tcPr>
          <w:p/>
        </w:tc>
        <w:tc>
          <w:tcPr>
            <w:tcW w:w="2850"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公司内部定额标准结算项目</w:t>
            </w:r>
          </w:p>
        </w:tc>
        <w:tc>
          <w:tcPr>
            <w:tcW w:w="433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trPr>
        <w:tc>
          <w:tcPr>
            <w:tcW w:w="1809" w:type="dxa"/>
            <w:vMerge w:val="restart"/>
            <w:vAlign w:val="bottom"/>
          </w:tcPr>
          <w:p>
            <w:pPr>
              <w:pStyle w:val="8"/>
              <w:tabs>
                <w:tab w:val="left" w:pos="510"/>
                <w:tab w:val="left" w:pos="1000"/>
              </w:tabs>
              <w:spacing w:line="360" w:lineRule="auto"/>
              <w:ind w:firstLine="0"/>
              <w:jc w:val="center"/>
              <w:rPr>
                <w:rFonts w:ascii="宋体"/>
                <w:szCs w:val="21"/>
              </w:rPr>
            </w:pPr>
          </w:p>
          <w:p>
            <w:pPr>
              <w:pStyle w:val="8"/>
              <w:tabs>
                <w:tab w:val="left" w:pos="510"/>
                <w:tab w:val="left" w:pos="1000"/>
              </w:tabs>
              <w:spacing w:line="360" w:lineRule="auto"/>
              <w:ind w:firstLine="0"/>
              <w:jc w:val="center"/>
              <w:rPr>
                <w:rFonts w:ascii="宋体"/>
                <w:szCs w:val="21"/>
              </w:rPr>
            </w:pPr>
            <w:r>
              <w:rPr>
                <w:rFonts w:hint="eastAsia" w:ascii="宋体"/>
                <w:szCs w:val="21"/>
              </w:rPr>
              <w:t>工程结算审核</w:t>
            </w:r>
          </w:p>
          <w:p>
            <w:pPr>
              <w:pStyle w:val="8"/>
              <w:tabs>
                <w:tab w:val="left" w:pos="510"/>
                <w:tab w:val="left" w:pos="1000"/>
              </w:tabs>
              <w:spacing w:line="360" w:lineRule="auto"/>
              <w:ind w:firstLine="0"/>
              <w:jc w:val="center"/>
              <w:rPr>
                <w:rFonts w:ascii="宋体"/>
                <w:szCs w:val="21"/>
              </w:rPr>
            </w:pPr>
          </w:p>
        </w:tc>
        <w:tc>
          <w:tcPr>
            <w:tcW w:w="2850"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江苏省定额标准结算项目</w:t>
            </w:r>
          </w:p>
        </w:tc>
        <w:tc>
          <w:tcPr>
            <w:tcW w:w="4332" w:type="dxa"/>
            <w:vMerge w:val="continue"/>
            <w:vAlign w:val="center"/>
          </w:tcPr>
          <w:p>
            <w:pPr>
              <w:pStyle w:val="8"/>
              <w:tabs>
                <w:tab w:val="left" w:pos="510"/>
                <w:tab w:val="left" w:pos="1000"/>
              </w:tabs>
              <w:spacing w:line="360" w:lineRule="auto"/>
              <w:ind w:firstLine="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Merge w:val="continue"/>
            <w:vAlign w:val="bottom"/>
          </w:tcPr>
          <w:p/>
        </w:tc>
        <w:tc>
          <w:tcPr>
            <w:tcW w:w="2850" w:type="dxa"/>
            <w:vAlign w:val="center"/>
          </w:tcPr>
          <w:p>
            <w:pPr>
              <w:pStyle w:val="8"/>
              <w:tabs>
                <w:tab w:val="left" w:pos="510"/>
                <w:tab w:val="left" w:pos="1000"/>
              </w:tabs>
              <w:spacing w:line="360" w:lineRule="auto"/>
              <w:ind w:firstLine="0"/>
              <w:jc w:val="center"/>
              <w:rPr>
                <w:rFonts w:ascii="宋体"/>
                <w:szCs w:val="21"/>
              </w:rPr>
            </w:pPr>
            <w:r>
              <w:rPr>
                <w:rFonts w:hint="eastAsia" w:ascii="宋体"/>
                <w:szCs w:val="21"/>
              </w:rPr>
              <w:t>公司内部定额标准结算项目</w:t>
            </w:r>
          </w:p>
        </w:tc>
        <w:tc>
          <w:tcPr>
            <w:tcW w:w="4332" w:type="dxa"/>
            <w:vMerge w:val="continue"/>
            <w:vAlign w:val="center"/>
          </w:tcPr>
          <w:p>
            <w:pPr>
              <w:pStyle w:val="8"/>
              <w:tabs>
                <w:tab w:val="left" w:pos="510"/>
                <w:tab w:val="left" w:pos="1000"/>
              </w:tabs>
              <w:spacing w:line="360" w:lineRule="auto"/>
              <w:ind w:firstLine="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Align w:val="bottom"/>
          </w:tcPr>
          <w:p>
            <w:pPr>
              <w:pStyle w:val="8"/>
              <w:tabs>
                <w:tab w:val="left" w:pos="510"/>
                <w:tab w:val="left" w:pos="1000"/>
              </w:tabs>
              <w:spacing w:line="360" w:lineRule="auto"/>
              <w:ind w:firstLine="0"/>
              <w:jc w:val="center"/>
              <w:rPr>
                <w:rFonts w:ascii="宋体"/>
                <w:szCs w:val="21"/>
              </w:rPr>
            </w:pPr>
            <w:r>
              <w:rPr>
                <w:rFonts w:hint="eastAsia" w:ascii="宋体"/>
                <w:szCs w:val="21"/>
              </w:rPr>
              <w:t>招标控制价编制</w:t>
            </w:r>
          </w:p>
          <w:p>
            <w:pPr>
              <w:pStyle w:val="8"/>
              <w:tabs>
                <w:tab w:val="left" w:pos="510"/>
                <w:tab w:val="left" w:pos="1000"/>
              </w:tabs>
              <w:spacing w:line="360" w:lineRule="auto"/>
              <w:ind w:firstLine="0"/>
              <w:jc w:val="center"/>
              <w:rPr>
                <w:rFonts w:ascii="宋体"/>
                <w:szCs w:val="21"/>
              </w:rPr>
            </w:pPr>
          </w:p>
        </w:tc>
        <w:tc>
          <w:tcPr>
            <w:tcW w:w="2850" w:type="dxa"/>
            <w:vAlign w:val="center"/>
          </w:tcPr>
          <w:p>
            <w:pPr>
              <w:pStyle w:val="8"/>
              <w:tabs>
                <w:tab w:val="left" w:pos="510"/>
                <w:tab w:val="left" w:pos="1000"/>
              </w:tabs>
              <w:spacing w:line="360" w:lineRule="auto"/>
              <w:ind w:firstLine="0"/>
              <w:jc w:val="center"/>
              <w:rPr>
                <w:rFonts w:ascii="宋体"/>
                <w:szCs w:val="21"/>
              </w:rPr>
            </w:pPr>
          </w:p>
        </w:tc>
        <w:tc>
          <w:tcPr>
            <w:tcW w:w="4332" w:type="dxa"/>
            <w:vMerge w:val="continue"/>
            <w:vAlign w:val="center"/>
          </w:tcPr>
          <w:p>
            <w:pPr>
              <w:pStyle w:val="8"/>
              <w:tabs>
                <w:tab w:val="left" w:pos="510"/>
                <w:tab w:val="left" w:pos="1000"/>
              </w:tabs>
              <w:spacing w:line="360" w:lineRule="auto"/>
              <w:ind w:firstLine="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Align w:val="bottom"/>
          </w:tcPr>
          <w:p>
            <w:pPr>
              <w:pStyle w:val="8"/>
              <w:tabs>
                <w:tab w:val="left" w:pos="510"/>
                <w:tab w:val="left" w:pos="1000"/>
              </w:tabs>
              <w:spacing w:line="360" w:lineRule="auto"/>
              <w:ind w:firstLine="0"/>
              <w:jc w:val="center"/>
              <w:rPr>
                <w:rFonts w:ascii="宋体"/>
                <w:szCs w:val="21"/>
              </w:rPr>
            </w:pPr>
            <w:r>
              <w:rPr>
                <w:rFonts w:hint="eastAsia" w:ascii="宋体"/>
                <w:szCs w:val="21"/>
              </w:rPr>
              <w:t>招标控制价审核</w:t>
            </w:r>
          </w:p>
          <w:p>
            <w:pPr>
              <w:pStyle w:val="8"/>
              <w:tabs>
                <w:tab w:val="left" w:pos="510"/>
                <w:tab w:val="left" w:pos="1000"/>
              </w:tabs>
              <w:spacing w:line="360" w:lineRule="auto"/>
              <w:ind w:firstLine="0"/>
              <w:jc w:val="center"/>
              <w:rPr>
                <w:rFonts w:ascii="宋体"/>
                <w:szCs w:val="21"/>
              </w:rPr>
            </w:pPr>
          </w:p>
        </w:tc>
        <w:tc>
          <w:tcPr>
            <w:tcW w:w="2850" w:type="dxa"/>
            <w:vAlign w:val="center"/>
          </w:tcPr>
          <w:p>
            <w:pPr>
              <w:pStyle w:val="8"/>
              <w:tabs>
                <w:tab w:val="left" w:pos="510"/>
                <w:tab w:val="left" w:pos="1000"/>
              </w:tabs>
              <w:spacing w:line="360" w:lineRule="auto"/>
              <w:ind w:firstLine="0"/>
              <w:jc w:val="center"/>
              <w:rPr>
                <w:rFonts w:ascii="宋体"/>
                <w:szCs w:val="21"/>
              </w:rPr>
            </w:pPr>
          </w:p>
        </w:tc>
        <w:tc>
          <w:tcPr>
            <w:tcW w:w="4332" w:type="dxa"/>
            <w:vMerge w:val="continue"/>
            <w:vAlign w:val="center"/>
          </w:tcPr>
          <w:p>
            <w:pPr>
              <w:pStyle w:val="8"/>
              <w:tabs>
                <w:tab w:val="left" w:pos="510"/>
                <w:tab w:val="left" w:pos="1000"/>
              </w:tabs>
              <w:spacing w:line="360" w:lineRule="auto"/>
              <w:ind w:firstLine="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vAlign w:val="bottom"/>
          </w:tcPr>
          <w:p>
            <w:pPr>
              <w:pStyle w:val="8"/>
              <w:tabs>
                <w:tab w:val="left" w:pos="510"/>
                <w:tab w:val="left" w:pos="1000"/>
              </w:tabs>
              <w:spacing w:line="360" w:lineRule="auto"/>
              <w:ind w:firstLine="0"/>
              <w:jc w:val="center"/>
              <w:rPr>
                <w:rFonts w:ascii="宋体"/>
                <w:szCs w:val="21"/>
              </w:rPr>
            </w:pPr>
            <w:r>
              <w:rPr>
                <w:rFonts w:hint="eastAsia" w:ascii="宋体"/>
                <w:szCs w:val="21"/>
              </w:rPr>
              <w:t>招标代理</w:t>
            </w:r>
          </w:p>
          <w:p>
            <w:pPr>
              <w:pStyle w:val="8"/>
              <w:tabs>
                <w:tab w:val="left" w:pos="510"/>
                <w:tab w:val="left" w:pos="1000"/>
              </w:tabs>
              <w:spacing w:line="360" w:lineRule="auto"/>
              <w:ind w:firstLine="0"/>
              <w:jc w:val="center"/>
              <w:rPr>
                <w:rFonts w:ascii="宋体"/>
                <w:szCs w:val="21"/>
              </w:rPr>
            </w:pPr>
          </w:p>
        </w:tc>
        <w:tc>
          <w:tcPr>
            <w:tcW w:w="2850" w:type="dxa"/>
            <w:vAlign w:val="center"/>
          </w:tcPr>
          <w:p>
            <w:pPr>
              <w:pStyle w:val="8"/>
              <w:tabs>
                <w:tab w:val="left" w:pos="510"/>
                <w:tab w:val="left" w:pos="1000"/>
              </w:tabs>
              <w:spacing w:line="360" w:lineRule="auto"/>
              <w:ind w:firstLine="0"/>
              <w:jc w:val="center"/>
              <w:rPr>
                <w:rFonts w:ascii="宋体"/>
                <w:szCs w:val="21"/>
              </w:rPr>
            </w:pPr>
          </w:p>
        </w:tc>
        <w:tc>
          <w:tcPr>
            <w:tcW w:w="4332" w:type="dxa"/>
            <w:vMerge w:val="continue"/>
            <w:vAlign w:val="center"/>
          </w:tcPr>
          <w:p>
            <w:pPr>
              <w:pStyle w:val="8"/>
              <w:tabs>
                <w:tab w:val="left" w:pos="510"/>
                <w:tab w:val="left" w:pos="1000"/>
              </w:tabs>
              <w:spacing w:line="360" w:lineRule="auto"/>
              <w:ind w:firstLine="0"/>
              <w:jc w:val="center"/>
              <w:rPr>
                <w:rFonts w:ascii="宋体"/>
                <w:szCs w:val="21"/>
              </w:rPr>
            </w:pPr>
          </w:p>
        </w:tc>
      </w:tr>
    </w:tbl>
    <w:p>
      <w:pPr>
        <w:rPr>
          <w:rFonts w:ascii="宋体"/>
          <w:szCs w:val="21"/>
        </w:rPr>
      </w:pPr>
    </w:p>
    <w:p>
      <w:pPr>
        <w:rPr>
          <w:rFonts w:ascii="宋体"/>
          <w:szCs w:val="21"/>
        </w:rPr>
      </w:pPr>
    </w:p>
    <w:p>
      <w:pPr>
        <w:spacing w:line="360" w:lineRule="auto"/>
        <w:rPr>
          <w:color w:val="000000"/>
          <w:sz w:val="24"/>
          <w:u w:val="single"/>
        </w:rPr>
      </w:pPr>
      <w:r>
        <w:rPr>
          <w:rFonts w:hint="eastAsia"/>
          <w:szCs w:val="21"/>
        </w:rPr>
        <w:t>备注：除公司内部定额标准结算项目以外的咨询服务费用不足1000元时，按1000元计算。公司内部定额标准作为合同附件提供。</w:t>
      </w:r>
    </w:p>
    <w:p>
      <w:pPr>
        <w:pStyle w:val="8"/>
        <w:tabs>
          <w:tab w:val="left" w:pos="510"/>
          <w:tab w:val="left" w:pos="1000"/>
        </w:tabs>
        <w:spacing w:line="360" w:lineRule="auto"/>
        <w:ind w:firstLine="0"/>
        <w:rPr>
          <w:rFonts w:ascii="宋体"/>
          <w:szCs w:val="21"/>
        </w:rPr>
      </w:pPr>
      <w:r>
        <w:rPr>
          <w:rFonts w:hint="eastAsia"/>
          <w:szCs w:val="21"/>
        </w:rPr>
        <w:t>正常酬金支付方式：</w:t>
      </w:r>
      <w:r>
        <w:rPr>
          <w:rFonts w:hint="eastAsia" w:ascii="宋体"/>
          <w:szCs w:val="21"/>
        </w:rPr>
        <w:t>合同期内每季度完成工作量统计后按季度付款。</w:t>
      </w:r>
    </w:p>
    <w:p>
      <w:pPr>
        <w:spacing w:line="360" w:lineRule="auto"/>
        <w:ind w:firstLine="420"/>
        <w:rPr>
          <w:szCs w:val="21"/>
        </w:rPr>
      </w:pPr>
    </w:p>
    <w:p>
      <w:pPr>
        <w:spacing w:line="360" w:lineRule="auto"/>
        <w:ind w:firstLine="420" w:firstLineChars="200"/>
        <w:rPr>
          <w:rFonts w:ascii="宋体"/>
          <w:szCs w:val="21"/>
        </w:rPr>
      </w:pPr>
    </w:p>
    <w:p>
      <w:pPr>
        <w:spacing w:line="360" w:lineRule="auto"/>
        <w:ind w:firstLine="420" w:firstLineChars="200"/>
        <w:rPr>
          <w:rFonts w:ascii="宋体"/>
          <w:szCs w:val="21"/>
        </w:rPr>
      </w:pPr>
      <w:r>
        <w:rPr>
          <w:rFonts w:hint="eastAsia" w:ascii="宋体"/>
          <w:szCs w:val="21"/>
        </w:rPr>
        <w:t>投</w:t>
      </w:r>
      <w:r>
        <w:rPr>
          <w:rFonts w:hint="eastAsia" w:ascii="宋体" w:cs="宋体"/>
          <w:szCs w:val="21"/>
        </w:rPr>
        <w:t>标</w:t>
      </w:r>
      <w:r>
        <w:rPr>
          <w:rFonts w:hint="eastAsia" w:ascii="宋体"/>
          <w:szCs w:val="21"/>
        </w:rPr>
        <w:t>人：</w:t>
      </w:r>
      <w:r>
        <w:rPr>
          <w:rFonts w:hint="eastAsia" w:ascii="宋体"/>
          <w:szCs w:val="21"/>
          <w:u w:val="single"/>
        </w:rPr>
        <w:t xml:space="preserve">                     (盖单位公章)                    </w:t>
      </w:r>
    </w:p>
    <w:p>
      <w:pPr>
        <w:spacing w:line="360" w:lineRule="auto"/>
        <w:ind w:firstLine="420" w:firstLineChars="200"/>
        <w:rPr>
          <w:rFonts w:ascii="宋体"/>
          <w:szCs w:val="21"/>
          <w:u w:val="single"/>
        </w:rPr>
      </w:pPr>
      <w:r>
        <w:rPr>
          <w:rFonts w:hint="eastAsia" w:ascii="宋体"/>
          <w:szCs w:val="21"/>
        </w:rPr>
        <w:t>地址：</w:t>
      </w:r>
      <w:r>
        <w:rPr>
          <w:rFonts w:hint="eastAsia" w:ascii="宋体"/>
          <w:szCs w:val="21"/>
          <w:u w:val="single"/>
        </w:rPr>
        <w:t xml:space="preserve">                                     </w:t>
      </w:r>
      <w:r>
        <w:rPr>
          <w:rFonts w:hint="eastAsia" w:ascii="宋体" w:cs="宋体"/>
          <w:szCs w:val="21"/>
        </w:rPr>
        <w:t>邮编</w:t>
      </w:r>
      <w:r>
        <w:rPr>
          <w:rFonts w:hint="eastAsia" w:ascii="宋体"/>
          <w:szCs w:val="21"/>
        </w:rPr>
        <w:t>：</w:t>
      </w:r>
      <w:r>
        <w:rPr>
          <w:rFonts w:hint="eastAsia" w:ascii="宋体"/>
          <w:szCs w:val="21"/>
          <w:u w:val="single"/>
        </w:rPr>
        <w:t xml:space="preserve">            </w:t>
      </w:r>
    </w:p>
    <w:p>
      <w:pPr>
        <w:spacing w:line="360" w:lineRule="auto"/>
        <w:ind w:firstLine="420" w:firstLineChars="200"/>
        <w:rPr>
          <w:rFonts w:ascii="宋体"/>
          <w:szCs w:val="21"/>
        </w:rPr>
      </w:pPr>
      <w:r>
        <w:rPr>
          <w:rFonts w:hint="eastAsia" w:ascii="宋体" w:cs="宋体"/>
          <w:szCs w:val="21"/>
        </w:rPr>
        <w:t>电话</w:t>
      </w:r>
      <w:r>
        <w:rPr>
          <w:rFonts w:hint="eastAsia" w:ascii="宋体"/>
          <w:szCs w:val="21"/>
        </w:rPr>
        <w:t>：</w:t>
      </w:r>
      <w:r>
        <w:rPr>
          <w:rFonts w:hint="eastAsia" w:ascii="宋体"/>
          <w:szCs w:val="21"/>
          <w:u w:val="single"/>
        </w:rPr>
        <w:t xml:space="preserve">                                     </w:t>
      </w:r>
      <w:r>
        <w:rPr>
          <w:rFonts w:hint="eastAsia" w:ascii="宋体" w:cs="宋体"/>
          <w:szCs w:val="21"/>
        </w:rPr>
        <w:t>传</w:t>
      </w:r>
      <w:r>
        <w:rPr>
          <w:rFonts w:hint="eastAsia" w:ascii="宋体"/>
          <w:szCs w:val="21"/>
        </w:rPr>
        <w:t>真：</w:t>
      </w:r>
      <w:r>
        <w:rPr>
          <w:rFonts w:hint="eastAsia" w:ascii="宋体"/>
          <w:szCs w:val="21"/>
          <w:u w:val="single"/>
        </w:rPr>
        <w:t xml:space="preserve">            </w:t>
      </w:r>
    </w:p>
    <w:p>
      <w:pPr>
        <w:spacing w:line="360" w:lineRule="auto"/>
        <w:ind w:firstLine="420" w:firstLineChars="200"/>
        <w:rPr>
          <w:rFonts w:ascii="宋体"/>
          <w:szCs w:val="21"/>
        </w:rPr>
      </w:pPr>
      <w:r>
        <w:rPr>
          <w:rFonts w:hint="eastAsia" w:ascii="宋体"/>
          <w:szCs w:val="21"/>
        </w:rPr>
        <w:t>法定代表人或授</w:t>
      </w:r>
      <w:r>
        <w:rPr>
          <w:rFonts w:hint="eastAsia" w:ascii="宋体" w:cs="宋体"/>
          <w:szCs w:val="21"/>
        </w:rPr>
        <w:t>权</w:t>
      </w:r>
      <w:r>
        <w:rPr>
          <w:rFonts w:hint="eastAsia" w:ascii="宋体"/>
          <w:szCs w:val="21"/>
        </w:rPr>
        <w:t>委托人：</w:t>
      </w:r>
      <w:r>
        <w:rPr>
          <w:rFonts w:hint="eastAsia" w:ascii="宋体"/>
          <w:szCs w:val="21"/>
          <w:u w:val="single"/>
        </w:rPr>
        <w:t xml:space="preserve">          (签字)        </w:t>
      </w:r>
    </w:p>
    <w:p>
      <w:pPr>
        <w:spacing w:line="360" w:lineRule="auto"/>
        <w:ind w:firstLine="420" w:firstLineChars="200"/>
        <w:rPr>
          <w:rFonts w:ascii="宋体"/>
          <w:szCs w:val="21"/>
        </w:rPr>
      </w:pPr>
      <w:r>
        <w:rPr>
          <w:rFonts w:hint="eastAsia" w:ascii="宋体"/>
          <w:szCs w:val="21"/>
        </w:rPr>
        <w:t>日期：</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w:t>
      </w:r>
    </w:p>
    <w:p>
      <w:pPr>
        <w:spacing w:line="360" w:lineRule="auto"/>
        <w:rPr>
          <w:rFonts w:ascii="宋体"/>
          <w:szCs w:val="21"/>
        </w:rPr>
      </w:pPr>
    </w:p>
    <w:p>
      <w:pPr>
        <w:spacing w:line="360" w:lineRule="auto"/>
        <w:rPr>
          <w:rFonts w:ascii="宋体"/>
          <w:szCs w:val="21"/>
        </w:rPr>
      </w:pPr>
    </w:p>
    <w:p>
      <w:pPr>
        <w:spacing w:line="360" w:lineRule="auto"/>
        <w:rPr>
          <w:rFonts w:ascii="宋体"/>
          <w:b/>
          <w:szCs w:val="21"/>
        </w:rPr>
      </w:pPr>
      <w:r>
        <w:rPr>
          <w:rFonts w:hint="eastAsia" w:ascii="宋体"/>
          <w:b/>
          <w:szCs w:val="21"/>
        </w:rPr>
        <w:t>注：</w:t>
      </w:r>
      <w:r>
        <w:rPr>
          <w:rFonts w:hint="eastAsia" w:ascii="宋体" w:cs="宋体"/>
          <w:b/>
          <w:szCs w:val="21"/>
          <w:u w:val="double"/>
        </w:rPr>
        <w:t>本表中的实质性条款不得修改，否则按废标处理</w:t>
      </w:r>
      <w:r>
        <w:rPr>
          <w:rFonts w:hint="eastAsia" w:ascii="宋体"/>
          <w:b/>
          <w:szCs w:val="21"/>
        </w:rPr>
        <w:t>。</w:t>
      </w:r>
    </w:p>
    <w:p>
      <w:pPr>
        <w:pStyle w:val="12"/>
        <w:spacing w:before="240" w:after="240"/>
        <w:rPr>
          <w:b/>
          <w:bCs/>
          <w:sz w:val="24"/>
        </w:rPr>
      </w:pPr>
    </w:p>
    <w:p>
      <w:pPr>
        <w:pStyle w:val="12"/>
        <w:spacing w:before="240" w:after="240"/>
        <w:rPr>
          <w:b/>
          <w:bCs/>
          <w:sz w:val="24"/>
        </w:rPr>
      </w:pPr>
    </w:p>
    <w:p>
      <w:pPr>
        <w:pStyle w:val="5"/>
        <w:rPr>
          <w:rFonts w:ascii="宋体" w:hAnsi="宋体"/>
          <w:b w:val="0"/>
          <w:sz w:val="21"/>
        </w:rPr>
        <w:sectPr>
          <w:footerReference r:id="rId5" w:type="default"/>
          <w:pgSz w:w="11906" w:h="16838"/>
          <w:pgMar w:top="1418" w:right="1418" w:bottom="1418" w:left="1418" w:header="851" w:footer="992" w:gutter="284"/>
          <w:pgNumType w:start="1"/>
          <w:docGrid w:linePitch="312" w:charSpace="0"/>
        </w:sectPr>
      </w:pPr>
    </w:p>
    <w:p>
      <w:pPr>
        <w:pStyle w:val="32"/>
        <w:outlineLvl w:val="2"/>
      </w:pPr>
      <w:bookmarkStart w:id="96" w:name="_Toc277937927"/>
      <w:bookmarkStart w:id="97" w:name="_Toc316986047"/>
      <w:bookmarkStart w:id="98" w:name="_Toc310966104"/>
      <w:bookmarkStart w:id="99" w:name="_Toc310965985"/>
      <w:r>
        <w:rPr>
          <w:rFonts w:hint="eastAsia"/>
        </w:rPr>
        <w:t>二、法定代表人资格证明</w:t>
      </w:r>
      <w:bookmarkEnd w:id="96"/>
      <w:r>
        <w:rPr>
          <w:rFonts w:hint="eastAsia"/>
        </w:rPr>
        <w:t>书</w:t>
      </w:r>
      <w:bookmarkEnd w:id="97"/>
      <w:bookmarkEnd w:id="98"/>
      <w:bookmarkEnd w:id="99"/>
    </w:p>
    <w:p>
      <w:pPr>
        <w:spacing w:line="360" w:lineRule="auto"/>
        <w:rPr>
          <w:rFonts w:ascii="宋体" w:cs="宋体"/>
          <w:szCs w:val="21"/>
        </w:rPr>
      </w:pPr>
    </w:p>
    <w:p>
      <w:pPr>
        <w:spacing w:line="360" w:lineRule="auto"/>
        <w:ind w:firstLine="420" w:firstLineChars="200"/>
        <w:rPr>
          <w:rFonts w:ascii="宋体"/>
          <w:szCs w:val="21"/>
        </w:rPr>
      </w:pPr>
      <w:r>
        <w:rPr>
          <w:rFonts w:hint="eastAsia" w:ascii="宋体" w:cs="宋体"/>
          <w:szCs w:val="21"/>
        </w:rPr>
        <w:t>单</w:t>
      </w:r>
      <w:r>
        <w:rPr>
          <w:rFonts w:hint="eastAsia" w:ascii="宋体"/>
          <w:szCs w:val="21"/>
        </w:rPr>
        <w:t>位名称：</w:t>
      </w:r>
      <w:r>
        <w:rPr>
          <w:rFonts w:hint="eastAsia" w:ascii="宋体"/>
          <w:szCs w:val="21"/>
          <w:u w:val="single"/>
        </w:rPr>
        <w:t xml:space="preserve">                                             </w:t>
      </w:r>
    </w:p>
    <w:p>
      <w:pPr>
        <w:spacing w:line="360" w:lineRule="auto"/>
        <w:ind w:firstLine="420" w:firstLineChars="200"/>
        <w:rPr>
          <w:rFonts w:ascii="宋体"/>
          <w:szCs w:val="21"/>
        </w:rPr>
      </w:pPr>
      <w:r>
        <w:rPr>
          <w:rFonts w:hint="eastAsia" w:ascii="宋体"/>
          <w:szCs w:val="21"/>
        </w:rPr>
        <w:t>地    址：</w:t>
      </w:r>
      <w:r>
        <w:rPr>
          <w:rFonts w:hint="eastAsia" w:ascii="宋体"/>
          <w:szCs w:val="21"/>
          <w:u w:val="single"/>
        </w:rPr>
        <w:t xml:space="preserve">                                             </w:t>
      </w:r>
    </w:p>
    <w:p>
      <w:pPr>
        <w:spacing w:line="360" w:lineRule="auto"/>
        <w:ind w:firstLine="420" w:firstLineChars="200"/>
        <w:rPr>
          <w:rFonts w:ascii="宋体"/>
          <w:szCs w:val="21"/>
        </w:rPr>
      </w:pPr>
      <w:r>
        <w:rPr>
          <w:rFonts w:hint="eastAsia" w:ascii="宋体"/>
          <w:szCs w:val="21"/>
        </w:rPr>
        <w:t>姓    名：</w:t>
      </w:r>
      <w:r>
        <w:rPr>
          <w:rFonts w:hint="eastAsia" w:ascii="宋体"/>
          <w:szCs w:val="21"/>
          <w:u w:val="single"/>
        </w:rPr>
        <w:t xml:space="preserve">       </w:t>
      </w:r>
      <w:r>
        <w:rPr>
          <w:rFonts w:hint="eastAsia" w:ascii="宋体"/>
          <w:szCs w:val="21"/>
        </w:rPr>
        <w:t>性</w:t>
      </w:r>
      <w:r>
        <w:rPr>
          <w:rFonts w:hint="eastAsia" w:ascii="宋体" w:cs="宋体"/>
          <w:szCs w:val="21"/>
        </w:rPr>
        <w:t>别</w:t>
      </w:r>
      <w:r>
        <w:rPr>
          <w:rFonts w:hint="eastAsia" w:ascii="宋体"/>
          <w:szCs w:val="21"/>
        </w:rPr>
        <w:t>：</w:t>
      </w:r>
      <w:r>
        <w:rPr>
          <w:rFonts w:hint="eastAsia" w:ascii="宋体"/>
          <w:szCs w:val="21"/>
          <w:u w:val="single"/>
        </w:rPr>
        <w:t xml:space="preserve">       </w:t>
      </w:r>
      <w:r>
        <w:rPr>
          <w:rFonts w:hint="eastAsia" w:ascii="宋体"/>
          <w:szCs w:val="21"/>
        </w:rPr>
        <w:t>年</w:t>
      </w:r>
      <w:r>
        <w:rPr>
          <w:rFonts w:hint="eastAsia" w:ascii="宋体" w:cs="宋体"/>
          <w:szCs w:val="21"/>
        </w:rPr>
        <w:t>龄</w:t>
      </w:r>
      <w:r>
        <w:rPr>
          <w:rFonts w:hint="eastAsia" w:ascii="宋体"/>
          <w:szCs w:val="21"/>
        </w:rPr>
        <w:t>：</w:t>
      </w:r>
      <w:r>
        <w:rPr>
          <w:rFonts w:hint="eastAsia" w:ascii="宋体"/>
          <w:szCs w:val="21"/>
          <w:u w:val="single"/>
        </w:rPr>
        <w:t xml:space="preserve">      </w:t>
      </w:r>
      <w:r>
        <w:rPr>
          <w:rFonts w:hint="eastAsia" w:ascii="宋体" w:cs="宋体"/>
          <w:szCs w:val="21"/>
        </w:rPr>
        <w:t>职务</w:t>
      </w:r>
      <w:r>
        <w:rPr>
          <w:rFonts w:hint="eastAsia" w:ascii="宋体"/>
          <w:szCs w:val="21"/>
        </w:rPr>
        <w:t>：</w:t>
      </w:r>
      <w:r>
        <w:rPr>
          <w:rFonts w:hint="eastAsia" w:ascii="宋体"/>
          <w:szCs w:val="21"/>
          <w:u w:val="single"/>
        </w:rPr>
        <w:t xml:space="preserve">       </w:t>
      </w:r>
    </w:p>
    <w:p>
      <w:pPr>
        <w:spacing w:line="360" w:lineRule="auto"/>
        <w:ind w:firstLine="420" w:firstLineChars="200"/>
        <w:rPr>
          <w:rFonts w:ascii="宋体"/>
          <w:szCs w:val="21"/>
        </w:rPr>
      </w:pPr>
      <w:r>
        <w:rPr>
          <w:rFonts w:hint="eastAsia" w:ascii="宋体"/>
          <w:szCs w:val="21"/>
        </w:rPr>
        <w:t>系</w:t>
      </w:r>
      <w:r>
        <w:rPr>
          <w:rFonts w:hint="eastAsia" w:ascii="宋体"/>
          <w:szCs w:val="21"/>
          <w:u w:val="single"/>
        </w:rPr>
        <w:t xml:space="preserve">             </w:t>
      </w:r>
      <w:r>
        <w:rPr>
          <w:rFonts w:hint="eastAsia" w:ascii="宋体"/>
          <w:i/>
          <w:szCs w:val="21"/>
        </w:rPr>
        <w:t>(投标人单位名称)</w:t>
      </w:r>
      <w:r>
        <w:rPr>
          <w:rFonts w:hint="eastAsia" w:ascii="宋体"/>
          <w:szCs w:val="21"/>
        </w:rPr>
        <w:t>的法定代表人。</w:t>
      </w:r>
      <w:r>
        <w:rPr>
          <w:rFonts w:hint="eastAsia" w:ascii="宋体" w:cs="宋体"/>
          <w:szCs w:val="21"/>
        </w:rPr>
        <w:t>为</w:t>
      </w:r>
      <w:r>
        <w:rPr>
          <w:rFonts w:hint="eastAsia" w:ascii="宋体"/>
          <w:szCs w:val="21"/>
          <w:u w:val="single"/>
        </w:rPr>
        <w:t xml:space="preserve">              </w:t>
      </w:r>
      <w:r>
        <w:rPr>
          <w:rFonts w:hint="eastAsia" w:ascii="宋体"/>
          <w:i/>
          <w:szCs w:val="21"/>
        </w:rPr>
        <w:t>(招标</w:t>
      </w:r>
      <w:r>
        <w:rPr>
          <w:rFonts w:hint="eastAsia" w:ascii="宋体" w:cs="宋体"/>
          <w:i/>
          <w:szCs w:val="21"/>
        </w:rPr>
        <w:t>项</w:t>
      </w:r>
      <w:r>
        <w:rPr>
          <w:rFonts w:hint="eastAsia" w:ascii="宋体"/>
          <w:i/>
          <w:szCs w:val="21"/>
        </w:rPr>
        <w:t>目名称)</w:t>
      </w:r>
      <w:r>
        <w:rPr>
          <w:rFonts w:hint="eastAsia" w:ascii="宋体"/>
          <w:szCs w:val="21"/>
        </w:rPr>
        <w:t>，</w:t>
      </w:r>
      <w:r>
        <w:rPr>
          <w:rFonts w:hint="eastAsia" w:ascii="宋体" w:cs="宋体"/>
          <w:szCs w:val="21"/>
        </w:rPr>
        <w:t>签</w:t>
      </w:r>
      <w:r>
        <w:rPr>
          <w:rFonts w:hint="eastAsia" w:ascii="宋体"/>
          <w:szCs w:val="21"/>
        </w:rPr>
        <w:t>署上述投</w:t>
      </w:r>
      <w:r>
        <w:rPr>
          <w:rFonts w:hint="eastAsia" w:ascii="宋体" w:cs="宋体"/>
          <w:szCs w:val="21"/>
        </w:rPr>
        <w:t>标</w:t>
      </w:r>
      <w:r>
        <w:rPr>
          <w:rFonts w:hint="eastAsia" w:ascii="宋体"/>
          <w:szCs w:val="21"/>
        </w:rPr>
        <w:t>文件、</w:t>
      </w:r>
      <w:r>
        <w:rPr>
          <w:rFonts w:hint="eastAsia" w:ascii="宋体" w:cs="宋体"/>
          <w:szCs w:val="21"/>
        </w:rPr>
        <w:t>进</w:t>
      </w:r>
      <w:r>
        <w:rPr>
          <w:rFonts w:hint="eastAsia" w:ascii="宋体"/>
          <w:szCs w:val="21"/>
        </w:rPr>
        <w:t>行合同</w:t>
      </w:r>
      <w:r>
        <w:rPr>
          <w:rFonts w:hint="eastAsia" w:ascii="宋体" w:cs="宋体"/>
          <w:szCs w:val="21"/>
        </w:rPr>
        <w:t>谈</w:t>
      </w:r>
      <w:r>
        <w:rPr>
          <w:rFonts w:hint="eastAsia" w:ascii="宋体"/>
          <w:szCs w:val="21"/>
        </w:rPr>
        <w:t>判、</w:t>
      </w:r>
      <w:r>
        <w:rPr>
          <w:rFonts w:hint="eastAsia" w:ascii="宋体" w:cs="宋体"/>
          <w:szCs w:val="21"/>
        </w:rPr>
        <w:t>签</w:t>
      </w:r>
      <w:r>
        <w:rPr>
          <w:rFonts w:hint="eastAsia" w:ascii="宋体"/>
          <w:szCs w:val="21"/>
        </w:rPr>
        <w:t>署合同和</w:t>
      </w:r>
      <w:r>
        <w:rPr>
          <w:rFonts w:hint="eastAsia" w:ascii="宋体" w:cs="宋体"/>
          <w:szCs w:val="21"/>
        </w:rPr>
        <w:t>处</w:t>
      </w:r>
      <w:r>
        <w:rPr>
          <w:rFonts w:hint="eastAsia" w:ascii="宋体"/>
          <w:szCs w:val="21"/>
        </w:rPr>
        <w:t>理与之有</w:t>
      </w:r>
      <w:r>
        <w:rPr>
          <w:rFonts w:hint="eastAsia" w:ascii="宋体" w:cs="宋体"/>
          <w:szCs w:val="21"/>
        </w:rPr>
        <w:t>关</w:t>
      </w:r>
      <w:r>
        <w:rPr>
          <w:rFonts w:hint="eastAsia" w:ascii="宋体"/>
          <w:szCs w:val="21"/>
        </w:rPr>
        <w:t>的一切事</w:t>
      </w:r>
      <w:r>
        <w:rPr>
          <w:rFonts w:hint="eastAsia" w:ascii="宋体" w:cs="宋体"/>
          <w:szCs w:val="21"/>
        </w:rPr>
        <w:t>务</w:t>
      </w:r>
      <w:r>
        <w:rPr>
          <w:rFonts w:hint="eastAsia" w:ascii="宋体"/>
          <w:szCs w:val="21"/>
        </w:rPr>
        <w:t>。</w:t>
      </w:r>
    </w:p>
    <w:p>
      <w:pPr>
        <w:spacing w:line="360" w:lineRule="auto"/>
        <w:ind w:firstLine="420" w:firstLineChars="200"/>
        <w:rPr>
          <w:rFonts w:ascii="宋体"/>
          <w:szCs w:val="21"/>
        </w:rPr>
      </w:pPr>
      <w:r>
        <w:rPr>
          <w:rFonts w:hint="eastAsia" w:ascii="宋体"/>
          <w:szCs w:val="21"/>
        </w:rPr>
        <w:t>特此</w:t>
      </w:r>
      <w:r>
        <w:rPr>
          <w:rFonts w:hint="eastAsia" w:ascii="宋体" w:cs="宋体"/>
          <w:szCs w:val="21"/>
        </w:rPr>
        <w:t>证</w:t>
      </w:r>
      <w:r>
        <w:rPr>
          <w:rFonts w:hint="eastAsia" w:ascii="宋体"/>
          <w:szCs w:val="21"/>
        </w:rPr>
        <w:t>明。</w:t>
      </w:r>
    </w:p>
    <w:p>
      <w:pPr>
        <w:spacing w:line="360" w:lineRule="auto"/>
        <w:ind w:firstLine="420" w:firstLineChars="200"/>
        <w:rPr>
          <w:rFonts w:ascii="宋体"/>
          <w:szCs w:val="21"/>
        </w:rPr>
      </w:pPr>
    </w:p>
    <w:p>
      <w:pPr>
        <w:spacing w:line="360" w:lineRule="auto"/>
        <w:ind w:firstLine="420" w:firstLineChars="200"/>
        <w:rPr>
          <w:rFonts w:ascii="宋体"/>
          <w:szCs w:val="21"/>
        </w:rPr>
      </w:pPr>
      <w:r>
        <w:rPr>
          <w:rFonts w:hint="eastAsia" w:ascii="宋体"/>
          <w:szCs w:val="21"/>
        </w:rPr>
        <w:t>投</w:t>
      </w:r>
      <w:r>
        <w:rPr>
          <w:rFonts w:hint="eastAsia" w:ascii="宋体" w:cs="宋体"/>
          <w:szCs w:val="21"/>
        </w:rPr>
        <w:t>标</w:t>
      </w:r>
      <w:r>
        <w:rPr>
          <w:rFonts w:hint="eastAsia" w:ascii="宋体"/>
          <w:szCs w:val="21"/>
        </w:rPr>
        <w:t>人：</w:t>
      </w:r>
      <w:r>
        <w:rPr>
          <w:rFonts w:hint="eastAsia" w:ascii="宋体"/>
          <w:szCs w:val="21"/>
          <w:u w:val="single"/>
        </w:rPr>
        <w:t xml:space="preserve">                     (盖单位公章)                    </w:t>
      </w:r>
    </w:p>
    <w:p>
      <w:pPr>
        <w:spacing w:line="360" w:lineRule="auto"/>
        <w:ind w:firstLine="420" w:firstLineChars="200"/>
        <w:rPr>
          <w:rFonts w:ascii="宋体"/>
          <w:szCs w:val="21"/>
        </w:rPr>
      </w:pPr>
      <w:r>
        <w:rPr>
          <w:rFonts w:hint="eastAsia" w:ascii="宋体"/>
          <w:szCs w:val="21"/>
        </w:rPr>
        <w:t>日期：</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w:t>
      </w: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pStyle w:val="8"/>
        <w:spacing w:line="440" w:lineRule="exact"/>
        <w:ind w:firstLine="0"/>
        <w:outlineLvl w:val="0"/>
        <w:rPr>
          <w:rFonts w:ascii="宋体"/>
          <w:szCs w:val="21"/>
        </w:rPr>
      </w:pPr>
    </w:p>
    <w:p>
      <w:pPr>
        <w:pStyle w:val="32"/>
        <w:outlineLvl w:val="2"/>
      </w:pPr>
      <w:r>
        <w:rPr>
          <w:rFonts w:hint="eastAsia"/>
          <w:b w:val="0"/>
          <w:bCs w:val="0"/>
        </w:rPr>
        <w:br w:type="page"/>
      </w:r>
      <w:bookmarkStart w:id="100" w:name="_Toc316986048"/>
      <w:bookmarkStart w:id="101" w:name="_Toc310965986"/>
      <w:bookmarkStart w:id="102" w:name="_Toc310966105"/>
      <w:r>
        <w:rPr>
          <w:rFonts w:hint="eastAsia"/>
        </w:rPr>
        <w:t>三、授权委托书</w:t>
      </w:r>
      <w:bookmarkEnd w:id="100"/>
      <w:bookmarkEnd w:id="101"/>
      <w:bookmarkEnd w:id="102"/>
    </w:p>
    <w:p>
      <w:pPr>
        <w:spacing w:line="360" w:lineRule="auto"/>
        <w:rPr>
          <w:rFonts w:ascii="宋体"/>
          <w:szCs w:val="21"/>
        </w:rPr>
      </w:pPr>
      <w:r>
        <w:rPr>
          <w:rFonts w:hint="eastAsia" w:ascii="宋体"/>
          <w:szCs w:val="21"/>
        </w:rPr>
        <w:t>致：</w:t>
      </w:r>
      <w:r>
        <w:rPr>
          <w:rFonts w:hint="eastAsia" w:ascii="宋体"/>
          <w:szCs w:val="21"/>
          <w:u w:val="single"/>
        </w:rPr>
        <w:t xml:space="preserve">                  </w:t>
      </w:r>
      <w:r>
        <w:rPr>
          <w:rFonts w:hint="eastAsia" w:ascii="宋体"/>
          <w:szCs w:val="21"/>
        </w:rPr>
        <w:t>(招</w:t>
      </w:r>
      <w:r>
        <w:rPr>
          <w:rFonts w:hint="eastAsia" w:ascii="宋体" w:cs="宋体"/>
          <w:szCs w:val="21"/>
        </w:rPr>
        <w:t>标</w:t>
      </w:r>
      <w:r>
        <w:rPr>
          <w:rFonts w:hint="eastAsia" w:ascii="宋体"/>
          <w:szCs w:val="21"/>
        </w:rPr>
        <w:t>人)</w:t>
      </w:r>
    </w:p>
    <w:p>
      <w:pPr>
        <w:spacing w:line="360" w:lineRule="auto"/>
        <w:ind w:firstLine="420" w:firstLineChars="200"/>
        <w:rPr>
          <w:rFonts w:ascii="宋体"/>
          <w:szCs w:val="21"/>
        </w:rPr>
      </w:pPr>
      <w:r>
        <w:rPr>
          <w:rFonts w:hint="eastAsia" w:ascii="宋体"/>
          <w:szCs w:val="21"/>
        </w:rPr>
        <w:t>本授</w:t>
      </w:r>
      <w:r>
        <w:rPr>
          <w:rFonts w:hint="eastAsia" w:ascii="宋体" w:cs="宋体"/>
          <w:szCs w:val="21"/>
        </w:rPr>
        <w:t>权书</w:t>
      </w:r>
      <w:r>
        <w:rPr>
          <w:rFonts w:hint="eastAsia" w:ascii="宋体"/>
          <w:szCs w:val="21"/>
        </w:rPr>
        <w:t>宣告，在下面</w:t>
      </w:r>
      <w:r>
        <w:rPr>
          <w:rFonts w:hint="eastAsia" w:ascii="宋体" w:cs="宋体"/>
          <w:szCs w:val="21"/>
        </w:rPr>
        <w:t>签</w:t>
      </w:r>
      <w:r>
        <w:rPr>
          <w:rFonts w:hint="eastAsia" w:ascii="宋体"/>
          <w:szCs w:val="21"/>
        </w:rPr>
        <w:t>字的</w:t>
      </w:r>
      <w:r>
        <w:rPr>
          <w:rFonts w:hint="eastAsia" w:ascii="宋体"/>
          <w:szCs w:val="21"/>
          <w:u w:val="single"/>
        </w:rPr>
        <w:t xml:space="preserve">         </w:t>
      </w:r>
      <w:r>
        <w:rPr>
          <w:rFonts w:hint="eastAsia" w:ascii="宋体"/>
          <w:i/>
          <w:szCs w:val="21"/>
        </w:rPr>
        <w:t>(法定代表人姓名)</w:t>
      </w:r>
      <w:r>
        <w:rPr>
          <w:rFonts w:hint="eastAsia" w:ascii="宋体"/>
          <w:szCs w:val="21"/>
        </w:rPr>
        <w:t>以法定代表人身份代表本</w:t>
      </w:r>
      <w:r>
        <w:rPr>
          <w:rFonts w:hint="eastAsia" w:ascii="宋体" w:cs="宋体"/>
          <w:szCs w:val="21"/>
        </w:rPr>
        <w:t>单</w:t>
      </w:r>
      <w:r>
        <w:rPr>
          <w:rFonts w:hint="eastAsia" w:ascii="宋体"/>
          <w:szCs w:val="21"/>
        </w:rPr>
        <w:t>位授</w:t>
      </w:r>
      <w:r>
        <w:rPr>
          <w:rFonts w:hint="eastAsia" w:ascii="宋体" w:cs="宋体"/>
          <w:szCs w:val="21"/>
        </w:rPr>
        <w:t>权；</w:t>
      </w:r>
      <w:r>
        <w:rPr>
          <w:rFonts w:hint="eastAsia" w:ascii="宋体" w:cs="宋体"/>
          <w:szCs w:val="21"/>
          <w:u w:val="single"/>
        </w:rPr>
        <w:t xml:space="preserve">         </w:t>
      </w:r>
      <w:r>
        <w:rPr>
          <w:rFonts w:hint="eastAsia" w:ascii="宋体" w:cs="宋体"/>
          <w:i/>
          <w:szCs w:val="21"/>
        </w:rPr>
        <w:t>(授权委托人姓名)</w:t>
      </w:r>
      <w:r>
        <w:rPr>
          <w:rFonts w:hint="eastAsia" w:ascii="宋体" w:cs="宋体"/>
          <w:szCs w:val="21"/>
        </w:rPr>
        <w:t>，其身份证号码为</w:t>
      </w:r>
      <w:r>
        <w:rPr>
          <w:rFonts w:hint="eastAsia" w:ascii="宋体" w:cs="宋体"/>
          <w:szCs w:val="21"/>
          <w:u w:val="single"/>
        </w:rPr>
        <w:t xml:space="preserve">            </w:t>
      </w:r>
      <w:r>
        <w:rPr>
          <w:rFonts w:hint="eastAsia" w:ascii="宋体" w:cs="宋体"/>
          <w:szCs w:val="21"/>
        </w:rPr>
        <w:t>，作为</w:t>
      </w:r>
      <w:r>
        <w:rPr>
          <w:rFonts w:hint="eastAsia" w:ascii="宋体"/>
          <w:szCs w:val="21"/>
        </w:rPr>
        <w:t>本</w:t>
      </w:r>
      <w:r>
        <w:rPr>
          <w:rFonts w:hint="eastAsia" w:ascii="宋体" w:cs="宋体"/>
          <w:szCs w:val="21"/>
        </w:rPr>
        <w:t>单</w:t>
      </w:r>
      <w:r>
        <w:rPr>
          <w:rFonts w:hint="eastAsia" w:ascii="宋体"/>
          <w:szCs w:val="21"/>
        </w:rPr>
        <w:t>位的合法授</w:t>
      </w:r>
      <w:r>
        <w:rPr>
          <w:rFonts w:hint="eastAsia" w:ascii="宋体" w:cs="宋体"/>
          <w:szCs w:val="21"/>
        </w:rPr>
        <w:t>权</w:t>
      </w:r>
      <w:r>
        <w:rPr>
          <w:rFonts w:hint="eastAsia" w:ascii="宋体"/>
          <w:szCs w:val="21"/>
        </w:rPr>
        <w:t>代表，授</w:t>
      </w:r>
      <w:r>
        <w:rPr>
          <w:rFonts w:hint="eastAsia" w:ascii="宋体" w:cs="宋体"/>
          <w:szCs w:val="21"/>
        </w:rPr>
        <w:t>权</w:t>
      </w:r>
      <w:r>
        <w:rPr>
          <w:rFonts w:hint="eastAsia" w:ascii="宋体"/>
          <w:szCs w:val="21"/>
        </w:rPr>
        <w:t>其在编号为</w:t>
      </w:r>
      <w:r>
        <w:rPr>
          <w:rFonts w:hint="eastAsia" w:ascii="宋体"/>
          <w:szCs w:val="21"/>
          <w:u w:val="single"/>
        </w:rPr>
        <w:t xml:space="preserve">                     </w:t>
      </w:r>
      <w:r>
        <w:rPr>
          <w:rFonts w:hint="eastAsia" w:ascii="宋体"/>
          <w:i/>
          <w:szCs w:val="21"/>
        </w:rPr>
        <w:t>(招标</w:t>
      </w:r>
      <w:r>
        <w:rPr>
          <w:rFonts w:hint="eastAsia" w:ascii="宋体" w:cs="宋体"/>
          <w:i/>
          <w:szCs w:val="21"/>
        </w:rPr>
        <w:t>编</w:t>
      </w:r>
      <w:r>
        <w:rPr>
          <w:rFonts w:hint="eastAsia" w:ascii="宋体"/>
          <w:i/>
          <w:szCs w:val="21"/>
        </w:rPr>
        <w:t>号)</w:t>
      </w:r>
      <w:r>
        <w:rPr>
          <w:rFonts w:hint="eastAsia" w:ascii="宋体"/>
          <w:szCs w:val="21"/>
        </w:rPr>
        <w:t>的</w:t>
      </w:r>
      <w:r>
        <w:rPr>
          <w:rFonts w:hint="eastAsia" w:ascii="宋体"/>
          <w:szCs w:val="21"/>
          <w:u w:val="single"/>
        </w:rPr>
        <w:t xml:space="preserve">                  </w:t>
      </w:r>
      <w:r>
        <w:rPr>
          <w:rFonts w:hint="eastAsia" w:ascii="宋体"/>
          <w:i/>
          <w:szCs w:val="21"/>
        </w:rPr>
        <w:t>(招标</w:t>
      </w:r>
      <w:r>
        <w:rPr>
          <w:rFonts w:hint="eastAsia" w:ascii="宋体" w:cs="宋体"/>
          <w:i/>
          <w:szCs w:val="21"/>
        </w:rPr>
        <w:t>项</w:t>
      </w:r>
      <w:r>
        <w:rPr>
          <w:rFonts w:hint="eastAsia" w:ascii="宋体"/>
          <w:i/>
          <w:szCs w:val="21"/>
        </w:rPr>
        <w:t>目名称)</w:t>
      </w:r>
      <w:r>
        <w:rPr>
          <w:rFonts w:hint="eastAsia" w:ascii="宋体"/>
          <w:szCs w:val="21"/>
        </w:rPr>
        <w:t>招</w:t>
      </w:r>
      <w:r>
        <w:rPr>
          <w:rFonts w:hint="eastAsia" w:ascii="宋体" w:cs="宋体"/>
          <w:szCs w:val="21"/>
        </w:rPr>
        <w:t>标</w:t>
      </w:r>
      <w:r>
        <w:rPr>
          <w:rFonts w:hint="eastAsia" w:ascii="宋体"/>
          <w:szCs w:val="21"/>
        </w:rPr>
        <w:t>活</w:t>
      </w:r>
      <w:r>
        <w:rPr>
          <w:rFonts w:hint="eastAsia" w:ascii="宋体" w:cs="宋体"/>
          <w:szCs w:val="21"/>
        </w:rPr>
        <w:t>动</w:t>
      </w:r>
      <w:r>
        <w:rPr>
          <w:rFonts w:hint="eastAsia" w:ascii="宋体"/>
          <w:szCs w:val="21"/>
        </w:rPr>
        <w:t>中，以本</w:t>
      </w:r>
      <w:r>
        <w:rPr>
          <w:rFonts w:hint="eastAsia" w:ascii="宋体" w:cs="宋体"/>
          <w:szCs w:val="21"/>
        </w:rPr>
        <w:t>单</w:t>
      </w:r>
      <w:r>
        <w:rPr>
          <w:rFonts w:hint="eastAsia" w:ascii="宋体"/>
          <w:szCs w:val="21"/>
        </w:rPr>
        <w:t>位的名</w:t>
      </w:r>
      <w:r>
        <w:rPr>
          <w:rFonts w:hint="eastAsia" w:ascii="宋体" w:cs="宋体"/>
          <w:szCs w:val="21"/>
        </w:rPr>
        <w:t>义</w:t>
      </w:r>
      <w:r>
        <w:rPr>
          <w:rFonts w:hint="eastAsia" w:ascii="宋体"/>
          <w:szCs w:val="21"/>
        </w:rPr>
        <w:t>，并代表本人与你</w:t>
      </w:r>
      <w:r>
        <w:rPr>
          <w:rFonts w:hint="eastAsia" w:ascii="宋体" w:cs="宋体"/>
          <w:szCs w:val="21"/>
        </w:rPr>
        <w:t>们进</w:t>
      </w:r>
      <w:r>
        <w:rPr>
          <w:rFonts w:hint="eastAsia" w:ascii="宋体"/>
          <w:szCs w:val="21"/>
        </w:rPr>
        <w:t>行磋商、</w:t>
      </w:r>
      <w:r>
        <w:rPr>
          <w:rFonts w:hint="eastAsia" w:ascii="宋体" w:cs="宋体"/>
          <w:szCs w:val="21"/>
        </w:rPr>
        <w:t>签</w:t>
      </w:r>
      <w:r>
        <w:rPr>
          <w:rFonts w:hint="eastAsia" w:ascii="宋体"/>
          <w:szCs w:val="21"/>
        </w:rPr>
        <w:t>署文件和</w:t>
      </w:r>
      <w:r>
        <w:rPr>
          <w:rFonts w:hint="eastAsia" w:ascii="宋体" w:cs="宋体"/>
          <w:szCs w:val="21"/>
        </w:rPr>
        <w:t>处</w:t>
      </w:r>
      <w:r>
        <w:rPr>
          <w:rFonts w:hint="eastAsia" w:ascii="宋体"/>
          <w:szCs w:val="21"/>
        </w:rPr>
        <w:t>理一切与此事有</w:t>
      </w:r>
      <w:r>
        <w:rPr>
          <w:rFonts w:hint="eastAsia" w:ascii="宋体" w:cs="宋体"/>
          <w:szCs w:val="21"/>
        </w:rPr>
        <w:t>关</w:t>
      </w:r>
      <w:r>
        <w:rPr>
          <w:rFonts w:hint="eastAsia" w:ascii="宋体"/>
          <w:szCs w:val="21"/>
        </w:rPr>
        <w:t>的事</w:t>
      </w:r>
      <w:r>
        <w:rPr>
          <w:rFonts w:hint="eastAsia" w:ascii="宋体" w:cs="宋体"/>
          <w:szCs w:val="21"/>
        </w:rPr>
        <w:t>务</w:t>
      </w:r>
      <w:r>
        <w:rPr>
          <w:rFonts w:hint="eastAsia" w:ascii="宋体"/>
          <w:szCs w:val="21"/>
        </w:rPr>
        <w:t>。授</w:t>
      </w:r>
      <w:r>
        <w:rPr>
          <w:rFonts w:hint="eastAsia" w:ascii="宋体" w:cs="宋体"/>
          <w:szCs w:val="21"/>
        </w:rPr>
        <w:t>权</w:t>
      </w:r>
      <w:r>
        <w:rPr>
          <w:rFonts w:hint="eastAsia" w:ascii="宋体"/>
          <w:szCs w:val="21"/>
        </w:rPr>
        <w:t>代表的一切行</w:t>
      </w:r>
      <w:r>
        <w:rPr>
          <w:rFonts w:hint="eastAsia" w:ascii="宋体" w:cs="宋体"/>
          <w:szCs w:val="21"/>
        </w:rPr>
        <w:t>为</w:t>
      </w:r>
      <w:r>
        <w:rPr>
          <w:rFonts w:hint="eastAsia" w:ascii="宋体"/>
          <w:szCs w:val="21"/>
        </w:rPr>
        <w:t>均代表本</w:t>
      </w:r>
      <w:r>
        <w:rPr>
          <w:rFonts w:hint="eastAsia" w:ascii="宋体" w:cs="宋体"/>
          <w:szCs w:val="21"/>
        </w:rPr>
        <w:t>单</w:t>
      </w:r>
      <w:r>
        <w:rPr>
          <w:rFonts w:hint="eastAsia" w:ascii="宋体"/>
          <w:szCs w:val="21"/>
        </w:rPr>
        <w:t>位，与本人的行</w:t>
      </w:r>
      <w:r>
        <w:rPr>
          <w:rFonts w:hint="eastAsia" w:ascii="宋体" w:cs="宋体"/>
          <w:szCs w:val="21"/>
        </w:rPr>
        <w:t>为</w:t>
      </w:r>
      <w:r>
        <w:rPr>
          <w:rFonts w:hint="eastAsia" w:ascii="宋体"/>
          <w:szCs w:val="21"/>
        </w:rPr>
        <w:t>具有同等法律效力。本</w:t>
      </w:r>
      <w:r>
        <w:rPr>
          <w:rFonts w:hint="eastAsia" w:ascii="宋体" w:cs="宋体"/>
          <w:szCs w:val="21"/>
        </w:rPr>
        <w:t>单</w:t>
      </w:r>
      <w:r>
        <w:rPr>
          <w:rFonts w:hint="eastAsia" w:ascii="宋体"/>
          <w:szCs w:val="21"/>
        </w:rPr>
        <w:t>位将承担授</w:t>
      </w:r>
      <w:r>
        <w:rPr>
          <w:rFonts w:hint="eastAsia" w:ascii="宋体" w:cs="宋体"/>
          <w:szCs w:val="21"/>
        </w:rPr>
        <w:t>权</w:t>
      </w:r>
      <w:r>
        <w:rPr>
          <w:rFonts w:hint="eastAsia" w:ascii="宋体"/>
          <w:szCs w:val="21"/>
        </w:rPr>
        <w:t>代表行</w:t>
      </w:r>
      <w:r>
        <w:rPr>
          <w:rFonts w:hint="eastAsia" w:ascii="宋体" w:cs="宋体"/>
          <w:szCs w:val="21"/>
        </w:rPr>
        <w:t>为</w:t>
      </w:r>
      <w:r>
        <w:rPr>
          <w:rFonts w:hint="eastAsia" w:ascii="宋体"/>
          <w:szCs w:val="21"/>
        </w:rPr>
        <w:t>的全部法律</w:t>
      </w:r>
      <w:r>
        <w:rPr>
          <w:rFonts w:hint="eastAsia" w:ascii="宋体" w:cs="宋体"/>
          <w:szCs w:val="21"/>
        </w:rPr>
        <w:t>责</w:t>
      </w:r>
      <w:r>
        <w:rPr>
          <w:rFonts w:hint="eastAsia" w:ascii="宋体"/>
          <w:szCs w:val="21"/>
        </w:rPr>
        <w:t>任和后果。</w:t>
      </w:r>
    </w:p>
    <w:p>
      <w:pPr>
        <w:spacing w:line="360" w:lineRule="auto"/>
        <w:rPr>
          <w:rFonts w:ascii="宋体"/>
          <w:szCs w:val="21"/>
        </w:rPr>
      </w:pPr>
      <w:r>
        <w:rPr>
          <w:rFonts w:hint="eastAsia" w:ascii="宋体"/>
          <w:szCs w:val="21"/>
        </w:rPr>
        <w:t xml:space="preserve">    本授权委托书期限自</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日起至</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日止。</w:t>
      </w:r>
    </w:p>
    <w:p>
      <w:pPr>
        <w:spacing w:line="360" w:lineRule="auto"/>
        <w:rPr>
          <w:rFonts w:ascii="宋体"/>
          <w:szCs w:val="21"/>
        </w:rPr>
      </w:pPr>
      <w:r>
        <w:rPr>
          <w:rFonts w:hint="eastAsia" w:ascii="宋体"/>
          <w:szCs w:val="21"/>
        </w:rPr>
        <w:t xml:space="preserve">    授</w:t>
      </w:r>
      <w:r>
        <w:rPr>
          <w:rFonts w:hint="eastAsia" w:ascii="宋体" w:cs="宋体"/>
          <w:szCs w:val="21"/>
        </w:rPr>
        <w:t>权</w:t>
      </w:r>
      <w:r>
        <w:rPr>
          <w:rFonts w:hint="eastAsia" w:ascii="宋体"/>
          <w:szCs w:val="21"/>
        </w:rPr>
        <w:t>代表无</w:t>
      </w:r>
      <w:r>
        <w:rPr>
          <w:rFonts w:hint="eastAsia" w:ascii="宋体" w:cs="宋体"/>
          <w:szCs w:val="21"/>
        </w:rPr>
        <w:t>权转让</w:t>
      </w:r>
      <w:r>
        <w:rPr>
          <w:rFonts w:hint="eastAsia" w:ascii="宋体"/>
          <w:szCs w:val="21"/>
        </w:rPr>
        <w:t>委托</w:t>
      </w:r>
      <w:r>
        <w:rPr>
          <w:rFonts w:hint="eastAsia" w:ascii="宋体" w:cs="宋体"/>
          <w:szCs w:val="21"/>
        </w:rPr>
        <w:t>权</w:t>
      </w:r>
      <w:r>
        <w:rPr>
          <w:rFonts w:hint="eastAsia" w:ascii="宋体"/>
          <w:szCs w:val="21"/>
        </w:rPr>
        <w:t>，特此委托。</w:t>
      </w:r>
    </w:p>
    <w:p>
      <w:pPr>
        <w:spacing w:line="360" w:lineRule="auto"/>
        <w:rPr>
          <w:rFonts w:ascii="宋体"/>
          <w:szCs w:val="21"/>
        </w:rPr>
      </w:pPr>
    </w:p>
    <w:p>
      <w:pPr>
        <w:spacing w:line="360" w:lineRule="auto"/>
        <w:ind w:firstLine="420" w:firstLineChars="200"/>
        <w:rPr>
          <w:rFonts w:ascii="宋体"/>
          <w:szCs w:val="21"/>
        </w:rPr>
      </w:pPr>
      <w:r>
        <w:rPr>
          <w:rFonts w:hint="eastAsia" w:ascii="宋体"/>
          <w:szCs w:val="21"/>
        </w:rPr>
        <w:t>投</w:t>
      </w:r>
      <w:r>
        <w:rPr>
          <w:rFonts w:hint="eastAsia" w:ascii="宋体" w:cs="宋体"/>
          <w:szCs w:val="21"/>
        </w:rPr>
        <w:t>标</w:t>
      </w:r>
      <w:r>
        <w:rPr>
          <w:rFonts w:hint="eastAsia" w:ascii="宋体"/>
          <w:szCs w:val="21"/>
        </w:rPr>
        <w:t>人：</w:t>
      </w:r>
      <w:r>
        <w:rPr>
          <w:rFonts w:hint="eastAsia" w:ascii="宋体"/>
          <w:szCs w:val="21"/>
          <w:u w:val="single"/>
        </w:rPr>
        <w:t xml:space="preserve">                     (盖单位公章)                    </w:t>
      </w:r>
    </w:p>
    <w:p>
      <w:pPr>
        <w:spacing w:line="360" w:lineRule="auto"/>
        <w:ind w:firstLine="420" w:firstLineChars="200"/>
        <w:rPr>
          <w:rFonts w:ascii="宋体"/>
          <w:szCs w:val="21"/>
        </w:rPr>
      </w:pPr>
      <w:r>
        <w:rPr>
          <w:rFonts w:hint="eastAsia" w:ascii="宋体"/>
          <w:szCs w:val="21"/>
        </w:rPr>
        <w:t>法定代表人：</w:t>
      </w:r>
      <w:r>
        <w:rPr>
          <w:rFonts w:hint="eastAsia" w:ascii="宋体"/>
          <w:szCs w:val="21"/>
          <w:u w:val="single"/>
        </w:rPr>
        <w:t xml:space="preserve">        (签字或盖章)    </w:t>
      </w:r>
      <w:r>
        <w:rPr>
          <w:rFonts w:hint="eastAsia" w:ascii="宋体"/>
          <w:szCs w:val="21"/>
        </w:rPr>
        <w:t xml:space="preserve">； </w:t>
      </w:r>
      <w:r>
        <w:rPr>
          <w:rFonts w:hint="eastAsia" w:ascii="宋体" w:cs="宋体"/>
          <w:szCs w:val="21"/>
        </w:rPr>
        <w:t>职务</w:t>
      </w:r>
      <w:r>
        <w:rPr>
          <w:rFonts w:hint="eastAsia" w:ascii="宋体"/>
          <w:szCs w:val="21"/>
        </w:rPr>
        <w:t>：</w:t>
      </w:r>
      <w:r>
        <w:rPr>
          <w:rFonts w:hint="eastAsia" w:ascii="宋体"/>
          <w:szCs w:val="21"/>
          <w:u w:val="single"/>
        </w:rPr>
        <w:t xml:space="preserve">                </w:t>
      </w:r>
    </w:p>
    <w:p>
      <w:pPr>
        <w:spacing w:line="360" w:lineRule="auto"/>
        <w:ind w:firstLine="420" w:firstLineChars="200"/>
        <w:rPr>
          <w:rFonts w:ascii="宋体"/>
          <w:szCs w:val="21"/>
        </w:rPr>
      </w:pPr>
      <w:r>
        <w:rPr>
          <w:rFonts w:hint="eastAsia" w:ascii="宋体"/>
          <w:szCs w:val="21"/>
        </w:rPr>
        <w:t>授</w:t>
      </w:r>
      <w:r>
        <w:rPr>
          <w:rFonts w:hint="eastAsia" w:ascii="宋体" w:cs="宋体"/>
          <w:szCs w:val="21"/>
        </w:rPr>
        <w:t>权</w:t>
      </w:r>
      <w:r>
        <w:rPr>
          <w:rFonts w:hint="eastAsia" w:ascii="宋体"/>
          <w:szCs w:val="21"/>
        </w:rPr>
        <w:t>委托人：</w:t>
      </w:r>
      <w:r>
        <w:rPr>
          <w:rFonts w:hint="eastAsia" w:ascii="宋体"/>
          <w:szCs w:val="21"/>
          <w:u w:val="single"/>
        </w:rPr>
        <w:t xml:space="preserve">        (签字)          </w:t>
      </w:r>
      <w:r>
        <w:rPr>
          <w:rFonts w:hint="eastAsia" w:ascii="宋体"/>
          <w:szCs w:val="21"/>
        </w:rPr>
        <w:t xml:space="preserve">； </w:t>
      </w:r>
      <w:r>
        <w:rPr>
          <w:rFonts w:hint="eastAsia" w:ascii="宋体" w:cs="宋体"/>
          <w:szCs w:val="21"/>
        </w:rPr>
        <w:t>职务</w:t>
      </w:r>
      <w:r>
        <w:rPr>
          <w:rFonts w:hint="eastAsia" w:ascii="宋体"/>
          <w:szCs w:val="21"/>
        </w:rPr>
        <w:t>：</w:t>
      </w:r>
      <w:r>
        <w:rPr>
          <w:rFonts w:hint="eastAsia" w:ascii="宋体"/>
          <w:szCs w:val="21"/>
          <w:u w:val="single"/>
        </w:rPr>
        <w:t xml:space="preserve">                </w:t>
      </w:r>
    </w:p>
    <w:p>
      <w:pPr>
        <w:spacing w:line="360" w:lineRule="auto"/>
        <w:ind w:firstLine="420" w:firstLineChars="200"/>
        <w:rPr>
          <w:rFonts w:ascii="宋体"/>
          <w:szCs w:val="21"/>
        </w:rPr>
      </w:pPr>
      <w:r>
        <w:rPr>
          <w:rFonts w:hint="eastAsia" w:ascii="宋体"/>
          <w:szCs w:val="21"/>
        </w:rPr>
        <w:t>日期：</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w:t>
      </w:r>
    </w:p>
    <w:p>
      <w:pPr>
        <w:spacing w:line="360" w:lineRule="auto"/>
        <w:rPr>
          <w:rFonts w:ascii="宋体"/>
          <w:szCs w:val="21"/>
        </w:rPr>
      </w:pPr>
    </w:p>
    <w:p>
      <w:pPr>
        <w:spacing w:line="360" w:lineRule="auto"/>
        <w:rPr>
          <w:rFonts w:ascii="宋体"/>
          <w:szCs w:val="21"/>
        </w:rPr>
      </w:pPr>
    </w:p>
    <w:p>
      <w:pPr>
        <w:spacing w:line="360" w:lineRule="auto"/>
        <w:rPr>
          <w:rFonts w:ascii="宋体"/>
          <w:szCs w:val="21"/>
        </w:rPr>
      </w:pPr>
    </w:p>
    <w:p>
      <w:pPr>
        <w:spacing w:line="360" w:lineRule="auto"/>
        <w:rPr>
          <w:rFonts w:ascii="宋体"/>
          <w:szCs w:val="21"/>
        </w:rPr>
      </w:pPr>
    </w:p>
    <w:p>
      <w:pPr>
        <w:widowControl/>
        <w:spacing w:line="360" w:lineRule="auto"/>
        <w:jc w:val="left"/>
        <w:rPr>
          <w:rFonts w:ascii="宋体"/>
          <w:b/>
          <w:snapToGrid w:val="0"/>
          <w:sz w:val="28"/>
          <w:szCs w:val="28"/>
        </w:rPr>
        <w:sectPr>
          <w:pgSz w:w="11906" w:h="16838"/>
          <w:pgMar w:top="1418" w:right="1418" w:bottom="1418" w:left="1418" w:header="851" w:footer="992" w:gutter="284"/>
          <w:docGrid w:linePitch="312" w:charSpace="0"/>
        </w:sectPr>
      </w:pPr>
    </w:p>
    <w:p>
      <w:pPr>
        <w:spacing w:after="240"/>
        <w:jc w:val="center"/>
        <w:rPr>
          <w:rFonts w:ascii="黑体" w:eastAsia="黑体" w:cs="宋体"/>
          <w:b/>
          <w:color w:val="000000"/>
          <w:sz w:val="32"/>
          <w:szCs w:val="32"/>
        </w:rPr>
      </w:pPr>
      <w:bookmarkStart w:id="103" w:name="_Toc310965988"/>
      <w:bookmarkStart w:id="104" w:name="_Toc310966107"/>
      <w:bookmarkStart w:id="105" w:name="_Toc316986050"/>
      <w:r>
        <w:rPr>
          <w:rFonts w:hint="eastAsia" w:ascii="宋体" w:hAnsi="宋体" w:eastAsia="黑体" w:cs="宋体"/>
          <w:b/>
          <w:bCs/>
          <w:sz w:val="32"/>
          <w:szCs w:val="32"/>
          <w:lang w:val="zh-CN"/>
        </w:rPr>
        <w:t>四、</w:t>
      </w:r>
      <w:r>
        <w:rPr>
          <w:rFonts w:hint="eastAsia" w:ascii="黑体" w:eastAsia="黑体" w:cs="宋体"/>
          <w:b/>
          <w:color w:val="000000"/>
          <w:sz w:val="32"/>
          <w:szCs w:val="32"/>
        </w:rPr>
        <w:t>评分项目汇总表</w:t>
      </w:r>
    </w:p>
    <w:tbl>
      <w:tblPr>
        <w:tblStyle w:val="24"/>
        <w:tblW w:w="89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1991"/>
        <w:gridCol w:w="2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jc w:val="center"/>
        </w:trPr>
        <w:tc>
          <w:tcPr>
            <w:tcW w:w="458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00" w:lineRule="exact"/>
              <w:jc w:val="center"/>
              <w:rPr>
                <w:rFonts w:ascii="宋体" w:cs="宋体"/>
                <w:szCs w:val="21"/>
              </w:rPr>
            </w:pPr>
            <w:r>
              <w:rPr>
                <w:rFonts w:hint="eastAsia" w:ascii="宋体" w:cs="宋体"/>
                <w:szCs w:val="21"/>
              </w:rPr>
              <w:t>评分项目</w:t>
            </w:r>
          </w:p>
        </w:tc>
        <w:tc>
          <w:tcPr>
            <w:tcW w:w="19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00" w:lineRule="exact"/>
              <w:jc w:val="center"/>
              <w:rPr>
                <w:rFonts w:ascii="宋体" w:cs="宋体"/>
                <w:szCs w:val="21"/>
              </w:rPr>
            </w:pPr>
            <w:r>
              <w:rPr>
                <w:rFonts w:hint="eastAsia" w:ascii="宋体" w:cs="宋体"/>
                <w:szCs w:val="21"/>
              </w:rPr>
              <w:t>企业情况</w:t>
            </w:r>
          </w:p>
        </w:tc>
        <w:tc>
          <w:tcPr>
            <w:tcW w:w="240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00" w:lineRule="exact"/>
              <w:jc w:val="center"/>
              <w:rPr>
                <w:rFonts w:ascii="宋体" w:cs="宋体"/>
                <w:szCs w:val="21"/>
              </w:rPr>
            </w:pPr>
            <w:r>
              <w:rPr>
                <w:rFonts w:hint="eastAsia" w:ascii="宋体" w:cs="宋体"/>
                <w:szCs w:val="21"/>
              </w:rPr>
              <w:t>在投标文件中的页码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8979"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00" w:lineRule="exact"/>
              <w:jc w:val="center"/>
              <w:rPr>
                <w:rFonts w:ascii="宋体" w:cs="宋体"/>
                <w:szCs w:val="21"/>
              </w:rPr>
            </w:pPr>
            <w:r>
              <w:rPr>
                <w:rFonts w:hint="eastAsia" w:ascii="宋体" w:cs="宋体"/>
                <w:szCs w:val="21"/>
              </w:rPr>
              <w:t>企业及人员状况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45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left"/>
              <w:rPr>
                <w:rFonts w:ascii="宋体" w:cs="宋体"/>
                <w:szCs w:val="21"/>
              </w:rPr>
            </w:pPr>
            <w:r>
              <w:rPr>
                <w:rFonts w:hint="eastAsia" w:ascii="宋体" w:cs="宋体"/>
                <w:szCs w:val="21"/>
              </w:rPr>
              <w:t>拥有国家注册造价工程师或一级造价工程师人数</w:t>
            </w:r>
          </w:p>
        </w:tc>
        <w:tc>
          <w:tcPr>
            <w:tcW w:w="1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c>
          <w:tcPr>
            <w:tcW w:w="2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45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left"/>
              <w:rPr>
                <w:rFonts w:ascii="宋体" w:cs="宋体"/>
                <w:szCs w:val="21"/>
              </w:rPr>
            </w:pPr>
            <w:r>
              <w:rPr>
                <w:rFonts w:hint="eastAsia" w:ascii="宋体" w:cs="宋体"/>
                <w:szCs w:val="21"/>
              </w:rPr>
              <w:t>国家注册造价工程师或一级造价工程师在扬州市本地连续缴纳近6个月（2021年9月-2022年2月）社保人数</w:t>
            </w:r>
          </w:p>
        </w:tc>
        <w:tc>
          <w:tcPr>
            <w:tcW w:w="1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c>
          <w:tcPr>
            <w:tcW w:w="2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89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r>
              <w:rPr>
                <w:rFonts w:hint="eastAsia" w:ascii="宋体" w:cs="宋体"/>
                <w:szCs w:val="21"/>
              </w:rPr>
              <w:t>工作业绩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7" w:hRule="atLeast"/>
          <w:jc w:val="center"/>
        </w:trPr>
        <w:tc>
          <w:tcPr>
            <w:tcW w:w="4586" w:type="dxa"/>
            <w:tcBorders>
              <w:top w:val="single" w:color="auto" w:sz="4" w:space="0"/>
              <w:left w:val="single" w:color="auto" w:sz="4" w:space="0"/>
              <w:bottom w:val="single" w:color="auto" w:sz="4" w:space="0"/>
              <w:right w:val="single" w:color="auto" w:sz="4" w:space="0"/>
            </w:tcBorders>
            <w:vAlign w:val="center"/>
          </w:tcPr>
          <w:p>
            <w:pPr>
              <w:spacing w:before="240"/>
            </w:pPr>
            <w:r>
              <w:rPr>
                <w:rFonts w:hint="eastAsia"/>
              </w:rPr>
              <w:t>近三年（2019-2021年）在扬州市内从事年度造价咨询服务的业绩数量</w:t>
            </w:r>
          </w:p>
          <w:p>
            <w:pPr>
              <w:pStyle w:val="2"/>
            </w:pPr>
          </w:p>
        </w:tc>
        <w:tc>
          <w:tcPr>
            <w:tcW w:w="1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c>
          <w:tcPr>
            <w:tcW w:w="2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7" w:hRule="atLeast"/>
          <w:jc w:val="center"/>
        </w:trPr>
        <w:tc>
          <w:tcPr>
            <w:tcW w:w="45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left"/>
            </w:pPr>
            <w:r>
              <w:rPr>
                <w:rFonts w:hint="eastAsia"/>
              </w:rPr>
              <w:t>近三年（2019-2021年）在城控集团下属子公司从事年度造价咨询服务的业绩数量</w:t>
            </w:r>
          </w:p>
          <w:p>
            <w:pPr>
              <w:pStyle w:val="2"/>
            </w:pPr>
          </w:p>
        </w:tc>
        <w:tc>
          <w:tcPr>
            <w:tcW w:w="1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c>
          <w:tcPr>
            <w:tcW w:w="2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7" w:hRule="atLeast"/>
          <w:jc w:val="center"/>
        </w:trPr>
        <w:tc>
          <w:tcPr>
            <w:tcW w:w="45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left"/>
            </w:pPr>
            <w:r>
              <w:rPr>
                <w:rFonts w:hint="eastAsia"/>
              </w:rPr>
              <w:t>近三年（2019-2021年）在长江水务公司下属子公司从事年度造价咨询服务的业绩数量</w:t>
            </w:r>
          </w:p>
          <w:p>
            <w:pPr>
              <w:pStyle w:val="2"/>
            </w:pPr>
          </w:p>
        </w:tc>
        <w:tc>
          <w:tcPr>
            <w:tcW w:w="1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c>
          <w:tcPr>
            <w:tcW w:w="2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897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r>
              <w:rPr>
                <w:rFonts w:hint="eastAsia" w:ascii="宋体" w:cs="宋体"/>
                <w:szCs w:val="21"/>
              </w:rPr>
              <w:t>质量保证体系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45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left"/>
              <w:rPr>
                <w:rFonts w:ascii="宋体" w:cs="宋体"/>
                <w:szCs w:val="21"/>
              </w:rPr>
            </w:pPr>
            <w:r>
              <w:rPr>
                <w:rFonts w:hint="eastAsia" w:ascii="宋体" w:cs="宋体"/>
                <w:szCs w:val="21"/>
              </w:rPr>
              <w:t>针对工程造价咨询、代理业务制定的内部质量控制保证体系是否健全（填是或否）</w:t>
            </w:r>
          </w:p>
        </w:tc>
        <w:tc>
          <w:tcPr>
            <w:tcW w:w="1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c>
          <w:tcPr>
            <w:tcW w:w="2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89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r>
              <w:rPr>
                <w:rFonts w:hint="eastAsia" w:ascii="宋体" w:cs="宋体"/>
                <w:szCs w:val="21"/>
              </w:rPr>
              <w:t>针对性措施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7" w:hRule="atLeast"/>
          <w:jc w:val="center"/>
        </w:trPr>
        <w:tc>
          <w:tcPr>
            <w:tcW w:w="458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500" w:lineRule="exact"/>
              <w:jc w:val="left"/>
            </w:pPr>
            <w:r>
              <w:rPr>
                <w:rFonts w:hint="eastAsia"/>
              </w:rPr>
              <w:t>对工程造价咨询、代理业务提出的针对性措施是否针对性强（填是或否）</w:t>
            </w:r>
          </w:p>
          <w:p>
            <w:pPr>
              <w:pStyle w:val="2"/>
            </w:pPr>
          </w:p>
        </w:tc>
        <w:tc>
          <w:tcPr>
            <w:tcW w:w="1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r>
              <w:rPr>
                <w:rFonts w:hint="eastAsia" w:ascii="宋体" w:cs="宋体"/>
                <w:szCs w:val="21"/>
              </w:rPr>
              <w:t xml:space="preserve">   </w:t>
            </w:r>
          </w:p>
        </w:tc>
        <w:tc>
          <w:tcPr>
            <w:tcW w:w="2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89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r>
              <w:rPr>
                <w:rFonts w:hint="eastAsia" w:ascii="宋体" w:cs="宋体"/>
                <w:szCs w:val="21"/>
              </w:rPr>
              <w:t>服务承诺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7" w:hRule="atLeast"/>
          <w:jc w:val="center"/>
        </w:trPr>
        <w:tc>
          <w:tcPr>
            <w:tcW w:w="4586"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rPr>
                <w:rFonts w:ascii="宋体" w:cs="宋体"/>
                <w:sz w:val="24"/>
              </w:rPr>
            </w:pPr>
            <w:r>
              <w:rPr>
                <w:rFonts w:hint="eastAsia" w:ascii="宋体" w:cs="宋体"/>
                <w:color w:val="auto"/>
                <w:szCs w:val="21"/>
              </w:rPr>
              <w:t>对各项造价咨询、代理业务服务按时完成，无条件接受委托单位审计或纪律检查部门的监督检查的承诺（填是或否）</w:t>
            </w:r>
          </w:p>
        </w:tc>
        <w:tc>
          <w:tcPr>
            <w:tcW w:w="1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c>
          <w:tcPr>
            <w:tcW w:w="24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cs="宋体"/>
                <w:szCs w:val="21"/>
              </w:rPr>
            </w:pPr>
          </w:p>
        </w:tc>
      </w:tr>
    </w:tbl>
    <w:p>
      <w:pPr>
        <w:pStyle w:val="32"/>
        <w:jc w:val="both"/>
        <w:outlineLvl w:val="2"/>
      </w:pPr>
      <w:r>
        <w:br w:type="page"/>
      </w:r>
      <w:r>
        <w:rPr>
          <w:rFonts w:hint="eastAsia"/>
          <w:lang w:val="en-US"/>
        </w:rPr>
        <w:t>五</w:t>
      </w:r>
      <w:r>
        <w:rPr>
          <w:rFonts w:hint="eastAsia"/>
        </w:rPr>
        <w:t>、</w:t>
      </w:r>
      <w:r>
        <w:rPr>
          <w:rFonts w:hint="eastAsia"/>
          <w:lang w:val="en-US"/>
        </w:rPr>
        <w:t>企业人员信息</w:t>
      </w:r>
    </w:p>
    <w:p>
      <w:pPr>
        <w:spacing w:line="360" w:lineRule="auto"/>
        <w:ind w:firstLine="420" w:firstLineChars="200"/>
        <w:rPr>
          <w:szCs w:val="21"/>
        </w:rPr>
      </w:pPr>
      <w:r>
        <w:rPr>
          <w:rFonts w:hint="eastAsia"/>
          <w:szCs w:val="21"/>
        </w:rPr>
        <w:t>说明：</w:t>
      </w:r>
    </w:p>
    <w:p>
      <w:pPr>
        <w:spacing w:line="360" w:lineRule="auto"/>
        <w:ind w:firstLine="420" w:firstLineChars="200"/>
        <w:rPr>
          <w:b/>
          <w:szCs w:val="21"/>
        </w:rPr>
      </w:pPr>
      <w:r>
        <w:rPr>
          <w:rFonts w:hint="eastAsia" w:ascii="宋体"/>
          <w:szCs w:val="21"/>
        </w:rPr>
        <w:t>1.</w:t>
      </w:r>
      <w:r>
        <w:rPr>
          <w:rFonts w:hint="eastAsia"/>
          <w:b/>
          <w:szCs w:val="21"/>
        </w:rPr>
        <w:t>采用综合评估法评标的，投标人应根据综合评估法的评分标准要求提供能够恰当证明投标人可以得分的资料。</w:t>
      </w:r>
    </w:p>
    <w:p>
      <w:pPr>
        <w:pStyle w:val="2"/>
        <w:jc w:val="center"/>
        <w:rPr>
          <w:rFonts w:ascii="黑体" w:eastAsia="黑体"/>
          <w:color w:val="auto"/>
          <w:sz w:val="30"/>
          <w:szCs w:val="30"/>
        </w:rPr>
      </w:pPr>
      <w:r>
        <w:rPr>
          <w:rFonts w:hint="eastAsia" w:ascii="黑体" w:eastAsia="黑体"/>
          <w:color w:val="auto"/>
          <w:sz w:val="30"/>
          <w:szCs w:val="30"/>
        </w:rPr>
        <w:t>企业人员信息汇总表</w:t>
      </w:r>
    </w:p>
    <w:tbl>
      <w:tblPr>
        <w:tblStyle w:val="24"/>
        <w:tblW w:w="102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135"/>
        <w:gridCol w:w="753"/>
        <w:gridCol w:w="1432"/>
        <w:gridCol w:w="992"/>
        <w:gridCol w:w="993"/>
        <w:gridCol w:w="1417"/>
        <w:gridCol w:w="155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序号</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姓名</w:t>
            </w: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性别</w:t>
            </w: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出生日期</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学历</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专业</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技术职称</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取得造价师执业资格时间</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证书编号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1</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2</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3</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4</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5</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6</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7</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8</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合计</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3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p>
        </w:tc>
      </w:tr>
    </w:tbl>
    <w:p>
      <w:pPr>
        <w:spacing w:line="360" w:lineRule="auto"/>
        <w:ind w:firstLine="420" w:firstLineChars="200"/>
        <w:rPr>
          <w:rFonts w:ascii="宋体"/>
          <w:szCs w:val="21"/>
        </w:rPr>
      </w:pPr>
      <w:r>
        <w:rPr>
          <w:rFonts w:hint="eastAsia" w:ascii="宋体"/>
          <w:szCs w:val="21"/>
        </w:rPr>
        <w:t>投</w:t>
      </w:r>
      <w:r>
        <w:rPr>
          <w:rFonts w:hint="eastAsia" w:ascii="宋体" w:cs="宋体"/>
          <w:szCs w:val="21"/>
        </w:rPr>
        <w:t>标</w:t>
      </w:r>
      <w:r>
        <w:rPr>
          <w:rFonts w:hint="eastAsia" w:ascii="宋体"/>
          <w:szCs w:val="21"/>
        </w:rPr>
        <w:t>人：</w:t>
      </w:r>
      <w:r>
        <w:rPr>
          <w:rFonts w:hint="eastAsia" w:ascii="宋体"/>
          <w:szCs w:val="21"/>
          <w:u w:val="single"/>
        </w:rPr>
        <w:t xml:space="preserve">                     (盖单位公章)                    </w:t>
      </w:r>
    </w:p>
    <w:p>
      <w:pPr>
        <w:spacing w:line="360" w:lineRule="auto"/>
        <w:ind w:firstLine="420" w:firstLineChars="200"/>
        <w:rPr>
          <w:rFonts w:ascii="宋体"/>
          <w:szCs w:val="21"/>
        </w:rPr>
      </w:pPr>
      <w:r>
        <w:rPr>
          <w:rFonts w:hint="eastAsia" w:ascii="宋体"/>
          <w:szCs w:val="21"/>
        </w:rPr>
        <w:t>法定代表人或授</w:t>
      </w:r>
      <w:r>
        <w:rPr>
          <w:rFonts w:hint="eastAsia" w:ascii="宋体" w:cs="宋体"/>
          <w:szCs w:val="21"/>
        </w:rPr>
        <w:t>权</w:t>
      </w:r>
      <w:r>
        <w:rPr>
          <w:rFonts w:hint="eastAsia" w:ascii="宋体"/>
          <w:szCs w:val="21"/>
        </w:rPr>
        <w:t>委托人：</w:t>
      </w:r>
      <w:r>
        <w:rPr>
          <w:rFonts w:hint="eastAsia" w:ascii="宋体"/>
          <w:szCs w:val="21"/>
          <w:u w:val="single"/>
        </w:rPr>
        <w:t xml:space="preserve">          (签字)   </w:t>
      </w:r>
    </w:p>
    <w:p>
      <w:pPr>
        <w:spacing w:line="360" w:lineRule="auto"/>
        <w:ind w:firstLine="420" w:firstLineChars="200"/>
        <w:rPr>
          <w:rFonts w:ascii="宋体"/>
          <w:szCs w:val="21"/>
        </w:rPr>
      </w:pPr>
      <w:r>
        <w:rPr>
          <w:rFonts w:hint="eastAsia" w:ascii="宋体"/>
          <w:szCs w:val="21"/>
        </w:rPr>
        <w:t>日期：</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w:t>
      </w:r>
    </w:p>
    <w:p>
      <w:pPr>
        <w:pStyle w:val="8"/>
        <w:spacing w:line="360" w:lineRule="auto"/>
        <w:ind w:firstLine="0"/>
        <w:rPr>
          <w:rFonts w:ascii="宋体"/>
          <w:b/>
          <w:snapToGrid w:val="0"/>
          <w:sz w:val="28"/>
          <w:szCs w:val="28"/>
        </w:rPr>
      </w:pPr>
    </w:p>
    <w:p>
      <w:pPr>
        <w:pStyle w:val="32"/>
        <w:jc w:val="both"/>
        <w:outlineLvl w:val="2"/>
      </w:pPr>
      <w:r>
        <w:br w:type="page"/>
      </w:r>
      <w:r>
        <w:rPr>
          <w:rFonts w:hint="eastAsia"/>
          <w:lang w:val="en-US"/>
        </w:rPr>
        <w:t>六</w:t>
      </w:r>
      <w:r>
        <w:rPr>
          <w:rFonts w:hint="eastAsia"/>
        </w:rPr>
        <w:t>、</w:t>
      </w:r>
      <w:r>
        <w:rPr>
          <w:rFonts w:hint="eastAsia"/>
          <w:lang w:val="en-US"/>
        </w:rPr>
        <w:t>2019-2021年企业业绩</w:t>
      </w:r>
      <w:r>
        <w:rPr>
          <w:rFonts w:hint="eastAsia"/>
        </w:rPr>
        <w:t>一览表</w:t>
      </w:r>
    </w:p>
    <w:p>
      <w:pPr>
        <w:spacing w:line="360" w:lineRule="auto"/>
        <w:ind w:firstLine="420" w:firstLineChars="200"/>
        <w:rPr>
          <w:szCs w:val="21"/>
        </w:rPr>
      </w:pPr>
      <w:r>
        <w:rPr>
          <w:rFonts w:hint="eastAsia"/>
          <w:szCs w:val="21"/>
        </w:rPr>
        <w:t>说明：</w:t>
      </w:r>
    </w:p>
    <w:p>
      <w:pPr>
        <w:spacing w:line="360" w:lineRule="auto"/>
        <w:ind w:firstLine="420" w:firstLineChars="200"/>
        <w:rPr>
          <w:szCs w:val="21"/>
        </w:rPr>
      </w:pPr>
      <w:r>
        <w:rPr>
          <w:rFonts w:hint="eastAsia" w:ascii="宋体"/>
          <w:szCs w:val="21"/>
        </w:rPr>
        <w:t>1.</w:t>
      </w:r>
      <w:r>
        <w:rPr>
          <w:rFonts w:hint="eastAsia"/>
          <w:b/>
          <w:szCs w:val="21"/>
        </w:rPr>
        <w:t>采用综合评估法评标的，投标人应根据综合评估法的评分标准要求提供能够恰当证明投标人可以得分的资料。</w:t>
      </w:r>
    </w:p>
    <w:p>
      <w:pPr>
        <w:pStyle w:val="32"/>
        <w:outlineLvl w:val="9"/>
      </w:pPr>
      <w:r>
        <w:rPr>
          <w:rFonts w:hint="eastAsia"/>
          <w:lang w:val="en-US"/>
        </w:rPr>
        <w:t>1、2019-2021年企业造价咨询业绩</w:t>
      </w:r>
      <w:r>
        <w:rPr>
          <w:rFonts w:hint="eastAsia"/>
        </w:rPr>
        <w:t>一览表</w:t>
      </w:r>
    </w:p>
    <w:tbl>
      <w:tblPr>
        <w:tblStyle w:val="24"/>
        <w:tblW w:w="8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2121"/>
        <w:gridCol w:w="1524"/>
        <w:gridCol w:w="1532"/>
        <w:gridCol w:w="1545"/>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序号</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项目名称</w:t>
            </w: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建设单位</w:t>
            </w: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项目类型</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ascii="宋体"/>
                <w:sz w:val="24"/>
              </w:rPr>
            </w:pPr>
            <w:r>
              <w:rPr>
                <w:rFonts w:hint="eastAsia" w:ascii="宋体"/>
                <w:sz w:val="24"/>
              </w:rPr>
              <w:t>项目规模</w:t>
            </w:r>
          </w:p>
          <w:p>
            <w:pPr>
              <w:jc w:val="center"/>
              <w:rPr>
                <w:rFonts w:ascii="宋体"/>
                <w:sz w:val="24"/>
              </w:rPr>
            </w:pPr>
            <w:r>
              <w:rPr>
                <w:rFonts w:hint="eastAsia" w:ascii="宋体"/>
                <w:sz w:val="24"/>
              </w:rPr>
              <w:t>（万元）</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sz w:val="24"/>
              </w:rPr>
            </w:pPr>
            <w:r>
              <w:rPr>
                <w:rFonts w:hint="eastAsia" w:ascii="宋体"/>
                <w:sz w:val="24"/>
              </w:rPr>
              <w:t>合同签订时间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8617" w:type="dxa"/>
            <w:gridSpan w:val="6"/>
            <w:tcBorders>
              <w:top w:val="single" w:color="auto" w:sz="4" w:space="0"/>
              <w:left w:val="single" w:color="auto" w:sz="4" w:space="0"/>
              <w:bottom w:val="single" w:color="auto" w:sz="4" w:space="0"/>
              <w:right w:val="single" w:color="auto" w:sz="4" w:space="0"/>
            </w:tcBorders>
            <w:vAlign w:val="center"/>
          </w:tcPr>
          <w:p>
            <w:pPr>
              <w:spacing w:before="240"/>
            </w:pPr>
            <w:r>
              <w:rPr>
                <w:rFonts w:hint="eastAsia"/>
              </w:rPr>
              <w:t>在扬州市内从事年度造价咨询服务的业绩</w:t>
            </w:r>
          </w:p>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1</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2</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3</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8"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4</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合计</w:t>
            </w:r>
          </w:p>
        </w:tc>
        <w:tc>
          <w:tcPr>
            <w:tcW w:w="7998" w:type="dxa"/>
            <w:gridSpan w:val="5"/>
            <w:tcBorders>
              <w:top w:val="single" w:color="auto" w:sz="4" w:space="0"/>
              <w:left w:val="single" w:color="auto" w:sz="4" w:space="0"/>
              <w:bottom w:val="single" w:color="auto" w:sz="4" w:space="0"/>
              <w:right w:val="single" w:color="auto" w:sz="4" w:space="0"/>
            </w:tcBorders>
            <w:vAlign w:val="center"/>
          </w:tcPr>
          <w:p>
            <w:pPr>
              <w:ind w:firstLine="1440" w:firstLineChars="600"/>
              <w:jc w:val="left"/>
              <w:rPr>
                <w:rFonts w:ascii="宋体"/>
                <w:sz w:val="24"/>
              </w:rPr>
            </w:pPr>
            <w:r>
              <w:rPr>
                <w:rFonts w:hint="eastAsia" w:ascii="宋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8617"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rPr>
              <w:t>在城控集团下属子公司从事年度造价咨询服务的业绩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1</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2</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3</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合计</w:t>
            </w:r>
          </w:p>
        </w:tc>
        <w:tc>
          <w:tcPr>
            <w:tcW w:w="7998"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8617"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left"/>
            </w:pPr>
            <w:r>
              <w:rPr>
                <w:rFonts w:hint="eastAsia"/>
              </w:rPr>
              <w:t>在长江水务公司下属子公司从事年度造价咨询服务的业绩</w:t>
            </w:r>
          </w:p>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1</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2</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3</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w:t>
            </w:r>
          </w:p>
        </w:tc>
        <w:tc>
          <w:tcPr>
            <w:tcW w:w="2121"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24"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32"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r>
              <w:rPr>
                <w:rFonts w:hint="eastAsia" w:ascii="宋体"/>
                <w:sz w:val="24"/>
              </w:rPr>
              <w:t>合计</w:t>
            </w:r>
          </w:p>
        </w:tc>
        <w:tc>
          <w:tcPr>
            <w:tcW w:w="7998"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sz w:val="24"/>
              </w:rPr>
            </w:pPr>
          </w:p>
        </w:tc>
      </w:tr>
    </w:tbl>
    <w:p>
      <w:pPr>
        <w:spacing w:line="360" w:lineRule="auto"/>
        <w:ind w:firstLine="420" w:firstLineChars="200"/>
        <w:rPr>
          <w:rFonts w:ascii="宋体"/>
          <w:szCs w:val="21"/>
        </w:rPr>
      </w:pPr>
      <w:r>
        <w:rPr>
          <w:rFonts w:hint="eastAsia" w:ascii="宋体"/>
          <w:szCs w:val="21"/>
        </w:rPr>
        <w:t>投</w:t>
      </w:r>
      <w:r>
        <w:rPr>
          <w:rFonts w:hint="eastAsia" w:ascii="宋体" w:cs="宋体"/>
          <w:szCs w:val="21"/>
        </w:rPr>
        <w:t>标</w:t>
      </w:r>
      <w:r>
        <w:rPr>
          <w:rFonts w:hint="eastAsia" w:ascii="宋体"/>
          <w:szCs w:val="21"/>
        </w:rPr>
        <w:t>人：</w:t>
      </w:r>
      <w:r>
        <w:rPr>
          <w:rFonts w:hint="eastAsia" w:ascii="宋体"/>
          <w:szCs w:val="21"/>
          <w:u w:val="single"/>
        </w:rPr>
        <w:t xml:space="preserve">                     (盖单位公章)                    </w:t>
      </w:r>
    </w:p>
    <w:p>
      <w:pPr>
        <w:spacing w:line="360" w:lineRule="auto"/>
        <w:ind w:firstLine="420" w:firstLineChars="200"/>
        <w:rPr>
          <w:rFonts w:ascii="宋体"/>
          <w:szCs w:val="21"/>
        </w:rPr>
      </w:pPr>
      <w:r>
        <w:rPr>
          <w:rFonts w:hint="eastAsia" w:ascii="宋体"/>
          <w:szCs w:val="21"/>
        </w:rPr>
        <w:t>法定代表人或授</w:t>
      </w:r>
      <w:r>
        <w:rPr>
          <w:rFonts w:hint="eastAsia" w:ascii="宋体" w:cs="宋体"/>
          <w:szCs w:val="21"/>
        </w:rPr>
        <w:t>权</w:t>
      </w:r>
      <w:r>
        <w:rPr>
          <w:rFonts w:hint="eastAsia" w:ascii="宋体"/>
          <w:szCs w:val="21"/>
        </w:rPr>
        <w:t>委托人：</w:t>
      </w:r>
      <w:r>
        <w:rPr>
          <w:rFonts w:hint="eastAsia" w:ascii="宋体"/>
          <w:szCs w:val="21"/>
          <w:u w:val="single"/>
        </w:rPr>
        <w:t xml:space="preserve">          (签字)   </w:t>
      </w:r>
    </w:p>
    <w:p>
      <w:pPr>
        <w:spacing w:line="360" w:lineRule="auto"/>
        <w:ind w:firstLine="420" w:firstLineChars="200"/>
        <w:rPr>
          <w:rFonts w:ascii="宋体"/>
          <w:szCs w:val="21"/>
        </w:rPr>
      </w:pPr>
      <w:r>
        <w:rPr>
          <w:rFonts w:hint="eastAsia" w:ascii="宋体"/>
          <w:szCs w:val="21"/>
        </w:rPr>
        <w:t>日期：</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w:t>
      </w:r>
    </w:p>
    <w:p>
      <w:pPr>
        <w:ind w:left="823" w:hanging="826" w:hangingChars="392"/>
        <w:rPr>
          <w:rFonts w:ascii="宋体"/>
          <w:b/>
          <w:szCs w:val="21"/>
        </w:rPr>
      </w:pPr>
      <w:r>
        <w:rPr>
          <w:rFonts w:hint="eastAsia" w:ascii="宋体"/>
          <w:b/>
          <w:szCs w:val="21"/>
        </w:rPr>
        <w:t>注：</w:t>
      </w:r>
    </w:p>
    <w:p>
      <w:pPr>
        <w:ind w:firstLine="413" w:firstLineChars="196"/>
        <w:rPr>
          <w:rFonts w:ascii="宋体"/>
          <w:b/>
          <w:szCs w:val="21"/>
        </w:rPr>
      </w:pPr>
      <w:r>
        <w:rPr>
          <w:rFonts w:hint="eastAsia" w:ascii="宋体"/>
          <w:b/>
          <w:szCs w:val="21"/>
        </w:rPr>
        <w:t>1、投</w:t>
      </w:r>
      <w:r>
        <w:rPr>
          <w:rFonts w:hint="eastAsia" w:ascii="宋体" w:cs="宋体"/>
          <w:b/>
          <w:szCs w:val="21"/>
        </w:rPr>
        <w:t>标</w:t>
      </w:r>
      <w:r>
        <w:rPr>
          <w:rFonts w:hint="eastAsia" w:ascii="宋体"/>
          <w:b/>
          <w:szCs w:val="21"/>
        </w:rPr>
        <w:t>人</w:t>
      </w:r>
      <w:r>
        <w:rPr>
          <w:rFonts w:hint="eastAsia" w:ascii="宋体" w:cs="宋体"/>
          <w:b/>
          <w:szCs w:val="21"/>
        </w:rPr>
        <w:t>应</w:t>
      </w:r>
      <w:r>
        <w:rPr>
          <w:rFonts w:hint="eastAsia" w:ascii="宋体"/>
          <w:b/>
          <w:szCs w:val="21"/>
        </w:rPr>
        <w:t>随此表附上相</w:t>
      </w:r>
      <w:r>
        <w:rPr>
          <w:rFonts w:hint="eastAsia" w:ascii="宋体" w:cs="宋体"/>
          <w:b/>
          <w:szCs w:val="21"/>
        </w:rPr>
        <w:t>关</w:t>
      </w:r>
      <w:r>
        <w:rPr>
          <w:rFonts w:hint="eastAsia" w:ascii="宋体"/>
          <w:b/>
          <w:szCs w:val="21"/>
        </w:rPr>
        <w:t>的</w:t>
      </w:r>
      <w:r>
        <w:rPr>
          <w:rFonts w:hint="eastAsia" w:ascii="宋体" w:cs="宋体"/>
          <w:b/>
          <w:szCs w:val="21"/>
        </w:rPr>
        <w:t>业绩证</w:t>
      </w:r>
      <w:r>
        <w:rPr>
          <w:rFonts w:hint="eastAsia" w:ascii="宋体"/>
          <w:b/>
          <w:szCs w:val="21"/>
        </w:rPr>
        <w:t>明的原件扫描件(如咨询合同、代理合同、中标通知书等)。</w:t>
      </w:r>
    </w:p>
    <w:p>
      <w:pPr>
        <w:ind w:firstLine="413" w:firstLineChars="196"/>
        <w:rPr>
          <w:rFonts w:ascii="宋体"/>
          <w:b/>
          <w:szCs w:val="21"/>
        </w:rPr>
      </w:pPr>
      <w:r>
        <w:rPr>
          <w:rFonts w:hint="eastAsia" w:ascii="宋体"/>
          <w:b/>
          <w:szCs w:val="21"/>
        </w:rPr>
        <w:t>2、境外投</w:t>
      </w:r>
      <w:r>
        <w:rPr>
          <w:rFonts w:hint="eastAsia" w:ascii="宋体" w:cs="宋体"/>
          <w:b/>
          <w:szCs w:val="21"/>
        </w:rPr>
        <w:t>标</w:t>
      </w:r>
      <w:r>
        <w:rPr>
          <w:rFonts w:hint="eastAsia" w:ascii="宋体"/>
          <w:b/>
          <w:szCs w:val="21"/>
        </w:rPr>
        <w:t>人</w:t>
      </w:r>
      <w:r>
        <w:rPr>
          <w:rFonts w:hint="eastAsia" w:ascii="宋体" w:cs="宋体"/>
          <w:b/>
          <w:szCs w:val="21"/>
        </w:rPr>
        <w:t>应</w:t>
      </w:r>
      <w:r>
        <w:rPr>
          <w:rFonts w:hint="eastAsia" w:ascii="宋体"/>
          <w:b/>
          <w:szCs w:val="21"/>
        </w:rPr>
        <w:t>提供相</w:t>
      </w:r>
      <w:r>
        <w:rPr>
          <w:rFonts w:hint="eastAsia" w:ascii="宋体" w:cs="宋体"/>
          <w:b/>
          <w:szCs w:val="21"/>
        </w:rPr>
        <w:t>应资</w:t>
      </w:r>
      <w:r>
        <w:rPr>
          <w:rFonts w:hint="eastAsia" w:ascii="宋体"/>
          <w:b/>
          <w:szCs w:val="21"/>
        </w:rPr>
        <w:t>料的中文</w:t>
      </w:r>
      <w:r>
        <w:rPr>
          <w:rFonts w:hint="eastAsia" w:ascii="宋体" w:cs="宋体"/>
          <w:b/>
          <w:szCs w:val="21"/>
        </w:rPr>
        <w:t>译</w:t>
      </w:r>
      <w:r>
        <w:rPr>
          <w:rFonts w:hint="eastAsia" w:ascii="宋体"/>
          <w:b/>
          <w:szCs w:val="21"/>
        </w:rPr>
        <w:t>本(且以中文译本为准)。</w:t>
      </w:r>
    </w:p>
    <w:p>
      <w:pPr>
        <w:ind w:firstLine="413" w:firstLineChars="196"/>
        <w:rPr>
          <w:rFonts w:ascii="宋体"/>
          <w:b/>
          <w:szCs w:val="21"/>
        </w:rPr>
      </w:pPr>
    </w:p>
    <w:p>
      <w:pPr>
        <w:pStyle w:val="32"/>
        <w:outlineLvl w:val="2"/>
        <w:rPr>
          <w:lang w:val="en-US"/>
        </w:rPr>
      </w:pPr>
    </w:p>
    <w:p>
      <w:pPr>
        <w:pStyle w:val="32"/>
        <w:outlineLvl w:val="2"/>
        <w:rPr>
          <w:lang w:val="en-US"/>
        </w:rPr>
      </w:pPr>
    </w:p>
    <w:p>
      <w:pPr>
        <w:pStyle w:val="32"/>
        <w:outlineLvl w:val="2"/>
        <w:rPr>
          <w:lang w:val="en-US"/>
        </w:rPr>
      </w:pPr>
    </w:p>
    <w:p>
      <w:pPr>
        <w:pStyle w:val="32"/>
        <w:outlineLvl w:val="2"/>
        <w:rPr>
          <w:lang w:val="en-US"/>
        </w:rPr>
      </w:pPr>
    </w:p>
    <w:p>
      <w:pPr>
        <w:pStyle w:val="32"/>
        <w:outlineLvl w:val="2"/>
        <w:rPr>
          <w:lang w:val="en-US"/>
        </w:rPr>
      </w:pPr>
    </w:p>
    <w:p>
      <w:pPr>
        <w:pStyle w:val="32"/>
        <w:outlineLvl w:val="2"/>
        <w:rPr>
          <w:lang w:val="en-US"/>
        </w:rPr>
      </w:pPr>
    </w:p>
    <w:p>
      <w:pPr>
        <w:pStyle w:val="32"/>
        <w:outlineLvl w:val="2"/>
        <w:rPr>
          <w:lang w:val="en-US"/>
        </w:rPr>
      </w:pPr>
    </w:p>
    <w:p>
      <w:pPr>
        <w:pStyle w:val="32"/>
        <w:outlineLvl w:val="2"/>
        <w:rPr>
          <w:lang w:val="en-US"/>
        </w:rPr>
      </w:pPr>
    </w:p>
    <w:p>
      <w:pPr>
        <w:pStyle w:val="32"/>
        <w:outlineLvl w:val="2"/>
        <w:rPr>
          <w:lang w:val="en-US"/>
        </w:rPr>
      </w:pPr>
    </w:p>
    <w:p>
      <w:pPr>
        <w:pStyle w:val="32"/>
        <w:outlineLvl w:val="2"/>
        <w:rPr>
          <w:lang w:val="en-US"/>
        </w:rPr>
      </w:pPr>
    </w:p>
    <w:p>
      <w:pPr>
        <w:pStyle w:val="32"/>
        <w:outlineLvl w:val="2"/>
        <w:rPr>
          <w:lang w:val="en-US"/>
        </w:rPr>
      </w:pPr>
    </w:p>
    <w:p>
      <w:pPr>
        <w:pStyle w:val="32"/>
        <w:outlineLvl w:val="2"/>
      </w:pPr>
    </w:p>
    <w:p>
      <w:pPr>
        <w:pStyle w:val="32"/>
        <w:jc w:val="both"/>
        <w:outlineLvl w:val="2"/>
      </w:pPr>
    </w:p>
    <w:bookmarkEnd w:id="103"/>
    <w:bookmarkEnd w:id="104"/>
    <w:bookmarkEnd w:id="105"/>
    <w:p>
      <w:pPr>
        <w:pStyle w:val="32"/>
        <w:outlineLvl w:val="2"/>
        <w:rPr>
          <w:bCs w:val="0"/>
          <w:snapToGrid w:val="0"/>
        </w:rPr>
      </w:pPr>
      <w:r>
        <w:rPr>
          <w:rFonts w:hint="eastAsia"/>
          <w:b w:val="0"/>
          <w:bCs w:val="0"/>
          <w:snapToGrid w:val="0"/>
          <w:sz w:val="28"/>
          <w:szCs w:val="28"/>
          <w:lang w:val="en-US"/>
        </w:rPr>
        <w:t>七</w:t>
      </w:r>
      <w:r>
        <w:rPr>
          <w:rFonts w:hint="eastAsia"/>
          <w:bCs w:val="0"/>
          <w:snapToGrid w:val="0"/>
        </w:rPr>
        <w:t>、质量保证体系</w:t>
      </w:r>
      <w:r>
        <w:rPr>
          <w:rFonts w:hint="eastAsia"/>
          <w:bCs w:val="0"/>
          <w:snapToGrid w:val="0"/>
          <w:lang w:eastAsia="zh-CN"/>
        </w:rPr>
        <w:t>、</w:t>
      </w:r>
      <w:r>
        <w:rPr>
          <w:rFonts w:hint="eastAsia"/>
          <w:bCs w:val="0"/>
          <w:snapToGrid w:val="0"/>
          <w:lang w:val="en-US" w:eastAsia="zh-CN"/>
        </w:rPr>
        <w:t>针对性措施</w:t>
      </w:r>
      <w:r>
        <w:rPr>
          <w:rFonts w:hint="eastAsia"/>
          <w:bCs w:val="0"/>
          <w:snapToGrid w:val="0"/>
        </w:rPr>
        <w:t>相关材料</w:t>
      </w:r>
    </w:p>
    <w:p>
      <w:pPr>
        <w:pStyle w:val="32"/>
        <w:outlineLvl w:val="2"/>
        <w:rPr>
          <w:b w:val="0"/>
        </w:rPr>
      </w:pPr>
      <w:r>
        <w:rPr>
          <w:b w:val="0"/>
          <w:bCs w:val="0"/>
          <w:snapToGrid w:val="0"/>
          <w:sz w:val="28"/>
          <w:szCs w:val="28"/>
        </w:rPr>
        <w:br w:type="page"/>
      </w:r>
      <w:r>
        <w:rPr>
          <w:rFonts w:hint="eastAsia"/>
          <w:b w:val="0"/>
          <w:bCs w:val="0"/>
          <w:snapToGrid w:val="0"/>
          <w:sz w:val="28"/>
          <w:szCs w:val="28"/>
          <w:lang w:val="en-US"/>
        </w:rPr>
        <w:t>八</w:t>
      </w:r>
      <w:r>
        <w:rPr>
          <w:rFonts w:hint="eastAsia"/>
          <w:b w:val="0"/>
          <w:bCs w:val="0"/>
          <w:snapToGrid w:val="0"/>
        </w:rPr>
        <w:t>、</w:t>
      </w:r>
      <w:r>
        <w:rPr>
          <w:rFonts w:hint="eastAsia"/>
          <w:b w:val="0"/>
        </w:rPr>
        <w:t>承诺书（资格审查材料真实性、</w:t>
      </w:r>
      <w:r>
        <w:rPr>
          <w:rFonts w:hint="eastAsia"/>
          <w:b w:val="0"/>
          <w:lang w:val="en-US"/>
        </w:rPr>
        <w:t>无犯罪记录</w:t>
      </w:r>
      <w:r>
        <w:rPr>
          <w:rFonts w:hint="eastAsia"/>
          <w:b w:val="0"/>
        </w:rPr>
        <w:t>）</w:t>
      </w:r>
    </w:p>
    <w:p>
      <w:pPr>
        <w:spacing w:line="360" w:lineRule="auto"/>
      </w:pPr>
    </w:p>
    <w:p>
      <w:pPr>
        <w:spacing w:line="360" w:lineRule="auto"/>
      </w:pPr>
    </w:p>
    <w:p>
      <w:pPr>
        <w:spacing w:line="360" w:lineRule="auto"/>
        <w:rPr>
          <w:rFonts w:ascii="宋体"/>
          <w:szCs w:val="21"/>
        </w:rPr>
      </w:pPr>
      <w:r>
        <w:rPr>
          <w:rFonts w:hint="eastAsia" w:ascii="宋体"/>
          <w:szCs w:val="21"/>
        </w:rPr>
        <w:t>致：</w:t>
      </w:r>
      <w:r>
        <w:rPr>
          <w:rFonts w:hint="eastAsia" w:ascii="宋体"/>
          <w:szCs w:val="21"/>
          <w:u w:val="single"/>
        </w:rPr>
        <w:t xml:space="preserve">                            </w:t>
      </w:r>
      <w:r>
        <w:rPr>
          <w:rFonts w:hint="eastAsia" w:ascii="宋体"/>
          <w:szCs w:val="21"/>
        </w:rPr>
        <w:t>（招标人名称）</w:t>
      </w:r>
    </w:p>
    <w:p>
      <w:pPr>
        <w:spacing w:line="360" w:lineRule="auto"/>
        <w:ind w:firstLine="480"/>
        <w:rPr>
          <w:rFonts w:ascii="宋体"/>
          <w:szCs w:val="21"/>
        </w:rPr>
      </w:pPr>
      <w:r>
        <w:rPr>
          <w:rFonts w:hint="eastAsia" w:ascii="宋体"/>
          <w:color w:val="000000"/>
          <w:szCs w:val="21"/>
        </w:rPr>
        <w:t>我公司自愿参加贵单位（公司）</w:t>
      </w:r>
      <w:r>
        <w:rPr>
          <w:rFonts w:hint="eastAsia" w:ascii="宋体"/>
          <w:color w:val="000000"/>
          <w:szCs w:val="21"/>
          <w:u w:val="single"/>
        </w:rPr>
        <w:t xml:space="preserve">             </w:t>
      </w:r>
      <w:r>
        <w:rPr>
          <w:rFonts w:hint="eastAsia" w:ascii="宋体"/>
          <w:color w:val="000000"/>
          <w:szCs w:val="21"/>
        </w:rPr>
        <w:t>项目的投标，并接受对我公司的资格审查，我公司承诺：根据贵单位（公司）提出的资格审查合格条件标准和要求，本公司没有因骗取中标或者严重违约以及发生重大工程质量、安全生产事故等问题，被有关部门暂停投标资格并在暂停期内。本公司递交的资格审查申请书中的内容没有隐瞒、虚假、伪造等弄虚作假行为。发现该行为，贵公司可以拒绝我公司投标，如已中标，可取消我公司中标资格，并接受建设行政主管部门对我公司弄虚作假、违反公平和诚实信用原则做出的任何处理。</w:t>
      </w:r>
    </w:p>
    <w:p>
      <w:pPr>
        <w:spacing w:line="360" w:lineRule="auto"/>
        <w:rPr>
          <w:rFonts w:ascii="宋体"/>
          <w:szCs w:val="21"/>
        </w:rPr>
      </w:pPr>
    </w:p>
    <w:p>
      <w:pPr>
        <w:spacing w:line="360" w:lineRule="auto"/>
        <w:rPr>
          <w:rFonts w:ascii="宋体"/>
          <w:szCs w:val="21"/>
        </w:rPr>
      </w:pPr>
    </w:p>
    <w:p>
      <w:pPr>
        <w:spacing w:line="360" w:lineRule="auto"/>
        <w:rPr>
          <w:rFonts w:ascii="宋体"/>
          <w:color w:val="000000"/>
          <w:szCs w:val="21"/>
        </w:rPr>
      </w:pPr>
      <w:r>
        <w:rPr>
          <w:rFonts w:hint="eastAsia" w:ascii="宋体"/>
          <w:szCs w:val="21"/>
        </w:rPr>
        <w:t xml:space="preserve">                                    </w:t>
      </w:r>
      <w:r>
        <w:rPr>
          <w:rFonts w:hint="eastAsia" w:ascii="宋体"/>
          <w:color w:val="000000"/>
          <w:szCs w:val="21"/>
        </w:rPr>
        <w:t>单位：（公章）</w:t>
      </w:r>
    </w:p>
    <w:p>
      <w:pPr>
        <w:spacing w:line="360" w:lineRule="auto"/>
        <w:rPr>
          <w:rFonts w:ascii="宋体"/>
          <w:szCs w:val="21"/>
        </w:rPr>
      </w:pPr>
    </w:p>
    <w:p>
      <w:pPr>
        <w:spacing w:line="360" w:lineRule="auto"/>
        <w:rPr>
          <w:rFonts w:ascii="宋体"/>
          <w:color w:val="000000"/>
          <w:szCs w:val="21"/>
        </w:rPr>
      </w:pPr>
      <w:r>
        <w:rPr>
          <w:rFonts w:hint="eastAsia" w:ascii="宋体"/>
          <w:szCs w:val="21"/>
        </w:rPr>
        <w:t xml:space="preserve">                                    </w:t>
      </w:r>
      <w:r>
        <w:rPr>
          <w:rFonts w:hint="eastAsia" w:ascii="宋体"/>
          <w:color w:val="000000"/>
          <w:szCs w:val="21"/>
        </w:rPr>
        <w:t>法定代表人签名：</w:t>
      </w:r>
    </w:p>
    <w:p>
      <w:pPr>
        <w:spacing w:line="360" w:lineRule="auto"/>
        <w:rPr>
          <w:rFonts w:ascii="宋体"/>
          <w:color w:val="000000"/>
          <w:szCs w:val="21"/>
        </w:rPr>
      </w:pPr>
    </w:p>
    <w:p>
      <w:pPr>
        <w:spacing w:line="360" w:lineRule="auto"/>
        <w:rPr>
          <w:rFonts w:ascii="宋体"/>
          <w:color w:val="000000"/>
          <w:szCs w:val="21"/>
        </w:rPr>
      </w:pPr>
      <w:r>
        <w:rPr>
          <w:rFonts w:hint="eastAsia" w:ascii="宋体"/>
          <w:color w:val="000000"/>
          <w:szCs w:val="21"/>
        </w:rPr>
        <w:t xml:space="preserve">                            </w:t>
      </w:r>
    </w:p>
    <w:p>
      <w:pPr>
        <w:spacing w:line="360" w:lineRule="auto"/>
        <w:rPr>
          <w:rFonts w:ascii="宋体"/>
          <w:color w:val="000000"/>
          <w:szCs w:val="21"/>
        </w:rPr>
      </w:pPr>
    </w:p>
    <w:p>
      <w:pPr>
        <w:tabs>
          <w:tab w:val="right" w:pos="8486"/>
        </w:tabs>
        <w:jc w:val="center"/>
        <w:rPr>
          <w:rFonts w:ascii="宋体"/>
          <w:color w:val="000000"/>
          <w:sz w:val="24"/>
        </w:rPr>
      </w:pPr>
      <w:r>
        <w:rPr>
          <w:rFonts w:hint="eastAsia" w:ascii="宋体"/>
          <w:color w:val="000000"/>
          <w:szCs w:val="21"/>
        </w:rPr>
        <w:t xml:space="preserve">                                     年   月   日</w:t>
      </w:r>
    </w:p>
    <w:p>
      <w:pPr>
        <w:pStyle w:val="32"/>
        <w:outlineLvl w:val="2"/>
        <w:rPr>
          <w:b w:val="0"/>
          <w:bCs w:val="0"/>
          <w:snapToGrid w:val="0"/>
          <w:sz w:val="28"/>
          <w:szCs w:val="28"/>
        </w:rPr>
      </w:pPr>
    </w:p>
    <w:p>
      <w:pPr>
        <w:pStyle w:val="32"/>
        <w:jc w:val="left"/>
        <w:outlineLvl w:val="2"/>
        <w:rPr>
          <w:b w:val="0"/>
          <w:bCs w:val="0"/>
          <w:snapToGrid w:val="0"/>
          <w:sz w:val="28"/>
          <w:szCs w:val="28"/>
        </w:rPr>
      </w:pPr>
    </w:p>
    <w:p>
      <w:pPr>
        <w:pStyle w:val="32"/>
        <w:jc w:val="left"/>
        <w:outlineLvl w:val="2"/>
        <w:rPr>
          <w:b w:val="0"/>
          <w:bCs w:val="0"/>
          <w:snapToGrid w:val="0"/>
          <w:sz w:val="28"/>
          <w:szCs w:val="28"/>
        </w:rPr>
      </w:pPr>
    </w:p>
    <w:p>
      <w:pPr>
        <w:pStyle w:val="32"/>
        <w:jc w:val="left"/>
        <w:outlineLvl w:val="2"/>
        <w:rPr>
          <w:b w:val="0"/>
          <w:bCs w:val="0"/>
          <w:snapToGrid w:val="0"/>
          <w:sz w:val="28"/>
          <w:szCs w:val="28"/>
        </w:rPr>
      </w:pPr>
    </w:p>
    <w:p>
      <w:pPr>
        <w:pStyle w:val="32"/>
        <w:jc w:val="left"/>
        <w:outlineLvl w:val="2"/>
        <w:rPr>
          <w:b w:val="0"/>
          <w:bCs w:val="0"/>
          <w:snapToGrid w:val="0"/>
          <w:sz w:val="28"/>
          <w:szCs w:val="28"/>
        </w:rPr>
      </w:pPr>
    </w:p>
    <w:p>
      <w:pPr>
        <w:pStyle w:val="32"/>
        <w:jc w:val="left"/>
        <w:outlineLvl w:val="2"/>
        <w:rPr>
          <w:b w:val="0"/>
          <w:bCs w:val="0"/>
          <w:snapToGrid w:val="0"/>
          <w:sz w:val="28"/>
          <w:szCs w:val="28"/>
        </w:rPr>
      </w:pPr>
    </w:p>
    <w:p>
      <w:pPr>
        <w:pStyle w:val="32"/>
        <w:jc w:val="left"/>
        <w:outlineLvl w:val="2"/>
        <w:rPr>
          <w:b w:val="0"/>
          <w:bCs w:val="0"/>
          <w:snapToGrid w:val="0"/>
          <w:sz w:val="28"/>
          <w:szCs w:val="28"/>
        </w:rPr>
      </w:pPr>
    </w:p>
    <w:p>
      <w:pPr>
        <w:pStyle w:val="32"/>
        <w:jc w:val="left"/>
        <w:outlineLvl w:val="2"/>
        <w:rPr>
          <w:b w:val="0"/>
          <w:bCs w:val="0"/>
          <w:snapToGrid w:val="0"/>
          <w:sz w:val="28"/>
          <w:szCs w:val="28"/>
        </w:rPr>
      </w:pPr>
    </w:p>
    <w:p>
      <w:pPr>
        <w:pStyle w:val="32"/>
        <w:jc w:val="left"/>
        <w:outlineLvl w:val="2"/>
        <w:rPr>
          <w:b w:val="0"/>
          <w:bCs w:val="0"/>
          <w:snapToGrid w:val="0"/>
          <w:sz w:val="28"/>
          <w:szCs w:val="28"/>
        </w:rPr>
      </w:pPr>
    </w:p>
    <w:p>
      <w:pPr>
        <w:pStyle w:val="32"/>
        <w:jc w:val="left"/>
        <w:outlineLvl w:val="2"/>
        <w:rPr>
          <w:b w:val="0"/>
          <w:bCs w:val="0"/>
          <w:snapToGrid w:val="0"/>
          <w:sz w:val="28"/>
          <w:szCs w:val="28"/>
        </w:rPr>
      </w:pPr>
    </w:p>
    <w:p>
      <w:pPr>
        <w:pStyle w:val="32"/>
        <w:jc w:val="left"/>
        <w:outlineLvl w:val="2"/>
        <w:rPr>
          <w:b w:val="0"/>
          <w:bCs w:val="0"/>
          <w:snapToGrid w:val="0"/>
          <w:sz w:val="28"/>
          <w:szCs w:val="28"/>
        </w:rPr>
      </w:pPr>
    </w:p>
    <w:p>
      <w:pPr>
        <w:pStyle w:val="32"/>
        <w:jc w:val="left"/>
        <w:outlineLvl w:val="2"/>
        <w:rPr>
          <w:b w:val="0"/>
          <w:bCs w:val="0"/>
          <w:snapToGrid w:val="0"/>
          <w:sz w:val="28"/>
          <w:szCs w:val="28"/>
        </w:rPr>
      </w:pPr>
    </w:p>
    <w:p>
      <w:pPr>
        <w:spacing w:line="360" w:lineRule="auto"/>
        <w:rPr>
          <w:rFonts w:ascii="宋体"/>
          <w:szCs w:val="21"/>
        </w:rPr>
      </w:pPr>
      <w:r>
        <w:rPr>
          <w:rFonts w:hint="eastAsia" w:ascii="宋体"/>
          <w:szCs w:val="21"/>
        </w:rPr>
        <w:t>致：</w:t>
      </w:r>
      <w:r>
        <w:rPr>
          <w:rFonts w:hint="eastAsia" w:ascii="宋体"/>
          <w:szCs w:val="21"/>
          <w:u w:val="single"/>
        </w:rPr>
        <w:t xml:space="preserve">                            </w:t>
      </w:r>
      <w:r>
        <w:rPr>
          <w:rFonts w:hint="eastAsia" w:ascii="宋体"/>
          <w:szCs w:val="21"/>
        </w:rPr>
        <w:t>（招标人名称）</w:t>
      </w:r>
    </w:p>
    <w:p>
      <w:pPr>
        <w:spacing w:line="360" w:lineRule="auto"/>
        <w:ind w:firstLine="480"/>
        <w:rPr>
          <w:rFonts w:ascii="宋体"/>
          <w:szCs w:val="21"/>
        </w:rPr>
      </w:pPr>
      <w:r>
        <w:rPr>
          <w:rFonts w:hint="eastAsia" w:ascii="宋体"/>
          <w:color w:val="000000"/>
          <w:szCs w:val="21"/>
        </w:rPr>
        <w:t>我公司2019-2021年无任何不良信用记录及任何违法违规的行为，如发现有以上任何不良行为，贵公司可以拒绝我公司投标，如已中标，可取消我公司中标资格，并接受建设行政主管部门对我公司弄虚作假、违反公平和诚实信用原则做出的任何处理。</w:t>
      </w:r>
    </w:p>
    <w:p>
      <w:pPr>
        <w:spacing w:line="360" w:lineRule="auto"/>
        <w:rPr>
          <w:rFonts w:ascii="宋体"/>
          <w:szCs w:val="21"/>
        </w:rPr>
      </w:pPr>
    </w:p>
    <w:p>
      <w:pPr>
        <w:spacing w:line="360" w:lineRule="auto"/>
        <w:rPr>
          <w:rFonts w:ascii="宋体"/>
          <w:szCs w:val="21"/>
        </w:rPr>
      </w:pPr>
    </w:p>
    <w:p>
      <w:pPr>
        <w:spacing w:line="360" w:lineRule="auto"/>
        <w:rPr>
          <w:rFonts w:ascii="宋体"/>
          <w:color w:val="000000"/>
          <w:szCs w:val="21"/>
        </w:rPr>
      </w:pPr>
      <w:r>
        <w:rPr>
          <w:rFonts w:hint="eastAsia" w:ascii="宋体"/>
          <w:szCs w:val="21"/>
        </w:rPr>
        <w:t xml:space="preserve">                                    </w:t>
      </w:r>
      <w:r>
        <w:rPr>
          <w:rFonts w:hint="eastAsia" w:ascii="宋体"/>
          <w:color w:val="000000"/>
          <w:szCs w:val="21"/>
        </w:rPr>
        <w:t>单位：（公章）</w:t>
      </w:r>
    </w:p>
    <w:p>
      <w:pPr>
        <w:spacing w:line="360" w:lineRule="auto"/>
        <w:rPr>
          <w:rFonts w:ascii="宋体"/>
          <w:szCs w:val="21"/>
        </w:rPr>
      </w:pPr>
    </w:p>
    <w:p>
      <w:pPr>
        <w:spacing w:line="360" w:lineRule="auto"/>
        <w:rPr>
          <w:rFonts w:ascii="宋体"/>
          <w:color w:val="000000"/>
          <w:szCs w:val="21"/>
        </w:rPr>
      </w:pPr>
      <w:r>
        <w:rPr>
          <w:rFonts w:hint="eastAsia" w:ascii="宋体"/>
          <w:szCs w:val="21"/>
        </w:rPr>
        <w:t xml:space="preserve">                                    </w:t>
      </w:r>
      <w:r>
        <w:rPr>
          <w:rFonts w:hint="eastAsia" w:ascii="宋体"/>
          <w:color w:val="000000"/>
          <w:szCs w:val="21"/>
        </w:rPr>
        <w:t>法定代表人签名：</w:t>
      </w:r>
    </w:p>
    <w:p>
      <w:pPr>
        <w:spacing w:line="360" w:lineRule="auto"/>
        <w:rPr>
          <w:rFonts w:ascii="宋体"/>
          <w:color w:val="000000"/>
          <w:szCs w:val="21"/>
        </w:rPr>
      </w:pPr>
    </w:p>
    <w:p>
      <w:pPr>
        <w:spacing w:line="360" w:lineRule="auto"/>
        <w:rPr>
          <w:rFonts w:ascii="宋体"/>
          <w:color w:val="000000"/>
          <w:szCs w:val="21"/>
        </w:rPr>
      </w:pPr>
      <w:r>
        <w:rPr>
          <w:rFonts w:hint="eastAsia" w:ascii="宋体"/>
          <w:color w:val="000000"/>
          <w:szCs w:val="21"/>
        </w:rPr>
        <w:t xml:space="preserve">                            </w:t>
      </w:r>
    </w:p>
    <w:p>
      <w:pPr>
        <w:spacing w:line="360" w:lineRule="auto"/>
        <w:rPr>
          <w:rFonts w:ascii="宋体"/>
          <w:color w:val="000000"/>
          <w:szCs w:val="21"/>
        </w:rPr>
      </w:pPr>
    </w:p>
    <w:p>
      <w:pPr>
        <w:tabs>
          <w:tab w:val="right" w:pos="8486"/>
        </w:tabs>
        <w:jc w:val="center"/>
        <w:rPr>
          <w:rFonts w:ascii="宋体"/>
          <w:color w:val="000000"/>
          <w:sz w:val="24"/>
        </w:rPr>
      </w:pPr>
      <w:r>
        <w:rPr>
          <w:rFonts w:hint="eastAsia" w:ascii="宋体"/>
          <w:color w:val="000000"/>
          <w:szCs w:val="21"/>
        </w:rPr>
        <w:t xml:space="preserve">                                     年   月   日</w:t>
      </w:r>
    </w:p>
    <w:p>
      <w:pPr>
        <w:pStyle w:val="32"/>
        <w:jc w:val="left"/>
        <w:outlineLvl w:val="2"/>
      </w:pPr>
      <w:r>
        <w:rPr>
          <w:b w:val="0"/>
          <w:bCs w:val="0"/>
          <w:snapToGrid w:val="0"/>
          <w:sz w:val="28"/>
          <w:szCs w:val="28"/>
        </w:rPr>
        <w:br w:type="page"/>
      </w:r>
      <w:r>
        <w:rPr>
          <w:rFonts w:hint="eastAsia"/>
          <w:b w:val="0"/>
          <w:bCs w:val="0"/>
          <w:snapToGrid w:val="0"/>
          <w:sz w:val="28"/>
          <w:szCs w:val="28"/>
          <w:lang w:val="en-US"/>
        </w:rPr>
        <w:t>九</w:t>
      </w:r>
      <w:r>
        <w:rPr>
          <w:rFonts w:hint="eastAsia"/>
        </w:rPr>
        <w:t>、其他</w:t>
      </w:r>
      <w:r>
        <w:rPr>
          <w:rFonts w:hint="eastAsia" w:ascii="黑体"/>
        </w:rPr>
        <w:t>(</w:t>
      </w:r>
      <w:r>
        <w:rPr>
          <w:rFonts w:hint="eastAsia"/>
        </w:rPr>
        <w:t>根据招标文件的要求和投标人认为需要提供的资料</w:t>
      </w:r>
      <w:r>
        <w:rPr>
          <w:rFonts w:hint="eastAsia" w:ascii="黑体"/>
        </w:rPr>
        <w:t>)</w:t>
      </w:r>
    </w:p>
    <w:p>
      <w:pPr>
        <w:spacing w:before="240"/>
        <w:ind w:firstLine="420" w:firstLineChars="200"/>
        <w:rPr>
          <w:rFonts w:hint="eastAsia"/>
          <w:szCs w:val="21"/>
        </w:rPr>
      </w:pPr>
      <w:r>
        <w:rPr>
          <w:rFonts w:hint="eastAsia"/>
          <w:szCs w:val="21"/>
        </w:rPr>
        <w:t>根据招标文件要求的，或投标人认为需要提交的资料，如有的话。</w:t>
      </w:r>
      <w:bookmarkEnd w:id="90"/>
      <w:bookmarkEnd w:id="91"/>
      <w:bookmarkEnd w:id="92"/>
    </w:p>
    <w:p>
      <w:pPr>
        <w:pStyle w:val="2"/>
        <w:ind w:left="0" w:leftChars="0" w:firstLine="0" w:firstLineChars="0"/>
      </w:pPr>
    </w:p>
    <w:sectPr>
      <w:pgSz w:w="11906" w:h="16838"/>
      <w:pgMar w:top="1418" w:right="1418" w:bottom="1418" w:left="1418" w:header="851" w:footer="992" w:gutter="284"/>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fldChar w:fldCharType="begin"/>
    </w:r>
    <w:r>
      <w:instrText xml:space="preserve"> PAGE   \* MERGEFORMAT </w:instrText>
    </w:r>
    <w:r>
      <w:fldChar w:fldCharType="separate"/>
    </w:r>
    <w:r>
      <w:rPr>
        <w:lang w:val="zh-CN"/>
      </w:rPr>
      <w:t>1</w:t>
    </w:r>
    <w:r>
      <w:fldChar w:fldCharType="end"/>
    </w: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0" w:wrap="around" w:vAnchor="text" w:hAnchor="margin" w:xAlign="center" w:y="1"/>
      <w:rPr>
        <w:rStyle w:val="26"/>
      </w:rPr>
    </w:pPr>
    <w:r>
      <w:rPr>
        <w:rStyle w:val="26"/>
      </w:rPr>
      <w:fldChar w:fldCharType="begin"/>
    </w:r>
    <w:r>
      <w:rPr>
        <w:rStyle w:val="26"/>
      </w:rPr>
      <w:instrText xml:space="preserve">PAGE  </w:instrText>
    </w:r>
    <w:r>
      <w:fldChar w:fldCharType="separate"/>
    </w:r>
    <w:r>
      <w:t xml:space="preserve"> </w:t>
    </w:r>
    <w:r>
      <w:fldChar w:fldCharType="end"/>
    </w:r>
  </w:p>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fldChar w:fldCharType="begin"/>
    </w:r>
    <w:r>
      <w:instrText xml:space="preserve"> PAGE   \* MERGEFORMAT </w:instrText>
    </w:r>
    <w:r>
      <w:fldChar w:fldCharType="separate"/>
    </w:r>
    <w:r>
      <w:rPr>
        <w:lang w:val="zh-CN"/>
      </w:rPr>
      <w:t>21</w:t>
    </w:r>
    <w:r>
      <w:fldChar w:fldCharType="end"/>
    </w:r>
  </w:p>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lvlText w:val="(%1)"/>
      <w:lvlJc w:val="left"/>
      <w:pPr>
        <w:ind w:left="78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D"/>
    <w:multiLevelType w:val="multilevel"/>
    <w:tmpl w:val="0000000D"/>
    <w:lvl w:ilvl="0" w:tentative="0">
      <w:start w:val="1"/>
      <w:numFmt w:val="decimal"/>
      <w:lvlText w:val="(%1)"/>
      <w:lvlJc w:val="left"/>
      <w:pPr>
        <w:ind w:left="78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9"/>
    <w:multiLevelType w:val="multilevel"/>
    <w:tmpl w:val="00000019"/>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1F"/>
    <w:multiLevelType w:val="multilevel"/>
    <w:tmpl w:val="0000001F"/>
    <w:lvl w:ilvl="0" w:tentative="0">
      <w:start w:val="1"/>
      <w:numFmt w:val="decimal"/>
      <w:lvlText w:val="%1."/>
      <w:lvlJc w:val="left"/>
      <w:pPr>
        <w:ind w:left="0" w:firstLine="0"/>
      </w:pPr>
      <w:rPr>
        <w:rFonts w:hint="eastAsia"/>
        <w:b/>
        <w:sz w:val="28"/>
        <w:szCs w:val="28"/>
      </w:rPr>
    </w:lvl>
    <w:lvl w:ilvl="1" w:tentative="0">
      <w:start w:val="1"/>
      <w:numFmt w:val="decimal"/>
      <w:lvlText w:val="%1.%2"/>
      <w:lvlJc w:val="left"/>
      <w:pPr>
        <w:ind w:left="0" w:firstLine="0"/>
      </w:pPr>
      <w:rPr>
        <w:rFonts w:hint="eastAsia" w:ascii="宋体" w:hAnsi="宋体" w:eastAsia="宋体"/>
        <w:b w:val="0"/>
        <w:sz w:val="21"/>
        <w:szCs w:val="24"/>
      </w:rPr>
    </w:lvl>
    <w:lvl w:ilvl="2" w:tentative="0">
      <w:start w:val="1"/>
      <w:numFmt w:val="decimal"/>
      <w:lvlText w:val="（%3）"/>
      <w:lvlJc w:val="left"/>
      <w:pPr>
        <w:ind w:left="30" w:firstLine="510"/>
      </w:pPr>
      <w:rPr>
        <w:rFonts w:hint="eastAsia" w:ascii="宋体" w:hAnsi="宋体" w:eastAsia="宋体" w:cs="Times New Roman"/>
        <w:b w:val="0"/>
      </w:rPr>
    </w:lvl>
    <w:lvl w:ilvl="3" w:tentative="0">
      <w:start w:val="1"/>
      <w:numFmt w:val="decimal"/>
      <w:lvlText w:val="%1.%2.%3.%4"/>
      <w:lvlJc w:val="left"/>
      <w:pPr>
        <w:ind w:left="0" w:firstLine="510"/>
      </w:pPr>
      <w:rPr>
        <w:rFonts w:hint="eastAsia" w:ascii="宋体" w:hAnsi="宋体" w:eastAsia="宋体"/>
        <w:b w:val="0"/>
      </w:rPr>
    </w:lvl>
    <w:lvl w:ilvl="4" w:tentative="0">
      <w:start w:val="1"/>
      <w:numFmt w:val="decimal"/>
      <w:lvlText w:val="%1.%2.%3.%4.%5."/>
      <w:lvlJc w:val="left"/>
      <w:pPr>
        <w:ind w:left="0" w:firstLine="510"/>
      </w:pPr>
      <w:rPr>
        <w:rFonts w:hint="eastAsia" w:ascii="宋体" w:hAnsi="宋体" w:eastAsia="宋体"/>
        <w:b w:val="0"/>
      </w:r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08F4C8F"/>
    <w:multiLevelType w:val="multilevel"/>
    <w:tmpl w:val="208F4C8F"/>
    <w:lvl w:ilvl="0" w:tentative="0">
      <w:start w:val="1"/>
      <w:numFmt w:val="chineseCountingThousand"/>
      <w:lvlText w:val="第%1章"/>
      <w:lvlJc w:val="left"/>
      <w:pPr>
        <w:ind w:left="425" w:hanging="425"/>
      </w:pPr>
    </w:lvl>
    <w:lvl w:ilvl="1" w:tentative="0">
      <w:start w:val="1"/>
      <w:numFmt w:val="chineseCountingThousand"/>
      <w:lvlText w:val="%2."/>
      <w:lvlJc w:val="left"/>
      <w:pPr>
        <w:ind w:left="567" w:hanging="567"/>
      </w:pPr>
    </w:lvl>
    <w:lvl w:ilvl="2" w:tentative="0">
      <w:start w:val="5"/>
      <w:numFmt w:val="decimal"/>
      <w:lvlText w:val="%3."/>
      <w:lvlJc w:val="left"/>
      <w:pPr>
        <w:ind w:left="709" w:hanging="709"/>
      </w:pPr>
    </w:lvl>
    <w:lvl w:ilvl="3" w:tentative="0">
      <w:start w:val="1"/>
      <w:numFmt w:val="decimal"/>
      <w:lvlText w:val="%3.%4."/>
      <w:lvlJc w:val="left"/>
      <w:pPr>
        <w:ind w:left="851" w:hanging="851"/>
      </w:pPr>
    </w:lvl>
    <w:lvl w:ilvl="4" w:tentative="0">
      <w:start w:val="1"/>
      <w:numFmt w:val="decimal"/>
      <w:lvlText w:val="%3.%4.%5"/>
      <w:lvlJc w:val="left"/>
      <w:pPr>
        <w:ind w:left="992" w:hanging="992"/>
      </w:pPr>
    </w:lvl>
    <w:lvl w:ilvl="5" w:tentative="0">
      <w:start w:val="1"/>
      <w:numFmt w:val="decimal"/>
      <w:lvlText w:val="%3.%4.%5.%6."/>
      <w:lvlJc w:val="left"/>
      <w:pPr>
        <w:ind w:left="1134" w:hanging="1134"/>
      </w:pPr>
    </w:lvl>
    <w:lvl w:ilvl="6" w:tentative="0">
      <w:start w:val="1"/>
      <w:numFmt w:val="decimal"/>
      <w:lvlText w:val="%2.%3.%4.%5.%6.%7."/>
      <w:lvlJc w:val="left"/>
      <w:pPr>
        <w:ind w:left="1276" w:hanging="1276"/>
      </w:pPr>
    </w:lvl>
    <w:lvl w:ilvl="7" w:tentative="0">
      <w:start w:val="1"/>
      <w:numFmt w:val="decimal"/>
      <w:lvlText w:val="%2.%3.%4.%5.%6.%7.%8."/>
      <w:lvlJc w:val="left"/>
      <w:pPr>
        <w:ind w:left="1418" w:hanging="1418"/>
      </w:pPr>
    </w:lvl>
    <w:lvl w:ilvl="8" w:tentative="0">
      <w:start w:val="1"/>
      <w:numFmt w:val="decimal"/>
      <w:lvlText w:val="%2.%3.%4.%5.%6.%7.%8.%9."/>
      <w:lvlJc w:val="left"/>
      <w:pPr>
        <w:ind w:left="1559" w:hanging="1559"/>
      </w:pPr>
    </w:lvl>
  </w:abstractNum>
  <w:abstractNum w:abstractNumId="5">
    <w:nsid w:val="2AA54100"/>
    <w:multiLevelType w:val="multilevel"/>
    <w:tmpl w:val="2AA54100"/>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6">
    <w:nsid w:val="3DE70794"/>
    <w:multiLevelType w:val="multilevel"/>
    <w:tmpl w:val="3DE70794"/>
    <w:lvl w:ilvl="0" w:tentative="0">
      <w:start w:val="11"/>
      <w:numFmt w:val="decimal"/>
      <w:lvlText w:val="%1."/>
      <w:lvlJc w:val="left"/>
      <w:pPr>
        <w:ind w:left="0" w:firstLine="0"/>
      </w:pPr>
      <w:rPr>
        <w:rFonts w:hint="eastAsia"/>
        <w:b/>
        <w:sz w:val="28"/>
        <w:szCs w:val="28"/>
      </w:rPr>
    </w:lvl>
    <w:lvl w:ilvl="1" w:tentative="0">
      <w:start w:val="1"/>
      <w:numFmt w:val="decimal"/>
      <w:lvlText w:val="%1.%2"/>
      <w:lvlJc w:val="left"/>
      <w:pPr>
        <w:ind w:left="0" w:firstLine="0"/>
      </w:pPr>
      <w:rPr>
        <w:rFonts w:hint="eastAsia" w:ascii="宋体" w:hAnsi="宋体" w:eastAsia="宋体"/>
        <w:b w:val="0"/>
        <w:color w:val="auto"/>
        <w:sz w:val="21"/>
        <w:szCs w:val="24"/>
      </w:rPr>
    </w:lvl>
    <w:lvl w:ilvl="2" w:tentative="0">
      <w:start w:val="1"/>
      <w:numFmt w:val="decimal"/>
      <w:lvlText w:val="（%3）"/>
      <w:lvlJc w:val="left"/>
      <w:pPr>
        <w:ind w:left="30" w:firstLine="510"/>
      </w:pPr>
      <w:rPr>
        <w:rFonts w:hint="eastAsia" w:ascii="宋体" w:hAnsi="宋体" w:eastAsia="宋体" w:cs="Times New Roman"/>
        <w:b w:val="0"/>
      </w:rPr>
    </w:lvl>
    <w:lvl w:ilvl="3" w:tentative="0">
      <w:start w:val="1"/>
      <w:numFmt w:val="decimal"/>
      <w:lvlText w:val="%1.%2.%3.%4"/>
      <w:lvlJc w:val="left"/>
      <w:pPr>
        <w:ind w:left="0" w:firstLine="510"/>
      </w:pPr>
      <w:rPr>
        <w:rFonts w:hint="eastAsia" w:ascii="宋体" w:hAnsi="宋体" w:eastAsia="宋体"/>
        <w:b w:val="0"/>
      </w:rPr>
    </w:lvl>
    <w:lvl w:ilvl="4" w:tentative="0">
      <w:start w:val="1"/>
      <w:numFmt w:val="decimal"/>
      <w:lvlText w:val="%1.%2.%3.%4.%5."/>
      <w:lvlJc w:val="left"/>
      <w:pPr>
        <w:ind w:left="0" w:firstLine="510"/>
      </w:pPr>
      <w:rPr>
        <w:rFonts w:hint="eastAsia" w:ascii="宋体" w:hAnsi="宋体" w:eastAsia="宋体"/>
        <w:b w:val="0"/>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egacy w:legacy="1" w:legacySpace="0" w:legacyIndent="794"/>
      <w:lvlJc w:val="left"/>
      <w:pPr>
        <w:ind w:left="794" w:hanging="794"/>
      </w:pPr>
    </w:lvl>
    <w:lvl w:ilvl="2" w:tentative="0">
      <w:start w:val="0"/>
      <w:numFmt w:val="none"/>
      <w:lvlText w:val=""/>
      <w:lvlJc w:val="left"/>
      <w:pPr>
        <w:ind w:left="0" w:firstLine="0"/>
      </w:pPr>
      <w:rPr>
        <w:rFonts w:cs="Times New Roman"/>
      </w:rPr>
    </w:lvl>
    <w:lvl w:ilvl="3" w:tentative="0">
      <w:start w:val="0"/>
      <w:numFmt w:val="none"/>
      <w:lvlText w:val=""/>
      <w:lvlJc w:val="left"/>
      <w:pPr>
        <w:ind w:left="0" w:firstLine="0"/>
      </w:pPr>
      <w:rPr>
        <w:rFonts w:cs="Times New Roman"/>
      </w:rPr>
    </w:lvl>
    <w:lvl w:ilvl="4" w:tentative="0">
      <w:start w:val="0"/>
      <w:numFmt w:val="decimal"/>
      <w:pStyle w:val="38"/>
      <w:lvlText w:val=""/>
      <w:lvlJc w:val="left"/>
      <w:pPr>
        <w:ind w:left="0" w:firstLine="0"/>
      </w:pPr>
      <w:rPr>
        <w:rFonts w:cs="Times New Roman"/>
      </w:rPr>
    </w:lvl>
    <w:lvl w:ilvl="5" w:tentative="0">
      <w:start w:val="0"/>
      <w:numFmt w:val="decimal"/>
      <w:lvlText w:val=""/>
      <w:lvlJc w:val="left"/>
      <w:pPr>
        <w:ind w:left="0" w:firstLine="0"/>
      </w:pPr>
      <w:rPr>
        <w:rFonts w:cs="Times New Roman"/>
      </w:rPr>
    </w:lvl>
    <w:lvl w:ilvl="6" w:tentative="0">
      <w:start w:val="0"/>
      <w:numFmt w:val="decimal"/>
      <w:lvlText w:val=""/>
      <w:lvlJc w:val="left"/>
      <w:pPr>
        <w:ind w:left="0" w:firstLine="0"/>
      </w:pPr>
      <w:rPr>
        <w:rFonts w:cs="Times New Roman"/>
      </w:rPr>
    </w:lvl>
    <w:lvl w:ilvl="7" w:tentative="0">
      <w:start w:val="0"/>
      <w:numFmt w:val="decimal"/>
      <w:lvlText w:val=""/>
      <w:lvlJc w:val="left"/>
      <w:pPr>
        <w:ind w:left="0" w:firstLine="0"/>
      </w:pPr>
      <w:rPr>
        <w:rFonts w:cs="Times New Roman"/>
      </w:rPr>
    </w:lvl>
    <w:lvl w:ilvl="8" w:tentative="0">
      <w:start w:val="0"/>
      <w:numFmt w:val="decimal"/>
      <w:lvlText w:val=""/>
      <w:lvlJc w:val="left"/>
      <w:pPr>
        <w:ind w:left="0" w:firstLine="0"/>
      </w:pPr>
      <w:rPr>
        <w:rFonts w:cs="Times New Roman"/>
      </w:rPr>
    </w:lvl>
  </w:abstractNum>
  <w:abstractNum w:abstractNumId="8">
    <w:nsid w:val="5BD9545C"/>
    <w:multiLevelType w:val="multilevel"/>
    <w:tmpl w:val="5BD9545C"/>
    <w:lvl w:ilvl="0" w:tentative="0">
      <w:start w:val="8"/>
      <w:numFmt w:val="decimal"/>
      <w:lvlText w:val="%1."/>
      <w:lvlJc w:val="left"/>
      <w:pPr>
        <w:ind w:left="0" w:firstLine="0"/>
      </w:pPr>
      <w:rPr>
        <w:rFonts w:hint="eastAsia" w:ascii="宋体" w:hAnsi="宋体" w:eastAsia="宋体"/>
        <w:b/>
        <w:sz w:val="28"/>
        <w:szCs w:val="28"/>
      </w:rPr>
    </w:lvl>
    <w:lvl w:ilvl="1" w:tentative="0">
      <w:start w:val="1"/>
      <w:numFmt w:val="decimal"/>
      <w:lvlText w:val="%1.%2"/>
      <w:lvlJc w:val="left"/>
      <w:pPr>
        <w:ind w:left="0" w:firstLine="0"/>
      </w:pPr>
      <w:rPr>
        <w:rFonts w:hint="eastAsia" w:ascii="宋体" w:hAnsi="宋体" w:eastAsia="宋体"/>
        <w:b w:val="0"/>
        <w:sz w:val="21"/>
        <w:szCs w:val="24"/>
      </w:rPr>
    </w:lvl>
    <w:lvl w:ilvl="2" w:tentative="0">
      <w:start w:val="1"/>
      <w:numFmt w:val="decimal"/>
      <w:lvlText w:val="（%3）"/>
      <w:lvlJc w:val="left"/>
      <w:pPr>
        <w:ind w:left="30" w:firstLine="510"/>
      </w:pPr>
      <w:rPr>
        <w:rFonts w:hint="eastAsia" w:ascii="宋体" w:hAnsi="宋体" w:eastAsia="宋体" w:cs="Times New Roman"/>
        <w:b w:val="0"/>
      </w:rPr>
    </w:lvl>
    <w:lvl w:ilvl="3" w:tentative="0">
      <w:start w:val="1"/>
      <w:numFmt w:val="decimal"/>
      <w:lvlText w:val="%1.%2.%3.%4"/>
      <w:lvlJc w:val="left"/>
      <w:pPr>
        <w:ind w:left="0" w:firstLine="510"/>
      </w:pPr>
      <w:rPr>
        <w:rFonts w:hint="eastAsia" w:ascii="宋体" w:hAnsi="宋体" w:eastAsia="宋体"/>
        <w:b w:val="0"/>
      </w:rPr>
    </w:lvl>
    <w:lvl w:ilvl="4" w:tentative="0">
      <w:start w:val="1"/>
      <w:numFmt w:val="decimal"/>
      <w:lvlText w:val="%1.%2.%3.%4.%5."/>
      <w:lvlJc w:val="left"/>
      <w:pPr>
        <w:ind w:left="0" w:firstLine="510"/>
      </w:pPr>
      <w:rPr>
        <w:rFonts w:hint="eastAsia" w:ascii="宋体" w:hAnsi="宋体" w:eastAsia="宋体"/>
        <w:b w:val="0"/>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7"/>
  </w:num>
  <w:num w:numId="2">
    <w:abstractNumId w:val="4"/>
    <w:lvlOverride w:ilvl="0">
      <w:startOverride w:val="1"/>
      <w:lvl w:ilvl="0" w:tentative="1">
        <w:start w:val="1"/>
        <w:numFmt w:val="chineseCountingThousand"/>
        <w:lvlText w:val="第%1章"/>
        <w:lvlJc w:val="left"/>
        <w:pPr>
          <w:ind w:left="425" w:hanging="425"/>
        </w:pPr>
      </w:lvl>
    </w:lvlOverride>
    <w:lvlOverride w:ilvl="1">
      <w:startOverride w:val="1"/>
      <w:lvl w:ilvl="1" w:tentative="1">
        <w:start w:val="1"/>
        <w:numFmt w:val="chineseCountingThousand"/>
        <w:lvlText w:val="%2."/>
        <w:lvlJc w:val="left"/>
        <w:pPr>
          <w:ind w:left="567" w:hanging="567"/>
        </w:pPr>
      </w:lvl>
    </w:lvlOverride>
    <w:lvlOverride w:ilvl="2">
      <w:startOverride w:val="5"/>
      <w:lvl w:ilvl="2" w:tentative="1">
        <w:start w:val="5"/>
        <w:numFmt w:val="decimal"/>
        <w:lvlText w:val="%3."/>
        <w:lvlJc w:val="left"/>
        <w:pPr>
          <w:ind w:left="709" w:hanging="709"/>
        </w:pPr>
      </w:lvl>
    </w:lvlOverride>
    <w:lvlOverride w:ilvl="3">
      <w:startOverride w:val="1"/>
      <w:lvl w:ilvl="3" w:tentative="1">
        <w:start w:val="1"/>
        <w:numFmt w:val="decimal"/>
        <w:lvlText w:val="%3.%4."/>
        <w:lvlJc w:val="left"/>
        <w:pPr>
          <w:ind w:left="851" w:hanging="851"/>
        </w:pPr>
      </w:lvl>
    </w:lvlOverride>
    <w:lvlOverride w:ilvl="4">
      <w:startOverride w:val="1"/>
      <w:lvl w:ilvl="4" w:tentative="1">
        <w:start w:val="1"/>
        <w:numFmt w:val="decimal"/>
        <w:lvlText w:val="%3.%4.%5"/>
        <w:lvlJc w:val="left"/>
        <w:pPr>
          <w:ind w:left="992" w:hanging="992"/>
        </w:pPr>
      </w:lvl>
    </w:lvlOverride>
    <w:lvlOverride w:ilvl="5">
      <w:startOverride w:val="1"/>
      <w:lvl w:ilvl="5" w:tentative="1">
        <w:start w:val="1"/>
        <w:numFmt w:val="decimal"/>
        <w:lvlText w:val="%3.%4.%5.%6."/>
        <w:lvlJc w:val="left"/>
        <w:pPr>
          <w:ind w:left="1134" w:hanging="1134"/>
        </w:pPr>
      </w:lvl>
    </w:lvlOverride>
    <w:lvlOverride w:ilvl="6">
      <w:startOverride w:val="1"/>
      <w:lvl w:ilvl="6" w:tentative="1">
        <w:start w:val="1"/>
        <w:numFmt w:val="decimal"/>
        <w:lvlText w:val="%2.%3.%4.%5.%6.%7."/>
        <w:lvlJc w:val="left"/>
        <w:pPr>
          <w:ind w:left="1276" w:hanging="1276"/>
        </w:pPr>
      </w:lvl>
    </w:lvlOverride>
    <w:lvlOverride w:ilvl="7">
      <w:startOverride w:val="1"/>
      <w:lvl w:ilvl="7" w:tentative="1">
        <w:start w:val="1"/>
        <w:numFmt w:val="decimal"/>
        <w:lvlText w:val="%2.%3.%4.%5.%6.%7.%8."/>
        <w:lvlJc w:val="left"/>
        <w:pPr>
          <w:ind w:left="1418" w:hanging="1418"/>
        </w:pPr>
      </w:lvl>
    </w:lvlOverride>
    <w:lvlOverride w:ilvl="8">
      <w:startOverride w:val="1"/>
      <w:lvl w:ilvl="8" w:tentative="1">
        <w:start w:val="1"/>
        <w:numFmt w:val="decimal"/>
        <w:lvlText w:val="%2.%3.%4.%5.%6.%7.%8.%9."/>
        <w:lvlJc w:val="left"/>
        <w:pPr>
          <w:ind w:left="1559" w:hanging="1559"/>
        </w:pPr>
      </w:lvl>
    </w:lvlOverride>
  </w:num>
  <w:num w:numId="3">
    <w:abstractNumId w:val="3"/>
  </w:num>
  <w:num w:numId="4">
    <w:abstractNumId w:val="0"/>
    <w:lvlOverride w:ilvl="0">
      <w:startOverride w:val="1"/>
      <w:lvl w:ilvl="0" w:tentative="1">
        <w:start w:val="1"/>
        <w:numFmt w:val="decimal"/>
        <w:lvlText w:val="(%1)"/>
        <w:lvlJc w:val="left"/>
        <w:pPr>
          <w:ind w:left="780" w:hanging="360"/>
        </w:pPr>
      </w:lvl>
    </w:lvlOverride>
    <w:lvlOverride w:ilvl="1">
      <w:startOverride w:val="1"/>
      <w:lvl w:ilvl="1" w:tentative="1">
        <w:start w:val="1"/>
        <w:numFmt w:val="lowerLetter"/>
        <w:lvlText w:val="%2)"/>
        <w:lvlJc w:val="left"/>
        <w:pPr>
          <w:ind w:left="840" w:hanging="420"/>
        </w:pPr>
      </w:lvl>
    </w:lvlOverride>
    <w:lvlOverride w:ilvl="2">
      <w:startOverride w:val="1"/>
      <w:lvl w:ilvl="2" w:tentative="1">
        <w:start w:val="1"/>
        <w:numFmt w:val="lowerRoman"/>
        <w:lvlText w:val="%3."/>
        <w:lvlJc w:val="right"/>
        <w:pPr>
          <w:ind w:left="1260" w:hanging="420"/>
        </w:pPr>
      </w:lvl>
    </w:lvlOverride>
    <w:lvlOverride w:ilvl="3">
      <w:startOverride w:val="1"/>
      <w:lvl w:ilvl="3" w:tentative="1">
        <w:start w:val="1"/>
        <w:numFmt w:val="decimal"/>
        <w:lvlText w:val="%4."/>
        <w:lvlJc w:val="left"/>
        <w:pPr>
          <w:ind w:left="1680" w:hanging="420"/>
        </w:pPr>
      </w:lvl>
    </w:lvlOverride>
    <w:lvlOverride w:ilvl="4">
      <w:startOverride w:val="1"/>
      <w:lvl w:ilvl="4" w:tentative="1">
        <w:start w:val="1"/>
        <w:numFmt w:val="lowerLetter"/>
        <w:lvlText w:val="%5)"/>
        <w:lvlJc w:val="left"/>
        <w:pPr>
          <w:ind w:left="2100" w:hanging="420"/>
        </w:pPr>
      </w:lvl>
    </w:lvlOverride>
    <w:lvlOverride w:ilvl="5">
      <w:startOverride w:val="1"/>
      <w:lvl w:ilvl="5" w:tentative="1">
        <w:start w:val="1"/>
        <w:numFmt w:val="lowerRoman"/>
        <w:lvlText w:val="%6."/>
        <w:lvlJc w:val="right"/>
        <w:pPr>
          <w:ind w:left="2520" w:hanging="420"/>
        </w:pPr>
      </w:lvl>
    </w:lvlOverride>
    <w:lvlOverride w:ilvl="6">
      <w:startOverride w:val="1"/>
      <w:lvl w:ilvl="6" w:tentative="1">
        <w:start w:val="1"/>
        <w:numFmt w:val="decimal"/>
        <w:lvlText w:val="%7."/>
        <w:lvlJc w:val="left"/>
        <w:pPr>
          <w:ind w:left="2940" w:hanging="420"/>
        </w:pPr>
      </w:lvl>
    </w:lvlOverride>
    <w:lvlOverride w:ilvl="7">
      <w:startOverride w:val="1"/>
      <w:lvl w:ilvl="7" w:tentative="1">
        <w:start w:val="1"/>
        <w:numFmt w:val="lowerLetter"/>
        <w:lvlText w:val="%8)"/>
        <w:lvlJc w:val="left"/>
        <w:pPr>
          <w:ind w:left="3360" w:hanging="420"/>
        </w:pPr>
      </w:lvl>
    </w:lvlOverride>
    <w:lvlOverride w:ilvl="8">
      <w:startOverride w:val="1"/>
      <w:lvl w:ilvl="8" w:tentative="1">
        <w:start w:val="1"/>
        <w:numFmt w:val="lowerRoman"/>
        <w:lvlText w:val="%9."/>
        <w:lvlJc w:val="right"/>
        <w:pPr>
          <w:ind w:left="3780" w:hanging="420"/>
        </w:pPr>
      </w:lvl>
    </w:lvlOverride>
  </w:num>
  <w:num w:numId="5">
    <w:abstractNumId w:val="2"/>
    <w:lvlOverride w:ilvl="0">
      <w:startOverride w:val="1"/>
      <w:lvl w:ilvl="0" w:tentative="1">
        <w:start w:val="1"/>
        <w:numFmt w:val="decimal"/>
        <w:lvlText w:val="(%1)"/>
        <w:lvlJc w:val="left"/>
        <w:pPr>
          <w:ind w:left="780" w:hanging="360"/>
        </w:pPr>
      </w:lvl>
    </w:lvlOverride>
    <w:lvlOverride w:ilvl="1">
      <w:startOverride w:val="1"/>
      <w:lvl w:ilvl="1" w:tentative="1">
        <w:start w:val="1"/>
        <w:numFmt w:val="lowerLetter"/>
        <w:lvlText w:val="%2)"/>
        <w:lvlJc w:val="left"/>
        <w:pPr>
          <w:ind w:left="1260" w:hanging="420"/>
        </w:pPr>
      </w:lvl>
    </w:lvlOverride>
    <w:lvlOverride w:ilvl="2">
      <w:startOverride w:val="1"/>
      <w:lvl w:ilvl="2" w:tentative="1">
        <w:start w:val="1"/>
        <w:numFmt w:val="lowerRoman"/>
        <w:lvlText w:val="%3."/>
        <w:lvlJc w:val="right"/>
        <w:pPr>
          <w:ind w:left="1680" w:hanging="420"/>
        </w:pPr>
      </w:lvl>
    </w:lvlOverride>
    <w:lvlOverride w:ilvl="3">
      <w:startOverride w:val="1"/>
      <w:lvl w:ilvl="3" w:tentative="1">
        <w:start w:val="1"/>
        <w:numFmt w:val="decimal"/>
        <w:lvlText w:val="%4."/>
        <w:lvlJc w:val="left"/>
        <w:pPr>
          <w:ind w:left="2100" w:hanging="420"/>
        </w:pPr>
      </w:lvl>
    </w:lvlOverride>
    <w:lvlOverride w:ilvl="4">
      <w:startOverride w:val="1"/>
      <w:lvl w:ilvl="4" w:tentative="1">
        <w:start w:val="1"/>
        <w:numFmt w:val="lowerLetter"/>
        <w:lvlText w:val="%5)"/>
        <w:lvlJc w:val="left"/>
        <w:pPr>
          <w:ind w:left="2520" w:hanging="420"/>
        </w:pPr>
      </w:lvl>
    </w:lvlOverride>
    <w:lvlOverride w:ilvl="5">
      <w:startOverride w:val="1"/>
      <w:lvl w:ilvl="5" w:tentative="1">
        <w:start w:val="1"/>
        <w:numFmt w:val="lowerRoman"/>
        <w:lvlText w:val="%6."/>
        <w:lvlJc w:val="right"/>
        <w:pPr>
          <w:ind w:left="2940" w:hanging="420"/>
        </w:pPr>
      </w:lvl>
    </w:lvlOverride>
    <w:lvlOverride w:ilvl="6">
      <w:startOverride w:val="1"/>
      <w:lvl w:ilvl="6" w:tentative="1">
        <w:start w:val="1"/>
        <w:numFmt w:val="decimal"/>
        <w:lvlText w:val="%7."/>
        <w:lvlJc w:val="left"/>
        <w:pPr>
          <w:ind w:left="3360" w:hanging="420"/>
        </w:pPr>
      </w:lvl>
    </w:lvlOverride>
    <w:lvlOverride w:ilvl="7">
      <w:startOverride w:val="1"/>
      <w:lvl w:ilvl="7" w:tentative="1">
        <w:start w:val="1"/>
        <w:numFmt w:val="lowerLetter"/>
        <w:lvlText w:val="%8)"/>
        <w:lvlJc w:val="left"/>
        <w:pPr>
          <w:ind w:left="3780" w:hanging="420"/>
        </w:pPr>
      </w:lvl>
    </w:lvlOverride>
    <w:lvlOverride w:ilvl="8">
      <w:startOverride w:val="1"/>
      <w:lvl w:ilvl="8" w:tentative="1">
        <w:start w:val="1"/>
        <w:numFmt w:val="lowerRoman"/>
        <w:lvlText w:val="%9."/>
        <w:lvlJc w:val="right"/>
        <w:pPr>
          <w:ind w:left="4200" w:hanging="420"/>
        </w:pPr>
      </w:lvl>
    </w:lvlOverride>
  </w:num>
  <w:num w:numId="6">
    <w:abstractNumId w:val="5"/>
  </w:num>
  <w:num w:numId="7">
    <w:abstractNumId w:val="8"/>
  </w:num>
  <w:num w:numId="8">
    <w:abstractNumId w:val="1"/>
    <w:lvlOverride w:ilvl="0">
      <w:startOverride w:val="1"/>
      <w:lvl w:ilvl="0" w:tentative="1">
        <w:start w:val="1"/>
        <w:numFmt w:val="decimal"/>
        <w:lvlText w:val="(%1)"/>
        <w:lvlJc w:val="left"/>
        <w:pPr>
          <w:ind w:left="780" w:hanging="360"/>
        </w:pPr>
      </w:lvl>
    </w:lvlOverride>
    <w:lvlOverride w:ilvl="1">
      <w:startOverride w:val="1"/>
      <w:lvl w:ilvl="1" w:tentative="1">
        <w:start w:val="1"/>
        <w:numFmt w:val="lowerLetter"/>
        <w:lvlText w:val="%2)"/>
        <w:lvlJc w:val="left"/>
        <w:pPr>
          <w:ind w:left="840" w:hanging="420"/>
        </w:pPr>
      </w:lvl>
    </w:lvlOverride>
    <w:lvlOverride w:ilvl="2">
      <w:startOverride w:val="1"/>
      <w:lvl w:ilvl="2" w:tentative="1">
        <w:start w:val="1"/>
        <w:numFmt w:val="lowerRoman"/>
        <w:lvlText w:val="%3."/>
        <w:lvlJc w:val="right"/>
        <w:pPr>
          <w:ind w:left="1260" w:hanging="420"/>
        </w:pPr>
      </w:lvl>
    </w:lvlOverride>
    <w:lvlOverride w:ilvl="3">
      <w:startOverride w:val="1"/>
      <w:lvl w:ilvl="3" w:tentative="1">
        <w:start w:val="1"/>
        <w:numFmt w:val="decimal"/>
        <w:lvlText w:val="%4."/>
        <w:lvlJc w:val="left"/>
        <w:pPr>
          <w:ind w:left="1680" w:hanging="420"/>
        </w:pPr>
      </w:lvl>
    </w:lvlOverride>
    <w:lvlOverride w:ilvl="4">
      <w:startOverride w:val="1"/>
      <w:lvl w:ilvl="4" w:tentative="1">
        <w:start w:val="1"/>
        <w:numFmt w:val="lowerLetter"/>
        <w:lvlText w:val="%5)"/>
        <w:lvlJc w:val="left"/>
        <w:pPr>
          <w:ind w:left="2100" w:hanging="420"/>
        </w:pPr>
      </w:lvl>
    </w:lvlOverride>
    <w:lvlOverride w:ilvl="5">
      <w:startOverride w:val="1"/>
      <w:lvl w:ilvl="5" w:tentative="1">
        <w:start w:val="1"/>
        <w:numFmt w:val="lowerRoman"/>
        <w:lvlText w:val="%6."/>
        <w:lvlJc w:val="right"/>
        <w:pPr>
          <w:ind w:left="2520" w:hanging="420"/>
        </w:pPr>
      </w:lvl>
    </w:lvlOverride>
    <w:lvlOverride w:ilvl="6">
      <w:startOverride w:val="1"/>
      <w:lvl w:ilvl="6" w:tentative="1">
        <w:start w:val="1"/>
        <w:numFmt w:val="decimal"/>
        <w:lvlText w:val="%7."/>
        <w:lvlJc w:val="left"/>
        <w:pPr>
          <w:ind w:left="2940" w:hanging="420"/>
        </w:pPr>
      </w:lvl>
    </w:lvlOverride>
    <w:lvlOverride w:ilvl="7">
      <w:startOverride w:val="1"/>
      <w:lvl w:ilvl="7" w:tentative="1">
        <w:start w:val="1"/>
        <w:numFmt w:val="lowerLetter"/>
        <w:lvlText w:val="%8)"/>
        <w:lvlJc w:val="left"/>
        <w:pPr>
          <w:ind w:left="3360" w:hanging="420"/>
        </w:pPr>
      </w:lvl>
    </w:lvlOverride>
    <w:lvlOverride w:ilvl="8">
      <w:startOverride w:val="1"/>
      <w:lvl w:ilvl="8" w:tentative="1">
        <w:start w:val="1"/>
        <w:numFmt w:val="lowerRoman"/>
        <w:lvlText w:val="%9."/>
        <w:lvlJc w:val="right"/>
        <w:pPr>
          <w:ind w:left="3780" w:hanging="420"/>
        </w:pPr>
      </w:lvl>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00000"/>
    <w:rsid w:val="253D71F7"/>
    <w:rsid w:val="28B47BF3"/>
    <w:rsid w:val="385C7A5A"/>
    <w:rsid w:val="470657CB"/>
    <w:rsid w:val="5C72618D"/>
    <w:rsid w:val="5DAD22F8"/>
    <w:rsid w:val="60F2508C"/>
    <w:rsid w:val="61724A03"/>
    <w:rsid w:val="6FD41B92"/>
    <w:rsid w:val="725947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widowControl w:val="0"/>
      <w:spacing w:before="340" w:after="330" w:line="576" w:lineRule="auto"/>
      <w:outlineLvl w:val="0"/>
    </w:pPr>
    <w:rPr>
      <w:b/>
      <w:bCs/>
      <w:kern w:val="44"/>
      <w:sz w:val="44"/>
      <w:szCs w:val="44"/>
    </w:rPr>
  </w:style>
  <w:style w:type="paragraph" w:styleId="5">
    <w:name w:val="heading 2"/>
    <w:basedOn w:val="1"/>
    <w:next w:val="1"/>
    <w:qFormat/>
    <w:uiPriority w:val="0"/>
    <w:pPr>
      <w:keepNext/>
      <w:keepLines/>
      <w:widowControl w:val="0"/>
      <w:spacing w:before="260" w:after="260" w:line="415" w:lineRule="auto"/>
      <w:outlineLvl w:val="1"/>
    </w:pPr>
    <w:rPr>
      <w:rFonts w:ascii="Arial" w:hAnsi="Arial" w:eastAsia="黑体"/>
      <w:b/>
      <w:bCs/>
      <w:sz w:val="32"/>
      <w:szCs w:val="32"/>
    </w:rPr>
  </w:style>
  <w:style w:type="paragraph" w:styleId="6">
    <w:name w:val="heading 3"/>
    <w:basedOn w:val="1"/>
    <w:next w:val="1"/>
    <w:qFormat/>
    <w:uiPriority w:val="0"/>
    <w:pPr>
      <w:keepNext/>
      <w:keepLines/>
      <w:widowControl w:val="0"/>
      <w:spacing w:before="260" w:after="260" w:line="415" w:lineRule="auto"/>
      <w:outlineLvl w:val="2"/>
    </w:pPr>
    <w:rPr>
      <w:b/>
      <w:bCs/>
      <w:sz w:val="32"/>
      <w:szCs w:val="32"/>
    </w:rPr>
  </w:style>
  <w:style w:type="paragraph" w:styleId="7">
    <w:name w:val="heading 7"/>
    <w:basedOn w:val="1"/>
    <w:next w:val="1"/>
    <w:qFormat/>
    <w:uiPriority w:val="0"/>
    <w:pPr>
      <w:keepNext/>
      <w:keepLines/>
      <w:widowControl w:val="0"/>
      <w:spacing w:before="240" w:after="64" w:line="319" w:lineRule="auto"/>
      <w:outlineLvl w:val="6"/>
    </w:pPr>
    <w:rPr>
      <w:b/>
      <w:bCs/>
      <w:sz w:val="24"/>
    </w:rPr>
  </w:style>
  <w:style w:type="character" w:default="1" w:styleId="25">
    <w:name w:val="Default Paragraph Font"/>
    <w:qFormat/>
    <w:uiPriority w:val="0"/>
  </w:style>
  <w:style w:type="table" w:default="1" w:styleId="24">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next w:val="1"/>
    <w:qFormat/>
    <w:uiPriority w:val="0"/>
    <w:pPr>
      <w:ind w:firstLine="200" w:firstLineChars="200"/>
    </w:pPr>
    <w:rPr>
      <w:color w:val="FF0000"/>
    </w:rPr>
  </w:style>
  <w:style w:type="paragraph" w:styleId="8">
    <w:name w:val="Normal Indent"/>
    <w:basedOn w:val="1"/>
    <w:qFormat/>
    <w:uiPriority w:val="0"/>
    <w:pPr>
      <w:adjustRightInd w:val="0"/>
      <w:spacing w:line="360" w:lineRule="atLeast"/>
      <w:ind w:firstLine="420"/>
    </w:pPr>
    <w:rPr>
      <w:szCs w:val="20"/>
    </w:rPr>
  </w:style>
  <w:style w:type="paragraph" w:styleId="9">
    <w:name w:val="annotation text"/>
    <w:basedOn w:val="1"/>
    <w:qFormat/>
    <w:uiPriority w:val="0"/>
    <w:pPr>
      <w:jc w:val="left"/>
    </w:pPr>
  </w:style>
  <w:style w:type="paragraph" w:styleId="10">
    <w:name w:val="Body Text"/>
    <w:basedOn w:val="1"/>
    <w:qFormat/>
    <w:uiPriority w:val="0"/>
    <w:pPr>
      <w:spacing w:after="120"/>
    </w:pPr>
  </w:style>
  <w:style w:type="paragraph" w:styleId="11">
    <w:name w:val="toc 3"/>
    <w:basedOn w:val="1"/>
    <w:next w:val="1"/>
    <w:qFormat/>
    <w:uiPriority w:val="0"/>
    <w:pPr>
      <w:ind w:left="400" w:leftChars="400"/>
    </w:pPr>
  </w:style>
  <w:style w:type="paragraph" w:styleId="12">
    <w:name w:val="Plain Text"/>
    <w:basedOn w:val="1"/>
    <w:qFormat/>
    <w:uiPriority w:val="0"/>
    <w:rPr>
      <w:rFonts w:ascii="宋体"/>
      <w:szCs w:val="21"/>
    </w:rPr>
  </w:style>
  <w:style w:type="paragraph" w:styleId="13">
    <w:name w:val="Date"/>
    <w:basedOn w:val="1"/>
    <w:next w:val="1"/>
    <w:qFormat/>
    <w:uiPriority w:val="0"/>
    <w:pPr>
      <w:adjustRightInd w:val="0"/>
      <w:spacing w:line="360" w:lineRule="atLeast"/>
    </w:pPr>
    <w:rPr>
      <w:rFonts w:ascii="黑体" w:eastAsia="黑体"/>
      <w:sz w:val="32"/>
      <w:szCs w:val="20"/>
    </w:rPr>
  </w:style>
  <w:style w:type="paragraph" w:styleId="14">
    <w:name w:val="Body Text Indent 2"/>
    <w:basedOn w:val="1"/>
    <w:qFormat/>
    <w:uiPriority w:val="0"/>
    <w:pPr>
      <w:spacing w:line="440" w:lineRule="exact"/>
      <w:ind w:firstLine="555"/>
    </w:pPr>
    <w:rPr>
      <w:rFonts w:ascii="楷体_GB2312" w:eastAsia="楷体_GB2312"/>
      <w:sz w:val="24"/>
    </w:rPr>
  </w:style>
  <w:style w:type="paragraph" w:styleId="15">
    <w:name w:val="Balloon Text"/>
    <w:basedOn w:val="1"/>
    <w:qFormat/>
    <w:uiPriority w:val="0"/>
    <w:rPr>
      <w:rFonts w:ascii="宋体"/>
      <w:sz w:val="18"/>
      <w:szCs w:val="18"/>
    </w:rPr>
  </w:style>
  <w:style w:type="paragraph" w:styleId="16">
    <w:name w:val="footer"/>
    <w:basedOn w:val="1"/>
    <w:qFormat/>
    <w:uiPriority w:val="0"/>
    <w:pPr>
      <w:tabs>
        <w:tab w:val="center" w:pos="4153"/>
        <w:tab w:val="right" w:pos="8306"/>
      </w:tabs>
      <w:snapToGrid w:val="0"/>
      <w:jc w:val="left"/>
    </w:pPr>
    <w:rPr>
      <w:rFonts w:ascii="宋体"/>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style>
  <w:style w:type="paragraph" w:styleId="19">
    <w:name w:val="Body Text Indent 3"/>
    <w:basedOn w:val="1"/>
    <w:qFormat/>
    <w:uiPriority w:val="0"/>
    <w:pPr>
      <w:spacing w:line="500" w:lineRule="exact"/>
      <w:ind w:firstLine="225" w:firstLineChars="225"/>
    </w:pPr>
    <w:rPr>
      <w:rFonts w:ascii="楷体_GB2312" w:eastAsia="楷体_GB2312"/>
      <w:sz w:val="24"/>
    </w:rPr>
  </w:style>
  <w:style w:type="paragraph" w:styleId="20">
    <w:name w:val="toc 2"/>
    <w:basedOn w:val="1"/>
    <w:next w:val="1"/>
    <w:qFormat/>
    <w:uiPriority w:val="0"/>
    <w:pPr>
      <w:ind w:left="200" w:leftChars="200"/>
    </w:pPr>
  </w:style>
  <w:style w:type="paragraph" w:styleId="21">
    <w:name w:val="Normal (Web)"/>
    <w:basedOn w:val="1"/>
    <w:qFormat/>
    <w:uiPriority w:val="0"/>
    <w:pPr>
      <w:widowControl/>
      <w:spacing w:before="100" w:beforeAutospacing="1" w:after="100" w:afterAutospacing="1"/>
      <w:jc w:val="left"/>
    </w:pPr>
    <w:rPr>
      <w:rFonts w:ascii="宋体" w:cs="宋体"/>
      <w:kern w:val="0"/>
      <w:sz w:val="24"/>
    </w:rPr>
  </w:style>
  <w:style w:type="paragraph" w:styleId="22">
    <w:name w:val="Title"/>
    <w:basedOn w:val="1"/>
    <w:qFormat/>
    <w:uiPriority w:val="0"/>
    <w:pPr>
      <w:snapToGrid w:val="0"/>
      <w:spacing w:before="120" w:after="120"/>
      <w:outlineLvl w:val="0"/>
    </w:pPr>
    <w:rPr>
      <w:rFonts w:ascii="宋体" w:hAnsi="宋体" w:eastAsia="黑体"/>
      <w:b/>
      <w:bCs/>
      <w:szCs w:val="21"/>
    </w:rPr>
  </w:style>
  <w:style w:type="paragraph" w:styleId="23">
    <w:name w:val="annotation subject"/>
    <w:basedOn w:val="9"/>
    <w:next w:val="9"/>
    <w:qFormat/>
    <w:uiPriority w:val="0"/>
    <w:rPr>
      <w:b/>
      <w:bCs/>
    </w:rPr>
  </w:style>
  <w:style w:type="character" w:styleId="26">
    <w:name w:val="page number"/>
    <w:basedOn w:val="25"/>
    <w:qFormat/>
    <w:uiPriority w:val="0"/>
  </w:style>
  <w:style w:type="character" w:styleId="27">
    <w:name w:val="FollowedHyperlink"/>
    <w:qFormat/>
    <w:uiPriority w:val="0"/>
    <w:rPr>
      <w:color w:val="800080"/>
      <w:u w:val="single"/>
    </w:rPr>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Blockquote"/>
    <w:basedOn w:val="1"/>
    <w:qFormat/>
    <w:uiPriority w:val="0"/>
    <w:pPr>
      <w:autoSpaceDE w:val="0"/>
      <w:autoSpaceDN w:val="0"/>
      <w:adjustRightInd w:val="0"/>
      <w:spacing w:before="100" w:after="100"/>
      <w:ind w:left="360" w:right="360"/>
      <w:jc w:val="left"/>
    </w:pPr>
    <w:rPr>
      <w:kern w:val="0"/>
      <w:sz w:val="24"/>
      <w:szCs w:val="20"/>
    </w:rPr>
  </w:style>
  <w:style w:type="paragraph" w:styleId="31">
    <w:name w:val="List Paragraph"/>
    <w:basedOn w:val="1"/>
    <w:qFormat/>
    <w:uiPriority w:val="0"/>
    <w:pPr>
      <w:ind w:firstLine="200" w:firstLineChars="200"/>
    </w:pPr>
  </w:style>
  <w:style w:type="paragraph" w:customStyle="1" w:styleId="32">
    <w:name w:val="样式 标题 1 + 宋体 居中 段前: 48 磅 段后: 12 磅 行距: 1.5 倍行距"/>
    <w:basedOn w:val="4"/>
    <w:qFormat/>
    <w:uiPriority w:val="0"/>
    <w:pPr>
      <w:keepNext w:val="0"/>
      <w:keepLines w:val="0"/>
      <w:widowControl w:val="0"/>
      <w:adjustRightInd w:val="0"/>
      <w:spacing w:before="0" w:after="0" w:line="360" w:lineRule="auto"/>
      <w:jc w:val="center"/>
    </w:pPr>
    <w:rPr>
      <w:rFonts w:ascii="宋体" w:hAnsi="宋体" w:eastAsia="黑体" w:cs="宋体"/>
      <w:kern w:val="2"/>
      <w:sz w:val="32"/>
      <w:szCs w:val="32"/>
      <w:lang w:val="zh-CN"/>
    </w:rPr>
  </w:style>
  <w:style w:type="paragraph" w:customStyle="1" w:styleId="33">
    <w:name w:val="Char"/>
    <w:basedOn w:val="1"/>
    <w:qFormat/>
    <w:uiPriority w:val="0"/>
    <w:pPr>
      <w:spacing w:line="360" w:lineRule="auto"/>
      <w:ind w:firstLine="200" w:firstLineChars="200"/>
    </w:pPr>
    <w:rPr>
      <w:szCs w:val="20"/>
    </w:rPr>
  </w:style>
  <w:style w:type="paragraph" w:customStyle="1" w:styleId="3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5">
    <w:name w:val="表格文字"/>
    <w:next w:val="1"/>
    <w:qFormat/>
    <w:uiPriority w:val="0"/>
    <w:pPr>
      <w:snapToGrid w:val="0"/>
      <w:spacing w:before="60" w:after="60"/>
    </w:pPr>
    <w:rPr>
      <w:rFonts w:ascii="Times New Roman" w:hAnsi="Times New Roman" w:eastAsia="宋体" w:cs="Times New Roman"/>
      <w:kern w:val="2"/>
      <w:sz w:val="22"/>
      <w:szCs w:val="24"/>
      <w:lang w:val="en-US" w:eastAsia="zh-CN" w:bidi="ar-SA"/>
    </w:rPr>
  </w:style>
  <w:style w:type="paragraph" w:styleId="36">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标题 Char1"/>
    <w:qFormat/>
    <w:uiPriority w:val="0"/>
    <w:rPr>
      <w:rFonts w:ascii="Cambria" w:hAnsi="Cambria" w:cs="Times New Roman"/>
      <w:b/>
      <w:bCs/>
      <w:kern w:val="2"/>
      <w:sz w:val="32"/>
      <w:szCs w:val="32"/>
    </w:rPr>
  </w:style>
  <w:style w:type="paragraph" w:customStyle="1" w:styleId="38">
    <w:name w:val="标题 5（有编号）（绿盟科技）"/>
    <w:basedOn w:val="1"/>
    <w:next w:val="39"/>
    <w:qFormat/>
    <w:uiPriority w:val="0"/>
    <w:pPr>
      <w:keepNext/>
      <w:keepLines/>
      <w:widowControl w:val="0"/>
      <w:numPr>
        <w:ilvl w:val="4"/>
        <w:numId w:val="1"/>
      </w:numPr>
      <w:spacing w:before="280" w:after="156" w:line="377" w:lineRule="auto"/>
      <w:jc w:val="left"/>
      <w:outlineLvl w:val="4"/>
    </w:pPr>
    <w:rPr>
      <w:rFonts w:ascii="Arial" w:hAnsi="Arial" w:eastAsia="黑体"/>
      <w:b/>
      <w:sz w:val="24"/>
      <w:szCs w:val="28"/>
    </w:rPr>
  </w:style>
  <w:style w:type="paragraph" w:customStyle="1" w:styleId="39">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Lenovo (Beijing) Limited</Company>
  <Pages>34</Pages>
  <Words>0</Words>
  <Characters>12752</Characters>
  <Lines>0</Lines>
  <Paragraphs>741</Paragraphs>
  <TotalTime>60</TotalTime>
  <ScaleCrop>false</ScaleCrop>
  <LinksUpToDate>false</LinksUpToDate>
  <CharactersWithSpaces>17003</CharactersWithSpaces>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2020-12-21T10:24:00Z</dcterms:created>
  <dc:creator>Lenovo User</dc:creator>
  <cp:lastModifiedBy>Lenovo</cp:lastModifiedBy>
  <cp:lastPrinted>2022-03-16T06:03:00Z</cp:lastPrinted>
  <dcterms:modified xsi:type="dcterms:W3CDTF">2022-03-18T01:51:02Z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