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hint="eastAsia" w:ascii="仿宋_GB2312" w:hAnsi="宋体" w:eastAsia="仿宋_GB2312"/>
          <w:b/>
          <w:spacing w:val="28"/>
          <w:sz w:val="48"/>
          <w:szCs w:val="48"/>
        </w:rPr>
      </w:pPr>
    </w:p>
    <w:p>
      <w:pPr>
        <w:adjustRightInd w:val="0"/>
        <w:snapToGrid w:val="0"/>
        <w:spacing w:line="360" w:lineRule="auto"/>
        <w:jc w:val="center"/>
        <w:rPr>
          <w:rFonts w:hint="eastAsia" w:ascii="仿宋_GB2312" w:hAnsi="宋体" w:eastAsia="仿宋_GB2312"/>
          <w:b/>
          <w:spacing w:val="28"/>
          <w:sz w:val="48"/>
          <w:szCs w:val="48"/>
        </w:rPr>
      </w:pPr>
    </w:p>
    <w:p>
      <w:pPr>
        <w:adjustRightInd w:val="0"/>
        <w:snapToGrid w:val="0"/>
        <w:spacing w:line="360" w:lineRule="auto"/>
        <w:jc w:val="center"/>
        <w:rPr>
          <w:rFonts w:hint="eastAsia" w:ascii="仿宋_GB2312" w:hAnsi="宋体" w:eastAsia="仿宋_GB2312"/>
          <w:b/>
          <w:spacing w:val="28"/>
          <w:sz w:val="48"/>
          <w:szCs w:val="48"/>
        </w:rPr>
      </w:pPr>
      <w:r>
        <w:rPr>
          <w:rFonts w:hint="eastAsia" w:ascii="仿宋_GB2312" w:hAnsi="宋体" w:eastAsia="仿宋_GB2312"/>
          <w:b/>
          <w:spacing w:val="28"/>
          <w:sz w:val="48"/>
          <w:szCs w:val="48"/>
        </w:rPr>
        <w:t>颐尚公馆二期22-38幢管道工程</w:t>
      </w:r>
    </w:p>
    <w:p>
      <w:pPr>
        <w:adjustRightInd w:val="0"/>
        <w:snapToGrid w:val="0"/>
        <w:spacing w:line="360" w:lineRule="auto"/>
        <w:jc w:val="center"/>
        <w:rPr>
          <w:rFonts w:hint="eastAsia" w:ascii="仿宋_GB2312" w:hAnsi="宋体" w:eastAsia="仿宋_GB2312"/>
          <w:b/>
          <w:snapToGrid w:val="0"/>
          <w:sz w:val="48"/>
          <w:szCs w:val="48"/>
          <w:lang w:eastAsia="zh-CN"/>
        </w:rPr>
      </w:pPr>
      <w:r>
        <w:rPr>
          <w:rFonts w:hint="eastAsia" w:ascii="仿宋_GB2312" w:hAnsi="宋体" w:eastAsia="仿宋_GB2312"/>
          <w:b/>
          <w:spacing w:val="28"/>
          <w:sz w:val="48"/>
          <w:szCs w:val="48"/>
        </w:rPr>
        <w:t>劳务分包招标文件</w:t>
      </w:r>
      <w:r>
        <w:rPr>
          <w:rFonts w:hint="eastAsia" w:ascii="仿宋_GB2312" w:hAnsi="宋体" w:eastAsia="仿宋_GB2312"/>
          <w:b/>
          <w:spacing w:val="28"/>
          <w:sz w:val="48"/>
          <w:szCs w:val="48"/>
          <w:lang w:eastAsia="zh-CN"/>
        </w:rPr>
        <w:t>（</w:t>
      </w:r>
      <w:r>
        <w:rPr>
          <w:rFonts w:hint="eastAsia" w:ascii="仿宋_GB2312" w:hAnsi="宋体" w:eastAsia="仿宋_GB2312"/>
          <w:b/>
          <w:spacing w:val="28"/>
          <w:sz w:val="48"/>
          <w:szCs w:val="48"/>
          <w:lang w:val="en-US" w:eastAsia="zh-CN"/>
        </w:rPr>
        <w:t>二次</w:t>
      </w:r>
      <w:r>
        <w:rPr>
          <w:rFonts w:hint="eastAsia" w:ascii="仿宋_GB2312" w:hAnsi="宋体" w:eastAsia="仿宋_GB2312"/>
          <w:b/>
          <w:spacing w:val="28"/>
          <w:sz w:val="48"/>
          <w:szCs w:val="48"/>
          <w:lang w:eastAsia="zh-CN"/>
        </w:rPr>
        <w:t>）</w:t>
      </w:r>
    </w:p>
    <w:p>
      <w:pPr>
        <w:adjustRightInd w:val="0"/>
        <w:snapToGrid w:val="0"/>
        <w:spacing w:line="360" w:lineRule="auto"/>
        <w:ind w:firstLine="602" w:firstLineChars="200"/>
        <w:jc w:val="center"/>
        <w:rPr>
          <w:rFonts w:hint="eastAsia" w:ascii="仿宋_GB2312" w:hAnsi="宋体" w:eastAsia="仿宋_GB2312"/>
          <w:b/>
          <w:bCs/>
          <w:snapToGrid w:val="0"/>
          <w:sz w:val="30"/>
        </w:rPr>
      </w:pPr>
    </w:p>
    <w:p>
      <w:pPr>
        <w:adjustRightInd w:val="0"/>
        <w:snapToGrid w:val="0"/>
        <w:spacing w:line="360" w:lineRule="auto"/>
        <w:ind w:firstLine="1446" w:firstLineChars="200"/>
        <w:jc w:val="center"/>
        <w:rPr>
          <w:rFonts w:hint="eastAsia" w:ascii="仿宋_GB2312" w:hAnsi="宋体" w:eastAsia="仿宋_GB2312"/>
          <w:b/>
          <w:snapToGrid w:val="0"/>
          <w:sz w:val="72"/>
        </w:rPr>
      </w:pPr>
    </w:p>
    <w:p>
      <w:pPr>
        <w:adjustRightInd w:val="0"/>
        <w:snapToGrid w:val="0"/>
        <w:spacing w:line="360" w:lineRule="auto"/>
        <w:ind w:firstLine="1446" w:firstLineChars="200"/>
        <w:jc w:val="center"/>
        <w:rPr>
          <w:rFonts w:hint="eastAsia" w:ascii="仿宋_GB2312" w:hAnsi="宋体" w:eastAsia="仿宋_GB2312"/>
          <w:b/>
          <w:snapToGrid w:val="0"/>
          <w:sz w:val="72"/>
        </w:rPr>
      </w:pPr>
    </w:p>
    <w:p>
      <w:pPr>
        <w:adjustRightInd w:val="0"/>
        <w:snapToGrid w:val="0"/>
        <w:spacing w:line="480" w:lineRule="auto"/>
        <w:rPr>
          <w:rFonts w:hint="eastAsia" w:ascii="仿宋_GB2312" w:hAnsi="宋体" w:eastAsia="仿宋_GB2312"/>
          <w:b/>
          <w:bCs/>
          <w:snapToGrid w:val="0"/>
          <w:sz w:val="30"/>
        </w:rPr>
      </w:pPr>
    </w:p>
    <w:p>
      <w:pPr>
        <w:adjustRightInd w:val="0"/>
        <w:snapToGrid w:val="0"/>
        <w:spacing w:line="480" w:lineRule="auto"/>
        <w:rPr>
          <w:rFonts w:hint="eastAsia" w:ascii="仿宋_GB2312" w:hAnsi="宋体" w:eastAsia="仿宋_GB2312"/>
          <w:b/>
          <w:bCs/>
          <w:snapToGrid w:val="0"/>
          <w:sz w:val="30"/>
        </w:rPr>
      </w:pPr>
    </w:p>
    <w:p>
      <w:pPr>
        <w:adjustRightInd w:val="0"/>
        <w:snapToGrid w:val="0"/>
        <w:spacing w:line="480" w:lineRule="auto"/>
        <w:rPr>
          <w:rFonts w:hint="eastAsia" w:ascii="仿宋_GB2312" w:hAnsi="宋体" w:eastAsia="仿宋_GB2312"/>
          <w:b/>
          <w:bCs/>
          <w:snapToGrid w:val="0"/>
          <w:sz w:val="30"/>
        </w:rPr>
      </w:pPr>
    </w:p>
    <w:p>
      <w:pPr>
        <w:adjustRightInd w:val="0"/>
        <w:snapToGrid w:val="0"/>
        <w:spacing w:line="480" w:lineRule="auto"/>
        <w:ind w:firstLine="1051" w:firstLineChars="349"/>
        <w:rPr>
          <w:rFonts w:hint="eastAsia" w:ascii="仿宋_GB2312" w:hAnsi="宋体" w:eastAsia="仿宋_GB2312"/>
          <w:b/>
          <w:bCs/>
          <w:snapToGrid w:val="0"/>
          <w:sz w:val="28"/>
        </w:rPr>
      </w:pPr>
      <w:r>
        <w:rPr>
          <w:rFonts w:hint="eastAsia" w:ascii="仿宋_GB2312" w:hAnsi="宋体" w:eastAsia="仿宋_GB2312"/>
          <w:b/>
          <w:bCs/>
          <w:snapToGrid w:val="0"/>
          <w:sz w:val="30"/>
        </w:rPr>
        <w:t xml:space="preserve">招   </w:t>
      </w:r>
      <w:r>
        <w:rPr>
          <w:rFonts w:ascii="仿宋_GB2312" w:hAnsi="宋体" w:eastAsia="仿宋_GB2312"/>
          <w:b/>
          <w:bCs/>
          <w:snapToGrid w:val="0"/>
          <w:sz w:val="30"/>
        </w:rPr>
        <w:t xml:space="preserve"> </w:t>
      </w:r>
      <w:r>
        <w:rPr>
          <w:rFonts w:hint="eastAsia" w:ascii="仿宋_GB2312" w:hAnsi="宋体" w:eastAsia="仿宋_GB2312"/>
          <w:b/>
          <w:bCs/>
          <w:snapToGrid w:val="0"/>
          <w:sz w:val="30"/>
        </w:rPr>
        <w:t>标   人 ：江苏长江水务股份有限公司</w:t>
      </w:r>
    </w:p>
    <w:p>
      <w:pPr>
        <w:adjustRightInd w:val="0"/>
        <w:snapToGrid w:val="0"/>
        <w:spacing w:line="480" w:lineRule="auto"/>
        <w:ind w:firstLine="1042" w:firstLineChars="346"/>
        <w:rPr>
          <w:rFonts w:hint="eastAsia" w:ascii="宋体" w:hAnsi="宋体"/>
          <w:b/>
          <w:snapToGrid w:val="0"/>
          <w:sz w:val="44"/>
        </w:rPr>
      </w:pPr>
      <w:r>
        <w:rPr>
          <w:rFonts w:hint="eastAsia" w:ascii="仿宋_GB2312" w:hAnsi="宋体" w:eastAsia="仿宋_GB2312"/>
          <w:b/>
          <w:bCs/>
          <w:snapToGrid w:val="0"/>
          <w:sz w:val="30"/>
        </w:rPr>
        <w:t>发  放  日  期：</w:t>
      </w:r>
      <w:r>
        <w:rPr>
          <w:rFonts w:hint="eastAsia" w:ascii="仿宋_GB2312" w:hAnsi="宋体" w:eastAsia="仿宋_GB2312"/>
          <w:b/>
          <w:bCs/>
          <w:snapToGrid w:val="0"/>
          <w:color w:val="FF0000"/>
          <w:sz w:val="30"/>
          <w:u w:val="single"/>
        </w:rPr>
        <w:t xml:space="preserve"> 202</w:t>
      </w:r>
      <w:r>
        <w:rPr>
          <w:rFonts w:hint="eastAsia" w:ascii="仿宋_GB2312" w:hAnsi="宋体" w:eastAsia="仿宋_GB2312"/>
          <w:b/>
          <w:bCs/>
          <w:snapToGrid w:val="0"/>
          <w:color w:val="FF0000"/>
          <w:sz w:val="30"/>
          <w:u w:val="single"/>
          <w:lang w:val="en-US" w:eastAsia="zh-CN"/>
        </w:rPr>
        <w:t>2</w:t>
      </w:r>
      <w:r>
        <w:rPr>
          <w:rFonts w:hint="eastAsia" w:ascii="仿宋_GB2312" w:hAnsi="宋体" w:eastAsia="仿宋_GB2312"/>
          <w:b/>
          <w:bCs/>
          <w:snapToGrid w:val="0"/>
          <w:color w:val="FF0000"/>
          <w:sz w:val="30"/>
        </w:rPr>
        <w:t xml:space="preserve">年 </w:t>
      </w:r>
      <w:r>
        <w:rPr>
          <w:rFonts w:hint="eastAsia" w:ascii="仿宋_GB2312" w:hAnsi="宋体" w:eastAsia="仿宋_GB2312"/>
          <w:b/>
          <w:bCs/>
          <w:snapToGrid w:val="0"/>
          <w:color w:val="FF0000"/>
          <w:sz w:val="30"/>
          <w:u w:val="single"/>
        </w:rPr>
        <w:t xml:space="preserve"> 1</w:t>
      </w:r>
      <w:r>
        <w:rPr>
          <w:rFonts w:hint="eastAsia" w:ascii="仿宋_GB2312" w:hAnsi="宋体" w:eastAsia="仿宋_GB2312"/>
          <w:b/>
          <w:bCs/>
          <w:snapToGrid w:val="0"/>
          <w:color w:val="FF0000"/>
          <w:sz w:val="30"/>
        </w:rPr>
        <w:t xml:space="preserve">月 </w:t>
      </w:r>
      <w:r>
        <w:rPr>
          <w:rFonts w:hint="eastAsia" w:ascii="仿宋_GB2312" w:hAnsi="宋体" w:eastAsia="仿宋_GB2312"/>
          <w:b/>
          <w:bCs/>
          <w:snapToGrid w:val="0"/>
          <w:color w:val="FF0000"/>
          <w:sz w:val="30"/>
          <w:u w:val="single"/>
        </w:rPr>
        <w:t xml:space="preserve"> </w:t>
      </w:r>
      <w:r>
        <w:rPr>
          <w:rFonts w:hint="eastAsia" w:ascii="仿宋_GB2312" w:hAnsi="宋体" w:eastAsia="仿宋_GB2312"/>
          <w:b/>
          <w:bCs/>
          <w:snapToGrid w:val="0"/>
          <w:color w:val="FF0000"/>
          <w:sz w:val="30"/>
          <w:u w:val="single"/>
          <w:lang w:val="en-US" w:eastAsia="zh-CN"/>
        </w:rPr>
        <w:t>27</w:t>
      </w:r>
      <w:r>
        <w:rPr>
          <w:rFonts w:hint="eastAsia" w:ascii="仿宋_GB2312" w:hAnsi="宋体" w:eastAsia="仿宋_GB2312"/>
          <w:b/>
          <w:bCs/>
          <w:snapToGrid w:val="0"/>
          <w:color w:val="FF0000"/>
          <w:sz w:val="30"/>
        </w:rPr>
        <w:t>日</w:t>
      </w:r>
    </w:p>
    <w:p>
      <w:pPr>
        <w:adjustRightInd w:val="0"/>
        <w:snapToGrid w:val="0"/>
        <w:spacing w:line="360" w:lineRule="auto"/>
        <w:rPr>
          <w:rFonts w:hint="eastAsia" w:ascii="宋体" w:hAnsi="宋体"/>
          <w:b/>
          <w:snapToGrid w:val="0"/>
          <w:sz w:val="44"/>
          <w:highlight w:val="white"/>
        </w:rPr>
      </w:pPr>
    </w:p>
    <w:p>
      <w:pPr>
        <w:adjustRightInd w:val="0"/>
        <w:snapToGrid w:val="0"/>
        <w:spacing w:line="360" w:lineRule="auto"/>
        <w:ind w:firstLine="881"/>
        <w:jc w:val="center"/>
        <w:rPr>
          <w:rFonts w:hint="eastAsia" w:ascii="宋体" w:hAnsi="宋体"/>
          <w:b/>
          <w:snapToGrid w:val="0"/>
          <w:sz w:val="44"/>
          <w:highlight w:val="white"/>
        </w:rPr>
      </w:pPr>
    </w:p>
    <w:p>
      <w:pPr>
        <w:adjustRightInd w:val="0"/>
        <w:snapToGrid w:val="0"/>
        <w:spacing w:line="360" w:lineRule="auto"/>
        <w:ind w:firstLine="881"/>
        <w:jc w:val="center"/>
        <w:rPr>
          <w:rFonts w:hint="eastAsia" w:ascii="宋体" w:hAnsi="宋体"/>
          <w:b/>
          <w:snapToGrid w:val="0"/>
          <w:sz w:val="44"/>
          <w:highlight w:val="white"/>
        </w:rPr>
      </w:pPr>
    </w:p>
    <w:p>
      <w:pPr>
        <w:adjustRightInd w:val="0"/>
        <w:snapToGrid w:val="0"/>
        <w:spacing w:line="360" w:lineRule="auto"/>
        <w:ind w:firstLine="881"/>
        <w:jc w:val="center"/>
        <w:rPr>
          <w:rFonts w:hint="eastAsia" w:ascii="宋体" w:hAnsi="宋体"/>
          <w:b/>
          <w:snapToGrid w:val="0"/>
          <w:sz w:val="44"/>
          <w:highlight w:val="white"/>
        </w:rPr>
      </w:pPr>
    </w:p>
    <w:p>
      <w:pPr>
        <w:adjustRightInd w:val="0"/>
        <w:snapToGrid w:val="0"/>
        <w:spacing w:line="360" w:lineRule="auto"/>
        <w:ind w:firstLine="881"/>
        <w:jc w:val="center"/>
        <w:rPr>
          <w:rFonts w:hint="eastAsia" w:ascii="宋体" w:hAnsi="宋体"/>
          <w:b/>
          <w:snapToGrid w:val="0"/>
          <w:sz w:val="44"/>
          <w:highlight w:val="white"/>
        </w:rPr>
      </w:pPr>
    </w:p>
    <w:p>
      <w:pPr>
        <w:adjustRightInd w:val="0"/>
        <w:snapToGrid w:val="0"/>
        <w:spacing w:line="360" w:lineRule="auto"/>
        <w:ind w:firstLine="881"/>
        <w:jc w:val="center"/>
        <w:rPr>
          <w:rFonts w:hint="eastAsia" w:ascii="宋体" w:hAnsi="宋体"/>
          <w:b/>
          <w:snapToGrid w:val="0"/>
          <w:sz w:val="44"/>
          <w:highlight w:val="white"/>
        </w:rPr>
      </w:pPr>
      <w:r>
        <w:rPr>
          <w:rFonts w:hint="eastAsia" w:ascii="宋体" w:hAnsi="宋体"/>
          <w:b/>
          <w:snapToGrid w:val="0"/>
          <w:sz w:val="44"/>
          <w:highlight w:val="white"/>
        </w:rPr>
        <w:t>目         录</w:t>
      </w:r>
    </w:p>
    <w:p>
      <w:pPr>
        <w:adjustRightInd w:val="0"/>
        <w:snapToGrid w:val="0"/>
        <w:spacing w:line="480" w:lineRule="auto"/>
        <w:ind w:firstLine="640"/>
        <w:rPr>
          <w:rFonts w:hint="eastAsia" w:ascii="宋体" w:hAnsi="宋体"/>
          <w:bCs/>
          <w:snapToGrid w:val="0"/>
          <w:sz w:val="32"/>
        </w:rPr>
      </w:pPr>
    </w:p>
    <w:p>
      <w:pPr>
        <w:numPr>
          <w:ilvl w:val="0"/>
          <w:numId w:val="1"/>
        </w:numPr>
        <w:adjustRightInd w:val="0"/>
        <w:snapToGrid w:val="0"/>
        <w:spacing w:line="480" w:lineRule="auto"/>
        <w:rPr>
          <w:rFonts w:hint="eastAsia" w:ascii="宋体" w:hAnsi="宋体"/>
          <w:bCs/>
          <w:snapToGrid w:val="0"/>
          <w:sz w:val="32"/>
          <w:highlight w:val="white"/>
        </w:rPr>
      </w:pPr>
      <w:r>
        <w:rPr>
          <w:rFonts w:hint="eastAsia" w:ascii="宋体" w:hAnsi="宋体"/>
          <w:bCs/>
          <w:snapToGrid w:val="0"/>
          <w:sz w:val="32"/>
          <w:highlight w:val="white"/>
        </w:rPr>
        <w:t>投标须知</w:t>
      </w:r>
    </w:p>
    <w:p>
      <w:pPr>
        <w:adjustRightInd w:val="0"/>
        <w:snapToGrid w:val="0"/>
        <w:spacing w:line="480" w:lineRule="auto"/>
        <w:ind w:left="640" w:firstLine="493"/>
        <w:rPr>
          <w:rFonts w:hint="eastAsia" w:ascii="宋体" w:hAnsi="宋体"/>
          <w:bCs/>
          <w:snapToGrid w:val="0"/>
          <w:sz w:val="32"/>
          <w:highlight w:val="white"/>
        </w:rPr>
      </w:pPr>
      <w:r>
        <w:rPr>
          <w:rFonts w:hint="eastAsia" w:ascii="宋体" w:hAnsi="宋体"/>
          <w:bCs/>
          <w:snapToGrid w:val="0"/>
          <w:sz w:val="32"/>
          <w:highlight w:val="white"/>
        </w:rPr>
        <w:t>投标人须知前附表</w:t>
      </w:r>
    </w:p>
    <w:p>
      <w:pPr>
        <w:numPr>
          <w:ilvl w:val="0"/>
          <w:numId w:val="2"/>
        </w:numPr>
        <w:adjustRightInd w:val="0"/>
        <w:snapToGrid w:val="0"/>
        <w:spacing w:line="480" w:lineRule="auto"/>
        <w:ind w:left="0" w:firstLine="640"/>
        <w:rPr>
          <w:rFonts w:hint="eastAsia" w:ascii="宋体" w:hAnsi="宋体"/>
          <w:bCs/>
          <w:snapToGrid w:val="0"/>
          <w:sz w:val="32"/>
          <w:highlight w:val="white"/>
        </w:rPr>
      </w:pPr>
      <w:r>
        <w:rPr>
          <w:rFonts w:hint="eastAsia" w:ascii="宋体" w:hAnsi="宋体"/>
          <w:bCs/>
          <w:snapToGrid w:val="0"/>
          <w:sz w:val="32"/>
          <w:highlight w:val="white"/>
        </w:rPr>
        <w:t>总则</w:t>
      </w:r>
    </w:p>
    <w:p>
      <w:pPr>
        <w:numPr>
          <w:ilvl w:val="0"/>
          <w:numId w:val="2"/>
        </w:numPr>
        <w:adjustRightInd w:val="0"/>
        <w:snapToGrid w:val="0"/>
        <w:spacing w:line="480" w:lineRule="auto"/>
        <w:ind w:left="0" w:firstLine="640"/>
        <w:rPr>
          <w:rFonts w:hint="eastAsia" w:ascii="宋体" w:hAnsi="宋体"/>
          <w:bCs/>
          <w:snapToGrid w:val="0"/>
          <w:sz w:val="32"/>
          <w:highlight w:val="white"/>
        </w:rPr>
      </w:pPr>
      <w:r>
        <w:rPr>
          <w:rFonts w:hint="eastAsia" w:ascii="宋体" w:hAnsi="宋体"/>
          <w:bCs/>
          <w:snapToGrid w:val="0"/>
          <w:sz w:val="32"/>
          <w:highlight w:val="white"/>
        </w:rPr>
        <w:t>招标文件</w:t>
      </w:r>
    </w:p>
    <w:p>
      <w:pPr>
        <w:numPr>
          <w:ilvl w:val="0"/>
          <w:numId w:val="2"/>
        </w:numPr>
        <w:adjustRightInd w:val="0"/>
        <w:snapToGrid w:val="0"/>
        <w:spacing w:line="480" w:lineRule="auto"/>
        <w:ind w:left="0" w:firstLine="640"/>
        <w:rPr>
          <w:rFonts w:hint="eastAsia" w:ascii="宋体" w:hAnsi="宋体"/>
          <w:bCs/>
          <w:snapToGrid w:val="0"/>
          <w:sz w:val="32"/>
          <w:highlight w:val="white"/>
        </w:rPr>
      </w:pPr>
      <w:r>
        <w:rPr>
          <w:rFonts w:hint="eastAsia" w:ascii="宋体" w:hAnsi="宋体"/>
          <w:bCs/>
          <w:snapToGrid w:val="0"/>
          <w:sz w:val="32"/>
          <w:highlight w:val="white"/>
        </w:rPr>
        <w:t>投标文件</w:t>
      </w:r>
    </w:p>
    <w:p>
      <w:pPr>
        <w:numPr>
          <w:ilvl w:val="0"/>
          <w:numId w:val="2"/>
        </w:numPr>
        <w:adjustRightInd w:val="0"/>
        <w:snapToGrid w:val="0"/>
        <w:spacing w:line="480" w:lineRule="auto"/>
        <w:ind w:left="0" w:firstLine="640"/>
        <w:rPr>
          <w:rFonts w:hint="eastAsia" w:ascii="宋体" w:hAnsi="宋体"/>
          <w:bCs/>
          <w:snapToGrid w:val="0"/>
          <w:sz w:val="32"/>
          <w:highlight w:val="white"/>
        </w:rPr>
      </w:pPr>
      <w:r>
        <w:rPr>
          <w:rFonts w:hint="eastAsia" w:ascii="宋体" w:hAnsi="宋体"/>
          <w:bCs/>
          <w:snapToGrid w:val="0"/>
          <w:sz w:val="32"/>
          <w:highlight w:val="white"/>
        </w:rPr>
        <w:t>投标报价</w:t>
      </w:r>
    </w:p>
    <w:p>
      <w:pPr>
        <w:numPr>
          <w:ilvl w:val="0"/>
          <w:numId w:val="2"/>
        </w:numPr>
        <w:adjustRightInd w:val="0"/>
        <w:snapToGrid w:val="0"/>
        <w:spacing w:line="480" w:lineRule="auto"/>
        <w:ind w:left="0" w:firstLine="640"/>
        <w:rPr>
          <w:rFonts w:hint="eastAsia" w:ascii="宋体" w:hAnsi="宋体"/>
          <w:bCs/>
          <w:snapToGrid w:val="0"/>
          <w:sz w:val="32"/>
          <w:highlight w:val="white"/>
        </w:rPr>
      </w:pPr>
      <w:r>
        <w:rPr>
          <w:rFonts w:hint="eastAsia" w:ascii="宋体" w:hAnsi="宋体"/>
          <w:bCs/>
          <w:snapToGrid w:val="0"/>
          <w:sz w:val="32"/>
          <w:highlight w:val="white"/>
        </w:rPr>
        <w:t>投标文件密封和递交</w:t>
      </w:r>
    </w:p>
    <w:p>
      <w:pPr>
        <w:numPr>
          <w:ilvl w:val="0"/>
          <w:numId w:val="2"/>
        </w:numPr>
        <w:adjustRightInd w:val="0"/>
        <w:snapToGrid w:val="0"/>
        <w:spacing w:line="480" w:lineRule="auto"/>
        <w:ind w:left="0" w:firstLine="640"/>
        <w:rPr>
          <w:rFonts w:hint="eastAsia" w:ascii="宋体" w:hAnsi="宋体"/>
          <w:bCs/>
          <w:snapToGrid w:val="0"/>
          <w:sz w:val="32"/>
          <w:highlight w:val="white"/>
        </w:rPr>
      </w:pPr>
      <w:r>
        <w:rPr>
          <w:rFonts w:hint="eastAsia" w:ascii="宋体" w:hAnsi="宋体"/>
          <w:bCs/>
          <w:snapToGrid w:val="0"/>
          <w:sz w:val="32"/>
          <w:highlight w:val="white"/>
        </w:rPr>
        <w:t>开标</w:t>
      </w:r>
    </w:p>
    <w:p>
      <w:pPr>
        <w:numPr>
          <w:ilvl w:val="0"/>
          <w:numId w:val="2"/>
        </w:numPr>
        <w:adjustRightInd w:val="0"/>
        <w:snapToGrid w:val="0"/>
        <w:spacing w:line="480" w:lineRule="auto"/>
        <w:ind w:left="0" w:firstLine="640"/>
        <w:rPr>
          <w:rFonts w:hint="eastAsia" w:ascii="宋体" w:hAnsi="宋体"/>
          <w:bCs/>
          <w:snapToGrid w:val="0"/>
          <w:sz w:val="32"/>
          <w:highlight w:val="white"/>
        </w:rPr>
      </w:pPr>
      <w:r>
        <w:rPr>
          <w:rFonts w:hint="eastAsia" w:ascii="宋体" w:hAnsi="宋体"/>
          <w:bCs/>
          <w:snapToGrid w:val="0"/>
          <w:sz w:val="32"/>
          <w:highlight w:val="white"/>
        </w:rPr>
        <w:t>评标与定标</w:t>
      </w:r>
    </w:p>
    <w:p>
      <w:pPr>
        <w:numPr>
          <w:ilvl w:val="0"/>
          <w:numId w:val="2"/>
        </w:numPr>
        <w:adjustRightInd w:val="0"/>
        <w:snapToGrid w:val="0"/>
        <w:spacing w:line="480" w:lineRule="auto"/>
        <w:ind w:left="0" w:firstLine="640"/>
        <w:rPr>
          <w:rFonts w:hint="eastAsia" w:ascii="宋体" w:hAnsi="宋体"/>
          <w:bCs/>
          <w:snapToGrid w:val="0"/>
          <w:sz w:val="32"/>
          <w:highlight w:val="white"/>
        </w:rPr>
      </w:pPr>
      <w:r>
        <w:rPr>
          <w:rFonts w:hint="eastAsia" w:ascii="宋体" w:hAnsi="宋体"/>
          <w:bCs/>
          <w:snapToGrid w:val="0"/>
          <w:sz w:val="32"/>
          <w:highlight w:val="white"/>
        </w:rPr>
        <w:t>授予合同</w:t>
      </w:r>
    </w:p>
    <w:p>
      <w:pPr>
        <w:numPr>
          <w:ilvl w:val="0"/>
          <w:numId w:val="2"/>
        </w:numPr>
        <w:adjustRightInd w:val="0"/>
        <w:snapToGrid w:val="0"/>
        <w:spacing w:line="480" w:lineRule="auto"/>
        <w:ind w:left="0" w:firstLine="640"/>
        <w:rPr>
          <w:rFonts w:hint="eastAsia" w:ascii="宋体" w:hAnsi="宋体"/>
          <w:bCs/>
          <w:snapToGrid w:val="0"/>
          <w:sz w:val="32"/>
          <w:highlight w:val="white"/>
        </w:rPr>
      </w:pPr>
      <w:r>
        <w:rPr>
          <w:rFonts w:hint="eastAsia" w:ascii="宋体" w:hAnsi="宋体"/>
          <w:bCs/>
          <w:snapToGrid w:val="0"/>
          <w:sz w:val="32"/>
          <w:highlight w:val="white"/>
        </w:rPr>
        <w:t>劳务招标公告</w:t>
      </w:r>
    </w:p>
    <w:p>
      <w:pPr>
        <w:adjustRightInd w:val="0"/>
        <w:snapToGrid w:val="0"/>
        <w:spacing w:line="480" w:lineRule="auto"/>
        <w:ind w:firstLine="640"/>
        <w:rPr>
          <w:rFonts w:hint="eastAsia" w:ascii="宋体" w:hAnsi="宋体"/>
          <w:bCs/>
          <w:snapToGrid w:val="0"/>
          <w:sz w:val="32"/>
        </w:rPr>
      </w:pPr>
    </w:p>
    <w:p>
      <w:pPr>
        <w:adjustRightInd w:val="0"/>
        <w:snapToGrid w:val="0"/>
        <w:spacing w:line="480" w:lineRule="auto"/>
        <w:ind w:firstLine="640"/>
        <w:rPr>
          <w:rFonts w:hint="eastAsia" w:ascii="宋体" w:hAnsi="宋体"/>
          <w:bCs/>
          <w:snapToGrid w:val="0"/>
          <w:sz w:val="32"/>
        </w:rPr>
      </w:pPr>
    </w:p>
    <w:p>
      <w:pPr>
        <w:pStyle w:val="10"/>
        <w:jc w:val="left"/>
        <w:rPr>
          <w:rFonts w:hint="eastAsia" w:ascii="宋体" w:hAnsi="宋体"/>
          <w:snapToGrid w:val="0"/>
          <w:highlight w:val="white"/>
        </w:rPr>
      </w:pPr>
    </w:p>
    <w:p>
      <w:pPr>
        <w:pStyle w:val="10"/>
        <w:jc w:val="left"/>
        <w:rPr>
          <w:rFonts w:hint="eastAsia" w:ascii="宋体" w:hAnsi="宋体"/>
          <w:snapToGrid w:val="0"/>
          <w:highlight w:val="white"/>
        </w:rPr>
      </w:pPr>
      <w:r>
        <w:rPr>
          <w:rFonts w:hint="eastAsia" w:ascii="宋体" w:hAnsi="宋体"/>
          <w:snapToGrid w:val="0"/>
          <w:highlight w:val="white"/>
        </w:rPr>
        <w:t>第一章 投标须知</w:t>
      </w:r>
    </w:p>
    <w:p>
      <w:pPr>
        <w:pStyle w:val="2"/>
        <w:rPr>
          <w:rFonts w:hint="eastAsia" w:ascii="宋体" w:hAnsi="宋体"/>
        </w:rPr>
      </w:pPr>
      <w:r>
        <w:rPr>
          <w:rFonts w:hint="eastAsia" w:ascii="宋体" w:hAnsi="宋体"/>
          <w:highlight w:val="white"/>
        </w:rPr>
        <w:t>投标人须知前附表</w:t>
      </w:r>
    </w:p>
    <w:tbl>
      <w:tblPr>
        <w:tblStyle w:val="11"/>
        <w:tblW w:w="1050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048"/>
        <w:gridCol w:w="581"/>
        <w:gridCol w:w="2433"/>
        <w:gridCol w:w="920"/>
        <w:gridCol w:w="697"/>
        <w:gridCol w:w="382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2048" w:type="dxa"/>
            <w:tcBorders>
              <w:top w:val="single" w:color="auto" w:sz="8" w:space="0"/>
              <w:left w:val="single" w:color="auto" w:sz="8" w:space="0"/>
              <w:bottom w:val="single" w:color="auto" w:sz="4" w:space="0"/>
              <w:right w:val="single" w:color="auto" w:sz="4" w:space="0"/>
            </w:tcBorders>
            <w:noWrap w:val="0"/>
            <w:vAlign w:val="center"/>
          </w:tcPr>
          <w:p>
            <w:pPr>
              <w:snapToGrid w:val="0"/>
              <w:spacing w:line="460" w:lineRule="exact"/>
              <w:rPr>
                <w:rFonts w:ascii="宋体" w:hAnsi="宋体"/>
                <w:snapToGrid w:val="0"/>
                <w:sz w:val="28"/>
                <w:szCs w:val="28"/>
              </w:rPr>
            </w:pPr>
            <w:r>
              <w:rPr>
                <w:rFonts w:hint="eastAsia" w:ascii="宋体" w:hAnsi="宋体"/>
                <w:snapToGrid w:val="0"/>
                <w:sz w:val="28"/>
                <w:szCs w:val="28"/>
                <w:highlight w:val="white"/>
              </w:rPr>
              <w:t>招标人</w:t>
            </w:r>
          </w:p>
        </w:tc>
        <w:tc>
          <w:tcPr>
            <w:tcW w:w="8452" w:type="dxa"/>
            <w:gridSpan w:val="5"/>
            <w:tcBorders>
              <w:top w:val="single" w:color="auto" w:sz="8" w:space="0"/>
              <w:left w:val="single" w:color="auto" w:sz="4" w:space="0"/>
              <w:bottom w:val="single" w:color="auto" w:sz="4" w:space="0"/>
              <w:right w:val="single" w:color="auto" w:sz="8" w:space="0"/>
            </w:tcBorders>
            <w:noWrap w:val="0"/>
            <w:vAlign w:val="center"/>
          </w:tcPr>
          <w:p>
            <w:pPr>
              <w:snapToGrid w:val="0"/>
              <w:spacing w:line="460" w:lineRule="exact"/>
              <w:rPr>
                <w:rFonts w:hint="eastAsia" w:ascii="宋体" w:hAnsi="宋体"/>
                <w:snapToGrid w:val="0"/>
                <w:sz w:val="28"/>
                <w:szCs w:val="28"/>
                <w:highlight w:val="green"/>
              </w:rPr>
            </w:pPr>
            <w:r>
              <w:rPr>
                <w:rFonts w:hint="eastAsia" w:ascii="宋体" w:hAnsi="宋体"/>
                <w:snapToGrid w:val="0"/>
                <w:color w:val="0000FF"/>
                <w:sz w:val="28"/>
                <w:szCs w:val="28"/>
                <w:highlight w:val="white"/>
              </w:rPr>
              <w:t>江苏长江水务股份有限公司</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6" w:hRule="atLeast"/>
          <w:jc w:val="center"/>
        </w:trPr>
        <w:tc>
          <w:tcPr>
            <w:tcW w:w="2048" w:type="dxa"/>
            <w:tcBorders>
              <w:top w:val="single" w:color="auto" w:sz="4" w:space="0"/>
              <w:left w:val="single" w:color="auto" w:sz="8" w:space="0"/>
              <w:bottom w:val="single" w:color="auto" w:sz="4" w:space="0"/>
              <w:right w:val="single" w:color="auto" w:sz="4" w:space="0"/>
            </w:tcBorders>
            <w:noWrap w:val="0"/>
            <w:vAlign w:val="center"/>
          </w:tcPr>
          <w:p>
            <w:pPr>
              <w:snapToGrid w:val="0"/>
              <w:spacing w:line="460" w:lineRule="exact"/>
              <w:rPr>
                <w:rFonts w:ascii="宋体" w:hAnsi="宋体"/>
                <w:snapToGrid w:val="0"/>
                <w:sz w:val="28"/>
                <w:szCs w:val="28"/>
              </w:rPr>
            </w:pPr>
            <w:r>
              <w:rPr>
                <w:rFonts w:hint="eastAsia" w:ascii="宋体" w:hAnsi="宋体"/>
                <w:snapToGrid w:val="0"/>
                <w:sz w:val="28"/>
                <w:szCs w:val="28"/>
              </w:rPr>
              <w:t>工程名称</w:t>
            </w:r>
          </w:p>
        </w:tc>
        <w:tc>
          <w:tcPr>
            <w:tcW w:w="8452" w:type="dxa"/>
            <w:gridSpan w:val="5"/>
            <w:tcBorders>
              <w:top w:val="single" w:color="auto" w:sz="4" w:space="0"/>
              <w:left w:val="single" w:color="auto" w:sz="4" w:space="0"/>
              <w:bottom w:val="single" w:color="auto" w:sz="4" w:space="0"/>
              <w:right w:val="single" w:color="auto" w:sz="8" w:space="0"/>
            </w:tcBorders>
            <w:noWrap w:val="0"/>
            <w:vAlign w:val="bottom"/>
          </w:tcPr>
          <w:p>
            <w:pPr>
              <w:adjustRightInd w:val="0"/>
              <w:snapToGrid w:val="0"/>
              <w:spacing w:line="360" w:lineRule="auto"/>
              <w:jc w:val="left"/>
              <w:rPr>
                <w:rFonts w:ascii="宋体" w:hAnsi="宋体"/>
                <w:snapToGrid w:val="0"/>
                <w:color w:val="FF0000"/>
                <w:sz w:val="28"/>
                <w:szCs w:val="28"/>
              </w:rPr>
            </w:pPr>
            <w:r>
              <w:rPr>
                <w:rFonts w:hint="eastAsia" w:ascii="宋体" w:hAnsi="宋体" w:cs="宋体"/>
                <w:bCs/>
                <w:kern w:val="0"/>
                <w:sz w:val="28"/>
                <w:szCs w:val="28"/>
              </w:rPr>
              <w:t>颐尚公馆二期22-38幢管道工程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1" w:hRule="atLeast"/>
          <w:jc w:val="center"/>
        </w:trPr>
        <w:tc>
          <w:tcPr>
            <w:tcW w:w="2048" w:type="dxa"/>
            <w:tcBorders>
              <w:top w:val="single" w:color="auto" w:sz="4" w:space="0"/>
              <w:left w:val="single" w:color="auto" w:sz="8" w:space="0"/>
              <w:bottom w:val="single" w:color="auto" w:sz="4" w:space="0"/>
              <w:right w:val="single" w:color="auto" w:sz="4" w:space="0"/>
            </w:tcBorders>
            <w:noWrap w:val="0"/>
            <w:vAlign w:val="center"/>
          </w:tcPr>
          <w:p>
            <w:pPr>
              <w:snapToGrid w:val="0"/>
              <w:spacing w:line="460" w:lineRule="exact"/>
              <w:rPr>
                <w:rFonts w:ascii="宋体" w:hAnsi="宋体"/>
                <w:snapToGrid w:val="0"/>
                <w:sz w:val="28"/>
                <w:szCs w:val="28"/>
              </w:rPr>
            </w:pPr>
            <w:r>
              <w:rPr>
                <w:rFonts w:hint="eastAsia" w:ascii="宋体" w:hAnsi="宋体"/>
                <w:snapToGrid w:val="0"/>
                <w:sz w:val="28"/>
                <w:szCs w:val="28"/>
                <w:highlight w:val="white"/>
              </w:rPr>
              <w:t>建设地点</w:t>
            </w:r>
          </w:p>
        </w:tc>
        <w:tc>
          <w:tcPr>
            <w:tcW w:w="8452" w:type="dxa"/>
            <w:gridSpan w:val="5"/>
            <w:tcBorders>
              <w:top w:val="single" w:color="auto" w:sz="4" w:space="0"/>
              <w:left w:val="single" w:color="auto" w:sz="4" w:space="0"/>
              <w:bottom w:val="single" w:color="auto" w:sz="4" w:space="0"/>
              <w:right w:val="single" w:color="auto" w:sz="8" w:space="0"/>
            </w:tcBorders>
            <w:noWrap w:val="0"/>
            <w:vAlign w:val="center"/>
          </w:tcPr>
          <w:p>
            <w:pPr>
              <w:snapToGrid w:val="0"/>
              <w:spacing w:line="460" w:lineRule="exact"/>
              <w:rPr>
                <w:rFonts w:ascii="宋体" w:hAnsi="宋体"/>
                <w:snapToGrid w:val="0"/>
                <w:sz w:val="28"/>
                <w:szCs w:val="28"/>
                <w:highlight w:val="green"/>
              </w:rPr>
            </w:pPr>
            <w:r>
              <w:rPr>
                <w:rFonts w:hint="eastAsia" w:ascii="宋体" w:hAnsi="宋体"/>
                <w:snapToGrid w:val="0"/>
                <w:sz w:val="28"/>
                <w:szCs w:val="28"/>
              </w:rPr>
              <w:t>扬州市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594" w:hRule="atLeast"/>
          <w:jc w:val="center"/>
        </w:trPr>
        <w:tc>
          <w:tcPr>
            <w:tcW w:w="2048" w:type="dxa"/>
            <w:tcBorders>
              <w:top w:val="single" w:color="auto" w:sz="4" w:space="0"/>
              <w:left w:val="single" w:color="auto" w:sz="8" w:space="0"/>
              <w:bottom w:val="single" w:color="auto" w:sz="4" w:space="0"/>
              <w:right w:val="single" w:color="auto" w:sz="4" w:space="0"/>
            </w:tcBorders>
            <w:noWrap w:val="0"/>
            <w:vAlign w:val="center"/>
          </w:tcPr>
          <w:p>
            <w:pPr>
              <w:snapToGrid w:val="0"/>
              <w:spacing w:line="460" w:lineRule="exact"/>
              <w:rPr>
                <w:rFonts w:ascii="宋体" w:hAnsi="宋体"/>
                <w:snapToGrid w:val="0"/>
                <w:sz w:val="28"/>
                <w:szCs w:val="28"/>
                <w:highlight w:val="white"/>
              </w:rPr>
            </w:pPr>
            <w:r>
              <w:rPr>
                <w:rFonts w:hint="eastAsia" w:ascii="宋体" w:hAnsi="宋体"/>
                <w:snapToGrid w:val="0"/>
                <w:sz w:val="28"/>
                <w:szCs w:val="28"/>
                <w:highlight w:val="white"/>
              </w:rPr>
              <w:t>工程概况</w:t>
            </w:r>
          </w:p>
        </w:tc>
        <w:tc>
          <w:tcPr>
            <w:tcW w:w="8452" w:type="dxa"/>
            <w:gridSpan w:val="5"/>
            <w:tcBorders>
              <w:top w:val="single" w:color="auto" w:sz="4" w:space="0"/>
              <w:left w:val="single" w:color="auto" w:sz="4" w:space="0"/>
              <w:bottom w:val="single" w:color="auto" w:sz="4" w:space="0"/>
              <w:right w:val="single" w:color="auto" w:sz="8" w:space="0"/>
            </w:tcBorders>
            <w:noWrap w:val="0"/>
            <w:vAlign w:val="center"/>
          </w:tcPr>
          <w:p>
            <w:pPr>
              <w:pStyle w:val="4"/>
              <w:adjustRightInd w:val="0"/>
              <w:snapToGrid w:val="0"/>
              <w:spacing w:line="460" w:lineRule="exact"/>
              <w:ind w:firstLine="0"/>
              <w:rPr>
                <w:rFonts w:hAnsi="宋体"/>
                <w:snapToGrid w:val="0"/>
                <w:szCs w:val="28"/>
                <w:highlight w:val="white"/>
                <w:lang w:val="en-US" w:eastAsia="zh-CN"/>
              </w:rPr>
            </w:pPr>
            <w:r>
              <w:rPr>
                <w:rFonts w:hint="eastAsia" w:ascii="宋体" w:hAnsi="宋体"/>
                <w:sz w:val="28"/>
                <w:szCs w:val="28"/>
              </w:rPr>
              <w:t>安装DE110PE管195米、DE160PE管536米、DE200PE管500米、DE315PE管346米、DN100球管2217米、DN150球管897米、DN32钢塑管384米、DN40钢塑管192米、DN50钢塑管576米、DN65钢塑管2784米等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4" w:hRule="atLeast"/>
          <w:jc w:val="center"/>
        </w:trPr>
        <w:tc>
          <w:tcPr>
            <w:tcW w:w="2048" w:type="dxa"/>
            <w:tcBorders>
              <w:top w:val="single" w:color="auto" w:sz="4" w:space="0"/>
              <w:left w:val="single" w:color="auto" w:sz="8" w:space="0"/>
              <w:bottom w:val="single" w:color="auto" w:sz="4" w:space="0"/>
              <w:right w:val="single" w:color="auto" w:sz="4" w:space="0"/>
            </w:tcBorders>
            <w:noWrap w:val="0"/>
            <w:vAlign w:val="center"/>
          </w:tcPr>
          <w:p>
            <w:pPr>
              <w:spacing w:line="460" w:lineRule="exact"/>
              <w:ind w:left="960" w:hanging="960" w:hangingChars="343"/>
              <w:rPr>
                <w:rFonts w:hint="eastAsia" w:ascii="仿宋_GB2312" w:hAnsi="宋体"/>
                <w:snapToGrid w:val="0"/>
                <w:sz w:val="28"/>
                <w:szCs w:val="28"/>
              </w:rPr>
            </w:pPr>
            <w:r>
              <w:rPr>
                <w:rFonts w:hint="eastAsia" w:ascii="仿宋_GB2312" w:hAnsi="宋体"/>
                <w:snapToGrid w:val="0"/>
                <w:sz w:val="28"/>
                <w:szCs w:val="28"/>
              </w:rPr>
              <w:t>招标控制价</w:t>
            </w:r>
          </w:p>
        </w:tc>
        <w:tc>
          <w:tcPr>
            <w:tcW w:w="8452" w:type="dxa"/>
            <w:gridSpan w:val="5"/>
            <w:tcBorders>
              <w:top w:val="single" w:color="auto" w:sz="4" w:space="0"/>
              <w:left w:val="single" w:color="auto" w:sz="4" w:space="0"/>
              <w:bottom w:val="single" w:color="auto" w:sz="4" w:space="0"/>
              <w:right w:val="single" w:color="auto" w:sz="8" w:space="0"/>
            </w:tcBorders>
            <w:noWrap w:val="0"/>
            <w:vAlign w:val="center"/>
          </w:tcPr>
          <w:p>
            <w:pPr>
              <w:spacing w:line="460" w:lineRule="exact"/>
              <w:rPr>
                <w:rFonts w:hint="eastAsia" w:ascii="仿宋_GB2312" w:hAnsi="宋体"/>
                <w:snapToGrid w:val="0"/>
                <w:color w:val="FF0000"/>
                <w:sz w:val="28"/>
                <w:szCs w:val="28"/>
              </w:rPr>
            </w:pPr>
            <w:r>
              <w:rPr>
                <w:rFonts w:hint="eastAsia" w:ascii="宋体" w:hAnsi="宋体"/>
                <w:sz w:val="28"/>
                <w:szCs w:val="28"/>
              </w:rPr>
              <w:t>274367.03元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58" w:hRule="atLeast"/>
          <w:jc w:val="center"/>
        </w:trPr>
        <w:tc>
          <w:tcPr>
            <w:tcW w:w="2048" w:type="dxa"/>
            <w:tcBorders>
              <w:top w:val="single" w:color="auto" w:sz="4" w:space="0"/>
              <w:left w:val="single" w:color="auto" w:sz="8" w:space="0"/>
              <w:bottom w:val="single" w:color="auto" w:sz="4" w:space="0"/>
              <w:right w:val="single" w:color="auto" w:sz="4" w:space="0"/>
            </w:tcBorders>
            <w:noWrap w:val="0"/>
            <w:vAlign w:val="center"/>
          </w:tcPr>
          <w:p>
            <w:pPr>
              <w:snapToGrid w:val="0"/>
              <w:spacing w:line="460" w:lineRule="exact"/>
              <w:rPr>
                <w:rFonts w:ascii="宋体" w:hAnsi="宋体"/>
                <w:snapToGrid w:val="0"/>
                <w:sz w:val="28"/>
                <w:szCs w:val="28"/>
              </w:rPr>
            </w:pPr>
            <w:r>
              <w:rPr>
                <w:rFonts w:hint="eastAsia" w:ascii="宋体" w:hAnsi="宋体"/>
                <w:snapToGrid w:val="0"/>
                <w:sz w:val="28"/>
                <w:szCs w:val="28"/>
                <w:highlight w:val="white"/>
              </w:rPr>
              <w:t>计划工期</w:t>
            </w:r>
          </w:p>
        </w:tc>
        <w:tc>
          <w:tcPr>
            <w:tcW w:w="8452" w:type="dxa"/>
            <w:gridSpan w:val="5"/>
            <w:tcBorders>
              <w:top w:val="single" w:color="auto" w:sz="4" w:space="0"/>
              <w:left w:val="single" w:color="auto" w:sz="4" w:space="0"/>
              <w:bottom w:val="single" w:color="auto" w:sz="4" w:space="0"/>
              <w:right w:val="single" w:color="auto" w:sz="8" w:space="0"/>
            </w:tcBorders>
            <w:noWrap w:val="0"/>
            <w:vAlign w:val="center"/>
          </w:tcPr>
          <w:p>
            <w:pPr>
              <w:snapToGrid w:val="0"/>
              <w:spacing w:line="460" w:lineRule="exact"/>
              <w:rPr>
                <w:rFonts w:hint="eastAsia" w:ascii="宋体" w:hAnsi="宋体"/>
                <w:snapToGrid w:val="0"/>
                <w:color w:val="FF0000"/>
                <w:sz w:val="28"/>
                <w:szCs w:val="28"/>
              </w:rPr>
            </w:pPr>
            <w:r>
              <w:rPr>
                <w:rFonts w:hint="eastAsia" w:ascii="宋体" w:hAnsi="宋体"/>
                <w:snapToGrid w:val="0"/>
                <w:sz w:val="28"/>
                <w:szCs w:val="28"/>
                <w:highlight w:val="white"/>
              </w:rPr>
              <w:t>计划工期：</w:t>
            </w:r>
            <w:r>
              <w:rPr>
                <w:rFonts w:hint="eastAsia" w:ascii="宋体" w:hAnsi="宋体"/>
                <w:snapToGrid w:val="0"/>
                <w:color w:val="0000FF"/>
                <w:sz w:val="28"/>
                <w:szCs w:val="28"/>
                <w:highlight w:val="white"/>
              </w:rPr>
              <w:t xml:space="preserve">90 </w:t>
            </w:r>
            <w:r>
              <w:rPr>
                <w:rFonts w:hint="eastAsia" w:ascii="宋体" w:hAnsi="宋体"/>
                <w:snapToGrid w:val="0"/>
                <w:sz w:val="28"/>
                <w:szCs w:val="28"/>
                <w:highlight w:val="white"/>
              </w:rPr>
              <w:t>日历天；</w:t>
            </w:r>
            <w:r>
              <w:rPr>
                <w:rFonts w:ascii="宋体" w:hAnsi="宋体"/>
                <w:snapToGrid w:val="0"/>
                <w:color w:val="FF0000"/>
                <w:sz w:val="28"/>
                <w:szCs w:val="28"/>
                <w:highlight w:val="white"/>
              </w:rPr>
              <w:t xml:space="preserve"> </w:t>
            </w:r>
            <w:r>
              <w:rPr>
                <w:rFonts w:hint="eastAsia" w:ascii="宋体" w:hAnsi="宋体"/>
                <w:snapToGrid w:val="0"/>
                <w:color w:val="FF0000"/>
                <w:sz w:val="28"/>
                <w:szCs w:val="28"/>
                <w:highlight w:val="white"/>
              </w:rPr>
              <w:t>实际开工日期由甲方指定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2048" w:type="dxa"/>
            <w:tcBorders>
              <w:top w:val="single" w:color="auto" w:sz="4" w:space="0"/>
              <w:left w:val="single" w:color="auto" w:sz="8" w:space="0"/>
              <w:bottom w:val="single" w:color="auto" w:sz="4" w:space="0"/>
              <w:right w:val="single" w:color="auto" w:sz="4" w:space="0"/>
            </w:tcBorders>
            <w:noWrap w:val="0"/>
            <w:vAlign w:val="center"/>
          </w:tcPr>
          <w:p>
            <w:pPr>
              <w:snapToGrid w:val="0"/>
              <w:spacing w:line="460" w:lineRule="exact"/>
              <w:rPr>
                <w:rFonts w:ascii="宋体" w:hAnsi="宋体"/>
                <w:snapToGrid w:val="0"/>
                <w:sz w:val="28"/>
                <w:szCs w:val="28"/>
              </w:rPr>
            </w:pPr>
            <w:r>
              <w:rPr>
                <w:rFonts w:hint="eastAsia" w:ascii="宋体" w:hAnsi="宋体"/>
                <w:snapToGrid w:val="0"/>
                <w:sz w:val="28"/>
                <w:szCs w:val="28"/>
                <w:highlight w:val="white"/>
              </w:rPr>
              <w:t>质量要求</w:t>
            </w:r>
          </w:p>
        </w:tc>
        <w:tc>
          <w:tcPr>
            <w:tcW w:w="3014" w:type="dxa"/>
            <w:gridSpan w:val="2"/>
            <w:tcBorders>
              <w:top w:val="single" w:color="auto" w:sz="4" w:space="0"/>
              <w:left w:val="single" w:color="auto" w:sz="4" w:space="0"/>
              <w:bottom w:val="single" w:color="auto" w:sz="4" w:space="0"/>
              <w:right w:val="single" w:color="auto" w:sz="4" w:space="0"/>
            </w:tcBorders>
            <w:noWrap w:val="0"/>
            <w:vAlign w:val="center"/>
          </w:tcPr>
          <w:p>
            <w:pPr>
              <w:snapToGrid w:val="0"/>
              <w:spacing w:line="460" w:lineRule="exact"/>
              <w:jc w:val="center"/>
              <w:rPr>
                <w:rFonts w:hint="eastAsia" w:ascii="宋体" w:hAnsi="宋体"/>
                <w:snapToGrid w:val="0"/>
                <w:sz w:val="28"/>
                <w:szCs w:val="28"/>
                <w:highlight w:val="green"/>
              </w:rPr>
            </w:pPr>
            <w:r>
              <w:rPr>
                <w:rFonts w:hint="eastAsia" w:ascii="宋体" w:hAnsi="宋体"/>
                <w:snapToGrid w:val="0"/>
                <w:sz w:val="28"/>
                <w:szCs w:val="28"/>
                <w:highlight w:val="white"/>
              </w:rPr>
              <w:t>合格</w:t>
            </w:r>
          </w:p>
        </w:tc>
        <w:tc>
          <w:tcPr>
            <w:tcW w:w="1617" w:type="dxa"/>
            <w:gridSpan w:val="2"/>
            <w:tcBorders>
              <w:top w:val="single" w:color="auto" w:sz="4" w:space="0"/>
              <w:left w:val="single" w:color="auto" w:sz="4" w:space="0"/>
              <w:bottom w:val="single" w:color="auto" w:sz="4" w:space="0"/>
              <w:right w:val="single" w:color="auto" w:sz="4" w:space="0"/>
            </w:tcBorders>
            <w:noWrap w:val="0"/>
            <w:vAlign w:val="center"/>
          </w:tcPr>
          <w:p>
            <w:pPr>
              <w:snapToGrid w:val="0"/>
              <w:spacing w:line="460" w:lineRule="exact"/>
              <w:rPr>
                <w:rFonts w:ascii="宋体" w:hAnsi="宋体"/>
                <w:b/>
                <w:color w:val="000000"/>
                <w:sz w:val="28"/>
                <w:szCs w:val="28"/>
              </w:rPr>
            </w:pPr>
            <w:r>
              <w:rPr>
                <w:rFonts w:hint="eastAsia" w:ascii="宋体" w:hAnsi="宋体"/>
                <w:snapToGrid w:val="0"/>
                <w:sz w:val="28"/>
                <w:szCs w:val="28"/>
                <w:highlight w:val="white"/>
              </w:rPr>
              <w:t>承包方式</w:t>
            </w:r>
          </w:p>
        </w:tc>
        <w:tc>
          <w:tcPr>
            <w:tcW w:w="3821" w:type="dxa"/>
            <w:tcBorders>
              <w:top w:val="single" w:color="auto" w:sz="4" w:space="0"/>
              <w:left w:val="single" w:color="auto" w:sz="4" w:space="0"/>
              <w:bottom w:val="single" w:color="auto" w:sz="4" w:space="0"/>
              <w:right w:val="single" w:color="auto" w:sz="8" w:space="0"/>
            </w:tcBorders>
            <w:noWrap w:val="0"/>
            <w:vAlign w:val="center"/>
          </w:tcPr>
          <w:p>
            <w:pPr>
              <w:snapToGrid w:val="0"/>
              <w:spacing w:line="460" w:lineRule="exact"/>
              <w:rPr>
                <w:rFonts w:hint="eastAsia" w:ascii="宋体" w:hAnsi="宋体"/>
                <w:b/>
                <w:color w:val="000000"/>
                <w:sz w:val="28"/>
                <w:szCs w:val="28"/>
                <w:highlight w:val="green"/>
              </w:rPr>
            </w:pPr>
            <w:r>
              <w:rPr>
                <w:rFonts w:hint="eastAsia" w:ascii="宋体" w:hAnsi="宋体"/>
                <w:b/>
                <w:color w:val="0000FF"/>
                <w:sz w:val="28"/>
                <w:szCs w:val="28"/>
                <w:highlight w:val="white"/>
              </w:rPr>
              <w:t>人工、机械、部分辅材</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2048" w:type="dxa"/>
            <w:tcBorders>
              <w:top w:val="single" w:color="auto" w:sz="4" w:space="0"/>
              <w:left w:val="single" w:color="auto" w:sz="8" w:space="0"/>
              <w:bottom w:val="single" w:color="auto" w:sz="4" w:space="0"/>
              <w:right w:val="single" w:color="auto" w:sz="4" w:space="0"/>
            </w:tcBorders>
            <w:noWrap w:val="0"/>
            <w:vAlign w:val="center"/>
          </w:tcPr>
          <w:p>
            <w:pPr>
              <w:snapToGrid w:val="0"/>
              <w:spacing w:line="460" w:lineRule="exact"/>
              <w:rPr>
                <w:rFonts w:hint="eastAsia" w:ascii="宋体" w:hAnsi="宋体"/>
                <w:snapToGrid w:val="0"/>
                <w:sz w:val="28"/>
                <w:szCs w:val="28"/>
                <w:highlight w:val="white"/>
              </w:rPr>
            </w:pPr>
            <w:r>
              <w:rPr>
                <w:rFonts w:hint="eastAsia" w:ascii="宋体" w:hAnsi="宋体"/>
                <w:snapToGrid w:val="0"/>
                <w:sz w:val="28"/>
                <w:szCs w:val="28"/>
                <w:highlight w:val="white"/>
              </w:rPr>
              <w:t>结算方式</w:t>
            </w:r>
          </w:p>
        </w:tc>
        <w:tc>
          <w:tcPr>
            <w:tcW w:w="8452" w:type="dxa"/>
            <w:gridSpan w:val="5"/>
            <w:tcBorders>
              <w:top w:val="single" w:color="auto" w:sz="4" w:space="0"/>
              <w:left w:val="single" w:color="auto" w:sz="4" w:space="0"/>
              <w:bottom w:val="single" w:color="auto" w:sz="4" w:space="0"/>
              <w:right w:val="single" w:color="auto" w:sz="8" w:space="0"/>
            </w:tcBorders>
            <w:noWrap w:val="0"/>
            <w:vAlign w:val="center"/>
          </w:tcPr>
          <w:p>
            <w:pPr>
              <w:tabs>
                <w:tab w:val="left" w:pos="1565"/>
              </w:tabs>
              <w:snapToGrid w:val="0"/>
              <w:spacing w:line="460" w:lineRule="exact"/>
              <w:jc w:val="center"/>
              <w:rPr>
                <w:rFonts w:hint="eastAsia" w:ascii="宋体" w:hAnsi="宋体"/>
                <w:bCs/>
                <w:color w:val="0000FF"/>
                <w:sz w:val="28"/>
                <w:szCs w:val="28"/>
                <w:highlight w:val="white"/>
              </w:rPr>
            </w:pPr>
            <w:r>
              <w:rPr>
                <w:rFonts w:hint="eastAsia" w:ascii="宋体" w:hAnsi="宋体"/>
                <w:bCs/>
                <w:color w:val="0000FF"/>
                <w:sz w:val="28"/>
                <w:szCs w:val="28"/>
                <w:highlight w:val="white"/>
              </w:rPr>
              <w:t xml:space="preserve">按照江苏长江水务有限公司内部结算标准进行结算  </w:t>
            </w:r>
          </w:p>
          <w:p>
            <w:pPr>
              <w:tabs>
                <w:tab w:val="left" w:pos="1565"/>
              </w:tabs>
              <w:snapToGrid w:val="0"/>
              <w:spacing w:line="460" w:lineRule="exact"/>
              <w:ind w:firstLine="1680" w:firstLineChars="600"/>
              <w:rPr>
                <w:rFonts w:hint="eastAsia" w:ascii="宋体" w:hAnsi="宋体"/>
                <w:b/>
                <w:color w:val="0000FF"/>
                <w:sz w:val="28"/>
                <w:szCs w:val="28"/>
                <w:highlight w:val="white"/>
              </w:rPr>
            </w:pPr>
            <w:r>
              <w:rPr>
                <w:rFonts w:hint="eastAsia" w:ascii="宋体" w:hAnsi="宋体"/>
                <w:bCs/>
                <w:color w:val="0000FF"/>
                <w:sz w:val="28"/>
                <w:szCs w:val="28"/>
                <w:highlight w:val="white"/>
              </w:rPr>
              <w:t xml:space="preserve"> （2019年8月1日版）（辅材按实结算）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2048" w:type="dxa"/>
            <w:tcBorders>
              <w:top w:val="single" w:color="auto" w:sz="4" w:space="0"/>
              <w:left w:val="single" w:color="auto" w:sz="8" w:space="0"/>
              <w:bottom w:val="single" w:color="auto" w:sz="4" w:space="0"/>
              <w:right w:val="single" w:color="auto" w:sz="4" w:space="0"/>
            </w:tcBorders>
            <w:noWrap w:val="0"/>
            <w:vAlign w:val="center"/>
          </w:tcPr>
          <w:p>
            <w:pPr>
              <w:snapToGrid w:val="0"/>
              <w:spacing w:line="460" w:lineRule="exact"/>
              <w:rPr>
                <w:rFonts w:ascii="宋体" w:hAnsi="宋体"/>
                <w:snapToGrid w:val="0"/>
                <w:sz w:val="28"/>
                <w:szCs w:val="28"/>
              </w:rPr>
            </w:pPr>
            <w:r>
              <w:rPr>
                <w:rFonts w:hint="eastAsia" w:ascii="宋体" w:hAnsi="宋体"/>
                <w:snapToGrid w:val="0"/>
                <w:sz w:val="28"/>
                <w:szCs w:val="28"/>
                <w:highlight w:val="white"/>
              </w:rPr>
              <w:t>投标文件份数</w:t>
            </w:r>
          </w:p>
        </w:tc>
        <w:tc>
          <w:tcPr>
            <w:tcW w:w="8452" w:type="dxa"/>
            <w:gridSpan w:val="5"/>
            <w:tcBorders>
              <w:top w:val="single" w:color="auto" w:sz="4" w:space="0"/>
              <w:left w:val="single" w:color="auto" w:sz="4" w:space="0"/>
              <w:bottom w:val="single" w:color="auto" w:sz="4" w:space="0"/>
              <w:right w:val="single" w:color="auto" w:sz="8" w:space="0"/>
            </w:tcBorders>
            <w:noWrap w:val="0"/>
            <w:vAlign w:val="center"/>
          </w:tcPr>
          <w:p>
            <w:pPr>
              <w:snapToGrid w:val="0"/>
              <w:spacing w:line="460" w:lineRule="exact"/>
              <w:rPr>
                <w:rFonts w:ascii="宋体" w:hAnsi="宋体"/>
                <w:snapToGrid w:val="0"/>
                <w:sz w:val="28"/>
                <w:szCs w:val="28"/>
              </w:rPr>
            </w:pPr>
            <w:r>
              <w:rPr>
                <w:rFonts w:hint="eastAsia" w:ascii="宋体" w:hAnsi="宋体"/>
                <w:snapToGrid w:val="0"/>
                <w:sz w:val="28"/>
                <w:szCs w:val="28"/>
                <w:highlight w:val="white"/>
              </w:rPr>
              <w:t>投标文件要求</w:t>
            </w:r>
            <w:r>
              <w:rPr>
                <w:rFonts w:hint="eastAsia" w:ascii="宋体" w:hAnsi="宋体"/>
                <w:snapToGrid w:val="0"/>
                <w:color w:val="0000FF"/>
                <w:sz w:val="28"/>
                <w:szCs w:val="28"/>
                <w:highlight w:val="white"/>
                <w:u w:val="single"/>
              </w:rPr>
              <w:t>壹</w:t>
            </w:r>
            <w:r>
              <w:rPr>
                <w:rFonts w:hint="eastAsia" w:ascii="宋体" w:hAnsi="宋体"/>
                <w:snapToGrid w:val="0"/>
                <w:sz w:val="28"/>
                <w:szCs w:val="28"/>
                <w:highlight w:val="white"/>
              </w:rPr>
              <w:t>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048" w:type="dxa"/>
            <w:tcBorders>
              <w:top w:val="single" w:color="auto" w:sz="4" w:space="0"/>
              <w:left w:val="single" w:color="auto" w:sz="8" w:space="0"/>
              <w:bottom w:val="single" w:color="auto" w:sz="4" w:space="0"/>
              <w:right w:val="single" w:color="auto" w:sz="4" w:space="0"/>
            </w:tcBorders>
            <w:noWrap w:val="0"/>
            <w:vAlign w:val="center"/>
          </w:tcPr>
          <w:p>
            <w:pPr>
              <w:snapToGrid w:val="0"/>
              <w:spacing w:line="460" w:lineRule="exact"/>
              <w:rPr>
                <w:rFonts w:ascii="宋体" w:hAnsi="宋体"/>
                <w:snapToGrid w:val="0"/>
                <w:sz w:val="28"/>
                <w:szCs w:val="28"/>
              </w:rPr>
            </w:pPr>
            <w:r>
              <w:rPr>
                <w:rFonts w:hint="eastAsia" w:ascii="宋体" w:hAnsi="宋体"/>
                <w:snapToGrid w:val="0"/>
                <w:sz w:val="28"/>
                <w:szCs w:val="28"/>
                <w:highlight w:val="white"/>
              </w:rPr>
              <w:t>现场查勘</w:t>
            </w:r>
          </w:p>
        </w:tc>
        <w:tc>
          <w:tcPr>
            <w:tcW w:w="8452" w:type="dxa"/>
            <w:gridSpan w:val="5"/>
            <w:tcBorders>
              <w:top w:val="single" w:color="auto" w:sz="4" w:space="0"/>
              <w:left w:val="single" w:color="auto" w:sz="4" w:space="0"/>
              <w:bottom w:val="single" w:color="auto" w:sz="4" w:space="0"/>
              <w:right w:val="single" w:color="auto" w:sz="8" w:space="0"/>
            </w:tcBorders>
            <w:noWrap w:val="0"/>
            <w:vAlign w:val="center"/>
          </w:tcPr>
          <w:p>
            <w:pPr>
              <w:snapToGrid w:val="0"/>
              <w:spacing w:line="460" w:lineRule="exact"/>
              <w:rPr>
                <w:rFonts w:ascii="宋体" w:hAnsi="宋体"/>
                <w:snapToGrid w:val="0"/>
                <w:sz w:val="28"/>
                <w:szCs w:val="28"/>
                <w:highlight w:val="green"/>
              </w:rPr>
            </w:pPr>
            <w:r>
              <w:rPr>
                <w:rFonts w:hint="eastAsia" w:ascii="宋体" w:hAnsi="宋体" w:cs="TimesNewRomanPSMT"/>
                <w:color w:val="0000FF"/>
                <w:sz w:val="28"/>
                <w:szCs w:val="32"/>
                <w:highlight w:val="white"/>
              </w:rPr>
              <w:t>投标人自行查勘现场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2048" w:type="dxa"/>
            <w:tcBorders>
              <w:top w:val="single" w:color="auto" w:sz="4" w:space="0"/>
              <w:left w:val="single" w:color="auto" w:sz="8" w:space="0"/>
              <w:bottom w:val="single" w:color="auto" w:sz="4" w:space="0"/>
              <w:right w:val="single" w:color="auto" w:sz="4" w:space="0"/>
            </w:tcBorders>
            <w:noWrap w:val="0"/>
            <w:vAlign w:val="center"/>
          </w:tcPr>
          <w:p>
            <w:pPr>
              <w:snapToGrid w:val="0"/>
              <w:spacing w:line="460" w:lineRule="exact"/>
              <w:rPr>
                <w:rFonts w:ascii="宋体" w:hAnsi="宋体"/>
                <w:snapToGrid w:val="0"/>
                <w:sz w:val="28"/>
                <w:szCs w:val="28"/>
              </w:rPr>
            </w:pPr>
            <w:r>
              <w:rPr>
                <w:rFonts w:hint="eastAsia" w:ascii="宋体" w:hAnsi="宋体"/>
                <w:snapToGrid w:val="0"/>
                <w:sz w:val="28"/>
                <w:szCs w:val="28"/>
                <w:highlight w:val="white"/>
              </w:rPr>
              <w:t>澄清及答疑</w:t>
            </w:r>
          </w:p>
        </w:tc>
        <w:tc>
          <w:tcPr>
            <w:tcW w:w="8452" w:type="dxa"/>
            <w:gridSpan w:val="5"/>
            <w:tcBorders>
              <w:top w:val="single" w:color="auto" w:sz="4" w:space="0"/>
              <w:left w:val="single" w:color="auto" w:sz="4" w:space="0"/>
              <w:bottom w:val="single" w:color="auto" w:sz="4" w:space="0"/>
              <w:right w:val="single" w:color="auto" w:sz="8" w:space="0"/>
            </w:tcBorders>
            <w:noWrap w:val="0"/>
            <w:vAlign w:val="center"/>
          </w:tcPr>
          <w:p>
            <w:pPr>
              <w:snapToGrid w:val="0"/>
              <w:spacing w:line="460" w:lineRule="exact"/>
              <w:rPr>
                <w:rFonts w:hint="eastAsia" w:ascii="宋体" w:hAnsi="宋体"/>
                <w:snapToGrid w:val="0"/>
                <w:sz w:val="28"/>
                <w:szCs w:val="28"/>
              </w:rPr>
            </w:pPr>
            <w:r>
              <w:rPr>
                <w:rFonts w:hint="eastAsia" w:ascii="宋体" w:hAnsi="宋体"/>
                <w:snapToGrid w:val="0"/>
                <w:sz w:val="28"/>
                <w:szCs w:val="28"/>
                <w:highlight w:val="white"/>
              </w:rPr>
              <w:t>投标人提出问题的截止时间:</w:t>
            </w: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2</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rPr>
              <w:t xml:space="preserve"> 1</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rPr>
              <w:t xml:space="preserve"> </w:t>
            </w:r>
            <w:r>
              <w:rPr>
                <w:rFonts w:hint="eastAsia" w:ascii="宋体" w:hAnsi="宋体"/>
                <w:snapToGrid w:val="0"/>
                <w:color w:val="FF0000"/>
                <w:sz w:val="28"/>
                <w:szCs w:val="28"/>
                <w:highlight w:val="white"/>
                <w:u w:val="single"/>
                <w:lang w:val="en-US" w:eastAsia="zh-CN"/>
              </w:rPr>
              <w:t>28</w:t>
            </w:r>
            <w:r>
              <w:rPr>
                <w:rFonts w:hint="eastAsia" w:ascii="宋体" w:hAnsi="宋体"/>
                <w:snapToGrid w:val="0"/>
                <w:color w:val="FF0000"/>
                <w:sz w:val="28"/>
                <w:szCs w:val="28"/>
                <w:highlight w:val="white"/>
              </w:rPr>
              <w:t>日</w:t>
            </w:r>
          </w:p>
          <w:p>
            <w:pPr>
              <w:snapToGrid w:val="0"/>
              <w:spacing w:line="460" w:lineRule="exact"/>
              <w:rPr>
                <w:rFonts w:hint="eastAsia" w:ascii="宋体" w:hAnsi="宋体"/>
                <w:snapToGrid w:val="0"/>
                <w:sz w:val="28"/>
                <w:szCs w:val="28"/>
                <w:highlight w:val="white"/>
              </w:rPr>
            </w:pPr>
            <w:r>
              <w:rPr>
                <w:rFonts w:hint="eastAsia" w:ascii="宋体" w:hAnsi="宋体"/>
                <w:snapToGrid w:val="0"/>
                <w:sz w:val="28"/>
                <w:szCs w:val="28"/>
                <w:highlight w:val="white"/>
              </w:rPr>
              <w:t>方式：书面、传真、电子邮件</w:t>
            </w:r>
          </w:p>
          <w:p>
            <w:pPr>
              <w:snapToGrid w:val="0"/>
              <w:spacing w:line="460" w:lineRule="exact"/>
              <w:rPr>
                <w:rFonts w:hint="eastAsia" w:ascii="宋体" w:hAnsi="宋体"/>
                <w:snapToGrid w:val="0"/>
                <w:sz w:val="28"/>
                <w:szCs w:val="28"/>
                <w:highlight w:val="white"/>
                <w:u w:val="single"/>
              </w:rPr>
            </w:pPr>
            <w:r>
              <w:rPr>
                <w:rFonts w:hint="eastAsia" w:ascii="宋体" w:hAnsi="宋体"/>
                <w:snapToGrid w:val="0"/>
                <w:sz w:val="28"/>
                <w:szCs w:val="28"/>
                <w:highlight w:val="white"/>
              </w:rPr>
              <w:t>招标人澄清的时间：</w:t>
            </w: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2</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rPr>
              <w:t xml:space="preserve"> 1</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rPr>
              <w:t xml:space="preserve"> 2</w:t>
            </w:r>
            <w:r>
              <w:rPr>
                <w:rFonts w:hint="eastAsia" w:ascii="宋体" w:hAnsi="宋体"/>
                <w:snapToGrid w:val="0"/>
                <w:color w:val="FF0000"/>
                <w:sz w:val="28"/>
                <w:szCs w:val="28"/>
                <w:highlight w:val="white"/>
                <w:u w:val="single"/>
                <w:lang w:val="en-US" w:eastAsia="zh-CN"/>
              </w:rPr>
              <w:t>8</w:t>
            </w:r>
            <w:r>
              <w:rPr>
                <w:rFonts w:hint="eastAsia" w:ascii="宋体" w:hAnsi="宋体"/>
                <w:snapToGrid w:val="0"/>
                <w:color w:val="FF0000"/>
                <w:sz w:val="28"/>
                <w:szCs w:val="28"/>
                <w:highlight w:val="white"/>
              </w:rPr>
              <w:t>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05" w:hRule="atLeast"/>
          <w:jc w:val="center"/>
        </w:trPr>
        <w:tc>
          <w:tcPr>
            <w:tcW w:w="2048" w:type="dxa"/>
            <w:tcBorders>
              <w:top w:val="single" w:color="auto" w:sz="4" w:space="0"/>
              <w:left w:val="single" w:color="auto" w:sz="8" w:space="0"/>
              <w:bottom w:val="single" w:color="auto" w:sz="4" w:space="0"/>
              <w:right w:val="single" w:color="auto" w:sz="4" w:space="0"/>
            </w:tcBorders>
            <w:noWrap w:val="0"/>
            <w:vAlign w:val="center"/>
          </w:tcPr>
          <w:p>
            <w:pPr>
              <w:snapToGrid w:val="0"/>
              <w:spacing w:line="460" w:lineRule="exact"/>
              <w:rPr>
                <w:rFonts w:hint="eastAsia" w:ascii="宋体" w:hAnsi="宋体"/>
                <w:snapToGrid w:val="0"/>
                <w:sz w:val="28"/>
                <w:szCs w:val="28"/>
                <w:highlight w:val="white"/>
              </w:rPr>
            </w:pPr>
            <w:r>
              <w:rPr>
                <w:rFonts w:hint="eastAsia" w:ascii="宋体" w:hAnsi="宋体"/>
                <w:snapToGrid w:val="0"/>
                <w:sz w:val="28"/>
                <w:szCs w:val="28"/>
              </w:rPr>
              <w:t>投标开始时间</w:t>
            </w:r>
          </w:p>
        </w:tc>
        <w:tc>
          <w:tcPr>
            <w:tcW w:w="8452" w:type="dxa"/>
            <w:gridSpan w:val="5"/>
            <w:tcBorders>
              <w:top w:val="single" w:color="auto" w:sz="4" w:space="0"/>
              <w:left w:val="single" w:color="auto" w:sz="4" w:space="0"/>
              <w:bottom w:val="single" w:color="auto" w:sz="4" w:space="0"/>
              <w:right w:val="single" w:color="auto" w:sz="8" w:space="0"/>
            </w:tcBorders>
            <w:noWrap w:val="0"/>
            <w:vAlign w:val="center"/>
          </w:tcPr>
          <w:p>
            <w:pPr>
              <w:snapToGrid w:val="0"/>
              <w:spacing w:line="460" w:lineRule="exact"/>
              <w:rPr>
                <w:rFonts w:hint="eastAsia" w:ascii="宋体" w:hAnsi="宋体"/>
                <w:snapToGrid w:val="0"/>
                <w:color w:val="FF0000"/>
                <w:sz w:val="28"/>
                <w:szCs w:val="28"/>
                <w:highlight w:val="white"/>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2</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rPr>
              <w:t xml:space="preserve"> 1</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rPr>
              <w:t xml:space="preserve"> </w:t>
            </w:r>
            <w:r>
              <w:rPr>
                <w:rFonts w:hint="eastAsia" w:ascii="宋体" w:hAnsi="宋体"/>
                <w:snapToGrid w:val="0"/>
                <w:color w:val="FF0000"/>
                <w:sz w:val="28"/>
                <w:szCs w:val="28"/>
                <w:highlight w:val="white"/>
                <w:u w:val="single"/>
                <w:lang w:val="en-US" w:eastAsia="zh-CN"/>
              </w:rPr>
              <w:t>27</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highlight w:val="white"/>
                <w:u w:val="single"/>
              </w:rPr>
              <w:t xml:space="preserve"> 16 </w:t>
            </w:r>
            <w:r>
              <w:rPr>
                <w:rFonts w:hint="eastAsia" w:ascii="宋体" w:hAnsi="宋体"/>
                <w:bCs/>
                <w:snapToGrid w:val="0"/>
                <w:color w:val="FF0000"/>
                <w:sz w:val="28"/>
                <w:szCs w:val="28"/>
                <w:highlight w:val="white"/>
              </w:rPr>
              <w:t>时</w:t>
            </w:r>
            <w:r>
              <w:rPr>
                <w:rFonts w:hint="eastAsia" w:ascii="宋体" w:hAnsi="宋体"/>
                <w:bCs/>
                <w:snapToGrid w:val="0"/>
                <w:color w:val="FF0000"/>
                <w:sz w:val="28"/>
                <w:szCs w:val="28"/>
                <w:highlight w:val="white"/>
                <w:u w:val="single"/>
              </w:rPr>
              <w:t>00</w:t>
            </w:r>
            <w:r>
              <w:rPr>
                <w:rFonts w:hint="eastAsia" w:ascii="宋体" w:hAnsi="宋体"/>
                <w:bCs/>
                <w:snapToGrid w:val="0"/>
                <w:color w:val="FF0000"/>
                <w:sz w:val="28"/>
                <w:szCs w:val="28"/>
                <w:highlight w:val="white"/>
              </w:rPr>
              <w:t>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2048" w:type="dxa"/>
            <w:tcBorders>
              <w:top w:val="single" w:color="auto" w:sz="4" w:space="0"/>
              <w:left w:val="single" w:color="auto" w:sz="8" w:space="0"/>
              <w:bottom w:val="single" w:color="auto" w:sz="4" w:space="0"/>
              <w:right w:val="single" w:color="auto" w:sz="4" w:space="0"/>
            </w:tcBorders>
            <w:noWrap w:val="0"/>
            <w:vAlign w:val="center"/>
          </w:tcPr>
          <w:p>
            <w:pPr>
              <w:snapToGrid w:val="0"/>
              <w:spacing w:line="460" w:lineRule="exact"/>
              <w:rPr>
                <w:rFonts w:ascii="宋体" w:hAnsi="宋体"/>
                <w:snapToGrid w:val="0"/>
                <w:color w:val="FF0000"/>
                <w:sz w:val="28"/>
                <w:szCs w:val="28"/>
              </w:rPr>
            </w:pPr>
            <w:r>
              <w:rPr>
                <w:rFonts w:hint="eastAsia" w:ascii="宋体" w:hAnsi="宋体"/>
                <w:snapToGrid w:val="0"/>
                <w:color w:val="FF0000"/>
                <w:sz w:val="28"/>
                <w:szCs w:val="28"/>
              </w:rPr>
              <w:t>投标资格预审截止时间</w:t>
            </w:r>
          </w:p>
        </w:tc>
        <w:tc>
          <w:tcPr>
            <w:tcW w:w="8452" w:type="dxa"/>
            <w:gridSpan w:val="5"/>
            <w:tcBorders>
              <w:top w:val="single" w:color="auto" w:sz="4" w:space="0"/>
              <w:left w:val="single" w:color="auto" w:sz="4" w:space="0"/>
              <w:bottom w:val="single" w:color="auto" w:sz="4" w:space="0"/>
              <w:right w:val="single" w:color="auto" w:sz="8" w:space="0"/>
            </w:tcBorders>
            <w:noWrap w:val="0"/>
            <w:vAlign w:val="center"/>
          </w:tcPr>
          <w:p>
            <w:pPr>
              <w:snapToGrid w:val="0"/>
              <w:spacing w:line="460" w:lineRule="exact"/>
              <w:rPr>
                <w:rFonts w:ascii="宋体" w:hAnsi="宋体"/>
                <w:snapToGrid w:val="0"/>
                <w:color w:val="FF0000"/>
                <w:sz w:val="28"/>
                <w:szCs w:val="28"/>
              </w:rPr>
            </w:pPr>
            <w:r>
              <w:rPr>
                <w:rFonts w:hint="eastAsia" w:ascii="宋体" w:hAnsi="宋体"/>
                <w:snapToGrid w:val="0"/>
                <w:color w:val="FF0000"/>
                <w:sz w:val="28"/>
                <w:szCs w:val="28"/>
                <w:u w:val="single"/>
              </w:rPr>
              <w:t>202</w:t>
            </w:r>
            <w:r>
              <w:rPr>
                <w:rFonts w:hint="eastAsia" w:ascii="宋体" w:hAnsi="宋体"/>
                <w:snapToGrid w:val="0"/>
                <w:color w:val="FF0000"/>
                <w:sz w:val="28"/>
                <w:szCs w:val="28"/>
                <w:u w:val="single"/>
                <w:lang w:val="en-US" w:eastAsia="zh-CN"/>
              </w:rPr>
              <w:t>2</w:t>
            </w:r>
            <w:r>
              <w:rPr>
                <w:rFonts w:hint="eastAsia" w:ascii="宋体" w:hAnsi="宋体"/>
                <w:snapToGrid w:val="0"/>
                <w:color w:val="FF0000"/>
                <w:sz w:val="28"/>
                <w:szCs w:val="28"/>
              </w:rPr>
              <w:t>年</w:t>
            </w:r>
            <w:r>
              <w:rPr>
                <w:rFonts w:hint="eastAsia" w:ascii="宋体" w:hAnsi="宋体"/>
                <w:snapToGrid w:val="0"/>
                <w:color w:val="FF0000"/>
                <w:sz w:val="28"/>
                <w:szCs w:val="28"/>
                <w:u w:val="single"/>
              </w:rPr>
              <w:t xml:space="preserve"> 1</w:t>
            </w:r>
            <w:r>
              <w:rPr>
                <w:rFonts w:hint="eastAsia" w:ascii="宋体" w:hAnsi="宋体"/>
                <w:snapToGrid w:val="0"/>
                <w:color w:val="FF0000"/>
                <w:sz w:val="28"/>
                <w:szCs w:val="28"/>
              </w:rPr>
              <w:t>月</w:t>
            </w:r>
            <w:r>
              <w:rPr>
                <w:rFonts w:hint="eastAsia" w:ascii="宋体" w:hAnsi="宋体"/>
                <w:snapToGrid w:val="0"/>
                <w:color w:val="FF0000"/>
                <w:sz w:val="28"/>
                <w:szCs w:val="28"/>
                <w:u w:val="single"/>
                <w:lang w:val="en-US" w:eastAsia="zh-CN"/>
              </w:rPr>
              <w:t>29</w:t>
            </w:r>
            <w:r>
              <w:rPr>
                <w:rFonts w:hint="eastAsia" w:ascii="宋体" w:hAnsi="宋体"/>
                <w:snapToGrid w:val="0"/>
                <w:color w:val="FF0000"/>
                <w:sz w:val="28"/>
                <w:szCs w:val="28"/>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bookmarkStart w:id="13" w:name="_GoBack"/>
            <w:bookmarkEnd w:id="13"/>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2048" w:type="dxa"/>
            <w:tcBorders>
              <w:top w:val="single" w:color="auto" w:sz="4" w:space="0"/>
              <w:left w:val="single" w:color="auto" w:sz="8" w:space="0"/>
              <w:bottom w:val="single" w:color="auto" w:sz="4" w:space="0"/>
              <w:right w:val="single" w:color="auto" w:sz="4" w:space="0"/>
            </w:tcBorders>
            <w:noWrap w:val="0"/>
            <w:vAlign w:val="center"/>
          </w:tcPr>
          <w:p>
            <w:pPr>
              <w:snapToGrid w:val="0"/>
              <w:spacing w:line="460" w:lineRule="exact"/>
              <w:rPr>
                <w:rFonts w:hint="eastAsia" w:ascii="宋体" w:hAnsi="宋体"/>
                <w:snapToGrid w:val="0"/>
                <w:color w:val="FF0000"/>
                <w:sz w:val="28"/>
                <w:szCs w:val="28"/>
              </w:rPr>
            </w:pPr>
            <w:r>
              <w:rPr>
                <w:rFonts w:hint="eastAsia" w:ascii="宋体" w:hAnsi="宋体"/>
                <w:snapToGrid w:val="0"/>
                <w:color w:val="FF0000"/>
                <w:sz w:val="28"/>
                <w:szCs w:val="28"/>
              </w:rPr>
              <w:t>投标截止时间</w:t>
            </w:r>
          </w:p>
        </w:tc>
        <w:tc>
          <w:tcPr>
            <w:tcW w:w="8452" w:type="dxa"/>
            <w:gridSpan w:val="5"/>
            <w:tcBorders>
              <w:top w:val="single" w:color="auto" w:sz="4" w:space="0"/>
              <w:left w:val="single" w:color="auto" w:sz="4" w:space="0"/>
              <w:bottom w:val="single" w:color="auto" w:sz="4" w:space="0"/>
              <w:right w:val="single" w:color="auto" w:sz="8" w:space="0"/>
            </w:tcBorders>
            <w:noWrap w:val="0"/>
            <w:vAlign w:val="center"/>
          </w:tcPr>
          <w:p>
            <w:pPr>
              <w:snapToGrid w:val="0"/>
              <w:spacing w:line="460" w:lineRule="exact"/>
              <w:rPr>
                <w:rFonts w:hint="eastAsia" w:ascii="宋体" w:hAnsi="宋体"/>
                <w:snapToGrid w:val="0"/>
                <w:color w:val="FF0000"/>
                <w:sz w:val="28"/>
                <w:szCs w:val="28"/>
              </w:rPr>
            </w:pPr>
            <w:r>
              <w:rPr>
                <w:rFonts w:hint="eastAsia" w:ascii="宋体" w:hAnsi="宋体"/>
                <w:snapToGrid w:val="0"/>
                <w:color w:val="FF0000"/>
                <w:sz w:val="28"/>
                <w:szCs w:val="28"/>
                <w:u w:val="single"/>
              </w:rPr>
              <w:t>202</w:t>
            </w:r>
            <w:r>
              <w:rPr>
                <w:rFonts w:hint="eastAsia" w:ascii="宋体" w:hAnsi="宋体"/>
                <w:snapToGrid w:val="0"/>
                <w:color w:val="FF0000"/>
                <w:sz w:val="28"/>
                <w:szCs w:val="28"/>
                <w:u w:val="single"/>
                <w:lang w:val="en-US" w:eastAsia="zh-CN"/>
              </w:rPr>
              <w:t>2</w:t>
            </w:r>
            <w:r>
              <w:rPr>
                <w:rFonts w:hint="eastAsia" w:ascii="宋体" w:hAnsi="宋体"/>
                <w:snapToGrid w:val="0"/>
                <w:color w:val="FF0000"/>
                <w:sz w:val="28"/>
                <w:szCs w:val="28"/>
              </w:rPr>
              <w:t>年</w:t>
            </w:r>
            <w:r>
              <w:rPr>
                <w:rFonts w:hint="eastAsia" w:ascii="宋体" w:hAnsi="宋体"/>
                <w:snapToGrid w:val="0"/>
                <w:color w:val="FF0000"/>
                <w:sz w:val="28"/>
                <w:szCs w:val="28"/>
                <w:u w:val="single"/>
              </w:rPr>
              <w:t xml:space="preserve"> 1</w:t>
            </w:r>
            <w:r>
              <w:rPr>
                <w:rFonts w:hint="eastAsia" w:ascii="宋体" w:hAnsi="宋体"/>
                <w:snapToGrid w:val="0"/>
                <w:color w:val="FF0000"/>
                <w:sz w:val="28"/>
                <w:szCs w:val="28"/>
              </w:rPr>
              <w:t>月</w:t>
            </w:r>
            <w:r>
              <w:rPr>
                <w:rFonts w:hint="eastAsia" w:ascii="宋体" w:hAnsi="宋体"/>
                <w:snapToGrid w:val="0"/>
                <w:color w:val="FF0000"/>
                <w:sz w:val="28"/>
                <w:szCs w:val="28"/>
                <w:u w:val="single"/>
              </w:rPr>
              <w:t xml:space="preserve"> </w:t>
            </w:r>
            <w:r>
              <w:rPr>
                <w:rFonts w:hint="eastAsia" w:ascii="宋体" w:hAnsi="宋体"/>
                <w:snapToGrid w:val="0"/>
                <w:color w:val="FF0000"/>
                <w:sz w:val="28"/>
                <w:szCs w:val="28"/>
                <w:u w:val="single"/>
                <w:lang w:val="en-US" w:eastAsia="zh-CN"/>
              </w:rPr>
              <w:t>29</w:t>
            </w:r>
            <w:r>
              <w:rPr>
                <w:rFonts w:hint="eastAsia" w:ascii="宋体" w:hAnsi="宋体"/>
                <w:snapToGrid w:val="0"/>
                <w:color w:val="FF0000"/>
                <w:sz w:val="28"/>
                <w:szCs w:val="28"/>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2048" w:type="dxa"/>
            <w:tcBorders>
              <w:top w:val="single" w:color="auto" w:sz="4" w:space="0"/>
              <w:left w:val="single" w:color="auto" w:sz="8" w:space="0"/>
              <w:bottom w:val="single" w:color="auto" w:sz="4" w:space="0"/>
              <w:right w:val="single" w:color="auto" w:sz="4" w:space="0"/>
            </w:tcBorders>
            <w:noWrap w:val="0"/>
            <w:vAlign w:val="center"/>
          </w:tcPr>
          <w:p>
            <w:pPr>
              <w:snapToGrid w:val="0"/>
              <w:spacing w:line="460" w:lineRule="exact"/>
              <w:rPr>
                <w:rFonts w:ascii="宋体" w:hAnsi="宋体"/>
                <w:snapToGrid w:val="0"/>
                <w:sz w:val="28"/>
                <w:szCs w:val="28"/>
                <w:highlight w:val="white"/>
              </w:rPr>
            </w:pPr>
            <w:r>
              <w:rPr>
                <w:rFonts w:hint="eastAsia" w:ascii="宋体" w:hAnsi="宋体"/>
                <w:snapToGrid w:val="0"/>
                <w:sz w:val="28"/>
                <w:szCs w:val="28"/>
                <w:highlight w:val="white"/>
              </w:rPr>
              <w:t>投标有效期</w:t>
            </w:r>
          </w:p>
        </w:tc>
        <w:tc>
          <w:tcPr>
            <w:tcW w:w="8452" w:type="dxa"/>
            <w:gridSpan w:val="5"/>
            <w:tcBorders>
              <w:top w:val="single" w:color="auto" w:sz="4" w:space="0"/>
              <w:left w:val="single" w:color="auto" w:sz="4" w:space="0"/>
              <w:bottom w:val="single" w:color="auto" w:sz="4" w:space="0"/>
              <w:right w:val="single" w:color="auto" w:sz="8" w:space="0"/>
            </w:tcBorders>
            <w:noWrap w:val="0"/>
            <w:vAlign w:val="center"/>
          </w:tcPr>
          <w:p>
            <w:pPr>
              <w:snapToGrid w:val="0"/>
              <w:spacing w:line="460" w:lineRule="exact"/>
              <w:rPr>
                <w:rFonts w:ascii="宋体" w:hAnsi="宋体"/>
                <w:snapToGrid w:val="0"/>
                <w:color w:val="0000FF"/>
                <w:sz w:val="28"/>
                <w:szCs w:val="28"/>
                <w:highlight w:val="white"/>
                <w:u w:val="single"/>
              </w:rPr>
            </w:pPr>
            <w:r>
              <w:rPr>
                <w:rFonts w:hint="eastAsia" w:ascii="宋体" w:hAnsi="宋体"/>
                <w:snapToGrid w:val="0"/>
                <w:color w:val="0000FF"/>
                <w:sz w:val="28"/>
                <w:szCs w:val="28"/>
                <w:highlight w:val="white"/>
                <w:u w:val="single"/>
              </w:rPr>
              <w:t>30天</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048" w:type="dxa"/>
            <w:tcBorders>
              <w:top w:val="single" w:color="auto" w:sz="4" w:space="0"/>
              <w:left w:val="single" w:color="auto" w:sz="8" w:space="0"/>
              <w:bottom w:val="single" w:color="auto" w:sz="4" w:space="0"/>
              <w:right w:val="single" w:color="auto" w:sz="4" w:space="0"/>
            </w:tcBorders>
            <w:noWrap w:val="0"/>
            <w:vAlign w:val="center"/>
          </w:tcPr>
          <w:p>
            <w:pPr>
              <w:snapToGrid w:val="0"/>
              <w:spacing w:line="460" w:lineRule="exact"/>
              <w:rPr>
                <w:rFonts w:ascii="宋体" w:hAnsi="宋体"/>
                <w:snapToGrid w:val="0"/>
                <w:sz w:val="28"/>
                <w:szCs w:val="28"/>
              </w:rPr>
            </w:pPr>
            <w:r>
              <w:rPr>
                <w:rFonts w:hint="eastAsia" w:ascii="宋体" w:hAnsi="宋体"/>
                <w:snapToGrid w:val="0"/>
                <w:sz w:val="28"/>
                <w:szCs w:val="28"/>
                <w:highlight w:val="white"/>
              </w:rPr>
              <w:t>投标文件递交</w:t>
            </w:r>
          </w:p>
        </w:tc>
        <w:tc>
          <w:tcPr>
            <w:tcW w:w="581" w:type="dxa"/>
            <w:tcBorders>
              <w:top w:val="single" w:color="auto" w:sz="4" w:space="0"/>
              <w:left w:val="single" w:color="auto" w:sz="4" w:space="0"/>
              <w:bottom w:val="single" w:color="auto" w:sz="4" w:space="0"/>
              <w:right w:val="single" w:color="auto" w:sz="4" w:space="0"/>
            </w:tcBorders>
            <w:noWrap w:val="0"/>
            <w:vAlign w:val="center"/>
          </w:tcPr>
          <w:p>
            <w:pPr>
              <w:snapToGrid w:val="0"/>
              <w:spacing w:line="460" w:lineRule="exact"/>
              <w:rPr>
                <w:rFonts w:hint="eastAsia" w:ascii="宋体" w:hAnsi="宋体"/>
                <w:snapToGrid w:val="0"/>
                <w:sz w:val="28"/>
                <w:szCs w:val="28"/>
                <w:highlight w:val="white"/>
              </w:rPr>
            </w:pPr>
            <w:r>
              <w:rPr>
                <w:rFonts w:hint="eastAsia" w:ascii="宋体" w:hAnsi="宋体"/>
                <w:snapToGrid w:val="0"/>
                <w:sz w:val="28"/>
                <w:szCs w:val="28"/>
                <w:highlight w:val="white"/>
              </w:rPr>
              <w:t>地址</w:t>
            </w:r>
          </w:p>
        </w:tc>
        <w:tc>
          <w:tcPr>
            <w:tcW w:w="3353" w:type="dxa"/>
            <w:gridSpan w:val="2"/>
            <w:tcBorders>
              <w:top w:val="single" w:color="auto" w:sz="4" w:space="0"/>
              <w:left w:val="single" w:color="auto" w:sz="4" w:space="0"/>
              <w:bottom w:val="single" w:color="auto" w:sz="4" w:space="0"/>
              <w:right w:val="single" w:color="auto" w:sz="4" w:space="0"/>
            </w:tcBorders>
            <w:noWrap w:val="0"/>
            <w:vAlign w:val="center"/>
          </w:tcPr>
          <w:p>
            <w:pPr>
              <w:snapToGrid w:val="0"/>
              <w:spacing w:line="460" w:lineRule="exact"/>
              <w:rPr>
                <w:rFonts w:hint="eastAsia" w:ascii="宋体" w:hAnsi="宋体"/>
                <w:snapToGrid w:val="0"/>
                <w:sz w:val="28"/>
                <w:szCs w:val="28"/>
                <w:highlight w:val="green"/>
              </w:rPr>
            </w:pPr>
            <w:r>
              <w:rPr>
                <w:rFonts w:hint="eastAsia" w:ascii="宋体" w:hAnsi="宋体"/>
                <w:snapToGrid w:val="0"/>
                <w:color w:val="0000FF"/>
                <w:sz w:val="28"/>
                <w:szCs w:val="28"/>
                <w:highlight w:val="white"/>
              </w:rPr>
              <w:t>扬州市扬子江北路1222号</w:t>
            </w:r>
          </w:p>
        </w:tc>
        <w:tc>
          <w:tcPr>
            <w:tcW w:w="697" w:type="dxa"/>
            <w:tcBorders>
              <w:top w:val="single" w:color="auto" w:sz="4" w:space="0"/>
              <w:left w:val="single" w:color="auto" w:sz="4" w:space="0"/>
              <w:bottom w:val="single" w:color="auto" w:sz="4" w:space="0"/>
              <w:right w:val="single" w:color="auto" w:sz="4" w:space="0"/>
            </w:tcBorders>
            <w:noWrap w:val="0"/>
            <w:vAlign w:val="center"/>
          </w:tcPr>
          <w:p>
            <w:pPr>
              <w:snapToGrid w:val="0"/>
              <w:spacing w:line="460" w:lineRule="exact"/>
              <w:rPr>
                <w:rFonts w:hint="eastAsia" w:ascii="宋体" w:hAnsi="宋体"/>
                <w:snapToGrid w:val="0"/>
                <w:sz w:val="28"/>
                <w:szCs w:val="28"/>
                <w:highlight w:val="white"/>
              </w:rPr>
            </w:pPr>
            <w:r>
              <w:rPr>
                <w:rFonts w:hint="eastAsia" w:ascii="宋体" w:hAnsi="宋体"/>
                <w:snapToGrid w:val="0"/>
                <w:sz w:val="28"/>
                <w:szCs w:val="28"/>
                <w:highlight w:val="white"/>
              </w:rPr>
              <w:t>地点</w:t>
            </w:r>
          </w:p>
        </w:tc>
        <w:tc>
          <w:tcPr>
            <w:tcW w:w="3821" w:type="dxa"/>
            <w:tcBorders>
              <w:top w:val="single" w:color="auto" w:sz="4" w:space="0"/>
              <w:left w:val="single" w:color="auto" w:sz="4" w:space="0"/>
              <w:bottom w:val="single" w:color="auto" w:sz="4" w:space="0"/>
              <w:right w:val="single" w:color="auto" w:sz="8" w:space="0"/>
            </w:tcBorders>
            <w:noWrap w:val="0"/>
            <w:vAlign w:val="center"/>
          </w:tcPr>
          <w:p>
            <w:pPr>
              <w:snapToGrid w:val="0"/>
              <w:spacing w:line="460" w:lineRule="exact"/>
              <w:ind w:firstLine="280" w:firstLineChars="100"/>
              <w:rPr>
                <w:rFonts w:hint="eastAsia" w:ascii="宋体" w:hAnsi="宋体"/>
                <w:snapToGrid w:val="0"/>
                <w:sz w:val="28"/>
                <w:szCs w:val="28"/>
                <w:highlight w:val="green"/>
                <w:u w:val="single"/>
              </w:rPr>
            </w:pPr>
            <w:r>
              <w:rPr>
                <w:rFonts w:hint="eastAsia" w:ascii="宋体" w:hAnsi="宋体"/>
                <w:snapToGrid w:val="0"/>
                <w:color w:val="0000FF"/>
                <w:sz w:val="28"/>
                <w:szCs w:val="28"/>
                <w:highlight w:val="white"/>
                <w:u w:val="single"/>
              </w:rPr>
              <w:t>工程技术科</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28" w:hRule="atLeast"/>
          <w:jc w:val="center"/>
        </w:trPr>
        <w:tc>
          <w:tcPr>
            <w:tcW w:w="2048" w:type="dxa"/>
            <w:tcBorders>
              <w:top w:val="single" w:color="auto" w:sz="4" w:space="0"/>
              <w:left w:val="single" w:color="auto" w:sz="8" w:space="0"/>
              <w:bottom w:val="single" w:color="auto" w:sz="4" w:space="0"/>
              <w:right w:val="single" w:color="auto" w:sz="4" w:space="0"/>
            </w:tcBorders>
            <w:noWrap w:val="0"/>
            <w:vAlign w:val="center"/>
          </w:tcPr>
          <w:p>
            <w:pPr>
              <w:snapToGrid w:val="0"/>
              <w:spacing w:line="460" w:lineRule="exact"/>
              <w:rPr>
                <w:rFonts w:ascii="宋体" w:hAnsi="宋体"/>
                <w:snapToGrid w:val="0"/>
                <w:sz w:val="28"/>
                <w:szCs w:val="28"/>
              </w:rPr>
            </w:pPr>
            <w:r>
              <w:rPr>
                <w:rFonts w:hint="eastAsia" w:ascii="宋体" w:hAnsi="宋体"/>
                <w:snapToGrid w:val="0"/>
                <w:sz w:val="28"/>
                <w:szCs w:val="28"/>
                <w:highlight w:val="white"/>
              </w:rPr>
              <w:t>开标会</w:t>
            </w:r>
          </w:p>
        </w:tc>
        <w:tc>
          <w:tcPr>
            <w:tcW w:w="581" w:type="dxa"/>
            <w:tcBorders>
              <w:top w:val="single" w:color="auto" w:sz="4" w:space="0"/>
              <w:left w:val="single" w:color="auto" w:sz="4" w:space="0"/>
              <w:bottom w:val="single" w:color="auto" w:sz="4" w:space="0"/>
              <w:right w:val="single" w:color="auto" w:sz="4" w:space="0"/>
            </w:tcBorders>
            <w:noWrap w:val="0"/>
            <w:vAlign w:val="center"/>
          </w:tcPr>
          <w:p>
            <w:pPr>
              <w:snapToGrid w:val="0"/>
              <w:spacing w:line="460" w:lineRule="exact"/>
              <w:rPr>
                <w:rFonts w:hint="eastAsia" w:ascii="宋体" w:hAnsi="宋体"/>
                <w:snapToGrid w:val="0"/>
                <w:sz w:val="28"/>
                <w:szCs w:val="28"/>
                <w:highlight w:val="white"/>
              </w:rPr>
            </w:pPr>
            <w:r>
              <w:rPr>
                <w:rFonts w:hint="eastAsia" w:ascii="宋体" w:hAnsi="宋体"/>
                <w:snapToGrid w:val="0"/>
                <w:sz w:val="28"/>
                <w:szCs w:val="28"/>
                <w:highlight w:val="white"/>
              </w:rPr>
              <w:t>时间</w:t>
            </w:r>
          </w:p>
        </w:tc>
        <w:tc>
          <w:tcPr>
            <w:tcW w:w="3353" w:type="dxa"/>
            <w:gridSpan w:val="2"/>
            <w:tcBorders>
              <w:top w:val="single" w:color="auto" w:sz="4" w:space="0"/>
              <w:left w:val="single" w:color="auto" w:sz="4" w:space="0"/>
              <w:bottom w:val="single" w:color="auto" w:sz="4" w:space="0"/>
              <w:right w:val="single" w:color="auto" w:sz="4" w:space="0"/>
            </w:tcBorders>
            <w:noWrap w:val="0"/>
            <w:vAlign w:val="center"/>
          </w:tcPr>
          <w:p>
            <w:pPr>
              <w:snapToGrid w:val="0"/>
              <w:spacing w:line="460" w:lineRule="exact"/>
              <w:rPr>
                <w:rFonts w:hint="eastAsia" w:ascii="宋体" w:hAnsi="宋体"/>
                <w:snapToGrid w:val="0"/>
                <w:sz w:val="28"/>
                <w:szCs w:val="28"/>
              </w:rPr>
            </w:pPr>
          </w:p>
        </w:tc>
        <w:tc>
          <w:tcPr>
            <w:tcW w:w="697" w:type="dxa"/>
            <w:tcBorders>
              <w:top w:val="single" w:color="auto" w:sz="4" w:space="0"/>
              <w:left w:val="single" w:color="auto" w:sz="4" w:space="0"/>
              <w:bottom w:val="single" w:color="auto" w:sz="4" w:space="0"/>
              <w:right w:val="single" w:color="auto" w:sz="4" w:space="0"/>
            </w:tcBorders>
            <w:noWrap w:val="0"/>
            <w:vAlign w:val="center"/>
          </w:tcPr>
          <w:p>
            <w:pPr>
              <w:snapToGrid w:val="0"/>
              <w:spacing w:line="460" w:lineRule="exact"/>
              <w:rPr>
                <w:rFonts w:hint="eastAsia" w:ascii="宋体" w:hAnsi="宋体"/>
                <w:snapToGrid w:val="0"/>
                <w:sz w:val="28"/>
                <w:szCs w:val="28"/>
                <w:highlight w:val="white"/>
              </w:rPr>
            </w:pPr>
            <w:r>
              <w:rPr>
                <w:rFonts w:hint="eastAsia" w:ascii="宋体" w:hAnsi="宋体"/>
                <w:snapToGrid w:val="0"/>
                <w:sz w:val="28"/>
                <w:szCs w:val="28"/>
                <w:highlight w:val="white"/>
              </w:rPr>
              <w:t>地址</w:t>
            </w:r>
          </w:p>
        </w:tc>
        <w:tc>
          <w:tcPr>
            <w:tcW w:w="3821" w:type="dxa"/>
            <w:tcBorders>
              <w:top w:val="single" w:color="auto" w:sz="4" w:space="0"/>
              <w:left w:val="single" w:color="auto" w:sz="4" w:space="0"/>
              <w:bottom w:val="single" w:color="auto" w:sz="4" w:space="0"/>
              <w:right w:val="single" w:color="auto" w:sz="8" w:space="0"/>
            </w:tcBorders>
            <w:noWrap w:val="0"/>
            <w:vAlign w:val="center"/>
          </w:tcPr>
          <w:p>
            <w:pPr>
              <w:snapToGrid w:val="0"/>
              <w:spacing w:line="460" w:lineRule="exact"/>
              <w:ind w:firstLine="280" w:firstLineChars="100"/>
              <w:rPr>
                <w:rFonts w:hint="eastAsia" w:ascii="宋体" w:hAnsi="宋体"/>
                <w:snapToGrid w:val="0"/>
                <w:sz w:val="28"/>
                <w:szCs w:val="28"/>
                <w:highlight w:val="green"/>
              </w:rPr>
            </w:pPr>
            <w:r>
              <w:rPr>
                <w:rFonts w:hint="eastAsia" w:ascii="宋体" w:hAnsi="宋体"/>
                <w:snapToGrid w:val="0"/>
                <w:color w:val="0000FF"/>
                <w:sz w:val="28"/>
                <w:szCs w:val="28"/>
                <w:highlight w:val="white"/>
                <w:u w:val="single"/>
              </w:rPr>
              <w:t>会议室</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2048" w:type="dxa"/>
            <w:tcBorders>
              <w:top w:val="single" w:color="auto" w:sz="4" w:space="0"/>
              <w:left w:val="single" w:color="auto" w:sz="8" w:space="0"/>
              <w:bottom w:val="single" w:color="auto" w:sz="4" w:space="0"/>
              <w:right w:val="single" w:color="auto" w:sz="4" w:space="0"/>
            </w:tcBorders>
            <w:noWrap w:val="0"/>
            <w:vAlign w:val="center"/>
          </w:tcPr>
          <w:p>
            <w:pPr>
              <w:snapToGrid w:val="0"/>
              <w:spacing w:line="460" w:lineRule="exact"/>
              <w:rPr>
                <w:rFonts w:ascii="宋体" w:hAnsi="宋体"/>
                <w:snapToGrid w:val="0"/>
                <w:color w:val="FF0000"/>
                <w:sz w:val="28"/>
                <w:szCs w:val="28"/>
              </w:rPr>
            </w:pPr>
            <w:r>
              <w:rPr>
                <w:rFonts w:hint="eastAsia" w:ascii="宋体" w:hAnsi="宋体"/>
                <w:snapToGrid w:val="0"/>
                <w:color w:val="FF0000"/>
                <w:sz w:val="28"/>
                <w:szCs w:val="28"/>
                <w:highlight w:val="white"/>
              </w:rPr>
              <w:t>资格审查</w:t>
            </w:r>
          </w:p>
        </w:tc>
        <w:tc>
          <w:tcPr>
            <w:tcW w:w="8452" w:type="dxa"/>
            <w:gridSpan w:val="5"/>
            <w:tcBorders>
              <w:top w:val="single" w:color="auto" w:sz="4" w:space="0"/>
              <w:left w:val="single" w:color="auto" w:sz="4" w:space="0"/>
              <w:bottom w:val="single" w:color="auto" w:sz="4" w:space="0"/>
              <w:right w:val="single" w:color="auto" w:sz="8" w:space="0"/>
            </w:tcBorders>
            <w:noWrap w:val="0"/>
            <w:vAlign w:val="center"/>
          </w:tcPr>
          <w:p>
            <w:pPr>
              <w:snapToGrid w:val="0"/>
              <w:spacing w:line="460" w:lineRule="exact"/>
              <w:rPr>
                <w:rFonts w:ascii="宋体" w:hAnsi="宋体"/>
                <w:snapToGrid w:val="0"/>
                <w:color w:val="FF0000"/>
                <w:sz w:val="28"/>
                <w:szCs w:val="28"/>
              </w:rPr>
            </w:pPr>
            <w:r>
              <w:rPr>
                <w:rFonts w:hint="eastAsia" w:ascii="宋体" w:hAnsi="宋体"/>
                <w:snapToGrid w:val="0"/>
                <w:color w:val="FF0000"/>
                <w:sz w:val="28"/>
                <w:szCs w:val="28"/>
              </w:rPr>
              <w:t>本项目采用资格预审方式，需提供书面资料：项目人员名单、工程质量维修承诺书。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048" w:type="dxa"/>
            <w:tcBorders>
              <w:top w:val="single" w:color="auto" w:sz="4" w:space="0"/>
              <w:left w:val="single" w:color="auto" w:sz="8" w:space="0"/>
              <w:bottom w:val="single" w:color="auto" w:sz="4" w:space="0"/>
              <w:right w:val="single" w:color="auto" w:sz="4" w:space="0"/>
            </w:tcBorders>
            <w:noWrap w:val="0"/>
            <w:vAlign w:val="center"/>
          </w:tcPr>
          <w:p>
            <w:pPr>
              <w:snapToGrid w:val="0"/>
              <w:spacing w:line="460" w:lineRule="exact"/>
              <w:rPr>
                <w:rFonts w:ascii="宋体" w:hAnsi="宋体"/>
                <w:snapToGrid w:val="0"/>
                <w:sz w:val="28"/>
                <w:szCs w:val="28"/>
              </w:rPr>
            </w:pPr>
            <w:r>
              <w:rPr>
                <w:rFonts w:hint="eastAsia" w:ascii="宋体" w:hAnsi="宋体"/>
                <w:snapToGrid w:val="0"/>
                <w:sz w:val="28"/>
                <w:szCs w:val="28"/>
                <w:highlight w:val="white"/>
              </w:rPr>
              <w:t>投标报价方式</w:t>
            </w:r>
          </w:p>
        </w:tc>
        <w:tc>
          <w:tcPr>
            <w:tcW w:w="8452" w:type="dxa"/>
            <w:gridSpan w:val="5"/>
            <w:tcBorders>
              <w:top w:val="single" w:color="auto" w:sz="4" w:space="0"/>
              <w:left w:val="single" w:color="auto" w:sz="4" w:space="0"/>
              <w:bottom w:val="single" w:color="auto" w:sz="4" w:space="0"/>
              <w:right w:val="single" w:color="auto" w:sz="8" w:space="0"/>
            </w:tcBorders>
            <w:noWrap w:val="0"/>
            <w:vAlign w:val="center"/>
          </w:tcPr>
          <w:p>
            <w:pPr>
              <w:snapToGrid w:val="0"/>
              <w:spacing w:line="460" w:lineRule="exact"/>
              <w:rPr>
                <w:rFonts w:ascii="宋体" w:hAnsi="宋体"/>
                <w:snapToGrid w:val="0"/>
                <w:sz w:val="28"/>
                <w:szCs w:val="28"/>
              </w:rPr>
            </w:pPr>
            <w:r>
              <w:rPr>
                <w:rFonts w:hint="eastAsia" w:ascii="宋体" w:hAnsi="宋体"/>
                <w:b/>
                <w:bCs/>
                <w:snapToGrid w:val="0"/>
                <w:sz w:val="28"/>
                <w:highlight w:val="white"/>
                <w:u w:val="single"/>
              </w:rPr>
              <w:t>投标让利率</w:t>
            </w:r>
            <w:r>
              <w:rPr>
                <w:rFonts w:hint="eastAsia" w:ascii="宋体" w:hAnsi="宋体"/>
                <w:b/>
                <w:bCs/>
                <w:snapToGrid w:val="0"/>
                <w:sz w:val="28"/>
                <w:highlight w:val="white"/>
              </w:rPr>
              <w:t>报价。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048" w:type="dxa"/>
            <w:tcBorders>
              <w:top w:val="single" w:color="auto" w:sz="4" w:space="0"/>
              <w:left w:val="single" w:color="auto" w:sz="8" w:space="0"/>
              <w:bottom w:val="single" w:color="auto" w:sz="4" w:space="0"/>
              <w:right w:val="single" w:color="auto" w:sz="4" w:space="0"/>
            </w:tcBorders>
            <w:noWrap w:val="0"/>
            <w:vAlign w:val="center"/>
          </w:tcPr>
          <w:p>
            <w:pPr>
              <w:snapToGrid w:val="0"/>
              <w:spacing w:line="460" w:lineRule="exact"/>
              <w:rPr>
                <w:rFonts w:ascii="宋体" w:hAnsi="宋体"/>
                <w:snapToGrid w:val="0"/>
                <w:sz w:val="28"/>
                <w:szCs w:val="28"/>
              </w:rPr>
            </w:pPr>
            <w:r>
              <w:rPr>
                <w:rFonts w:hint="eastAsia" w:ascii="宋体" w:hAnsi="宋体"/>
                <w:snapToGrid w:val="0"/>
                <w:sz w:val="28"/>
                <w:szCs w:val="28"/>
                <w:highlight w:val="white"/>
              </w:rPr>
              <w:t>标书装订</w:t>
            </w:r>
          </w:p>
          <w:p>
            <w:pPr>
              <w:snapToGrid w:val="0"/>
              <w:spacing w:line="460" w:lineRule="exact"/>
              <w:rPr>
                <w:rFonts w:ascii="宋体" w:hAnsi="宋体"/>
                <w:snapToGrid w:val="0"/>
                <w:sz w:val="28"/>
                <w:szCs w:val="28"/>
              </w:rPr>
            </w:pPr>
            <w:r>
              <w:rPr>
                <w:rFonts w:hint="eastAsia" w:ascii="宋体" w:hAnsi="宋体"/>
                <w:snapToGrid w:val="0"/>
                <w:sz w:val="28"/>
                <w:szCs w:val="28"/>
                <w:highlight w:val="white"/>
              </w:rPr>
              <w:t>及密封要求</w:t>
            </w:r>
          </w:p>
        </w:tc>
        <w:tc>
          <w:tcPr>
            <w:tcW w:w="8452" w:type="dxa"/>
            <w:gridSpan w:val="5"/>
            <w:tcBorders>
              <w:top w:val="single" w:color="auto" w:sz="4" w:space="0"/>
              <w:left w:val="single" w:color="auto" w:sz="4" w:space="0"/>
              <w:bottom w:val="single" w:color="auto" w:sz="4" w:space="0"/>
              <w:right w:val="single" w:color="auto" w:sz="8" w:space="0"/>
            </w:tcBorders>
            <w:noWrap w:val="0"/>
            <w:vAlign w:val="center"/>
          </w:tcPr>
          <w:p>
            <w:pPr>
              <w:pStyle w:val="4"/>
              <w:adjustRightInd w:val="0"/>
              <w:snapToGrid w:val="0"/>
              <w:spacing w:line="460" w:lineRule="exact"/>
              <w:ind w:firstLine="0"/>
              <w:rPr>
                <w:rFonts w:hint="eastAsia" w:hAnsi="宋体"/>
                <w:snapToGrid w:val="0"/>
                <w:color w:val="0000FF"/>
                <w:szCs w:val="28"/>
                <w:highlight w:val="white"/>
                <w:lang w:val="en-US" w:eastAsia="zh-CN"/>
              </w:rPr>
            </w:pPr>
            <w:r>
              <w:rPr>
                <w:rFonts w:hint="eastAsia" w:hAnsi="宋体"/>
                <w:snapToGrid w:val="0"/>
                <w:szCs w:val="28"/>
                <w:highlight w:val="white"/>
                <w:lang w:val="en-US" w:eastAsia="zh-CN"/>
              </w:rPr>
              <w:t>所有封袋上应写明招标人名称、工程名称和标段及投标人的名称。</w:t>
            </w:r>
          </w:p>
          <w:p>
            <w:pPr>
              <w:snapToGrid w:val="0"/>
              <w:spacing w:line="460" w:lineRule="exact"/>
              <w:rPr>
                <w:rFonts w:ascii="宋体" w:hAnsi="宋体"/>
                <w:snapToGrid w:val="0"/>
                <w:sz w:val="28"/>
                <w:szCs w:val="28"/>
              </w:rPr>
            </w:pPr>
            <w:r>
              <w:rPr>
                <w:rFonts w:hint="eastAsia" w:ascii="宋体" w:hAnsi="宋体"/>
                <w:snapToGrid w:val="0"/>
                <w:sz w:val="28"/>
                <w:szCs w:val="28"/>
                <w:highlight w:val="white"/>
              </w:rPr>
              <w:t>所有投标文件都必须在封袋加盖投标单位法人公章及其法定代表人或授权委托人印鉴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19" w:hRule="atLeast"/>
          <w:jc w:val="center"/>
        </w:trPr>
        <w:tc>
          <w:tcPr>
            <w:tcW w:w="2048" w:type="dxa"/>
            <w:tcBorders>
              <w:top w:val="single" w:color="auto" w:sz="4" w:space="0"/>
              <w:left w:val="single" w:color="auto" w:sz="8" w:space="0"/>
              <w:bottom w:val="single" w:color="auto" w:sz="4" w:space="0"/>
              <w:right w:val="single" w:color="auto" w:sz="4" w:space="0"/>
            </w:tcBorders>
            <w:noWrap w:val="0"/>
            <w:vAlign w:val="center"/>
          </w:tcPr>
          <w:p>
            <w:pPr>
              <w:snapToGrid w:val="0"/>
              <w:spacing w:line="460" w:lineRule="exact"/>
              <w:rPr>
                <w:rFonts w:ascii="宋体" w:hAnsi="宋体"/>
                <w:snapToGrid w:val="0"/>
                <w:sz w:val="28"/>
                <w:szCs w:val="28"/>
              </w:rPr>
            </w:pPr>
            <w:r>
              <w:rPr>
                <w:rFonts w:hint="eastAsia" w:ascii="宋体" w:hAnsi="宋体"/>
                <w:snapToGrid w:val="0"/>
                <w:sz w:val="28"/>
                <w:szCs w:val="28"/>
                <w:highlight w:val="white"/>
              </w:rPr>
              <w:t>评标办法</w:t>
            </w:r>
          </w:p>
        </w:tc>
        <w:tc>
          <w:tcPr>
            <w:tcW w:w="8452" w:type="dxa"/>
            <w:gridSpan w:val="5"/>
            <w:tcBorders>
              <w:top w:val="single" w:color="auto" w:sz="4" w:space="0"/>
              <w:left w:val="single" w:color="auto" w:sz="4" w:space="0"/>
              <w:bottom w:val="single" w:color="auto" w:sz="4" w:space="0"/>
              <w:right w:val="single" w:color="auto" w:sz="8" w:space="0"/>
            </w:tcBorders>
            <w:noWrap w:val="0"/>
            <w:vAlign w:val="center"/>
          </w:tcPr>
          <w:p>
            <w:pPr>
              <w:snapToGrid w:val="0"/>
              <w:spacing w:line="460" w:lineRule="exact"/>
              <w:rPr>
                <w:rFonts w:hint="eastAsia" w:ascii="宋体" w:hAnsi="宋体" w:cs="TimesNewRomanPSMT"/>
                <w:color w:val="0000FF"/>
                <w:sz w:val="28"/>
                <w:szCs w:val="32"/>
                <w:highlight w:val="yellow"/>
              </w:rPr>
            </w:pPr>
            <w:r>
              <w:rPr>
                <w:rFonts w:hint="eastAsia" w:ascii="宋体" w:hAnsi="宋体" w:cs="TimesNewRomanPSMT"/>
                <w:color w:val="0000FF"/>
                <w:sz w:val="28"/>
                <w:szCs w:val="32"/>
              </w:rPr>
              <w:t>综合评分法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2048" w:type="dxa"/>
            <w:tcBorders>
              <w:top w:val="single" w:color="auto" w:sz="4" w:space="0"/>
              <w:left w:val="single" w:color="auto" w:sz="8" w:space="0"/>
              <w:bottom w:val="single" w:color="auto" w:sz="4" w:space="0"/>
              <w:right w:val="single" w:color="auto" w:sz="4" w:space="0"/>
            </w:tcBorders>
            <w:noWrap w:val="0"/>
            <w:vAlign w:val="center"/>
          </w:tcPr>
          <w:p>
            <w:pPr>
              <w:snapToGrid w:val="0"/>
              <w:spacing w:line="460" w:lineRule="exact"/>
              <w:rPr>
                <w:rFonts w:ascii="宋体" w:hAnsi="宋体"/>
                <w:sz w:val="28"/>
                <w:szCs w:val="28"/>
              </w:rPr>
            </w:pPr>
            <w:r>
              <w:rPr>
                <w:rFonts w:hint="eastAsia" w:ascii="宋体" w:hAnsi="宋体"/>
                <w:sz w:val="28"/>
                <w:szCs w:val="28"/>
                <w:highlight w:val="white"/>
              </w:rPr>
              <w:t>合同结算方式</w:t>
            </w:r>
          </w:p>
        </w:tc>
        <w:tc>
          <w:tcPr>
            <w:tcW w:w="8452" w:type="dxa"/>
            <w:gridSpan w:val="5"/>
            <w:tcBorders>
              <w:top w:val="single" w:color="auto" w:sz="4" w:space="0"/>
              <w:left w:val="single" w:color="auto" w:sz="4" w:space="0"/>
              <w:bottom w:val="single" w:color="auto" w:sz="4" w:space="0"/>
              <w:right w:val="single" w:color="auto" w:sz="8" w:space="0"/>
            </w:tcBorders>
            <w:noWrap w:val="0"/>
            <w:vAlign w:val="center"/>
          </w:tcPr>
          <w:p>
            <w:pPr>
              <w:snapToGrid w:val="0"/>
              <w:spacing w:line="460" w:lineRule="exact"/>
              <w:ind w:left="34" w:hanging="34"/>
              <w:rPr>
                <w:rFonts w:hint="eastAsia" w:ascii="宋体" w:hAnsi="宋体"/>
                <w:snapToGrid w:val="0"/>
                <w:sz w:val="28"/>
              </w:rPr>
            </w:pPr>
            <w:r>
              <w:rPr>
                <w:rFonts w:hint="eastAsia" w:ascii="宋体" w:hAnsi="宋体"/>
                <w:snapToGrid w:val="0"/>
                <w:sz w:val="28"/>
                <w:highlight w:val="white"/>
              </w:rPr>
              <w:t>1、本合同价款采用固定</w:t>
            </w:r>
            <w:r>
              <w:rPr>
                <w:rFonts w:hint="eastAsia" w:ascii="宋体" w:hAnsi="宋体"/>
                <w:snapToGrid w:val="0"/>
                <w:color w:val="0000FF"/>
                <w:sz w:val="28"/>
                <w:highlight w:val="white"/>
                <w:u w:val="single"/>
              </w:rPr>
              <w:t xml:space="preserve"> / </w:t>
            </w:r>
            <w:r>
              <w:rPr>
                <w:rFonts w:hint="eastAsia" w:ascii="宋体" w:hAnsi="宋体"/>
                <w:snapToGrid w:val="0"/>
                <w:sz w:val="28"/>
                <w:highlight w:val="white"/>
              </w:rPr>
              <w:t>合同方式确定。</w:t>
            </w:r>
          </w:p>
          <w:p>
            <w:pPr>
              <w:widowControl/>
              <w:spacing w:line="300" w:lineRule="exact"/>
              <w:jc w:val="left"/>
              <w:rPr>
                <w:rFonts w:hint="eastAsia" w:ascii="宋体" w:hAnsi="宋体"/>
                <w:b/>
                <w:snapToGrid w:val="0"/>
                <w:sz w:val="28"/>
              </w:rPr>
            </w:pPr>
            <w:r>
              <w:rPr>
                <w:rFonts w:hint="eastAsia" w:hAnsi="Arial" w:cs="宋体"/>
                <w:color w:val="FF0000"/>
                <w:spacing w:val="-3"/>
                <w:kern w:val="0"/>
                <w:sz w:val="28"/>
                <w:szCs w:val="28"/>
              </w:rPr>
              <w:t>2、结算</w:t>
            </w:r>
            <w:r>
              <w:rPr>
                <w:rFonts w:hint="eastAsia" w:ascii="宋体" w:hAnsi="宋体" w:cs="宋体"/>
                <w:color w:val="FF0000"/>
                <w:kern w:val="0"/>
                <w:sz w:val="28"/>
                <w:szCs w:val="28"/>
              </w:rPr>
              <w:t>按照江苏长江水务股份有限公司内部结算标准结算，最终按实际工作量结算。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2048" w:type="dxa"/>
            <w:tcBorders>
              <w:top w:val="single" w:color="auto" w:sz="4" w:space="0"/>
              <w:left w:val="single" w:color="auto" w:sz="8" w:space="0"/>
              <w:bottom w:val="single" w:color="auto" w:sz="4" w:space="0"/>
              <w:right w:val="single" w:color="auto" w:sz="4" w:space="0"/>
            </w:tcBorders>
            <w:noWrap w:val="0"/>
            <w:vAlign w:val="center"/>
          </w:tcPr>
          <w:p>
            <w:pPr>
              <w:snapToGrid w:val="0"/>
              <w:spacing w:line="460" w:lineRule="exact"/>
              <w:rPr>
                <w:rFonts w:ascii="宋体" w:hAnsi="宋体"/>
                <w:snapToGrid w:val="0"/>
                <w:sz w:val="28"/>
                <w:szCs w:val="28"/>
              </w:rPr>
            </w:pPr>
            <w:r>
              <w:rPr>
                <w:rFonts w:hint="eastAsia" w:ascii="宋体" w:hAnsi="宋体"/>
                <w:snapToGrid w:val="0"/>
                <w:sz w:val="28"/>
                <w:szCs w:val="28"/>
                <w:highlight w:val="white"/>
              </w:rPr>
              <w:t>其他</w:t>
            </w:r>
          </w:p>
        </w:tc>
        <w:tc>
          <w:tcPr>
            <w:tcW w:w="8452" w:type="dxa"/>
            <w:gridSpan w:val="5"/>
            <w:tcBorders>
              <w:top w:val="single" w:color="auto" w:sz="4" w:space="0"/>
              <w:left w:val="single" w:color="auto" w:sz="4" w:space="0"/>
              <w:bottom w:val="single" w:color="auto" w:sz="4" w:space="0"/>
              <w:right w:val="single" w:color="auto" w:sz="8" w:space="0"/>
            </w:tcBorders>
            <w:noWrap w:val="0"/>
            <w:vAlign w:val="center"/>
          </w:tcPr>
          <w:p>
            <w:pPr>
              <w:snapToGrid w:val="0"/>
              <w:spacing w:line="460" w:lineRule="exact"/>
              <w:rPr>
                <w:rFonts w:hint="eastAsia" w:ascii="宋体" w:hAnsi="宋体"/>
                <w:snapToGrid w:val="0"/>
                <w:sz w:val="28"/>
                <w:szCs w:val="28"/>
                <w:highlight w:val="white"/>
              </w:rPr>
            </w:pPr>
            <w:r>
              <w:rPr>
                <w:rFonts w:hint="eastAsia" w:ascii="宋体" w:hAnsi="宋体"/>
                <w:snapToGrid w:val="0"/>
                <w:sz w:val="28"/>
                <w:szCs w:val="28"/>
                <w:highlight w:val="white"/>
              </w:rPr>
              <w:t>1、下文中与“前附表”内容不一致的，以“前附表”为准；</w:t>
            </w:r>
          </w:p>
          <w:p>
            <w:pPr>
              <w:snapToGrid w:val="0"/>
              <w:spacing w:line="460" w:lineRule="exact"/>
              <w:ind w:left="34" w:hanging="34"/>
              <w:rPr>
                <w:rFonts w:hint="eastAsia" w:hAnsi="Arial" w:cs="宋体"/>
                <w:color w:val="FF0000"/>
                <w:spacing w:val="-3"/>
                <w:kern w:val="0"/>
                <w:sz w:val="28"/>
                <w:szCs w:val="28"/>
              </w:rPr>
            </w:pPr>
            <w:r>
              <w:rPr>
                <w:rFonts w:hint="eastAsia" w:hAnsi="Arial" w:cs="宋体"/>
                <w:color w:val="FF0000"/>
                <w:spacing w:val="-3"/>
                <w:kern w:val="0"/>
                <w:sz w:val="28"/>
                <w:szCs w:val="28"/>
              </w:rPr>
              <w:t>2、工程质量保修承诺：本工程质保期为两年，质保期范围内发生质量问题由施工方免费维修。</w:t>
            </w:r>
          </w:p>
          <w:p>
            <w:pPr>
              <w:snapToGrid w:val="0"/>
              <w:spacing w:line="460" w:lineRule="exact"/>
              <w:ind w:left="34" w:hanging="34"/>
              <w:rPr>
                <w:rFonts w:hint="eastAsia" w:hAnsi="Arial" w:cs="宋体"/>
                <w:color w:val="FF0000"/>
                <w:spacing w:val="-3"/>
                <w:kern w:val="0"/>
                <w:sz w:val="28"/>
                <w:szCs w:val="28"/>
              </w:rPr>
            </w:pPr>
            <w:r>
              <w:rPr>
                <w:rFonts w:hint="eastAsia" w:hAnsi="Arial" w:cs="宋体"/>
                <w:color w:val="FF0000"/>
                <w:spacing w:val="-3"/>
                <w:kern w:val="0"/>
                <w:sz w:val="28"/>
                <w:szCs w:val="28"/>
              </w:rPr>
              <w:t>3、投标人须在本公司施工协作单位名录库中。</w:t>
            </w:r>
          </w:p>
          <w:p>
            <w:pPr>
              <w:snapToGrid w:val="0"/>
              <w:spacing w:line="460" w:lineRule="exact"/>
              <w:ind w:left="34" w:hanging="34"/>
              <w:rPr>
                <w:rFonts w:hAnsi="Arial" w:cs="宋体"/>
                <w:color w:val="FF0000"/>
                <w:spacing w:val="-3"/>
                <w:kern w:val="0"/>
                <w:sz w:val="28"/>
                <w:szCs w:val="28"/>
              </w:rPr>
            </w:pPr>
            <w:r>
              <w:rPr>
                <w:rFonts w:hint="eastAsia" w:hAnsi="Arial" w:cs="宋体"/>
                <w:color w:val="FF0000"/>
                <w:spacing w:val="-3"/>
                <w:kern w:val="0"/>
                <w:sz w:val="28"/>
                <w:szCs w:val="28"/>
              </w:rPr>
              <w:t>4、同一时间段开标4个项目（含）以上，协作单位只能兼中2个项目。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2048" w:type="dxa"/>
            <w:tcBorders>
              <w:top w:val="single" w:color="auto" w:sz="4" w:space="0"/>
              <w:left w:val="single" w:color="auto" w:sz="8" w:space="0"/>
              <w:bottom w:val="single" w:color="auto" w:sz="8" w:space="0"/>
              <w:right w:val="single" w:color="auto" w:sz="4" w:space="0"/>
            </w:tcBorders>
            <w:noWrap w:val="0"/>
            <w:vAlign w:val="center"/>
          </w:tcPr>
          <w:p>
            <w:pPr>
              <w:snapToGrid w:val="0"/>
              <w:spacing w:line="460" w:lineRule="exact"/>
              <w:rPr>
                <w:rFonts w:ascii="宋体" w:hAnsi="宋体"/>
                <w:snapToGrid w:val="0"/>
                <w:sz w:val="28"/>
                <w:szCs w:val="28"/>
              </w:rPr>
            </w:pPr>
            <w:r>
              <w:rPr>
                <w:rFonts w:hint="eastAsia" w:ascii="宋体" w:hAnsi="宋体"/>
                <w:snapToGrid w:val="0"/>
                <w:sz w:val="28"/>
                <w:szCs w:val="28"/>
                <w:highlight w:val="white"/>
              </w:rPr>
              <w:t>联系方式</w:t>
            </w:r>
          </w:p>
        </w:tc>
        <w:tc>
          <w:tcPr>
            <w:tcW w:w="8452" w:type="dxa"/>
            <w:gridSpan w:val="5"/>
            <w:tcBorders>
              <w:top w:val="single" w:color="auto" w:sz="4" w:space="0"/>
              <w:left w:val="single" w:color="auto" w:sz="4" w:space="0"/>
              <w:bottom w:val="single" w:color="auto" w:sz="8" w:space="0"/>
              <w:right w:val="single" w:color="auto" w:sz="8" w:space="0"/>
            </w:tcBorders>
            <w:noWrap w:val="0"/>
            <w:vAlign w:val="center"/>
          </w:tcPr>
          <w:p>
            <w:pPr>
              <w:adjustRightInd w:val="0"/>
              <w:snapToGrid w:val="0"/>
              <w:spacing w:line="460" w:lineRule="exact"/>
              <w:rPr>
                <w:rFonts w:hint="eastAsia" w:ascii="宋体" w:hAnsi="宋体"/>
                <w:sz w:val="28"/>
                <w:szCs w:val="28"/>
              </w:rPr>
            </w:pPr>
            <w:r>
              <w:rPr>
                <w:rFonts w:hint="eastAsia" w:ascii="宋体" w:hAnsi="宋体"/>
                <w:sz w:val="28"/>
                <w:szCs w:val="28"/>
                <w:highlight w:val="white"/>
              </w:rPr>
              <w:t>招标人：</w:t>
            </w:r>
            <w:r>
              <w:rPr>
                <w:rFonts w:hint="eastAsia" w:ascii="宋体" w:hAnsi="宋体"/>
                <w:snapToGrid w:val="0"/>
                <w:color w:val="0000FF"/>
                <w:sz w:val="28"/>
                <w:szCs w:val="28"/>
                <w:highlight w:val="white"/>
              </w:rPr>
              <w:t>江苏长江水务股份有限公司</w:t>
            </w:r>
          </w:p>
          <w:p>
            <w:pPr>
              <w:adjustRightInd w:val="0"/>
              <w:snapToGrid w:val="0"/>
              <w:spacing w:line="460" w:lineRule="exact"/>
              <w:rPr>
                <w:rFonts w:hint="eastAsia" w:ascii="宋体" w:hAnsi="宋体"/>
                <w:sz w:val="28"/>
                <w:szCs w:val="28"/>
              </w:rPr>
            </w:pPr>
            <w:r>
              <w:rPr>
                <w:rFonts w:hint="eastAsia" w:ascii="宋体" w:hAnsi="宋体"/>
                <w:sz w:val="28"/>
                <w:szCs w:val="28"/>
                <w:highlight w:val="white"/>
              </w:rPr>
              <w:t>地  址：</w:t>
            </w:r>
            <w:r>
              <w:rPr>
                <w:rFonts w:hint="eastAsia" w:ascii="宋体" w:hAnsi="宋体"/>
                <w:color w:val="0000FF"/>
                <w:sz w:val="28"/>
                <w:szCs w:val="28"/>
                <w:highlight w:val="white"/>
              </w:rPr>
              <w:t>扬州</w:t>
            </w:r>
            <w:r>
              <w:rPr>
                <w:rFonts w:hint="eastAsia" w:ascii="宋体" w:hAnsi="宋体"/>
                <w:color w:val="0000FF"/>
                <w:sz w:val="28"/>
                <w:szCs w:val="28"/>
              </w:rPr>
              <w:t>市文汇东路2</w:t>
            </w:r>
            <w:r>
              <w:rPr>
                <w:rFonts w:ascii="宋体" w:hAnsi="宋体"/>
                <w:color w:val="0000FF"/>
                <w:sz w:val="28"/>
                <w:szCs w:val="28"/>
              </w:rPr>
              <w:t>4</w:t>
            </w:r>
            <w:r>
              <w:rPr>
                <w:rFonts w:hint="eastAsia" w:ascii="宋体" w:hAnsi="宋体"/>
                <w:color w:val="0000FF"/>
                <w:sz w:val="28"/>
                <w:szCs w:val="28"/>
              </w:rPr>
              <w:t>9号</w:t>
            </w:r>
          </w:p>
          <w:p>
            <w:pPr>
              <w:adjustRightInd w:val="0"/>
              <w:snapToGrid w:val="0"/>
              <w:spacing w:line="460" w:lineRule="exact"/>
              <w:rPr>
                <w:rFonts w:hint="eastAsia" w:ascii="宋体" w:hAnsi="宋体"/>
                <w:color w:val="0000FF"/>
                <w:sz w:val="28"/>
                <w:szCs w:val="28"/>
                <w:highlight w:val="white"/>
              </w:rPr>
            </w:pPr>
            <w:r>
              <w:rPr>
                <w:rFonts w:hint="eastAsia" w:ascii="宋体" w:hAnsi="宋体"/>
                <w:sz w:val="28"/>
                <w:szCs w:val="28"/>
                <w:highlight w:val="white"/>
              </w:rPr>
              <w:t>电  话：</w:t>
            </w:r>
            <w:r>
              <w:rPr>
                <w:rFonts w:hint="eastAsia" w:ascii="宋体" w:hAnsi="宋体"/>
                <w:color w:val="0000FF"/>
                <w:sz w:val="28"/>
                <w:szCs w:val="28"/>
                <w:highlight w:val="white"/>
              </w:rPr>
              <w:t>18952758865</w:t>
            </w:r>
          </w:p>
          <w:p>
            <w:pPr>
              <w:adjustRightInd w:val="0"/>
              <w:snapToGrid w:val="0"/>
              <w:spacing w:line="460" w:lineRule="exact"/>
              <w:rPr>
                <w:rFonts w:ascii="宋体" w:hAnsi="宋体"/>
                <w:sz w:val="28"/>
                <w:szCs w:val="28"/>
              </w:rPr>
            </w:pPr>
            <w:r>
              <w:rPr>
                <w:rFonts w:hint="eastAsia" w:ascii="宋体" w:hAnsi="宋体"/>
                <w:sz w:val="28"/>
                <w:szCs w:val="28"/>
                <w:highlight w:val="white"/>
              </w:rPr>
              <w:t>联系人：</w:t>
            </w:r>
            <w:r>
              <w:rPr>
                <w:rFonts w:hint="eastAsia" w:ascii="宋体" w:hAnsi="宋体"/>
                <w:color w:val="0000FF"/>
                <w:sz w:val="28"/>
                <w:szCs w:val="28"/>
              </w:rPr>
              <w:t xml:space="preserve"> 王磊</w:t>
            </w:r>
          </w:p>
        </w:tc>
      </w:tr>
    </w:tbl>
    <w:p>
      <w:pPr>
        <w:adjustRightInd w:val="0"/>
        <w:snapToGrid w:val="0"/>
        <w:spacing w:line="460" w:lineRule="exact"/>
        <w:rPr>
          <w:rFonts w:hint="eastAsia" w:ascii="宋体" w:hAnsi="宋体"/>
          <w:b/>
          <w:bCs/>
          <w:snapToGrid w:val="0"/>
          <w:sz w:val="28"/>
          <w:szCs w:val="36"/>
        </w:rPr>
      </w:pPr>
      <w:r>
        <w:rPr>
          <w:rFonts w:hint="eastAsia" w:ascii="宋体" w:hAnsi="宋体"/>
          <w:sz w:val="28"/>
          <w:szCs w:val="28"/>
          <w:highlight w:val="white"/>
        </w:rPr>
        <w:t>招标文件编制人（签名）：</w:t>
      </w:r>
      <w:r>
        <w:rPr>
          <w:rFonts w:hint="eastAsia" w:ascii="宋体" w:hAnsi="宋体"/>
          <w:sz w:val="28"/>
          <w:szCs w:val="28"/>
          <w:highlight w:val="white"/>
          <w:lang w:val="en-US" w:eastAsia="zh-CN"/>
        </w:rPr>
        <w:t>吴晓梅</w:t>
      </w:r>
      <w:r>
        <w:rPr>
          <w:rFonts w:hint="eastAsia" w:ascii="宋体" w:hAnsi="宋体"/>
          <w:sz w:val="28"/>
          <w:szCs w:val="28"/>
          <w:highlight w:val="white"/>
        </w:rPr>
        <w:t xml:space="preserve">           单位（盖章）：</w:t>
      </w:r>
    </w:p>
    <w:p>
      <w:pPr>
        <w:spacing w:line="440" w:lineRule="exact"/>
        <w:rPr>
          <w:rFonts w:hint="eastAsia" w:ascii="宋体" w:hAnsi="宋体"/>
          <w:b/>
          <w:sz w:val="32"/>
          <w:szCs w:val="32"/>
        </w:rPr>
      </w:pPr>
      <w:r>
        <w:rPr>
          <w:rFonts w:ascii="宋体" w:hAnsi="宋体"/>
          <w:highlight w:val="white"/>
        </w:rPr>
        <w:br w:type="page"/>
      </w:r>
      <w:r>
        <w:rPr>
          <w:rFonts w:hint="eastAsia" w:ascii="宋体" w:hAnsi="宋体"/>
          <w:b/>
          <w:sz w:val="32"/>
          <w:szCs w:val="32"/>
          <w:highlight w:val="white"/>
        </w:rPr>
        <w:t>一、总    则</w:t>
      </w:r>
    </w:p>
    <w:p>
      <w:pPr>
        <w:adjustRightInd w:val="0"/>
        <w:snapToGrid w:val="0"/>
        <w:spacing w:line="440" w:lineRule="exact"/>
        <w:ind w:firstLine="560"/>
        <w:rPr>
          <w:rFonts w:hint="eastAsia" w:ascii="宋体" w:hAnsi="宋体"/>
          <w:snapToGrid w:val="0"/>
          <w:sz w:val="28"/>
        </w:rPr>
      </w:pPr>
      <w:r>
        <w:rPr>
          <w:rFonts w:hint="eastAsia" w:ascii="宋体" w:hAnsi="宋体"/>
          <w:snapToGrid w:val="0"/>
          <w:sz w:val="28"/>
          <w:highlight w:val="white"/>
        </w:rPr>
        <w:t>1、招标项目概况</w:t>
      </w:r>
    </w:p>
    <w:p>
      <w:pPr>
        <w:autoSpaceDE w:val="0"/>
        <w:autoSpaceDN w:val="0"/>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1.1本招标项目已具备招标条件，现对本工程进行招标</w:t>
      </w:r>
    </w:p>
    <w:p>
      <w:pPr>
        <w:autoSpaceDE w:val="0"/>
        <w:autoSpaceDN w:val="0"/>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2、投标费用</w:t>
      </w:r>
    </w:p>
    <w:p>
      <w:pPr>
        <w:autoSpaceDE w:val="0"/>
        <w:autoSpaceDN w:val="0"/>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2.1投标人应承担其编制投标文件与递交投标文件所涉及的一切费用。不管投标结果如何，招标人对上述费用不负任何责任。</w:t>
      </w:r>
    </w:p>
    <w:p>
      <w:pPr>
        <w:autoSpaceDE w:val="0"/>
        <w:autoSpaceDN w:val="0"/>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3、保密</w:t>
      </w:r>
    </w:p>
    <w:p>
      <w:pPr>
        <w:autoSpaceDE w:val="0"/>
        <w:autoSpaceDN w:val="0"/>
        <w:adjustRightInd w:val="0"/>
        <w:snapToGrid w:val="0"/>
        <w:spacing w:line="440" w:lineRule="exact"/>
        <w:ind w:firstLine="560"/>
        <w:rPr>
          <w:rFonts w:hint="eastAsia" w:ascii="宋体" w:hAnsi="宋体"/>
          <w:snapToGrid w:val="0"/>
          <w:sz w:val="28"/>
          <w:szCs w:val="28"/>
        </w:rPr>
      </w:pPr>
      <w:r>
        <w:rPr>
          <w:rFonts w:hint="eastAsia" w:ascii="宋体" w:hAnsi="宋体"/>
          <w:snapToGrid w:val="0"/>
          <w:sz w:val="28"/>
          <w:highlight w:val="white"/>
        </w:rPr>
        <w:t>参与招标投标活动的各方应对招标文件和投标文件中的商业和技术等秘密保密，违者应对由此造成的后果承担法律责任</w:t>
      </w:r>
      <w:r>
        <w:rPr>
          <w:rFonts w:hint="eastAsia" w:ascii="宋体" w:hAnsi="宋体"/>
          <w:snapToGrid w:val="0"/>
          <w:sz w:val="28"/>
          <w:szCs w:val="28"/>
          <w:highlight w:val="white"/>
        </w:rPr>
        <w:t>。</w:t>
      </w:r>
    </w:p>
    <w:p>
      <w:pPr>
        <w:autoSpaceDE w:val="0"/>
        <w:autoSpaceDN w:val="0"/>
        <w:adjustRightInd w:val="0"/>
        <w:snapToGrid w:val="0"/>
        <w:spacing w:line="440" w:lineRule="exact"/>
        <w:ind w:firstLine="560"/>
        <w:rPr>
          <w:rFonts w:hint="eastAsia" w:ascii="宋体" w:hAnsi="宋体"/>
          <w:snapToGrid w:val="0"/>
          <w:sz w:val="28"/>
          <w:szCs w:val="28"/>
        </w:rPr>
      </w:pPr>
    </w:p>
    <w:p>
      <w:pPr>
        <w:spacing w:line="440" w:lineRule="exact"/>
        <w:rPr>
          <w:rFonts w:hint="eastAsia" w:ascii="宋体" w:hAnsi="宋体"/>
          <w:b/>
          <w:sz w:val="32"/>
          <w:szCs w:val="32"/>
          <w:highlight w:val="white"/>
        </w:rPr>
      </w:pPr>
      <w:r>
        <w:rPr>
          <w:rFonts w:hint="eastAsia" w:ascii="宋体" w:hAnsi="宋体"/>
          <w:b/>
          <w:sz w:val="32"/>
          <w:szCs w:val="32"/>
          <w:highlight w:val="white"/>
        </w:rPr>
        <w:t>二、招  标  文  件</w:t>
      </w:r>
    </w:p>
    <w:p>
      <w:pPr>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4、招标文件的内容</w:t>
      </w:r>
    </w:p>
    <w:p>
      <w:pPr>
        <w:tabs>
          <w:tab w:val="left" w:pos="851"/>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4.1招标文件包括以下文件（包括不仅限于此）：</w:t>
      </w:r>
    </w:p>
    <w:p>
      <w:pPr>
        <w:numPr>
          <w:ilvl w:val="1"/>
          <w:numId w:val="3"/>
        </w:numPr>
        <w:tabs>
          <w:tab w:val="left" w:pos="142"/>
          <w:tab w:val="left" w:pos="851"/>
          <w:tab w:val="clear" w:pos="2199"/>
        </w:tabs>
        <w:adjustRightInd w:val="0"/>
        <w:snapToGrid w:val="0"/>
        <w:spacing w:line="440" w:lineRule="exact"/>
        <w:ind w:left="1560" w:firstLine="560"/>
        <w:rPr>
          <w:rFonts w:hint="eastAsia" w:ascii="宋体" w:hAnsi="宋体"/>
          <w:snapToGrid w:val="0"/>
          <w:sz w:val="28"/>
          <w:highlight w:val="white"/>
        </w:rPr>
      </w:pPr>
      <w:r>
        <w:rPr>
          <w:rFonts w:hint="eastAsia" w:ascii="宋体" w:hAnsi="宋体"/>
          <w:snapToGrid w:val="0"/>
          <w:sz w:val="28"/>
          <w:highlight w:val="white"/>
        </w:rPr>
        <w:t>投标人须知；</w:t>
      </w:r>
    </w:p>
    <w:p>
      <w:pPr>
        <w:numPr>
          <w:ilvl w:val="1"/>
          <w:numId w:val="3"/>
        </w:numPr>
        <w:tabs>
          <w:tab w:val="left" w:pos="142"/>
          <w:tab w:val="left" w:pos="851"/>
          <w:tab w:val="clear" w:pos="2199"/>
        </w:tabs>
        <w:adjustRightInd w:val="0"/>
        <w:snapToGrid w:val="0"/>
        <w:spacing w:line="440" w:lineRule="exact"/>
        <w:ind w:left="1560" w:firstLine="560"/>
        <w:rPr>
          <w:rFonts w:hint="eastAsia" w:ascii="宋体" w:hAnsi="宋体"/>
          <w:snapToGrid w:val="0"/>
          <w:sz w:val="28"/>
          <w:highlight w:val="white"/>
        </w:rPr>
      </w:pPr>
      <w:r>
        <w:rPr>
          <w:rFonts w:hint="eastAsia" w:ascii="宋体" w:hAnsi="宋体"/>
          <w:snapToGrid w:val="0"/>
          <w:sz w:val="28"/>
          <w:highlight w:val="white"/>
        </w:rPr>
        <w:t>评标标准与办法；</w:t>
      </w:r>
    </w:p>
    <w:p>
      <w:pPr>
        <w:numPr>
          <w:ilvl w:val="1"/>
          <w:numId w:val="3"/>
        </w:numPr>
        <w:tabs>
          <w:tab w:val="left" w:pos="142"/>
          <w:tab w:val="left" w:pos="851"/>
          <w:tab w:val="clear" w:pos="2199"/>
        </w:tabs>
        <w:adjustRightInd w:val="0"/>
        <w:snapToGrid w:val="0"/>
        <w:spacing w:line="440" w:lineRule="exact"/>
        <w:ind w:left="1560" w:firstLine="560"/>
        <w:rPr>
          <w:rFonts w:hint="eastAsia" w:ascii="宋体" w:hAnsi="宋体"/>
          <w:snapToGrid w:val="0"/>
          <w:sz w:val="28"/>
          <w:highlight w:val="white"/>
        </w:rPr>
      </w:pPr>
      <w:r>
        <w:rPr>
          <w:rFonts w:hint="eastAsia" w:ascii="宋体" w:hAnsi="宋体"/>
          <w:snapToGrid w:val="0"/>
          <w:sz w:val="28"/>
          <w:highlight w:val="white"/>
        </w:rPr>
        <w:t>合同主要条款；</w:t>
      </w:r>
    </w:p>
    <w:p>
      <w:pPr>
        <w:numPr>
          <w:ilvl w:val="1"/>
          <w:numId w:val="3"/>
        </w:numPr>
        <w:tabs>
          <w:tab w:val="left" w:pos="142"/>
          <w:tab w:val="left" w:pos="851"/>
          <w:tab w:val="clear" w:pos="2199"/>
        </w:tabs>
        <w:adjustRightInd w:val="0"/>
        <w:snapToGrid w:val="0"/>
        <w:spacing w:line="440" w:lineRule="exact"/>
        <w:ind w:left="1560" w:firstLine="560"/>
        <w:rPr>
          <w:rFonts w:hint="eastAsia" w:ascii="宋体" w:hAnsi="宋体"/>
          <w:snapToGrid w:val="0"/>
          <w:sz w:val="28"/>
          <w:highlight w:val="white"/>
        </w:rPr>
      </w:pPr>
      <w:r>
        <w:rPr>
          <w:rFonts w:hint="eastAsia" w:ascii="宋体" w:hAnsi="宋体"/>
          <w:snapToGrid w:val="0"/>
          <w:sz w:val="28"/>
          <w:highlight w:val="white"/>
        </w:rPr>
        <w:t>工程量清单；</w:t>
      </w:r>
    </w:p>
    <w:p>
      <w:pPr>
        <w:numPr>
          <w:ilvl w:val="1"/>
          <w:numId w:val="3"/>
        </w:numPr>
        <w:tabs>
          <w:tab w:val="left" w:pos="142"/>
          <w:tab w:val="left" w:pos="851"/>
          <w:tab w:val="clear" w:pos="2199"/>
        </w:tabs>
        <w:adjustRightInd w:val="0"/>
        <w:snapToGrid w:val="0"/>
        <w:spacing w:line="440" w:lineRule="exact"/>
        <w:ind w:left="1560" w:firstLine="560"/>
        <w:rPr>
          <w:rFonts w:hint="eastAsia" w:ascii="宋体" w:hAnsi="宋体"/>
          <w:snapToGrid w:val="0"/>
          <w:sz w:val="28"/>
        </w:rPr>
      </w:pPr>
      <w:r>
        <w:rPr>
          <w:rFonts w:hint="eastAsia" w:ascii="宋体" w:hAnsi="宋体"/>
          <w:snapToGrid w:val="0"/>
          <w:sz w:val="28"/>
          <w:highlight w:val="white"/>
        </w:rPr>
        <w:t>图纸和其他资料</w:t>
      </w:r>
      <w:r>
        <w:rPr>
          <w:rFonts w:hint="eastAsia" w:ascii="宋体" w:hAnsi="宋体"/>
          <w:snapToGrid w:val="0"/>
          <w:sz w:val="28"/>
        </w:rPr>
        <w:t>；</w:t>
      </w:r>
    </w:p>
    <w:p>
      <w:pPr>
        <w:numPr>
          <w:ilvl w:val="1"/>
          <w:numId w:val="3"/>
        </w:numPr>
        <w:tabs>
          <w:tab w:val="left" w:pos="142"/>
          <w:tab w:val="left" w:pos="851"/>
          <w:tab w:val="clear" w:pos="2199"/>
        </w:tabs>
        <w:adjustRightInd w:val="0"/>
        <w:snapToGrid w:val="0"/>
        <w:spacing w:line="440" w:lineRule="exact"/>
        <w:ind w:left="1560" w:firstLine="560"/>
        <w:rPr>
          <w:rFonts w:hint="eastAsia" w:ascii="宋体" w:hAnsi="宋体"/>
          <w:snapToGrid w:val="0"/>
          <w:sz w:val="28"/>
        </w:rPr>
      </w:pPr>
      <w:r>
        <w:rPr>
          <w:rFonts w:hint="eastAsia" w:ascii="宋体" w:hAnsi="宋体"/>
          <w:snapToGrid w:val="0"/>
          <w:sz w:val="28"/>
          <w:highlight w:val="white"/>
        </w:rPr>
        <w:t>投标文件格式</w:t>
      </w:r>
      <w:r>
        <w:rPr>
          <w:rFonts w:hint="eastAsia" w:ascii="宋体" w:hAnsi="宋体"/>
          <w:snapToGrid w:val="0"/>
          <w:sz w:val="28"/>
        </w:rPr>
        <w:t>；</w:t>
      </w:r>
    </w:p>
    <w:p>
      <w:pPr>
        <w:numPr>
          <w:ilvl w:val="1"/>
          <w:numId w:val="3"/>
        </w:numPr>
        <w:tabs>
          <w:tab w:val="left" w:pos="142"/>
          <w:tab w:val="left" w:pos="851"/>
          <w:tab w:val="clear" w:pos="2199"/>
        </w:tabs>
        <w:adjustRightInd w:val="0"/>
        <w:snapToGrid w:val="0"/>
        <w:spacing w:line="440" w:lineRule="exact"/>
        <w:ind w:left="1560" w:firstLine="560"/>
        <w:rPr>
          <w:rFonts w:hint="eastAsia" w:ascii="宋体" w:hAnsi="宋体"/>
          <w:snapToGrid w:val="0"/>
          <w:sz w:val="28"/>
          <w:highlight w:val="white"/>
        </w:rPr>
      </w:pPr>
      <w:r>
        <w:rPr>
          <w:rFonts w:hint="eastAsia" w:ascii="宋体" w:hAnsi="宋体"/>
          <w:snapToGrid w:val="0"/>
          <w:sz w:val="28"/>
          <w:highlight w:val="white"/>
        </w:rPr>
        <w:t>所有投标期间发出的补充通知。</w:t>
      </w:r>
    </w:p>
    <w:p>
      <w:pPr>
        <w:tabs>
          <w:tab w:val="left" w:pos="851"/>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4.2根据本章第5款和第6款对招标文件所作的澄清、修改，构成招标文件的组成部分。</w:t>
      </w:r>
    </w:p>
    <w:p>
      <w:pPr>
        <w:tabs>
          <w:tab w:val="left" w:pos="851"/>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4.3投标人应认真阅读本招标文件中所有的内容，并按招标文件的规定和要求编写投标文件，不能满足招标文件实质性要求的投标文件，将被视为无效投标文件。</w:t>
      </w:r>
    </w:p>
    <w:p>
      <w:pPr>
        <w:tabs>
          <w:tab w:val="left" w:pos="851"/>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5、招标文件的澄清和修改</w:t>
      </w:r>
    </w:p>
    <w:p>
      <w:pPr>
        <w:tabs>
          <w:tab w:val="left" w:pos="851"/>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6、招标控制价</w:t>
      </w:r>
    </w:p>
    <w:p>
      <w:pPr>
        <w:tabs>
          <w:tab w:val="left" w:pos="851"/>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6.1招标控制价编制依据（前附表）</w:t>
      </w:r>
    </w:p>
    <w:p>
      <w:pPr>
        <w:tabs>
          <w:tab w:val="left" w:pos="851"/>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6.2公布招标控制价时间。</w:t>
      </w:r>
    </w:p>
    <w:p>
      <w:pPr>
        <w:tabs>
          <w:tab w:val="left" w:pos="851"/>
        </w:tabs>
        <w:adjustRightInd w:val="0"/>
        <w:snapToGrid w:val="0"/>
        <w:spacing w:line="440" w:lineRule="exact"/>
        <w:ind w:firstLine="560"/>
        <w:rPr>
          <w:rFonts w:hint="eastAsia" w:ascii="宋体" w:hAnsi="宋体"/>
          <w:snapToGrid w:val="0"/>
          <w:sz w:val="28"/>
          <w:highlight w:val="white"/>
        </w:rPr>
      </w:pPr>
      <w:r>
        <w:rPr>
          <w:rFonts w:ascii="宋体" w:hAnsi="宋体"/>
          <w:snapToGrid w:val="0"/>
          <w:sz w:val="28"/>
          <w:highlight w:val="white"/>
        </w:rPr>
        <w:t>招标控制价</w:t>
      </w:r>
      <w:r>
        <w:rPr>
          <w:rFonts w:hint="eastAsia" w:ascii="宋体" w:hAnsi="宋体"/>
          <w:snapToGrid w:val="0"/>
          <w:sz w:val="28"/>
          <w:highlight w:val="white"/>
        </w:rPr>
        <w:t>随同招标文件以书面形式发给投标人。</w:t>
      </w:r>
    </w:p>
    <w:p>
      <w:pPr>
        <w:tabs>
          <w:tab w:val="left" w:pos="851"/>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6.3招标控制价异议处理</w:t>
      </w:r>
    </w:p>
    <w:p>
      <w:pPr>
        <w:tabs>
          <w:tab w:val="left" w:pos="0"/>
          <w:tab w:val="left" w:pos="993"/>
          <w:tab w:val="left" w:pos="1134"/>
        </w:tabs>
        <w:adjustRightInd w:val="0"/>
        <w:snapToGrid w:val="0"/>
        <w:spacing w:line="440" w:lineRule="exact"/>
        <w:ind w:firstLine="561"/>
        <w:rPr>
          <w:rFonts w:hint="eastAsia" w:ascii="宋体" w:hAnsi="宋体"/>
          <w:b/>
          <w:bCs/>
          <w:snapToGrid w:val="0"/>
          <w:color w:val="000080"/>
          <w:sz w:val="20"/>
          <w:highlight w:val="white"/>
        </w:rPr>
      </w:pPr>
      <w:r>
        <w:rPr>
          <w:rFonts w:hint="eastAsia" w:ascii="宋体" w:hAnsi="宋体"/>
          <w:b/>
          <w:bCs/>
          <w:snapToGrid w:val="0"/>
          <w:sz w:val="28"/>
          <w:highlight w:val="white"/>
        </w:rPr>
        <w:t>投标人对招标人公布的招标控制价有异议时，应以前附表中所列方式向招标人提出，招标人应当及时核实。经核实确有错误的，招标人应当调整招标控制价，在开标3日前通知所有投标人。</w:t>
      </w:r>
      <w:bookmarkStart w:id="0" w:name="EBa85809a0bc05463bb2f6aa37edbe78ac"/>
      <w:r>
        <w:rPr>
          <w:rFonts w:ascii="宋体" w:hAnsi="宋体"/>
          <w:b/>
          <w:bCs/>
          <w:snapToGrid w:val="0"/>
          <w:color w:val="000080"/>
          <w:sz w:val="20"/>
          <w:highlight w:val="white"/>
        </w:rPr>
        <w:t xml:space="preserve"> </w:t>
      </w:r>
      <w:bookmarkEnd w:id="0"/>
      <w:bookmarkStart w:id="1" w:name="EB1159bd3c17904cc28a0e817afaac90ef"/>
      <w:r>
        <w:rPr>
          <w:rFonts w:ascii="宋体" w:hAnsi="宋体"/>
          <w:b/>
          <w:bCs/>
          <w:snapToGrid w:val="0"/>
          <w:color w:val="000080"/>
          <w:sz w:val="20"/>
          <w:highlight w:val="white"/>
        </w:rPr>
        <w:t xml:space="preserve"> </w:t>
      </w:r>
      <w:bookmarkEnd w:id="1"/>
    </w:p>
    <w:p>
      <w:pPr>
        <w:spacing w:line="440" w:lineRule="exact"/>
        <w:rPr>
          <w:rFonts w:hint="eastAsia" w:ascii="宋体" w:hAnsi="宋体"/>
          <w:b/>
          <w:sz w:val="32"/>
          <w:szCs w:val="32"/>
          <w:highlight w:val="white"/>
        </w:rPr>
      </w:pPr>
    </w:p>
    <w:p>
      <w:pPr>
        <w:spacing w:line="440" w:lineRule="exact"/>
        <w:rPr>
          <w:rFonts w:hint="eastAsia" w:ascii="宋体" w:hAnsi="宋体"/>
          <w:b/>
          <w:sz w:val="32"/>
          <w:szCs w:val="32"/>
          <w:highlight w:val="white"/>
        </w:rPr>
      </w:pPr>
      <w:r>
        <w:rPr>
          <w:rFonts w:hint="eastAsia" w:ascii="宋体" w:hAnsi="宋体"/>
          <w:b/>
          <w:sz w:val="32"/>
          <w:szCs w:val="32"/>
          <w:highlight w:val="white"/>
        </w:rPr>
        <w:t>三、投 标 文 件 的 组 成</w:t>
      </w:r>
    </w:p>
    <w:p>
      <w:pPr>
        <w:tabs>
          <w:tab w:val="left" w:pos="-1134"/>
          <w:tab w:val="left" w:pos="0"/>
        </w:tabs>
        <w:adjustRightInd w:val="0"/>
        <w:snapToGrid w:val="0"/>
        <w:spacing w:line="440" w:lineRule="exact"/>
        <w:ind w:firstLine="560"/>
        <w:rPr>
          <w:rFonts w:hint="eastAsia" w:ascii="宋体" w:hAnsi="宋体"/>
          <w:bCs/>
          <w:snapToGrid w:val="0"/>
          <w:sz w:val="28"/>
        </w:rPr>
      </w:pPr>
      <w:r>
        <w:rPr>
          <w:rFonts w:hint="eastAsia" w:ascii="宋体" w:hAnsi="宋体"/>
          <w:bCs/>
          <w:snapToGrid w:val="0"/>
          <w:sz w:val="28"/>
          <w:highlight w:val="white"/>
        </w:rPr>
        <w:t>7、投标文件的编制</w:t>
      </w:r>
    </w:p>
    <w:p>
      <w:pPr>
        <w:tabs>
          <w:tab w:val="left" w:pos="-1418"/>
          <w:tab w:val="left" w:pos="0"/>
        </w:tabs>
        <w:adjustRightInd w:val="0"/>
        <w:snapToGrid w:val="0"/>
        <w:spacing w:line="440" w:lineRule="exact"/>
        <w:ind w:firstLine="560"/>
        <w:rPr>
          <w:rFonts w:hint="eastAsia" w:ascii="宋体" w:hAnsi="宋体"/>
          <w:bCs/>
          <w:snapToGrid w:val="0"/>
          <w:sz w:val="28"/>
        </w:rPr>
      </w:pPr>
      <w:r>
        <w:rPr>
          <w:rFonts w:hint="eastAsia" w:ascii="宋体" w:hAnsi="宋体"/>
          <w:bCs/>
          <w:snapToGrid w:val="0"/>
          <w:sz w:val="28"/>
          <w:highlight w:val="white"/>
        </w:rPr>
        <w:t>7.1投标文件应按 “投标文件格式”进行编写。</w:t>
      </w:r>
    </w:p>
    <w:p>
      <w:pPr>
        <w:tabs>
          <w:tab w:val="left" w:pos="-1418"/>
          <w:tab w:val="left" w:pos="0"/>
        </w:tabs>
        <w:adjustRightInd w:val="0"/>
        <w:snapToGrid w:val="0"/>
        <w:spacing w:line="440" w:lineRule="exact"/>
        <w:ind w:firstLine="560"/>
        <w:rPr>
          <w:rFonts w:hint="eastAsia" w:ascii="宋体" w:hAnsi="宋体"/>
          <w:bCs/>
          <w:snapToGrid w:val="0"/>
          <w:sz w:val="28"/>
        </w:rPr>
      </w:pPr>
      <w:r>
        <w:rPr>
          <w:rFonts w:hint="eastAsia" w:ascii="宋体" w:hAnsi="宋体"/>
          <w:bCs/>
          <w:snapToGrid w:val="0"/>
          <w:sz w:val="28"/>
          <w:highlight w:val="white"/>
        </w:rPr>
        <w:t>7.2投标文件应当对招标文件有关工期、投标有效期、质量要求、技术标准和要求、招标范围等实质性内容作出响应。</w:t>
      </w:r>
    </w:p>
    <w:p>
      <w:pPr>
        <w:tabs>
          <w:tab w:val="left" w:pos="-1418"/>
          <w:tab w:val="left" w:pos="0"/>
        </w:tabs>
        <w:adjustRightInd w:val="0"/>
        <w:snapToGrid w:val="0"/>
        <w:spacing w:line="440" w:lineRule="exact"/>
        <w:ind w:firstLine="520"/>
        <w:rPr>
          <w:rFonts w:hint="eastAsia" w:ascii="宋体" w:hAnsi="宋体"/>
          <w:bCs/>
          <w:snapToGrid w:val="0"/>
          <w:sz w:val="28"/>
        </w:rPr>
      </w:pPr>
      <w:r>
        <w:rPr>
          <w:rFonts w:hint="eastAsia" w:ascii="宋体" w:hAnsi="宋体"/>
          <w:bCs/>
          <w:snapToGrid w:val="0"/>
          <w:spacing w:val="-20"/>
          <w:sz w:val="28"/>
          <w:szCs w:val="28"/>
          <w:highlight w:val="white"/>
        </w:rPr>
        <w:t>7.3</w:t>
      </w:r>
      <w:r>
        <w:rPr>
          <w:rFonts w:hint="eastAsia" w:ascii="宋体" w:hAnsi="宋体"/>
          <w:bCs/>
          <w:snapToGrid w:val="0"/>
          <w:sz w:val="28"/>
          <w:highlight w:val="white"/>
        </w:rPr>
        <w:t>投标文件应包括：商务文件、技术文件。</w:t>
      </w:r>
    </w:p>
    <w:p>
      <w:pPr>
        <w:tabs>
          <w:tab w:val="left" w:pos="0"/>
        </w:tabs>
        <w:adjustRightInd w:val="0"/>
        <w:snapToGrid w:val="0"/>
        <w:spacing w:line="440" w:lineRule="exact"/>
        <w:ind w:firstLine="560"/>
        <w:rPr>
          <w:rFonts w:hint="eastAsia" w:ascii="宋体" w:hAnsi="宋体"/>
          <w:bCs/>
          <w:snapToGrid w:val="0"/>
          <w:sz w:val="28"/>
          <w:highlight w:val="white"/>
        </w:rPr>
      </w:pPr>
      <w:r>
        <w:rPr>
          <w:rFonts w:hint="eastAsia" w:ascii="宋体" w:hAnsi="宋体"/>
          <w:bCs/>
          <w:snapToGrid w:val="0"/>
          <w:sz w:val="28"/>
          <w:highlight w:val="white"/>
        </w:rPr>
        <w:t>7.3.1商务文件：应具备以下基本内容（按下列顺序组卷）</w:t>
      </w:r>
    </w:p>
    <w:p>
      <w:pPr>
        <w:numPr>
          <w:ilvl w:val="0"/>
          <w:numId w:val="4"/>
        </w:numPr>
        <w:tabs>
          <w:tab w:val="left" w:pos="0"/>
          <w:tab w:val="left" w:pos="993"/>
          <w:tab w:val="left" w:pos="1134"/>
        </w:tabs>
        <w:adjustRightInd w:val="0"/>
        <w:snapToGrid w:val="0"/>
        <w:spacing w:line="440" w:lineRule="exact"/>
        <w:ind w:left="1130"/>
        <w:rPr>
          <w:rFonts w:hint="eastAsia" w:ascii="宋体" w:hAnsi="宋体"/>
          <w:bCs/>
          <w:snapToGrid w:val="0"/>
          <w:color w:val="FF0000"/>
          <w:sz w:val="28"/>
        </w:rPr>
      </w:pPr>
      <w:r>
        <w:rPr>
          <w:rFonts w:hint="eastAsia" w:ascii="宋体" w:hAnsi="宋体"/>
          <w:bCs/>
          <w:snapToGrid w:val="0"/>
          <w:color w:val="FF0000"/>
          <w:sz w:val="28"/>
        </w:rPr>
        <w:t>投标函（所有内容必须相应招标文件要求）</w:t>
      </w:r>
    </w:p>
    <w:p>
      <w:pPr>
        <w:numPr>
          <w:ilvl w:val="0"/>
          <w:numId w:val="4"/>
        </w:numPr>
        <w:tabs>
          <w:tab w:val="left" w:pos="0"/>
          <w:tab w:val="left" w:pos="993"/>
          <w:tab w:val="left" w:pos="1134"/>
        </w:tabs>
        <w:adjustRightInd w:val="0"/>
        <w:snapToGrid w:val="0"/>
        <w:spacing w:line="440" w:lineRule="exact"/>
        <w:rPr>
          <w:rFonts w:hint="eastAsia" w:ascii="宋体" w:hAnsi="宋体"/>
          <w:bCs/>
          <w:snapToGrid w:val="0"/>
          <w:color w:val="FF0000"/>
          <w:sz w:val="28"/>
        </w:rPr>
      </w:pPr>
      <w:r>
        <w:rPr>
          <w:rFonts w:hint="eastAsia" w:ascii="宋体" w:hAnsi="宋体"/>
          <w:bCs/>
          <w:snapToGrid w:val="0"/>
          <w:color w:val="FF0000"/>
          <w:sz w:val="28"/>
        </w:rPr>
        <w:t>质量维修承诺书</w:t>
      </w:r>
    </w:p>
    <w:p>
      <w:pPr>
        <w:numPr>
          <w:ilvl w:val="0"/>
          <w:numId w:val="4"/>
        </w:numPr>
        <w:tabs>
          <w:tab w:val="left" w:pos="0"/>
          <w:tab w:val="left" w:pos="993"/>
          <w:tab w:val="left" w:pos="1134"/>
        </w:tabs>
        <w:adjustRightInd w:val="0"/>
        <w:snapToGrid w:val="0"/>
        <w:spacing w:line="440" w:lineRule="exact"/>
        <w:rPr>
          <w:rFonts w:hint="eastAsia" w:ascii="宋体" w:hAnsi="宋体"/>
          <w:bCs/>
          <w:snapToGrid w:val="0"/>
          <w:color w:val="FF0000"/>
          <w:sz w:val="28"/>
          <w:highlight w:val="white"/>
        </w:rPr>
      </w:pPr>
      <w:r>
        <w:rPr>
          <w:rFonts w:hint="eastAsia" w:ascii="宋体" w:hAnsi="宋体"/>
          <w:bCs/>
          <w:snapToGrid w:val="0"/>
          <w:color w:val="FF0000"/>
          <w:sz w:val="28"/>
          <w:highlight w:val="white"/>
        </w:rPr>
        <w:t>施工人员清单（含项目负责人、安全员、电工等主要施工人员）</w:t>
      </w:r>
    </w:p>
    <w:p>
      <w:pPr>
        <w:tabs>
          <w:tab w:val="left" w:pos="0"/>
          <w:tab w:val="left" w:pos="993"/>
          <w:tab w:val="left" w:pos="1134"/>
        </w:tabs>
        <w:adjustRightInd w:val="0"/>
        <w:snapToGrid w:val="0"/>
        <w:spacing w:line="440" w:lineRule="exact"/>
        <w:ind w:left="709"/>
        <w:rPr>
          <w:rFonts w:ascii="宋体" w:hAnsi="宋体"/>
          <w:bCs/>
          <w:snapToGrid w:val="0"/>
          <w:sz w:val="28"/>
          <w:highlight w:val="white"/>
        </w:rPr>
      </w:pPr>
      <w:r>
        <w:rPr>
          <w:rFonts w:hint="eastAsia" w:ascii="宋体" w:hAnsi="宋体"/>
          <w:bCs/>
          <w:snapToGrid w:val="0"/>
          <w:color w:val="FF0000"/>
          <w:sz w:val="28"/>
          <w:highlight w:val="white"/>
        </w:rPr>
        <w:t>其中：2.3作为资格预审需提供的资料</w:t>
      </w:r>
    </w:p>
    <w:p>
      <w:pPr>
        <w:tabs>
          <w:tab w:val="left" w:pos="0"/>
          <w:tab w:val="left" w:pos="993"/>
          <w:tab w:val="left" w:pos="1134"/>
        </w:tabs>
        <w:adjustRightInd w:val="0"/>
        <w:snapToGrid w:val="0"/>
        <w:spacing w:line="440" w:lineRule="exact"/>
        <w:ind w:left="-2" w:firstLine="560"/>
        <w:rPr>
          <w:rFonts w:ascii="宋体" w:hAnsi="宋体"/>
          <w:bCs/>
          <w:snapToGrid w:val="0"/>
          <w:sz w:val="28"/>
        </w:rPr>
      </w:pPr>
      <w:r>
        <w:rPr>
          <w:rFonts w:hint="eastAsia" w:ascii="宋体" w:hAnsi="宋体"/>
          <w:bCs/>
          <w:snapToGrid w:val="0"/>
          <w:sz w:val="28"/>
          <w:highlight w:val="white"/>
        </w:rPr>
        <w:t>7.3.2技术文件：应具备如下基本内容（按下列顺序组卷）</w:t>
      </w:r>
    </w:p>
    <w:p>
      <w:pPr>
        <w:tabs>
          <w:tab w:val="left" w:pos="0"/>
          <w:tab w:val="left" w:pos="993"/>
          <w:tab w:val="left" w:pos="1134"/>
        </w:tabs>
        <w:adjustRightInd w:val="0"/>
        <w:snapToGrid w:val="0"/>
        <w:spacing w:line="440" w:lineRule="exact"/>
        <w:ind w:firstLine="700" w:firstLineChars="250"/>
        <w:rPr>
          <w:rFonts w:hint="eastAsia" w:ascii="宋体" w:hAnsi="宋体"/>
          <w:bCs/>
          <w:snapToGrid w:val="0"/>
          <w:sz w:val="28"/>
          <w:highlight w:val="white"/>
        </w:rPr>
      </w:pPr>
      <w:r>
        <w:rPr>
          <w:rFonts w:hint="eastAsia" w:ascii="宋体" w:hAnsi="宋体"/>
          <w:bCs/>
          <w:snapToGrid w:val="0"/>
          <w:sz w:val="28"/>
          <w:highlight w:val="white"/>
        </w:rPr>
        <w:t>1.结合本工程特点的针对性措施</w:t>
      </w:r>
    </w:p>
    <w:p>
      <w:pPr>
        <w:tabs>
          <w:tab w:val="left" w:pos="0"/>
          <w:tab w:val="left" w:pos="993"/>
          <w:tab w:val="left" w:pos="1134"/>
        </w:tabs>
        <w:adjustRightInd w:val="0"/>
        <w:snapToGrid w:val="0"/>
        <w:spacing w:line="440" w:lineRule="exact"/>
        <w:ind w:firstLine="700" w:firstLineChars="250"/>
        <w:rPr>
          <w:rFonts w:hint="eastAsia" w:ascii="宋体" w:hAnsi="宋体"/>
          <w:bCs/>
          <w:snapToGrid w:val="0"/>
          <w:sz w:val="28"/>
          <w:highlight w:val="white"/>
        </w:rPr>
      </w:pPr>
      <w:r>
        <w:rPr>
          <w:rFonts w:hint="eastAsia" w:ascii="宋体" w:hAnsi="宋体"/>
          <w:bCs/>
          <w:snapToGrid w:val="0"/>
          <w:sz w:val="28"/>
          <w:highlight w:val="white"/>
        </w:rPr>
        <w:t>2.质量安全保证体系及措施</w:t>
      </w:r>
    </w:p>
    <w:p>
      <w:pPr>
        <w:tabs>
          <w:tab w:val="left" w:pos="0"/>
          <w:tab w:val="left" w:pos="993"/>
          <w:tab w:val="left" w:pos="1134"/>
        </w:tabs>
        <w:adjustRightInd w:val="0"/>
        <w:snapToGrid w:val="0"/>
        <w:spacing w:line="440" w:lineRule="exact"/>
        <w:ind w:firstLine="700" w:firstLineChars="250"/>
        <w:rPr>
          <w:rFonts w:hint="eastAsia" w:ascii="宋体" w:hAnsi="宋体"/>
          <w:bCs/>
          <w:snapToGrid w:val="0"/>
          <w:sz w:val="28"/>
          <w:highlight w:val="white"/>
        </w:rPr>
      </w:pPr>
      <w:r>
        <w:rPr>
          <w:rFonts w:hint="eastAsia" w:ascii="宋体" w:hAnsi="宋体"/>
          <w:bCs/>
          <w:snapToGrid w:val="0"/>
          <w:sz w:val="28"/>
          <w:highlight w:val="white"/>
        </w:rPr>
        <w:t>3.主要施工方法</w:t>
      </w:r>
    </w:p>
    <w:p>
      <w:pPr>
        <w:tabs>
          <w:tab w:val="left" w:pos="0"/>
          <w:tab w:val="left" w:pos="993"/>
          <w:tab w:val="left" w:pos="1134"/>
        </w:tabs>
        <w:adjustRightInd w:val="0"/>
        <w:snapToGrid w:val="0"/>
        <w:spacing w:line="440" w:lineRule="exact"/>
        <w:ind w:firstLine="700" w:firstLineChars="250"/>
        <w:rPr>
          <w:rFonts w:hint="eastAsia" w:ascii="宋体" w:hAnsi="宋体"/>
          <w:bCs/>
          <w:snapToGrid w:val="0"/>
          <w:sz w:val="28"/>
          <w:highlight w:val="white"/>
        </w:rPr>
      </w:pPr>
      <w:r>
        <w:rPr>
          <w:rFonts w:hint="eastAsia" w:ascii="宋体" w:hAnsi="宋体"/>
          <w:bCs/>
          <w:snapToGrid w:val="0"/>
          <w:sz w:val="28"/>
          <w:highlight w:val="white"/>
        </w:rPr>
        <w:t>4.施工进度计划及工期保证措施</w:t>
      </w:r>
    </w:p>
    <w:p>
      <w:pPr>
        <w:adjustRightInd w:val="0"/>
        <w:snapToGrid w:val="0"/>
        <w:spacing w:line="440" w:lineRule="exact"/>
        <w:rPr>
          <w:rFonts w:hint="eastAsia" w:ascii="宋体" w:hAnsi="宋体"/>
          <w:snapToGrid w:val="0"/>
          <w:sz w:val="28"/>
          <w:szCs w:val="28"/>
        </w:rPr>
      </w:pPr>
      <w:r>
        <w:rPr>
          <w:rFonts w:hint="eastAsia" w:ascii="宋体" w:hAnsi="宋体"/>
          <w:snapToGrid w:val="0"/>
          <w:sz w:val="28"/>
          <w:szCs w:val="28"/>
          <w:highlight w:val="white"/>
        </w:rPr>
        <w:t>没有具体内容的项目也应列出标题后再说明理由。</w:t>
      </w:r>
    </w:p>
    <w:p>
      <w:pPr>
        <w:tabs>
          <w:tab w:val="left" w:pos="0"/>
        </w:tabs>
        <w:adjustRightInd w:val="0"/>
        <w:snapToGrid w:val="0"/>
        <w:spacing w:line="440" w:lineRule="exact"/>
        <w:ind w:firstLine="566"/>
        <w:rPr>
          <w:rFonts w:hint="eastAsia" w:ascii="宋体" w:hAnsi="宋体"/>
          <w:snapToGrid w:val="0"/>
          <w:sz w:val="28"/>
          <w:szCs w:val="28"/>
        </w:rPr>
      </w:pPr>
      <w:r>
        <w:rPr>
          <w:rFonts w:hint="eastAsia" w:ascii="宋体" w:hAnsi="宋体"/>
          <w:snapToGrid w:val="0"/>
          <w:sz w:val="28"/>
          <w:szCs w:val="28"/>
          <w:highlight w:val="white"/>
        </w:rPr>
        <w:t>7.4投标人应当使用投标文件第五章中所提供的文件格式填写。</w:t>
      </w:r>
      <w:r>
        <w:rPr>
          <w:rFonts w:hint="eastAsia" w:ascii="宋体" w:hAnsi="宋体"/>
          <w:snapToGrid w:val="0"/>
          <w:sz w:val="28"/>
          <w:szCs w:val="28"/>
        </w:rPr>
        <w:t xml:space="preserve"> </w:t>
      </w:r>
    </w:p>
    <w:p>
      <w:pPr>
        <w:spacing w:line="440" w:lineRule="exact"/>
        <w:rPr>
          <w:rFonts w:hint="eastAsia" w:ascii="宋体" w:hAnsi="宋体"/>
          <w:b/>
          <w:sz w:val="32"/>
          <w:szCs w:val="32"/>
          <w:highlight w:val="white"/>
        </w:rPr>
      </w:pPr>
    </w:p>
    <w:p>
      <w:pPr>
        <w:spacing w:line="440" w:lineRule="exact"/>
        <w:rPr>
          <w:rFonts w:hint="eastAsia" w:ascii="宋体" w:hAnsi="宋体"/>
          <w:b/>
          <w:sz w:val="32"/>
          <w:szCs w:val="32"/>
          <w:highlight w:val="white"/>
        </w:rPr>
      </w:pPr>
      <w:r>
        <w:rPr>
          <w:rFonts w:hint="eastAsia" w:ascii="宋体" w:hAnsi="宋体"/>
          <w:b/>
          <w:sz w:val="32"/>
          <w:szCs w:val="32"/>
          <w:highlight w:val="white"/>
        </w:rPr>
        <w:t>四、投  标  报  价</w:t>
      </w:r>
    </w:p>
    <w:p>
      <w:pPr>
        <w:tabs>
          <w:tab w:val="left" w:pos="0"/>
          <w:tab w:val="left" w:pos="993"/>
          <w:tab w:val="left" w:pos="1134"/>
        </w:tabs>
        <w:adjustRightInd w:val="0"/>
        <w:snapToGrid w:val="0"/>
        <w:spacing w:line="440" w:lineRule="exact"/>
        <w:ind w:firstLine="560"/>
        <w:rPr>
          <w:rFonts w:hint="eastAsia" w:ascii="宋体" w:hAnsi="宋体"/>
          <w:snapToGrid w:val="0"/>
          <w:color w:val="FF0000"/>
          <w:sz w:val="28"/>
        </w:rPr>
      </w:pPr>
      <w:bookmarkStart w:id="2" w:name="_Toc261518380"/>
      <w:bookmarkStart w:id="3" w:name="_Toc243811906"/>
      <w:r>
        <w:rPr>
          <w:rFonts w:hint="eastAsia" w:ascii="宋体" w:hAnsi="宋体"/>
          <w:sz w:val="28"/>
          <w:highlight w:val="white"/>
        </w:rPr>
        <w:t>8、投标报价</w:t>
      </w:r>
      <w:r>
        <w:rPr>
          <w:rFonts w:ascii="宋体" w:hAnsi="宋体"/>
          <w:sz w:val="28"/>
          <w:highlight w:val="white"/>
        </w:rPr>
        <w:t xml:space="preserve"> </w:t>
      </w:r>
    </w:p>
    <w:p>
      <w:pPr>
        <w:tabs>
          <w:tab w:val="left" w:pos="0"/>
          <w:tab w:val="left" w:pos="993"/>
          <w:tab w:val="left" w:pos="1134"/>
        </w:tabs>
        <w:adjustRightInd w:val="0"/>
        <w:snapToGrid w:val="0"/>
        <w:spacing w:line="440" w:lineRule="exact"/>
        <w:ind w:firstLine="560"/>
        <w:rPr>
          <w:rFonts w:ascii="宋体" w:hAnsi="宋体"/>
          <w:sz w:val="28"/>
        </w:rPr>
      </w:pPr>
      <w:r>
        <w:rPr>
          <w:rFonts w:hint="eastAsia" w:ascii="宋体" w:hAnsi="宋体"/>
          <w:sz w:val="28"/>
          <w:highlight w:val="white"/>
        </w:rPr>
        <w:t>8.1</w:t>
      </w:r>
      <w:r>
        <w:rPr>
          <w:rFonts w:ascii="宋体" w:hAnsi="宋体"/>
          <w:sz w:val="28"/>
          <w:highlight w:val="white"/>
        </w:rPr>
        <w:t>投标报价方式</w:t>
      </w:r>
      <w:bookmarkEnd w:id="2"/>
      <w:bookmarkEnd w:id="3"/>
    </w:p>
    <w:p>
      <w:pPr>
        <w:tabs>
          <w:tab w:val="left" w:pos="0"/>
          <w:tab w:val="left" w:pos="993"/>
          <w:tab w:val="left" w:pos="1134"/>
        </w:tabs>
        <w:adjustRightInd w:val="0"/>
        <w:snapToGrid w:val="0"/>
        <w:spacing w:line="440" w:lineRule="exact"/>
        <w:ind w:firstLine="560"/>
        <w:rPr>
          <w:rFonts w:ascii="宋体" w:hAnsi="宋体"/>
          <w:snapToGrid w:val="0"/>
          <w:color w:val="FF0000"/>
          <w:sz w:val="28"/>
        </w:rPr>
      </w:pPr>
      <w:r>
        <w:rPr>
          <w:rFonts w:ascii="宋体" w:hAnsi="宋体"/>
          <w:sz w:val="28"/>
          <w:highlight w:val="white"/>
        </w:rPr>
        <w:t>本工程项目采用</w:t>
      </w:r>
      <w:r>
        <w:rPr>
          <w:rFonts w:hint="eastAsia" w:ascii="宋体" w:hAnsi="宋体"/>
          <w:sz w:val="28"/>
          <w:highlight w:val="white"/>
        </w:rPr>
        <w:t>让利方式报价</w:t>
      </w:r>
      <w:r>
        <w:rPr>
          <w:rFonts w:ascii="宋体" w:hAnsi="宋体"/>
          <w:sz w:val="28"/>
          <w:highlight w:val="white"/>
        </w:rPr>
        <w:t>。</w:t>
      </w:r>
    </w:p>
    <w:p>
      <w:pPr>
        <w:tabs>
          <w:tab w:val="left" w:pos="0"/>
          <w:tab w:val="left" w:pos="993"/>
          <w:tab w:val="left" w:pos="1134"/>
        </w:tabs>
        <w:adjustRightInd w:val="0"/>
        <w:snapToGrid w:val="0"/>
        <w:spacing w:line="440" w:lineRule="exact"/>
        <w:ind w:firstLine="560"/>
        <w:rPr>
          <w:rFonts w:hint="eastAsia" w:ascii="宋体" w:hAnsi="宋体"/>
          <w:sz w:val="28"/>
          <w:highlight w:val="white"/>
        </w:rPr>
      </w:pPr>
      <w:r>
        <w:rPr>
          <w:rFonts w:hint="eastAsia" w:ascii="宋体" w:hAnsi="宋体"/>
          <w:sz w:val="28"/>
          <w:highlight w:val="white"/>
        </w:rPr>
        <w:t>（1）固定价格报价。投标人报价时应充分考虑施工期间各类建材的市场风险和国家政策风险系数。除设计变更和招标人要求变动外结算时不作调整。如因设计变更或招标人要求变动引起工程量增减，综合单价须调整时以下办法执行。</w:t>
      </w:r>
    </w:p>
    <w:p>
      <w:pPr>
        <w:tabs>
          <w:tab w:val="left" w:pos="0"/>
          <w:tab w:val="left" w:pos="993"/>
          <w:tab w:val="left" w:pos="1134"/>
        </w:tabs>
        <w:adjustRightInd w:val="0"/>
        <w:snapToGrid w:val="0"/>
        <w:spacing w:line="440" w:lineRule="exact"/>
        <w:ind w:firstLine="560"/>
        <w:rPr>
          <w:rFonts w:hint="eastAsia" w:ascii="宋体" w:hAnsi="宋体"/>
          <w:sz w:val="28"/>
          <w:highlight w:val="white"/>
        </w:rPr>
      </w:pPr>
      <w:r>
        <w:rPr>
          <w:rFonts w:hint="eastAsia" w:ascii="宋体" w:hAnsi="宋体"/>
          <w:sz w:val="28"/>
          <w:highlight w:val="white"/>
        </w:rPr>
        <w:t>（2）让利率报价。投标人报价时应充分考虑施工期间各类建材的市场风险。工程量的风险由发包人承担，价的风险在约定风险范围内的，由承包人承担，风险范围以外的按合同约定。竣工结算的工程量按发承包双方在合同中约定应予计量且实际完成的工程量确定，完成发包人要求的合同以外的零星工作或发生非承包人责任事件的工程量按现场签证确定。</w:t>
      </w:r>
    </w:p>
    <w:p>
      <w:pPr>
        <w:tabs>
          <w:tab w:val="left" w:pos="0"/>
          <w:tab w:val="left" w:pos="993"/>
          <w:tab w:val="left" w:pos="1134"/>
        </w:tabs>
        <w:adjustRightInd w:val="0"/>
        <w:snapToGrid w:val="0"/>
        <w:spacing w:line="440" w:lineRule="exact"/>
        <w:ind w:firstLine="560"/>
        <w:rPr>
          <w:rFonts w:hint="eastAsia" w:ascii="宋体" w:hAnsi="宋体"/>
          <w:sz w:val="28"/>
          <w:highlight w:val="white"/>
        </w:rPr>
      </w:pPr>
      <w:bookmarkStart w:id="4" w:name="_Toc261518382"/>
      <w:bookmarkStart w:id="5" w:name="_Toc243811908"/>
      <w:r>
        <w:rPr>
          <w:rFonts w:hint="eastAsia" w:ascii="宋体" w:hAnsi="宋体"/>
          <w:sz w:val="28"/>
          <w:highlight w:val="white"/>
        </w:rPr>
        <w:t>8.2</w:t>
      </w:r>
      <w:r>
        <w:rPr>
          <w:rFonts w:ascii="宋体" w:hAnsi="宋体"/>
          <w:sz w:val="28"/>
          <w:highlight w:val="white"/>
        </w:rPr>
        <w:t xml:space="preserve"> 投标报价编制</w:t>
      </w:r>
      <w:bookmarkEnd w:id="4"/>
      <w:bookmarkEnd w:id="5"/>
      <w:r>
        <w:rPr>
          <w:rFonts w:hint="eastAsia" w:ascii="宋体" w:hAnsi="宋体"/>
          <w:sz w:val="28"/>
          <w:highlight w:val="white"/>
        </w:rPr>
        <w:t>要求</w:t>
      </w:r>
    </w:p>
    <w:p>
      <w:pPr>
        <w:tabs>
          <w:tab w:val="left" w:pos="0"/>
          <w:tab w:val="left" w:pos="993"/>
          <w:tab w:val="left" w:pos="1134"/>
        </w:tabs>
        <w:adjustRightInd w:val="0"/>
        <w:snapToGrid w:val="0"/>
        <w:spacing w:line="440" w:lineRule="exact"/>
        <w:ind w:firstLine="560"/>
        <w:rPr>
          <w:rFonts w:hint="eastAsia" w:ascii="宋体" w:hAnsi="宋体"/>
          <w:snapToGrid w:val="0"/>
          <w:color w:val="FF0000"/>
          <w:sz w:val="28"/>
        </w:rPr>
      </w:pPr>
      <w:r>
        <w:rPr>
          <w:rFonts w:hint="eastAsia" w:ascii="宋体" w:hAnsi="宋体"/>
          <w:snapToGrid w:val="0"/>
          <w:sz w:val="28"/>
          <w:highlight w:val="white"/>
        </w:rPr>
        <w:t>所有投标报价以人民币表示，投标人报价单位为元，保留小数点后两</w:t>
      </w:r>
      <w:r>
        <w:rPr>
          <w:rFonts w:hint="eastAsia" w:ascii="宋体" w:hAnsi="宋体"/>
          <w:sz w:val="28"/>
          <w:highlight w:val="white"/>
        </w:rPr>
        <w:t>位。</w:t>
      </w:r>
    </w:p>
    <w:p>
      <w:pPr>
        <w:tabs>
          <w:tab w:val="left" w:pos="0"/>
          <w:tab w:val="left" w:pos="993"/>
          <w:tab w:val="left" w:pos="1134"/>
        </w:tabs>
        <w:adjustRightInd w:val="0"/>
        <w:snapToGrid w:val="0"/>
        <w:spacing w:line="440" w:lineRule="exact"/>
        <w:ind w:firstLine="520"/>
        <w:rPr>
          <w:rFonts w:hint="eastAsia" w:ascii="宋体" w:hAnsi="宋体"/>
          <w:spacing w:val="-20"/>
          <w:sz w:val="28"/>
          <w:highlight w:val="white"/>
        </w:rPr>
      </w:pPr>
      <w:r>
        <w:rPr>
          <w:rFonts w:hint="eastAsia" w:ascii="宋体" w:hAnsi="宋体"/>
          <w:spacing w:val="-20"/>
          <w:sz w:val="28"/>
          <w:highlight w:val="white"/>
        </w:rPr>
        <w:t>工程量清单中标价的单价或金额，应包括所需人工费、部分施工机械使用费和管理费及利润，以及一定范围内的风险费用。所谓“一定范围内的风险”是指合同约定的风险。</w:t>
      </w:r>
    </w:p>
    <w:p>
      <w:pPr>
        <w:tabs>
          <w:tab w:val="left" w:pos="0"/>
          <w:tab w:val="left" w:pos="993"/>
          <w:tab w:val="left" w:pos="1134"/>
        </w:tabs>
        <w:adjustRightInd w:val="0"/>
        <w:snapToGrid w:val="0"/>
        <w:spacing w:line="440" w:lineRule="exact"/>
        <w:ind w:firstLine="520"/>
        <w:rPr>
          <w:rFonts w:hint="eastAsia" w:ascii="宋体" w:hAnsi="宋体"/>
          <w:spacing w:val="-20"/>
          <w:sz w:val="28"/>
          <w:highlight w:val="white"/>
        </w:rPr>
      </w:pPr>
      <w:r>
        <w:rPr>
          <w:rFonts w:ascii="宋体" w:hAnsi="宋体"/>
          <w:spacing w:val="-20"/>
          <w:sz w:val="28"/>
          <w:highlight w:val="white"/>
        </w:rPr>
        <w:t>投标单位的投标报价，应当包括完成提供的工程量清单范围内的所有项目所需的全部费用</w:t>
      </w:r>
      <w:r>
        <w:rPr>
          <w:rFonts w:hint="eastAsia" w:ascii="宋体" w:hAnsi="宋体"/>
          <w:spacing w:val="-20"/>
          <w:sz w:val="28"/>
          <w:highlight w:val="white"/>
        </w:rPr>
        <w:t>。</w:t>
      </w:r>
      <w:r>
        <w:rPr>
          <w:rFonts w:ascii="宋体" w:hAnsi="宋体"/>
          <w:spacing w:val="-20"/>
          <w:sz w:val="28"/>
          <w:highlight w:val="white"/>
        </w:rPr>
        <w:t>除本招标文件或合同另有约定外，结算时不得调整</w:t>
      </w:r>
      <w:r>
        <w:rPr>
          <w:rFonts w:hint="eastAsia" w:ascii="宋体" w:hAnsi="宋体"/>
          <w:spacing w:val="-20"/>
          <w:sz w:val="28"/>
          <w:highlight w:val="white"/>
        </w:rPr>
        <w:t>。</w:t>
      </w:r>
    </w:p>
    <w:p>
      <w:pPr>
        <w:tabs>
          <w:tab w:val="left" w:pos="0"/>
          <w:tab w:val="left" w:pos="993"/>
          <w:tab w:val="left" w:pos="1134"/>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 xml:space="preserve">9、勘察现场 </w:t>
      </w:r>
    </w:p>
    <w:p>
      <w:pPr>
        <w:tabs>
          <w:tab w:val="left" w:pos="0"/>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9.1考虑到本工程实际情况，投标人应对工程施工现场场地条件和周围环境进行勘察，勘察现场所发生的费用由投标人承担。</w:t>
      </w:r>
    </w:p>
    <w:p>
      <w:pPr>
        <w:tabs>
          <w:tab w:val="left" w:pos="0"/>
        </w:tabs>
        <w:adjustRightInd w:val="0"/>
        <w:snapToGrid w:val="0"/>
        <w:spacing w:line="440" w:lineRule="exact"/>
        <w:ind w:firstLine="560"/>
        <w:rPr>
          <w:rFonts w:hint="eastAsia" w:ascii="宋体" w:hAnsi="宋体"/>
          <w:snapToGrid w:val="0"/>
          <w:sz w:val="28"/>
        </w:rPr>
      </w:pPr>
      <w:r>
        <w:rPr>
          <w:rFonts w:hint="eastAsia" w:ascii="宋体" w:hAnsi="宋体"/>
          <w:snapToGrid w:val="0"/>
          <w:sz w:val="28"/>
          <w:highlight w:val="white"/>
        </w:rPr>
        <w:t>9.2投标人到现场实地勘踏，应充分了解工地位置、情况、道路、储存空间、装卸限制、相关专业施工队伍的配合与衔接及任何其他。</w:t>
      </w:r>
    </w:p>
    <w:p>
      <w:pPr>
        <w:tabs>
          <w:tab w:val="left" w:pos="0"/>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10、投标有效期</w:t>
      </w:r>
    </w:p>
    <w:p>
      <w:pPr>
        <w:tabs>
          <w:tab w:val="left" w:pos="0"/>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10.1在投标人须知前附表规定的投标有效期内，投标人不得要求撤销或修改其投标文件。</w:t>
      </w:r>
    </w:p>
    <w:p>
      <w:pPr>
        <w:tabs>
          <w:tab w:val="left" w:pos="0"/>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 xml:space="preserve">10.2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 </w:t>
      </w:r>
    </w:p>
    <w:p>
      <w:pPr>
        <w:tabs>
          <w:tab w:val="left" w:pos="0"/>
        </w:tabs>
        <w:adjustRightInd w:val="0"/>
        <w:snapToGrid w:val="0"/>
        <w:spacing w:line="440" w:lineRule="exact"/>
        <w:ind w:firstLine="560"/>
        <w:rPr>
          <w:rFonts w:hint="eastAsia" w:ascii="宋体" w:hAnsi="宋体"/>
          <w:snapToGrid w:val="0"/>
          <w:sz w:val="28"/>
          <w:highlight w:val="white"/>
        </w:rPr>
      </w:pPr>
    </w:p>
    <w:p>
      <w:pPr>
        <w:spacing w:line="440" w:lineRule="exact"/>
        <w:rPr>
          <w:rFonts w:hint="eastAsia" w:ascii="宋体" w:hAnsi="宋体"/>
          <w:b/>
          <w:sz w:val="32"/>
          <w:szCs w:val="32"/>
          <w:highlight w:val="white"/>
        </w:rPr>
      </w:pPr>
      <w:r>
        <w:rPr>
          <w:rFonts w:hint="eastAsia" w:ascii="宋体" w:hAnsi="宋体"/>
          <w:b/>
          <w:sz w:val="32"/>
          <w:szCs w:val="32"/>
          <w:highlight w:val="white"/>
        </w:rPr>
        <w:t>五、投标文件的密封与递交</w:t>
      </w:r>
    </w:p>
    <w:p>
      <w:pPr>
        <w:tabs>
          <w:tab w:val="left" w:pos="0"/>
          <w:tab w:val="left" w:pos="993"/>
          <w:tab w:val="left" w:pos="1134"/>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11、投标文件的份数和签署</w:t>
      </w:r>
    </w:p>
    <w:p>
      <w:pPr>
        <w:tabs>
          <w:tab w:val="left" w:pos="-426"/>
          <w:tab w:val="left" w:pos="0"/>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投标文件应使用不能擦去的墨水书写或打印，由投标人加盖法人公章和法定代表人或法定代表人委托的代理人印鉴或签字。</w:t>
      </w:r>
    </w:p>
    <w:p>
      <w:pPr>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12、投标文件的密</w:t>
      </w:r>
      <w:r>
        <w:rPr>
          <w:rFonts w:hint="eastAsia" w:ascii="宋体" w:hAnsi="宋体"/>
          <w:snapToGrid w:val="0"/>
          <w:sz w:val="28"/>
          <w:szCs w:val="28"/>
          <w:highlight w:val="white"/>
        </w:rPr>
        <w:t>封与</w:t>
      </w:r>
      <w:r>
        <w:rPr>
          <w:rFonts w:hint="eastAsia" w:ascii="宋体" w:hAnsi="宋体"/>
          <w:snapToGrid w:val="0"/>
          <w:sz w:val="28"/>
          <w:highlight w:val="white"/>
        </w:rPr>
        <w:t>标志</w:t>
      </w:r>
    </w:p>
    <w:p>
      <w:pPr>
        <w:tabs>
          <w:tab w:val="left" w:pos="-426"/>
          <w:tab w:val="left" w:pos="0"/>
        </w:tabs>
        <w:adjustRightInd w:val="0"/>
        <w:snapToGrid w:val="0"/>
        <w:spacing w:line="440" w:lineRule="exact"/>
        <w:ind w:firstLine="560"/>
        <w:rPr>
          <w:rFonts w:hint="eastAsia" w:ascii="宋体" w:hAnsi="宋体"/>
          <w:b/>
          <w:snapToGrid w:val="0"/>
          <w:sz w:val="28"/>
          <w:highlight w:val="white"/>
        </w:rPr>
      </w:pPr>
      <w:r>
        <w:rPr>
          <w:rFonts w:hint="eastAsia" w:ascii="宋体" w:hAnsi="宋体"/>
          <w:b/>
          <w:snapToGrid w:val="0"/>
          <w:sz w:val="28"/>
          <w:highlight w:val="white"/>
        </w:rPr>
        <w:t>所有封袋上都应写明招标人名称、工程项目名称、投标人名称、卷别；</w:t>
      </w:r>
    </w:p>
    <w:p>
      <w:pPr>
        <w:tabs>
          <w:tab w:val="left" w:pos="-426"/>
          <w:tab w:val="left" w:pos="0"/>
        </w:tabs>
        <w:adjustRightInd w:val="0"/>
        <w:snapToGrid w:val="0"/>
        <w:spacing w:line="440" w:lineRule="exact"/>
        <w:ind w:firstLine="560"/>
        <w:rPr>
          <w:rFonts w:hint="eastAsia" w:ascii="宋体" w:hAnsi="宋体"/>
          <w:b/>
          <w:snapToGrid w:val="0"/>
          <w:sz w:val="28"/>
          <w:highlight w:val="white"/>
        </w:rPr>
      </w:pPr>
      <w:r>
        <w:rPr>
          <w:rFonts w:hint="eastAsia" w:ascii="宋体" w:hAnsi="宋体"/>
          <w:b/>
          <w:snapToGrid w:val="0"/>
          <w:sz w:val="28"/>
          <w:highlight w:val="white"/>
        </w:rPr>
        <w:t>所有投标文件都必须在封袋上加盖投标单位法人公章及其法定代表人或授权委托人的印鉴。</w:t>
      </w:r>
    </w:p>
    <w:p>
      <w:pPr>
        <w:tabs>
          <w:tab w:val="left" w:pos="0"/>
          <w:tab w:val="left" w:pos="993"/>
          <w:tab w:val="left" w:pos="1134"/>
        </w:tabs>
        <w:adjustRightInd w:val="0"/>
        <w:snapToGrid w:val="0"/>
        <w:spacing w:line="440" w:lineRule="exact"/>
        <w:ind w:firstLine="560"/>
        <w:rPr>
          <w:rFonts w:hint="eastAsia" w:ascii="宋体" w:hAnsi="宋体"/>
          <w:snapToGrid w:val="0"/>
          <w:sz w:val="28"/>
        </w:rPr>
      </w:pPr>
      <w:r>
        <w:rPr>
          <w:rFonts w:hint="eastAsia" w:ascii="宋体" w:hAnsi="宋体"/>
          <w:snapToGrid w:val="0"/>
          <w:sz w:val="28"/>
          <w:highlight w:val="white"/>
        </w:rPr>
        <w:t>13、投标截止期</w:t>
      </w:r>
    </w:p>
    <w:p>
      <w:pPr>
        <w:tabs>
          <w:tab w:val="left" w:pos="0"/>
        </w:tabs>
        <w:adjustRightInd w:val="0"/>
        <w:snapToGrid w:val="0"/>
        <w:spacing w:line="440" w:lineRule="exact"/>
        <w:ind w:firstLine="560"/>
        <w:rPr>
          <w:rFonts w:hint="eastAsia" w:ascii="宋体" w:hAnsi="宋体"/>
          <w:snapToGrid w:val="0"/>
          <w:sz w:val="28"/>
        </w:rPr>
      </w:pPr>
      <w:r>
        <w:rPr>
          <w:rFonts w:hint="eastAsia" w:ascii="宋体" w:hAnsi="宋体"/>
          <w:snapToGrid w:val="0"/>
          <w:sz w:val="28"/>
          <w:highlight w:val="white"/>
        </w:rPr>
        <w:t>13.1投标人应在投标须知中规定的时间之前将投标文件递交到招标文件前附表指定地点。</w:t>
      </w:r>
    </w:p>
    <w:p>
      <w:pPr>
        <w:tabs>
          <w:tab w:val="left" w:pos="0"/>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13.2招标人可以按本文件规定以修改通知的方式，延长递交投标文件的截止日期。在上述情况下，招标人与投标人以前的在投标截止期方面的全部权力、责任和义务，将适用于延长后新的投标截止期。</w:t>
      </w:r>
    </w:p>
    <w:p>
      <w:pPr>
        <w:tabs>
          <w:tab w:val="left" w:pos="0"/>
        </w:tabs>
        <w:adjustRightInd w:val="0"/>
        <w:snapToGrid w:val="0"/>
        <w:spacing w:line="440" w:lineRule="exact"/>
        <w:ind w:firstLine="560"/>
        <w:rPr>
          <w:rFonts w:ascii="宋体" w:hAnsi="宋体"/>
          <w:snapToGrid w:val="0"/>
          <w:color w:val="FF0000"/>
          <w:sz w:val="28"/>
          <w:highlight w:val="white"/>
        </w:rPr>
      </w:pPr>
      <w:r>
        <w:rPr>
          <w:rFonts w:hint="eastAsia" w:ascii="宋体" w:hAnsi="宋体"/>
          <w:snapToGrid w:val="0"/>
          <w:color w:val="FF0000"/>
          <w:sz w:val="28"/>
          <w:highlight w:val="white"/>
        </w:rPr>
        <w:t>13.3投标人在投标时间截止前应办理资格预审手续，若资格预审文件无法达到投标文件要求或未按规定时间送达，则招标人有权拒收投标文件。</w:t>
      </w:r>
    </w:p>
    <w:p>
      <w:pPr>
        <w:tabs>
          <w:tab w:val="left" w:pos="0"/>
          <w:tab w:val="left" w:pos="1134"/>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14、投标文件的修改与撤回</w:t>
      </w:r>
    </w:p>
    <w:p>
      <w:pPr>
        <w:tabs>
          <w:tab w:val="left" w:pos="0"/>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14.1投标人可以在递交投标文件以后，在规定的投标截止期之前，以书面形式向招标人递交修改或撤回其投标文件的通知。在投标截止期以后，不得更改、撤回投标文件。</w:t>
      </w:r>
    </w:p>
    <w:p>
      <w:pPr>
        <w:tabs>
          <w:tab w:val="left" w:pos="0"/>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14.2投标文件的修改应按本文件相关条款规定的要求编制、密封、标志和递交（密封袋上应标明“修改”字样）。</w:t>
      </w:r>
    </w:p>
    <w:p>
      <w:pPr>
        <w:tabs>
          <w:tab w:val="left" w:pos="0"/>
        </w:tabs>
        <w:adjustRightInd w:val="0"/>
        <w:snapToGrid w:val="0"/>
        <w:spacing w:line="440" w:lineRule="exact"/>
        <w:ind w:firstLine="520"/>
        <w:rPr>
          <w:rFonts w:hint="eastAsia" w:ascii="宋体" w:hAnsi="宋体"/>
          <w:snapToGrid w:val="0"/>
          <w:color w:val="000080"/>
          <w:sz w:val="20"/>
          <w:szCs w:val="28"/>
        </w:rPr>
      </w:pPr>
      <w:r>
        <w:rPr>
          <w:rFonts w:hint="eastAsia" w:ascii="宋体" w:hAnsi="宋体"/>
          <w:snapToGrid w:val="0"/>
          <w:spacing w:val="-20"/>
          <w:sz w:val="28"/>
          <w:highlight w:val="white"/>
        </w:rPr>
        <w:t>14.</w:t>
      </w:r>
      <w:r>
        <w:rPr>
          <w:rFonts w:hint="eastAsia" w:ascii="宋体" w:hAnsi="宋体"/>
          <w:snapToGrid w:val="0"/>
          <w:sz w:val="28"/>
          <w:szCs w:val="28"/>
          <w:highlight w:val="white"/>
        </w:rPr>
        <w:t>3投标截止以后,在投标有效期内，未确定中标人前，投标人不得撤回投标文件。</w:t>
      </w:r>
      <w:bookmarkStart w:id="6" w:name="EB66450c37613b4d8bb5d2ef34d49a190f"/>
      <w:r>
        <w:rPr>
          <w:rFonts w:ascii="宋体" w:hAnsi="宋体"/>
          <w:snapToGrid w:val="0"/>
          <w:color w:val="000080"/>
          <w:sz w:val="20"/>
          <w:szCs w:val="28"/>
          <w:highlight w:val="white"/>
        </w:rPr>
        <w:t xml:space="preserve"> </w:t>
      </w:r>
      <w:bookmarkEnd w:id="6"/>
      <w:bookmarkStart w:id="7" w:name="EB0f01764a82a04f44abcb858eaf46c6a5"/>
      <w:r>
        <w:rPr>
          <w:rFonts w:ascii="宋体" w:hAnsi="宋体"/>
          <w:snapToGrid w:val="0"/>
          <w:color w:val="000080"/>
          <w:sz w:val="20"/>
          <w:szCs w:val="28"/>
          <w:highlight w:val="white"/>
        </w:rPr>
        <w:t xml:space="preserve"> </w:t>
      </w:r>
      <w:bookmarkEnd w:id="7"/>
      <w:bookmarkStart w:id="8" w:name="EBa793852fcb4d42ce9e567dfd1411b872"/>
      <w:r>
        <w:rPr>
          <w:rFonts w:ascii="宋体" w:hAnsi="宋体"/>
          <w:snapToGrid w:val="0"/>
          <w:color w:val="000080"/>
          <w:sz w:val="20"/>
          <w:szCs w:val="28"/>
          <w:highlight w:val="white"/>
        </w:rPr>
        <w:t xml:space="preserve"> </w:t>
      </w:r>
      <w:bookmarkEnd w:id="8"/>
    </w:p>
    <w:p>
      <w:pPr>
        <w:spacing w:line="440" w:lineRule="exact"/>
        <w:rPr>
          <w:rFonts w:hint="eastAsia" w:ascii="宋体" w:hAnsi="宋体"/>
          <w:b/>
          <w:sz w:val="32"/>
          <w:szCs w:val="32"/>
          <w:highlight w:val="white"/>
        </w:rPr>
      </w:pPr>
    </w:p>
    <w:p>
      <w:pPr>
        <w:spacing w:line="440" w:lineRule="exact"/>
        <w:rPr>
          <w:rFonts w:hint="eastAsia" w:ascii="宋体" w:hAnsi="宋体"/>
          <w:b/>
          <w:sz w:val="32"/>
          <w:szCs w:val="32"/>
          <w:highlight w:val="white"/>
        </w:rPr>
      </w:pPr>
      <w:r>
        <w:rPr>
          <w:rFonts w:hint="eastAsia" w:ascii="宋体" w:hAnsi="宋体"/>
          <w:b/>
          <w:sz w:val="32"/>
          <w:szCs w:val="32"/>
          <w:highlight w:val="white"/>
        </w:rPr>
        <w:t>六、开标</w:t>
      </w:r>
    </w:p>
    <w:p>
      <w:pPr>
        <w:tabs>
          <w:tab w:val="left" w:pos="-1560"/>
          <w:tab w:val="left" w:pos="-851"/>
          <w:tab w:val="left" w:pos="0"/>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15、开标</w:t>
      </w:r>
    </w:p>
    <w:p>
      <w:pPr>
        <w:tabs>
          <w:tab w:val="left" w:pos="-1560"/>
          <w:tab w:val="left" w:pos="-851"/>
          <w:tab w:val="left" w:pos="0"/>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15.1 招标人将按投标须知前附表的时间和地点举行开标会议。</w:t>
      </w:r>
    </w:p>
    <w:p>
      <w:pPr>
        <w:tabs>
          <w:tab w:val="left" w:pos="-1701"/>
          <w:tab w:val="left" w:pos="0"/>
        </w:tabs>
        <w:adjustRightInd w:val="0"/>
        <w:snapToGrid w:val="0"/>
        <w:spacing w:line="440" w:lineRule="exact"/>
        <w:ind w:firstLine="560"/>
        <w:rPr>
          <w:rFonts w:hint="eastAsia" w:ascii="宋体" w:hAnsi="宋体"/>
          <w:snapToGrid w:val="0"/>
          <w:sz w:val="28"/>
        </w:rPr>
      </w:pPr>
      <w:r>
        <w:rPr>
          <w:rFonts w:hint="eastAsia" w:ascii="宋体" w:hAnsi="宋体"/>
          <w:snapToGrid w:val="0"/>
          <w:sz w:val="28"/>
          <w:highlight w:val="white"/>
        </w:rPr>
        <w:t>15.2开标程序：</w:t>
      </w:r>
    </w:p>
    <w:p>
      <w:pPr>
        <w:spacing w:line="440" w:lineRule="exact"/>
        <w:ind w:firstLine="479"/>
        <w:rPr>
          <w:rFonts w:hint="eastAsia" w:ascii="宋体" w:hAnsi="宋体"/>
          <w:snapToGrid w:val="0"/>
          <w:sz w:val="28"/>
          <w:highlight w:val="white"/>
        </w:rPr>
      </w:pPr>
      <w:r>
        <w:rPr>
          <w:rFonts w:hint="eastAsia" w:ascii="宋体" w:hAnsi="宋体"/>
          <w:snapToGrid w:val="0"/>
          <w:sz w:val="28"/>
          <w:highlight w:val="white"/>
        </w:rPr>
        <w:t>（1）宣布开标纪律；</w:t>
      </w:r>
    </w:p>
    <w:p>
      <w:pPr>
        <w:spacing w:line="440" w:lineRule="exact"/>
        <w:ind w:firstLine="479"/>
        <w:rPr>
          <w:rFonts w:hint="eastAsia" w:ascii="宋体" w:hAnsi="宋体"/>
          <w:snapToGrid w:val="0"/>
          <w:sz w:val="28"/>
          <w:highlight w:val="white"/>
        </w:rPr>
      </w:pPr>
      <w:r>
        <w:rPr>
          <w:rFonts w:hint="eastAsia" w:ascii="宋体" w:hAnsi="宋体"/>
          <w:snapToGrid w:val="0"/>
          <w:sz w:val="28"/>
          <w:highlight w:val="white"/>
        </w:rPr>
        <w:t>（2）按照投标人须知前附表规定检查投标文件的密封情况；</w:t>
      </w:r>
    </w:p>
    <w:p>
      <w:pPr>
        <w:spacing w:line="440" w:lineRule="exact"/>
        <w:ind w:firstLine="479"/>
        <w:rPr>
          <w:rFonts w:hint="eastAsia" w:ascii="宋体" w:hAnsi="宋体"/>
          <w:snapToGrid w:val="0"/>
          <w:sz w:val="28"/>
          <w:highlight w:val="white"/>
        </w:rPr>
      </w:pPr>
      <w:r>
        <w:rPr>
          <w:rFonts w:hint="eastAsia" w:ascii="宋体" w:hAnsi="宋体"/>
          <w:snapToGrid w:val="0"/>
          <w:sz w:val="28"/>
          <w:highlight w:val="white"/>
        </w:rPr>
        <w:t>（3）公布投标人名称、标段名称、投标保证金的递交情况、投标报价、质量目标、工期及其他内容，并记录在案；</w:t>
      </w:r>
    </w:p>
    <w:p>
      <w:pPr>
        <w:spacing w:line="440" w:lineRule="exact"/>
        <w:ind w:firstLine="479"/>
        <w:rPr>
          <w:rFonts w:hint="eastAsia" w:ascii="宋体" w:hAnsi="宋体"/>
          <w:snapToGrid w:val="0"/>
          <w:color w:val="000080"/>
          <w:sz w:val="20"/>
        </w:rPr>
      </w:pPr>
      <w:r>
        <w:rPr>
          <w:rFonts w:hint="eastAsia" w:ascii="宋体" w:hAnsi="宋体"/>
          <w:snapToGrid w:val="0"/>
          <w:sz w:val="28"/>
          <w:highlight w:val="white"/>
        </w:rPr>
        <w:t>（4）开标结束。</w:t>
      </w:r>
      <w:bookmarkStart w:id="9" w:name="EBeca13303dcfd4780a9739bea47def694"/>
      <w:r>
        <w:rPr>
          <w:rFonts w:ascii="宋体" w:hAnsi="宋体"/>
          <w:snapToGrid w:val="0"/>
          <w:color w:val="000080"/>
          <w:sz w:val="20"/>
          <w:highlight w:val="white"/>
        </w:rPr>
        <w:t xml:space="preserve"> </w:t>
      </w:r>
      <w:bookmarkEnd w:id="9"/>
      <w:bookmarkStart w:id="10" w:name="EB12759f0d635e470dbe8d9ef589ab9516"/>
      <w:r>
        <w:rPr>
          <w:rFonts w:ascii="宋体" w:hAnsi="宋体"/>
          <w:snapToGrid w:val="0"/>
          <w:color w:val="000080"/>
          <w:sz w:val="20"/>
          <w:highlight w:val="white"/>
        </w:rPr>
        <w:t xml:space="preserve"> </w:t>
      </w:r>
      <w:bookmarkEnd w:id="10"/>
      <w:bookmarkStart w:id="11" w:name="EBaf5f94c076e34861a13e80ed5a735153"/>
      <w:r>
        <w:rPr>
          <w:rFonts w:ascii="宋体" w:hAnsi="宋体"/>
          <w:snapToGrid w:val="0"/>
          <w:color w:val="000080"/>
          <w:sz w:val="20"/>
          <w:highlight w:val="white"/>
        </w:rPr>
        <w:t xml:space="preserve"> </w:t>
      </w:r>
      <w:bookmarkEnd w:id="11"/>
    </w:p>
    <w:p>
      <w:pPr>
        <w:spacing w:line="440" w:lineRule="exact"/>
        <w:ind w:firstLine="479"/>
        <w:rPr>
          <w:rFonts w:hint="eastAsia" w:ascii="宋体" w:hAnsi="宋体"/>
          <w:snapToGrid w:val="0"/>
          <w:sz w:val="28"/>
        </w:rPr>
      </w:pPr>
    </w:p>
    <w:p>
      <w:pPr>
        <w:spacing w:line="440" w:lineRule="exact"/>
        <w:rPr>
          <w:rFonts w:hint="eastAsia" w:ascii="宋体" w:hAnsi="宋体"/>
          <w:b/>
          <w:sz w:val="32"/>
          <w:szCs w:val="32"/>
          <w:highlight w:val="white"/>
        </w:rPr>
      </w:pPr>
      <w:r>
        <w:rPr>
          <w:rFonts w:hint="eastAsia" w:ascii="宋体" w:hAnsi="宋体"/>
          <w:b/>
          <w:sz w:val="32"/>
          <w:szCs w:val="32"/>
          <w:highlight w:val="white"/>
        </w:rPr>
        <w:t>七、评标与定标</w:t>
      </w:r>
    </w:p>
    <w:p>
      <w:pPr>
        <w:adjustRightInd w:val="0"/>
        <w:snapToGrid w:val="0"/>
        <w:spacing w:line="440" w:lineRule="exact"/>
        <w:ind w:firstLine="560"/>
        <w:rPr>
          <w:rFonts w:hint="eastAsia" w:ascii="宋体" w:hAnsi="宋体"/>
          <w:snapToGrid w:val="0"/>
          <w:sz w:val="28"/>
        </w:rPr>
      </w:pPr>
      <w:r>
        <w:rPr>
          <w:rFonts w:hint="eastAsia" w:ascii="宋体" w:hAnsi="宋体"/>
          <w:snapToGrid w:val="0"/>
          <w:sz w:val="28"/>
          <w:highlight w:val="white"/>
        </w:rPr>
        <w:t>16、评标</w:t>
      </w:r>
    </w:p>
    <w:p>
      <w:pPr>
        <w:adjustRightInd w:val="0"/>
        <w:snapToGrid w:val="0"/>
        <w:spacing w:line="440" w:lineRule="exact"/>
        <w:ind w:firstLine="560"/>
        <w:rPr>
          <w:rFonts w:hint="eastAsia" w:ascii="宋体" w:hAnsi="宋体"/>
          <w:snapToGrid w:val="0"/>
          <w:sz w:val="28"/>
        </w:rPr>
      </w:pPr>
      <w:r>
        <w:rPr>
          <w:rFonts w:hint="eastAsia" w:ascii="宋体" w:hAnsi="宋体"/>
          <w:snapToGrid w:val="0"/>
          <w:sz w:val="28"/>
          <w:highlight w:val="white"/>
        </w:rPr>
        <w:t>投标文件的评审工作在评标监督小组的监督下，由评标委员会负责进行。评标委员会的成员必须符合法律法规有关规定。评标委员会成员应认真阅读投标文件，严格依据国家和省市招标投标的法律法规精神和本招标文件规定的评标标准和方法进行评审、依法独立评标不得带有任何倾向性。评标活动遵循公平、公正、科学和择优的原则。</w:t>
      </w:r>
    </w:p>
    <w:p>
      <w:pPr>
        <w:tabs>
          <w:tab w:val="left" w:pos="0"/>
          <w:tab w:val="left" w:pos="1134"/>
        </w:tabs>
        <w:adjustRightInd w:val="0"/>
        <w:snapToGrid w:val="0"/>
        <w:spacing w:line="440" w:lineRule="exact"/>
        <w:ind w:firstLine="561"/>
        <w:rPr>
          <w:rFonts w:hint="eastAsia" w:ascii="宋体" w:hAnsi="宋体" w:cs="Arial"/>
          <w:b/>
          <w:snapToGrid w:val="0"/>
          <w:color w:val="000000"/>
          <w:sz w:val="28"/>
        </w:rPr>
      </w:pPr>
      <w:r>
        <w:rPr>
          <w:rFonts w:hint="eastAsia" w:ascii="宋体" w:hAnsi="宋体"/>
          <w:b/>
          <w:snapToGrid w:val="0"/>
          <w:color w:val="000000"/>
          <w:sz w:val="28"/>
          <w:highlight w:val="white"/>
        </w:rPr>
        <w:t>16.1</w:t>
      </w:r>
      <w:r>
        <w:rPr>
          <w:rFonts w:hint="eastAsia" w:ascii="宋体" w:hAnsi="宋体" w:cs="Arial"/>
          <w:b/>
          <w:snapToGrid w:val="0"/>
          <w:color w:val="000000"/>
          <w:sz w:val="28"/>
          <w:highlight w:val="white"/>
        </w:rPr>
        <w:t>评标委员会</w:t>
      </w:r>
    </w:p>
    <w:p>
      <w:pPr>
        <w:tabs>
          <w:tab w:val="left" w:pos="0"/>
          <w:tab w:val="left" w:pos="1134"/>
        </w:tabs>
        <w:adjustRightInd w:val="0"/>
        <w:snapToGrid w:val="0"/>
        <w:spacing w:line="440" w:lineRule="exact"/>
        <w:ind w:firstLine="560"/>
        <w:rPr>
          <w:rFonts w:hint="eastAsia" w:ascii="宋体" w:hAnsi="宋体"/>
          <w:snapToGrid w:val="0"/>
          <w:sz w:val="28"/>
        </w:rPr>
      </w:pPr>
      <w:r>
        <w:rPr>
          <w:rFonts w:hint="eastAsia" w:ascii="宋体" w:hAnsi="宋体"/>
          <w:snapToGrid w:val="0"/>
          <w:sz w:val="28"/>
          <w:highlight w:val="white"/>
        </w:rPr>
        <w:t>评标由招标人依法组建的评标委员会负责。评标委员会由有关技术、经济等方面的专家组成。</w:t>
      </w:r>
    </w:p>
    <w:p>
      <w:pPr>
        <w:adjustRightInd w:val="0"/>
        <w:snapToGrid w:val="0"/>
        <w:spacing w:line="440" w:lineRule="exact"/>
        <w:ind w:firstLine="561"/>
        <w:rPr>
          <w:rFonts w:hint="eastAsia" w:ascii="宋体" w:hAnsi="宋体" w:cs="Arial"/>
          <w:b/>
          <w:color w:val="000000"/>
          <w:sz w:val="28"/>
          <w:highlight w:val="white"/>
        </w:rPr>
      </w:pPr>
      <w:r>
        <w:rPr>
          <w:rFonts w:hint="eastAsia" w:ascii="宋体" w:hAnsi="宋体"/>
          <w:b/>
          <w:color w:val="000000"/>
          <w:sz w:val="28"/>
          <w:highlight w:val="white"/>
        </w:rPr>
        <w:t>16.2</w:t>
      </w:r>
      <w:r>
        <w:rPr>
          <w:rFonts w:hint="eastAsia" w:ascii="宋体" w:hAnsi="宋体" w:cs="Arial"/>
          <w:b/>
          <w:color w:val="000000"/>
          <w:sz w:val="28"/>
          <w:highlight w:val="white"/>
        </w:rPr>
        <w:t>评审程序</w:t>
      </w:r>
    </w:p>
    <w:p>
      <w:pPr>
        <w:adjustRightInd w:val="0"/>
        <w:snapToGrid w:val="0"/>
        <w:spacing w:line="440" w:lineRule="exact"/>
        <w:ind w:firstLine="560" w:firstLineChars="200"/>
        <w:rPr>
          <w:rFonts w:hint="eastAsia" w:ascii="宋体" w:hAnsi="宋体" w:cs="Arial"/>
          <w:color w:val="000000"/>
          <w:sz w:val="28"/>
          <w:highlight w:val="white"/>
        </w:rPr>
      </w:pPr>
      <w:r>
        <w:rPr>
          <w:rFonts w:hint="eastAsia" w:ascii="宋体" w:hAnsi="宋体" w:cs="Arial"/>
          <w:color w:val="000000"/>
          <w:sz w:val="28"/>
          <w:highlight w:val="white"/>
        </w:rPr>
        <w:t>评标按照下列程序进行：1）评标准备；2）初步评审；3）详细评审；4）推荐中标候选人，撰写评标报告。</w:t>
      </w:r>
    </w:p>
    <w:p>
      <w:pPr>
        <w:tabs>
          <w:tab w:val="left" w:pos="0"/>
          <w:tab w:val="left" w:pos="993"/>
          <w:tab w:val="left" w:pos="1134"/>
        </w:tabs>
        <w:adjustRightInd w:val="0"/>
        <w:snapToGrid w:val="0"/>
        <w:spacing w:line="440" w:lineRule="exact"/>
        <w:ind w:firstLine="561"/>
        <w:rPr>
          <w:rFonts w:hint="eastAsia" w:ascii="宋体" w:hAnsi="宋体" w:cs="Arial"/>
          <w:b/>
          <w:bCs/>
          <w:snapToGrid w:val="0"/>
          <w:color w:val="000000"/>
          <w:sz w:val="28"/>
          <w:highlight w:val="white"/>
        </w:rPr>
      </w:pPr>
      <w:r>
        <w:rPr>
          <w:rFonts w:hint="eastAsia" w:ascii="宋体" w:hAnsi="宋体" w:cs="Arial"/>
          <w:b/>
          <w:bCs/>
          <w:snapToGrid w:val="0"/>
          <w:color w:val="000000"/>
          <w:sz w:val="28"/>
          <w:highlight w:val="white"/>
        </w:rPr>
        <w:t>16.3评标准备</w:t>
      </w:r>
    </w:p>
    <w:p>
      <w:pPr>
        <w:tabs>
          <w:tab w:val="left" w:pos="0"/>
          <w:tab w:val="left" w:pos="993"/>
          <w:tab w:val="left" w:pos="1134"/>
        </w:tabs>
        <w:adjustRightInd w:val="0"/>
        <w:snapToGrid w:val="0"/>
        <w:spacing w:line="440" w:lineRule="exact"/>
        <w:ind w:firstLine="561"/>
        <w:rPr>
          <w:rFonts w:hint="eastAsia" w:ascii="宋体" w:hAnsi="宋体" w:cs="Arial"/>
          <w:b/>
          <w:bCs/>
          <w:snapToGrid w:val="0"/>
          <w:color w:val="000000"/>
          <w:sz w:val="28"/>
          <w:highlight w:val="white"/>
        </w:rPr>
      </w:pPr>
      <w:r>
        <w:rPr>
          <w:rFonts w:hint="eastAsia" w:ascii="宋体" w:hAnsi="宋体" w:cs="Arial"/>
          <w:b/>
          <w:bCs/>
          <w:snapToGrid w:val="0"/>
          <w:color w:val="000000"/>
          <w:sz w:val="28"/>
          <w:highlight w:val="white"/>
        </w:rPr>
        <w:t>16.3.1评标委员会成员签到</w:t>
      </w:r>
    </w:p>
    <w:p>
      <w:pPr>
        <w:tabs>
          <w:tab w:val="left" w:pos="0"/>
          <w:tab w:val="left" w:pos="993"/>
          <w:tab w:val="left" w:pos="1134"/>
        </w:tabs>
        <w:adjustRightInd w:val="0"/>
        <w:snapToGrid w:val="0"/>
        <w:spacing w:line="440" w:lineRule="exact"/>
        <w:ind w:firstLine="561"/>
        <w:rPr>
          <w:rFonts w:hint="eastAsia" w:ascii="宋体" w:hAnsi="宋体" w:cs="Arial"/>
          <w:b/>
          <w:bCs/>
          <w:snapToGrid w:val="0"/>
          <w:color w:val="000000"/>
          <w:sz w:val="28"/>
          <w:u w:val="single"/>
        </w:rPr>
      </w:pPr>
      <w:r>
        <w:rPr>
          <w:rFonts w:hint="eastAsia" w:ascii="宋体" w:hAnsi="宋体" w:cs="Arial"/>
          <w:b/>
          <w:bCs/>
          <w:snapToGrid w:val="0"/>
          <w:color w:val="000000"/>
          <w:sz w:val="28"/>
          <w:highlight w:val="white"/>
        </w:rPr>
        <w:t>评标委员会成员到达评标现场时应在签到表上签到以证明出席。</w:t>
      </w:r>
    </w:p>
    <w:p>
      <w:pPr>
        <w:tabs>
          <w:tab w:val="left" w:pos="0"/>
          <w:tab w:val="left" w:pos="993"/>
          <w:tab w:val="left" w:pos="1134"/>
        </w:tabs>
        <w:adjustRightInd w:val="0"/>
        <w:snapToGrid w:val="0"/>
        <w:spacing w:line="440" w:lineRule="exact"/>
        <w:ind w:firstLine="561"/>
        <w:rPr>
          <w:rFonts w:hint="eastAsia" w:ascii="宋体" w:hAnsi="宋体" w:cs="Arial"/>
          <w:b/>
          <w:bCs/>
          <w:snapToGrid w:val="0"/>
          <w:color w:val="000000"/>
          <w:sz w:val="28"/>
          <w:highlight w:val="white"/>
        </w:rPr>
      </w:pPr>
      <w:r>
        <w:rPr>
          <w:rFonts w:hint="eastAsia" w:ascii="宋体" w:hAnsi="宋体" w:cs="Arial"/>
          <w:b/>
          <w:bCs/>
          <w:snapToGrid w:val="0"/>
          <w:color w:val="000000"/>
          <w:sz w:val="28"/>
          <w:highlight w:val="white"/>
        </w:rPr>
        <w:t>16.3.2 评标委员会的分工</w:t>
      </w:r>
    </w:p>
    <w:p>
      <w:pPr>
        <w:tabs>
          <w:tab w:val="left" w:pos="0"/>
          <w:tab w:val="left" w:pos="993"/>
          <w:tab w:val="left" w:pos="1134"/>
        </w:tabs>
        <w:adjustRightInd w:val="0"/>
        <w:snapToGrid w:val="0"/>
        <w:spacing w:line="440" w:lineRule="exact"/>
        <w:ind w:firstLine="561"/>
        <w:rPr>
          <w:rFonts w:hint="eastAsia" w:ascii="宋体" w:hAnsi="宋体" w:cs="Arial"/>
          <w:b/>
          <w:bCs/>
          <w:snapToGrid w:val="0"/>
          <w:color w:val="000000"/>
          <w:sz w:val="28"/>
          <w:highlight w:val="white"/>
        </w:rPr>
      </w:pPr>
      <w:r>
        <w:rPr>
          <w:rFonts w:hint="eastAsia" w:ascii="宋体" w:hAnsi="宋体" w:cs="Arial"/>
          <w:b/>
          <w:bCs/>
          <w:snapToGrid w:val="0"/>
          <w:color w:val="000000"/>
          <w:sz w:val="28"/>
          <w:highlight w:val="white"/>
        </w:rPr>
        <w:t>评标委员会首先推选一名评标委员会负责人。评标委员会负责人负责评标活动的组织领导工作。评标委员会负责人在与其他评标委员会成员商议的基础上可以将评标委员会划分为技术组和商务组。</w:t>
      </w:r>
    </w:p>
    <w:p>
      <w:pPr>
        <w:tabs>
          <w:tab w:val="left" w:pos="0"/>
          <w:tab w:val="left" w:pos="993"/>
          <w:tab w:val="left" w:pos="1134"/>
        </w:tabs>
        <w:adjustRightInd w:val="0"/>
        <w:snapToGrid w:val="0"/>
        <w:spacing w:line="440" w:lineRule="exact"/>
        <w:ind w:firstLine="561"/>
        <w:rPr>
          <w:rFonts w:hint="eastAsia" w:ascii="宋体" w:hAnsi="宋体" w:cs="Arial"/>
          <w:b/>
          <w:bCs/>
          <w:snapToGrid w:val="0"/>
          <w:color w:val="000000"/>
          <w:sz w:val="28"/>
          <w:highlight w:val="white"/>
        </w:rPr>
      </w:pPr>
      <w:r>
        <w:rPr>
          <w:rFonts w:hint="eastAsia" w:ascii="宋体" w:hAnsi="宋体" w:cs="Arial"/>
          <w:b/>
          <w:bCs/>
          <w:snapToGrid w:val="0"/>
          <w:color w:val="000000"/>
          <w:sz w:val="28"/>
          <w:highlight w:val="white"/>
        </w:rPr>
        <w:t>16.3.3 熟悉文件资料</w:t>
      </w:r>
    </w:p>
    <w:p>
      <w:pPr>
        <w:tabs>
          <w:tab w:val="left" w:pos="0"/>
          <w:tab w:val="left" w:pos="993"/>
          <w:tab w:val="left" w:pos="1134"/>
        </w:tabs>
        <w:adjustRightInd w:val="0"/>
        <w:snapToGrid w:val="0"/>
        <w:spacing w:line="440" w:lineRule="exact"/>
        <w:ind w:firstLine="561"/>
        <w:rPr>
          <w:rFonts w:hint="eastAsia" w:ascii="宋体" w:hAnsi="宋体" w:cs="Arial"/>
          <w:b/>
          <w:bCs/>
          <w:snapToGrid w:val="0"/>
          <w:color w:val="000000"/>
          <w:sz w:val="28"/>
          <w:highlight w:val="white"/>
        </w:rPr>
      </w:pPr>
      <w:r>
        <w:rPr>
          <w:rFonts w:hint="eastAsia" w:ascii="宋体" w:hAnsi="宋体" w:cs="Arial"/>
          <w:b/>
          <w:bCs/>
          <w:snapToGrid w:val="0"/>
          <w:color w:val="000000"/>
          <w:sz w:val="28"/>
          <w:highlight w:val="white"/>
        </w:rPr>
        <w:t>评标委员会成员应认真研究招标文件，了解和熟悉招标目的、招标范围、主要合同条件、技术标准和要求、质量标准和工期要求，掌握评标标准和方法，熟悉本章及附件中包括的评标表格的使用，如果本章及附件所附的表格不能满足评标所需时，评标委员会应补充编制评标所需的表格，尤其是用于详细分析计算的表格。未在招标文件中规定的标准和方法不得作为评标的依据。</w:t>
      </w:r>
    </w:p>
    <w:p>
      <w:pPr>
        <w:tabs>
          <w:tab w:val="left" w:pos="0"/>
          <w:tab w:val="left" w:pos="993"/>
          <w:tab w:val="left" w:pos="1134"/>
        </w:tabs>
        <w:adjustRightInd w:val="0"/>
        <w:snapToGrid w:val="0"/>
        <w:spacing w:line="440" w:lineRule="exact"/>
        <w:ind w:firstLine="561"/>
        <w:rPr>
          <w:rFonts w:hint="eastAsia" w:ascii="宋体" w:hAnsi="宋体" w:cs="Arial"/>
          <w:b/>
          <w:bCs/>
          <w:snapToGrid w:val="0"/>
          <w:color w:val="000000"/>
          <w:sz w:val="28"/>
          <w:highlight w:val="white"/>
        </w:rPr>
      </w:pPr>
      <w:r>
        <w:rPr>
          <w:rFonts w:hint="eastAsia" w:ascii="宋体" w:hAnsi="宋体" w:cs="Arial"/>
          <w:b/>
          <w:bCs/>
          <w:snapToGrid w:val="0"/>
          <w:color w:val="000000"/>
          <w:sz w:val="28"/>
          <w:highlight w:val="white"/>
        </w:rPr>
        <w:t>16.4初步评审</w:t>
      </w:r>
    </w:p>
    <w:p>
      <w:pPr>
        <w:tabs>
          <w:tab w:val="left" w:pos="0"/>
          <w:tab w:val="left" w:pos="993"/>
          <w:tab w:val="left" w:pos="1134"/>
        </w:tabs>
        <w:adjustRightInd w:val="0"/>
        <w:snapToGrid w:val="0"/>
        <w:spacing w:line="440" w:lineRule="exact"/>
        <w:ind w:firstLine="561"/>
        <w:rPr>
          <w:rFonts w:hint="eastAsia" w:ascii="宋体" w:hAnsi="宋体" w:cs="Arial"/>
          <w:b/>
          <w:bCs/>
          <w:snapToGrid w:val="0"/>
          <w:color w:val="000000"/>
          <w:sz w:val="28"/>
          <w:highlight w:val="white"/>
        </w:rPr>
      </w:pPr>
      <w:r>
        <w:rPr>
          <w:rFonts w:hint="eastAsia" w:ascii="宋体" w:hAnsi="宋体" w:cs="Arial"/>
          <w:b/>
          <w:bCs/>
          <w:snapToGrid w:val="0"/>
          <w:color w:val="000000"/>
          <w:sz w:val="28"/>
          <w:highlight w:val="white"/>
        </w:rPr>
        <w:t>16.4.1响应性评审</w:t>
      </w:r>
    </w:p>
    <w:p>
      <w:pPr>
        <w:tabs>
          <w:tab w:val="left" w:pos="0"/>
          <w:tab w:val="left" w:pos="993"/>
          <w:tab w:val="left" w:pos="1134"/>
        </w:tabs>
        <w:adjustRightInd w:val="0"/>
        <w:snapToGrid w:val="0"/>
        <w:spacing w:line="440" w:lineRule="exact"/>
        <w:ind w:firstLine="561"/>
        <w:rPr>
          <w:rFonts w:hint="eastAsia" w:ascii="宋体" w:hAnsi="宋体" w:cs="Arial"/>
          <w:b/>
          <w:bCs/>
          <w:snapToGrid w:val="0"/>
          <w:color w:val="000000"/>
          <w:sz w:val="28"/>
          <w:highlight w:val="white"/>
        </w:rPr>
      </w:pPr>
      <w:r>
        <w:rPr>
          <w:rFonts w:hint="eastAsia" w:ascii="宋体" w:hAnsi="宋体" w:cs="Arial"/>
          <w:b/>
          <w:bCs/>
          <w:snapToGrid w:val="0"/>
          <w:color w:val="000000"/>
          <w:sz w:val="28"/>
          <w:highlight w:val="white"/>
        </w:rPr>
        <w:t>16.4.2算术错误修正</w:t>
      </w:r>
    </w:p>
    <w:p>
      <w:pPr>
        <w:tabs>
          <w:tab w:val="left" w:pos="0"/>
          <w:tab w:val="left" w:pos="993"/>
          <w:tab w:val="left" w:pos="1134"/>
        </w:tabs>
        <w:adjustRightInd w:val="0"/>
        <w:snapToGrid w:val="0"/>
        <w:spacing w:line="440" w:lineRule="exact"/>
        <w:ind w:firstLine="561"/>
        <w:rPr>
          <w:rFonts w:hint="eastAsia" w:ascii="宋体" w:hAnsi="宋体" w:cs="Arial"/>
          <w:b/>
          <w:bCs/>
          <w:snapToGrid w:val="0"/>
          <w:color w:val="000000"/>
          <w:sz w:val="28"/>
          <w:highlight w:val="white"/>
        </w:rPr>
      </w:pPr>
      <w:r>
        <w:rPr>
          <w:rFonts w:hint="eastAsia" w:ascii="宋体" w:hAnsi="宋体" w:cs="Arial"/>
          <w:b/>
          <w:bCs/>
          <w:snapToGrid w:val="0"/>
          <w:color w:val="000000"/>
          <w:sz w:val="28"/>
          <w:highlight w:val="white"/>
        </w:rPr>
        <w:t>16.4.3澄清、说明或补正</w:t>
      </w:r>
    </w:p>
    <w:p>
      <w:pPr>
        <w:tabs>
          <w:tab w:val="left" w:pos="0"/>
          <w:tab w:val="left" w:pos="993"/>
          <w:tab w:val="left" w:pos="1134"/>
        </w:tabs>
        <w:adjustRightInd w:val="0"/>
        <w:snapToGrid w:val="0"/>
        <w:spacing w:line="440" w:lineRule="exact"/>
        <w:ind w:firstLine="561"/>
        <w:rPr>
          <w:rFonts w:hint="eastAsia" w:ascii="宋体" w:hAnsi="宋体" w:cs="Arial"/>
          <w:b/>
          <w:bCs/>
          <w:snapToGrid w:val="0"/>
          <w:color w:val="000000"/>
          <w:sz w:val="28"/>
          <w:highlight w:val="white"/>
        </w:rPr>
      </w:pPr>
      <w:r>
        <w:rPr>
          <w:rFonts w:hint="eastAsia" w:ascii="宋体" w:hAnsi="宋体" w:cs="Arial"/>
          <w:b/>
          <w:bCs/>
          <w:snapToGrid w:val="0"/>
          <w:color w:val="000000"/>
          <w:sz w:val="28"/>
          <w:highlight w:val="white"/>
        </w:rPr>
        <w:t>在初步评审过程中，评标委员会应当就投标文件中不明确的内容要求投标人进行澄清．</w:t>
      </w:r>
    </w:p>
    <w:p>
      <w:pPr>
        <w:tabs>
          <w:tab w:val="left" w:pos="0"/>
          <w:tab w:val="left" w:pos="993"/>
          <w:tab w:val="left" w:pos="1134"/>
        </w:tabs>
        <w:adjustRightInd w:val="0"/>
        <w:snapToGrid w:val="0"/>
        <w:spacing w:line="440" w:lineRule="exact"/>
        <w:ind w:firstLine="561"/>
        <w:rPr>
          <w:rFonts w:hint="eastAsia" w:ascii="宋体" w:hAnsi="宋体" w:cs="Arial"/>
          <w:b/>
          <w:bCs/>
          <w:snapToGrid w:val="0"/>
          <w:color w:val="000000"/>
          <w:sz w:val="28"/>
          <w:highlight w:val="white"/>
        </w:rPr>
      </w:pPr>
      <w:r>
        <w:rPr>
          <w:rFonts w:hint="eastAsia" w:ascii="宋体" w:hAnsi="宋体" w:cs="Arial"/>
          <w:b/>
          <w:bCs/>
          <w:snapToGrid w:val="0"/>
          <w:color w:val="000000"/>
          <w:sz w:val="28"/>
          <w:highlight w:val="white"/>
        </w:rPr>
        <w:t>16.5详细评审</w:t>
      </w:r>
    </w:p>
    <w:p>
      <w:pPr>
        <w:tabs>
          <w:tab w:val="left" w:pos="0"/>
          <w:tab w:val="left" w:pos="993"/>
          <w:tab w:val="left" w:pos="1134"/>
        </w:tabs>
        <w:adjustRightInd w:val="0"/>
        <w:snapToGrid w:val="0"/>
        <w:spacing w:line="440" w:lineRule="exact"/>
        <w:ind w:firstLine="561"/>
        <w:rPr>
          <w:rFonts w:hint="eastAsia" w:ascii="宋体" w:hAnsi="宋体" w:cs="Arial"/>
          <w:b/>
          <w:bCs/>
          <w:snapToGrid w:val="0"/>
          <w:color w:val="000000"/>
          <w:sz w:val="28"/>
        </w:rPr>
      </w:pPr>
      <w:r>
        <w:rPr>
          <w:rFonts w:hint="eastAsia" w:ascii="宋体" w:hAnsi="宋体" w:cs="Arial"/>
          <w:b/>
          <w:bCs/>
          <w:snapToGrid w:val="0"/>
          <w:color w:val="000000"/>
          <w:sz w:val="28"/>
          <w:highlight w:val="white"/>
        </w:rPr>
        <w:t>只有通过了初步评审、被判定为合格的投标方可进入详细评审。</w:t>
      </w:r>
    </w:p>
    <w:p>
      <w:pPr>
        <w:adjustRightInd w:val="0"/>
        <w:snapToGrid w:val="0"/>
        <w:spacing w:line="440" w:lineRule="exact"/>
        <w:ind w:firstLine="560" w:firstLineChars="200"/>
        <w:rPr>
          <w:rFonts w:hint="eastAsia" w:ascii="宋体" w:hAnsi="宋体" w:cs="Arial"/>
          <w:color w:val="000000"/>
          <w:sz w:val="28"/>
          <w:highlight w:val="white"/>
        </w:rPr>
      </w:pPr>
      <w:r>
        <w:rPr>
          <w:rFonts w:hint="eastAsia" w:ascii="宋体" w:hAnsi="宋体" w:cs="Arial"/>
          <w:color w:val="000000"/>
          <w:sz w:val="28"/>
          <w:highlight w:val="white"/>
        </w:rPr>
        <w:t>1、投标文件载明的货物包装方式、检验标准和方法等不符合招标文件的要求；</w:t>
      </w:r>
    </w:p>
    <w:p>
      <w:pPr>
        <w:adjustRightInd w:val="0"/>
        <w:snapToGrid w:val="0"/>
        <w:spacing w:line="440" w:lineRule="exact"/>
        <w:ind w:firstLine="560" w:firstLineChars="200"/>
        <w:rPr>
          <w:rFonts w:hint="eastAsia" w:ascii="宋体" w:hAnsi="宋体" w:cs="Arial"/>
          <w:color w:val="000000"/>
          <w:sz w:val="28"/>
          <w:highlight w:val="white"/>
        </w:rPr>
      </w:pPr>
      <w:r>
        <w:rPr>
          <w:rFonts w:hint="eastAsia" w:ascii="宋体" w:hAnsi="宋体" w:cs="Arial"/>
          <w:color w:val="000000"/>
          <w:sz w:val="28"/>
          <w:highlight w:val="white"/>
        </w:rPr>
        <w:t>2、投标文件提出了不能满足招标文件要求或招标人不能接受的工程验收、计量、价款结算支付办法；</w:t>
      </w:r>
    </w:p>
    <w:p>
      <w:pPr>
        <w:adjustRightInd w:val="0"/>
        <w:snapToGrid w:val="0"/>
        <w:spacing w:line="440" w:lineRule="exact"/>
        <w:ind w:firstLine="560" w:firstLineChars="200"/>
        <w:rPr>
          <w:rFonts w:hint="eastAsia" w:ascii="宋体" w:hAnsi="宋体" w:cs="Arial"/>
          <w:color w:val="000000"/>
          <w:sz w:val="28"/>
          <w:highlight w:val="white"/>
        </w:rPr>
      </w:pPr>
      <w:r>
        <w:rPr>
          <w:rFonts w:hint="eastAsia" w:ascii="宋体" w:hAnsi="宋体" w:cs="Arial"/>
          <w:color w:val="000000"/>
          <w:sz w:val="28"/>
          <w:highlight w:val="white"/>
        </w:rPr>
        <w:t>3、经评标委员会认定投标人的投标报价低于成本价的；</w:t>
      </w:r>
    </w:p>
    <w:p>
      <w:pPr>
        <w:adjustRightInd w:val="0"/>
        <w:snapToGrid w:val="0"/>
        <w:spacing w:line="440" w:lineRule="exact"/>
        <w:ind w:firstLine="560" w:firstLineChars="200"/>
        <w:rPr>
          <w:rFonts w:hint="eastAsia" w:ascii="宋体" w:hAnsi="宋体" w:cs="Arial"/>
          <w:color w:val="000000"/>
          <w:sz w:val="28"/>
          <w:highlight w:val="white"/>
        </w:rPr>
      </w:pPr>
      <w:r>
        <w:rPr>
          <w:rFonts w:hint="eastAsia" w:ascii="宋体" w:hAnsi="宋体" w:cs="Arial"/>
          <w:color w:val="000000"/>
          <w:sz w:val="28"/>
          <w:highlight w:val="white"/>
        </w:rPr>
        <w:t>4、投标人未按照招标文件的要求提供必须提交的相关资料的；</w:t>
      </w:r>
    </w:p>
    <w:p>
      <w:pPr>
        <w:adjustRightInd w:val="0"/>
        <w:snapToGrid w:val="0"/>
        <w:spacing w:line="440" w:lineRule="exact"/>
        <w:ind w:firstLine="560" w:firstLineChars="200"/>
        <w:rPr>
          <w:rFonts w:hint="eastAsia" w:ascii="宋体" w:hAnsi="宋体" w:cs="TimesNewRomanPSMT"/>
          <w:color w:val="0000FF"/>
          <w:sz w:val="28"/>
          <w:szCs w:val="32"/>
          <w:highlight w:val="yellow"/>
        </w:rPr>
      </w:pPr>
      <w:r>
        <w:rPr>
          <w:rFonts w:hint="eastAsia" w:ascii="宋体" w:hAnsi="宋体" w:cs="Arial"/>
          <w:color w:val="000000"/>
          <w:sz w:val="28"/>
          <w:highlight w:val="white"/>
        </w:rPr>
        <w:t>5、投标文件附有招标人不能接受的条件；</w:t>
      </w:r>
    </w:p>
    <w:p>
      <w:pPr>
        <w:tabs>
          <w:tab w:val="left" w:pos="0"/>
          <w:tab w:val="left" w:pos="993"/>
          <w:tab w:val="left" w:pos="1134"/>
        </w:tabs>
        <w:adjustRightInd w:val="0"/>
        <w:snapToGrid w:val="0"/>
        <w:spacing w:line="440" w:lineRule="exact"/>
        <w:ind w:firstLine="561"/>
        <w:rPr>
          <w:rFonts w:hint="eastAsia" w:ascii="宋体" w:hAnsi="宋体" w:cs="Arial"/>
          <w:b/>
          <w:bCs/>
          <w:snapToGrid w:val="0"/>
          <w:color w:val="000000"/>
          <w:sz w:val="28"/>
          <w:highlight w:val="white"/>
        </w:rPr>
      </w:pPr>
      <w:r>
        <w:rPr>
          <w:rFonts w:hint="eastAsia" w:ascii="宋体" w:hAnsi="宋体" w:cs="Arial"/>
          <w:b/>
          <w:bCs/>
          <w:snapToGrid w:val="0"/>
          <w:color w:val="000000"/>
          <w:sz w:val="28"/>
          <w:highlight w:val="white"/>
        </w:rPr>
        <w:t>17评标标准及方法</w:t>
      </w:r>
    </w:p>
    <w:p>
      <w:pPr>
        <w:snapToGrid w:val="0"/>
        <w:spacing w:line="440" w:lineRule="exact"/>
        <w:ind w:left="981" w:leftChars="267" w:hanging="420" w:hangingChars="150"/>
        <w:rPr>
          <w:rFonts w:hint="eastAsia" w:ascii="宋体" w:hAnsi="宋体" w:cs="TimesNewRomanPSMT"/>
          <w:color w:val="0000FF"/>
          <w:sz w:val="28"/>
          <w:szCs w:val="32"/>
        </w:rPr>
      </w:pPr>
      <w:r>
        <w:rPr>
          <w:rFonts w:hint="eastAsia" w:ascii="宋体" w:hAnsi="宋体" w:cs="TimesNewRomanPSMT"/>
          <w:color w:val="0000FF"/>
          <w:sz w:val="28"/>
          <w:szCs w:val="32"/>
        </w:rPr>
        <w:t>综合评分法：</w:t>
      </w:r>
    </w:p>
    <w:p>
      <w:pPr>
        <w:snapToGrid w:val="0"/>
        <w:spacing w:line="460" w:lineRule="exact"/>
        <w:ind w:firstLine="840" w:firstLineChars="300"/>
        <w:rPr>
          <w:rFonts w:ascii="宋体" w:hAnsi="宋体"/>
          <w:snapToGrid w:val="0"/>
          <w:color w:val="FF0000"/>
          <w:sz w:val="28"/>
          <w:szCs w:val="28"/>
        </w:rPr>
      </w:pPr>
      <w:r>
        <w:rPr>
          <w:rFonts w:hint="eastAsia" w:ascii="宋体" w:hAnsi="宋体"/>
          <w:snapToGrid w:val="0"/>
          <w:color w:val="FF0000"/>
          <w:sz w:val="28"/>
          <w:szCs w:val="28"/>
        </w:rPr>
        <w:t>1、报价分90分：投标人&gt;5家时，去掉一个最低价和一个最高价，取有效投标价的算术平均值为A，投标人&gt;</w:t>
      </w:r>
      <w:r>
        <w:rPr>
          <w:rFonts w:ascii="宋体" w:hAnsi="宋体"/>
          <w:snapToGrid w:val="0"/>
          <w:color w:val="FF0000"/>
          <w:sz w:val="28"/>
          <w:szCs w:val="28"/>
        </w:rPr>
        <w:t>5</w:t>
      </w:r>
      <w:r>
        <w:rPr>
          <w:rFonts w:hint="eastAsia" w:ascii="宋体" w:hAnsi="宋体"/>
          <w:snapToGrid w:val="0"/>
          <w:color w:val="FF0000"/>
          <w:sz w:val="28"/>
          <w:szCs w:val="28"/>
        </w:rPr>
        <w:t>家时，评标基准价=A/K,K值在开标现场随机产生（98%~</w:t>
      </w:r>
      <w:r>
        <w:rPr>
          <w:rFonts w:ascii="宋体" w:hAnsi="宋体"/>
          <w:snapToGrid w:val="0"/>
          <w:color w:val="FF0000"/>
          <w:sz w:val="28"/>
          <w:szCs w:val="28"/>
        </w:rPr>
        <w:t>102</w:t>
      </w:r>
      <w:r>
        <w:rPr>
          <w:rFonts w:hint="eastAsia" w:ascii="宋体" w:hAnsi="宋体"/>
          <w:snapToGrid w:val="0"/>
          <w:color w:val="FF0000"/>
          <w:sz w:val="28"/>
          <w:szCs w:val="28"/>
        </w:rPr>
        <w:t>%之间的整数）。</w:t>
      </w:r>
    </w:p>
    <w:p>
      <w:pPr>
        <w:snapToGrid w:val="0"/>
        <w:spacing w:line="460" w:lineRule="exact"/>
        <w:ind w:left="845" w:firstLine="840" w:firstLineChars="300"/>
        <w:rPr>
          <w:rFonts w:hint="eastAsia" w:ascii="宋体" w:hAnsi="宋体"/>
          <w:snapToGrid w:val="0"/>
          <w:color w:val="FF0000"/>
          <w:sz w:val="28"/>
          <w:szCs w:val="28"/>
        </w:rPr>
      </w:pPr>
      <w:r>
        <w:rPr>
          <w:rFonts w:hint="eastAsia" w:ascii="宋体" w:hAnsi="宋体"/>
          <w:snapToGrid w:val="0"/>
          <w:color w:val="FF0000"/>
          <w:sz w:val="28"/>
          <w:szCs w:val="28"/>
        </w:rPr>
        <w:t>报价得分=90-|投标报价-基准值|*</w:t>
      </w:r>
      <w:r>
        <w:rPr>
          <w:rFonts w:ascii="宋体" w:hAnsi="宋体"/>
          <w:snapToGrid w:val="0"/>
          <w:color w:val="FF0000"/>
          <w:sz w:val="28"/>
          <w:szCs w:val="28"/>
        </w:rPr>
        <w:t>100/0.</w:t>
      </w:r>
      <w:r>
        <w:rPr>
          <w:rFonts w:hint="eastAsia" w:ascii="宋体" w:hAnsi="宋体"/>
          <w:snapToGrid w:val="0"/>
          <w:color w:val="FF0000"/>
          <w:sz w:val="28"/>
          <w:szCs w:val="28"/>
        </w:rPr>
        <w:t>5</w:t>
      </w:r>
    </w:p>
    <w:p>
      <w:pPr>
        <w:snapToGrid w:val="0"/>
        <w:spacing w:line="460" w:lineRule="exact"/>
        <w:ind w:firstLine="840" w:firstLineChars="300"/>
        <w:rPr>
          <w:rFonts w:hint="eastAsia" w:ascii="宋体" w:hAnsi="宋体" w:cs="TimesNewRomanPSMT"/>
          <w:color w:val="0000FF"/>
          <w:sz w:val="28"/>
          <w:szCs w:val="32"/>
        </w:rPr>
      </w:pPr>
      <w:r>
        <w:rPr>
          <w:rFonts w:hint="eastAsia" w:ascii="宋体" w:hAnsi="宋体"/>
          <w:snapToGrid w:val="0"/>
          <w:color w:val="FF0000"/>
          <w:sz w:val="28"/>
          <w:szCs w:val="28"/>
        </w:rPr>
        <w:t>2、信用分10分。（各合格入库施工协作单位信用分动态考核）</w:t>
      </w:r>
    </w:p>
    <w:p>
      <w:pPr>
        <w:spacing w:line="440" w:lineRule="exact"/>
        <w:ind w:firstLine="566"/>
        <w:rPr>
          <w:rFonts w:hint="eastAsia" w:ascii="宋体" w:hAnsi="宋体" w:cs="Arial"/>
          <w:color w:val="000000"/>
          <w:sz w:val="28"/>
          <w:highlight w:val="white"/>
        </w:rPr>
      </w:pPr>
      <w:r>
        <w:rPr>
          <w:rFonts w:hint="eastAsia" w:ascii="宋体" w:hAnsi="宋体" w:cs="Arial"/>
          <w:color w:val="000000"/>
          <w:sz w:val="28"/>
          <w:highlight w:val="white"/>
        </w:rPr>
        <w:t>18.定标</w:t>
      </w:r>
    </w:p>
    <w:p>
      <w:pPr>
        <w:tabs>
          <w:tab w:val="left" w:pos="2127"/>
        </w:tabs>
        <w:adjustRightInd w:val="0"/>
        <w:snapToGrid w:val="0"/>
        <w:spacing w:line="440" w:lineRule="exact"/>
        <w:ind w:firstLine="560"/>
        <w:rPr>
          <w:rFonts w:hint="eastAsia" w:ascii="宋体" w:hAnsi="宋体" w:cs="Arial"/>
          <w:color w:val="000000"/>
          <w:sz w:val="28"/>
          <w:highlight w:val="white"/>
        </w:rPr>
      </w:pPr>
      <w:r>
        <w:rPr>
          <w:rFonts w:hint="eastAsia" w:ascii="宋体" w:hAnsi="宋体" w:cs="Arial"/>
          <w:color w:val="000000"/>
          <w:sz w:val="28"/>
          <w:highlight w:val="white"/>
        </w:rPr>
        <w:t>18.1评标委员会完成评标后，应当向招标人提出书面评标报告，阐明评标委员会对各投标文件的评审和比较意见，并按照招标文件中规定的评标方法，推荐3名有排序的合格中标候选人。</w:t>
      </w:r>
    </w:p>
    <w:p>
      <w:pPr>
        <w:adjustRightInd w:val="0"/>
        <w:snapToGrid w:val="0"/>
        <w:spacing w:line="440" w:lineRule="exact"/>
        <w:ind w:firstLine="560"/>
        <w:rPr>
          <w:rFonts w:hint="eastAsia" w:ascii="宋体" w:hAnsi="宋体" w:cs="Arial"/>
          <w:bCs/>
          <w:color w:val="000000"/>
          <w:spacing w:val="8"/>
          <w:sz w:val="28"/>
        </w:rPr>
      </w:pPr>
      <w:r>
        <w:rPr>
          <w:rFonts w:hint="eastAsia" w:ascii="宋体" w:hAnsi="宋体" w:cs="Arial"/>
          <w:bCs/>
          <w:color w:val="000000"/>
          <w:sz w:val="28"/>
          <w:highlight w:val="white"/>
        </w:rPr>
        <w:t>18.2</w:t>
      </w:r>
      <w:r>
        <w:rPr>
          <w:rFonts w:hint="eastAsia" w:ascii="宋体" w:hAnsi="宋体" w:cs="Arial"/>
          <w:bCs/>
          <w:color w:val="000000"/>
          <w:spacing w:val="8"/>
          <w:sz w:val="28"/>
          <w:highlight w:val="white"/>
        </w:rPr>
        <w:t>排序原则：</w:t>
      </w:r>
    </w:p>
    <w:p>
      <w:pPr>
        <w:adjustRightInd w:val="0"/>
        <w:snapToGrid w:val="0"/>
        <w:spacing w:line="440" w:lineRule="exact"/>
        <w:ind w:firstLine="576"/>
        <w:rPr>
          <w:rFonts w:hint="eastAsia" w:ascii="宋体" w:hAnsi="宋体" w:cs="Arial"/>
          <w:b/>
          <w:bCs/>
          <w:spacing w:val="8"/>
          <w:sz w:val="28"/>
          <w:highlight w:val="white"/>
        </w:rPr>
      </w:pPr>
      <w:bookmarkStart w:id="12" w:name="EBf789983cee30437ab035183346e9fc54"/>
      <w:r>
        <w:rPr>
          <w:rFonts w:hint="eastAsia" w:ascii="宋体" w:hAnsi="宋体" w:cs="Arial"/>
          <w:b/>
          <w:bCs/>
          <w:spacing w:val="8"/>
          <w:sz w:val="28"/>
          <w:highlight w:val="white"/>
        </w:rPr>
        <w:t>综合评分法：</w:t>
      </w:r>
    </w:p>
    <w:p>
      <w:pPr>
        <w:adjustRightInd w:val="0"/>
        <w:snapToGrid w:val="0"/>
        <w:spacing w:line="440" w:lineRule="exact"/>
        <w:ind w:firstLine="576"/>
        <w:rPr>
          <w:rFonts w:hint="eastAsia" w:ascii="宋体" w:hAnsi="宋体" w:cs="Arial"/>
          <w:b/>
          <w:bCs/>
          <w:spacing w:val="8"/>
          <w:sz w:val="28"/>
          <w:highlight w:val="white"/>
        </w:rPr>
      </w:pPr>
      <w:r>
        <w:rPr>
          <w:rFonts w:hint="eastAsia" w:ascii="宋体" w:hAnsi="宋体" w:cs="Arial"/>
          <w:b/>
          <w:bCs/>
          <w:spacing w:val="8"/>
          <w:sz w:val="28"/>
          <w:highlight w:val="white"/>
        </w:rPr>
        <w:t>（1）按评分分数高低从高到低进行排序；</w:t>
      </w:r>
    </w:p>
    <w:p>
      <w:pPr>
        <w:adjustRightInd w:val="0"/>
        <w:snapToGrid w:val="0"/>
        <w:spacing w:line="440" w:lineRule="exact"/>
        <w:ind w:firstLine="576"/>
        <w:rPr>
          <w:rFonts w:hint="eastAsia" w:ascii="宋体" w:hAnsi="宋体" w:cs="Arial"/>
          <w:b/>
          <w:bCs/>
          <w:spacing w:val="8"/>
          <w:sz w:val="28"/>
          <w:highlight w:val="white"/>
        </w:rPr>
      </w:pPr>
      <w:r>
        <w:rPr>
          <w:rFonts w:hint="eastAsia" w:ascii="宋体" w:hAnsi="宋体" w:cs="Arial"/>
          <w:b/>
          <w:bCs/>
          <w:spacing w:val="8"/>
          <w:sz w:val="28"/>
          <w:highlight w:val="white"/>
        </w:rPr>
        <w:t>（2）当评分分数相同时，由评标委员会决定</w:t>
      </w:r>
      <w:bookmarkEnd w:id="12"/>
      <w:r>
        <w:rPr>
          <w:rFonts w:hint="eastAsia" w:ascii="宋体" w:hAnsi="宋体" w:cs="Arial"/>
          <w:b/>
          <w:bCs/>
          <w:spacing w:val="8"/>
          <w:sz w:val="28"/>
          <w:highlight w:val="white"/>
        </w:rPr>
        <w:t>；</w:t>
      </w:r>
    </w:p>
    <w:p>
      <w:pPr>
        <w:adjustRightInd w:val="0"/>
        <w:snapToGrid w:val="0"/>
        <w:spacing w:line="440" w:lineRule="exact"/>
        <w:ind w:firstLine="576"/>
        <w:rPr>
          <w:rFonts w:hint="eastAsia" w:ascii="宋体" w:hAnsi="宋体" w:cs="Arial"/>
          <w:b/>
          <w:bCs/>
          <w:color w:val="FF0000"/>
          <w:spacing w:val="8"/>
          <w:sz w:val="28"/>
          <w:highlight w:val="white"/>
        </w:rPr>
      </w:pPr>
      <w:r>
        <w:rPr>
          <w:rFonts w:hint="eastAsia" w:ascii="宋体" w:hAnsi="宋体" w:cs="Arial"/>
          <w:b/>
          <w:bCs/>
          <w:spacing w:val="8"/>
          <w:sz w:val="28"/>
          <w:highlight w:val="white"/>
        </w:rPr>
        <w:t>（3）</w:t>
      </w:r>
      <w:r>
        <w:rPr>
          <w:rFonts w:hint="eastAsia" w:ascii="宋体" w:hAnsi="宋体" w:cs="Arial"/>
          <w:b/>
          <w:bCs/>
          <w:color w:val="FF0000"/>
          <w:spacing w:val="8"/>
          <w:sz w:val="28"/>
          <w:highlight w:val="white"/>
        </w:rPr>
        <w:t>未承诺工程保修的不得被推荐为中标候选人。</w:t>
      </w:r>
    </w:p>
    <w:p>
      <w:pPr>
        <w:tabs>
          <w:tab w:val="left" w:pos="1134"/>
        </w:tabs>
        <w:adjustRightInd w:val="0"/>
        <w:snapToGrid w:val="0"/>
        <w:spacing w:line="440" w:lineRule="exact"/>
        <w:ind w:firstLine="560"/>
        <w:rPr>
          <w:rFonts w:hint="eastAsia" w:ascii="宋体" w:hAnsi="宋体" w:cs="Arial"/>
          <w:color w:val="000000"/>
          <w:spacing w:val="8"/>
          <w:sz w:val="28"/>
          <w:highlight w:val="white"/>
        </w:rPr>
      </w:pPr>
      <w:r>
        <w:rPr>
          <w:rFonts w:hint="eastAsia" w:ascii="宋体" w:hAnsi="宋体" w:cs="Arial"/>
          <w:color w:val="000000"/>
          <w:sz w:val="28"/>
          <w:highlight w:val="white"/>
        </w:rPr>
        <w:t>18.3确定中标人的原则：招标人按照评委会的书面评标报告中的中标候选人排序，确定排名第一的为中标人。</w:t>
      </w:r>
      <w:r>
        <w:rPr>
          <w:rFonts w:hint="eastAsia" w:ascii="宋体" w:hAnsi="宋体" w:cs="Arial"/>
          <w:color w:val="000000"/>
          <w:spacing w:val="8"/>
          <w:sz w:val="28"/>
          <w:highlight w:val="white"/>
        </w:rPr>
        <w:t>当排名第一的中标候选人放弃中标、因不可抗力提出不能履行合同，招标人可以确定排名第二的中标候选人为中标人；排名第二的中标候选人因同样的原因不能签订合同的，招标人可以确定排名第三的中标候选人为中标人。</w:t>
      </w:r>
    </w:p>
    <w:p>
      <w:pPr>
        <w:tabs>
          <w:tab w:val="left" w:pos="1134"/>
        </w:tabs>
        <w:adjustRightInd w:val="0"/>
        <w:snapToGrid w:val="0"/>
        <w:spacing w:line="440" w:lineRule="exact"/>
        <w:ind w:firstLine="560"/>
        <w:rPr>
          <w:rFonts w:hint="eastAsia" w:ascii="宋体" w:hAnsi="宋体" w:cs="Arial"/>
          <w:color w:val="000000"/>
          <w:spacing w:val="8"/>
          <w:sz w:val="28"/>
          <w:highlight w:val="white"/>
        </w:rPr>
      </w:pPr>
    </w:p>
    <w:p>
      <w:pPr>
        <w:spacing w:line="440" w:lineRule="exact"/>
        <w:rPr>
          <w:rFonts w:hint="eastAsia" w:ascii="宋体" w:hAnsi="宋体"/>
          <w:b/>
          <w:sz w:val="32"/>
          <w:szCs w:val="32"/>
          <w:highlight w:val="white"/>
        </w:rPr>
      </w:pPr>
      <w:r>
        <w:rPr>
          <w:rFonts w:hint="eastAsia" w:ascii="宋体" w:hAnsi="宋体"/>
          <w:b/>
          <w:sz w:val="32"/>
          <w:szCs w:val="32"/>
          <w:highlight w:val="white"/>
        </w:rPr>
        <w:t>八、授  予  合  同</w:t>
      </w:r>
    </w:p>
    <w:p>
      <w:pPr>
        <w:tabs>
          <w:tab w:val="left" w:pos="0"/>
          <w:tab w:val="left" w:pos="993"/>
          <w:tab w:val="left" w:pos="1134"/>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19、发放中标通知书</w:t>
      </w:r>
    </w:p>
    <w:p>
      <w:pPr>
        <w:tabs>
          <w:tab w:val="left" w:pos="0"/>
          <w:tab w:val="left" w:pos="993"/>
          <w:tab w:val="left" w:pos="1134"/>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20、合同签订</w:t>
      </w:r>
    </w:p>
    <w:p>
      <w:pPr>
        <w:tabs>
          <w:tab w:val="left" w:pos="0"/>
          <w:tab w:val="left" w:pos="993"/>
          <w:tab w:val="left" w:pos="1134"/>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20.1</w:t>
      </w:r>
      <w:r>
        <w:rPr>
          <w:rFonts w:hint="eastAsia" w:ascii="宋体" w:hAnsi="宋体" w:cs="Arial"/>
          <w:color w:val="000000"/>
          <w:spacing w:val="8"/>
          <w:sz w:val="28"/>
          <w:highlight w:val="white"/>
        </w:rPr>
        <w:t>招标人与中标人将根据《中华人民共和国合同法》的规定，依据招标文件和投标文件签订施工合同，投标人的投标文件内容应作为合同的组成部分。</w:t>
      </w:r>
    </w:p>
    <w:p>
      <w:pPr>
        <w:tabs>
          <w:tab w:val="left" w:pos="1134"/>
        </w:tabs>
        <w:adjustRightInd w:val="0"/>
        <w:snapToGrid w:val="0"/>
        <w:spacing w:line="440" w:lineRule="exact"/>
        <w:ind w:firstLine="560"/>
        <w:rPr>
          <w:rFonts w:hint="eastAsia" w:ascii="宋体" w:hAnsi="宋体" w:cs="Arial"/>
          <w:b/>
          <w:bCs/>
          <w:color w:val="000000"/>
          <w:spacing w:val="8"/>
          <w:sz w:val="28"/>
        </w:rPr>
      </w:pPr>
    </w:p>
    <w:p>
      <w:pPr>
        <w:pStyle w:val="5"/>
        <w:ind w:firstLine="720" w:firstLineChars="200"/>
        <w:jc w:val="center"/>
        <w:rPr>
          <w:rFonts w:hint="eastAsia" w:ascii="仿宋_GB2312" w:hAnsi="宋体" w:eastAsia="仿宋_GB2312"/>
          <w:sz w:val="36"/>
        </w:rPr>
      </w:pPr>
    </w:p>
    <w:p>
      <w:pPr>
        <w:pStyle w:val="5"/>
        <w:ind w:firstLine="720" w:firstLineChars="200"/>
        <w:jc w:val="center"/>
        <w:rPr>
          <w:rFonts w:hint="eastAsia" w:ascii="仿宋_GB2312" w:hAnsi="宋体" w:eastAsia="仿宋_GB2312"/>
          <w:sz w:val="36"/>
        </w:rPr>
      </w:pPr>
    </w:p>
    <w:p>
      <w:pPr>
        <w:pStyle w:val="5"/>
        <w:ind w:firstLine="720" w:firstLineChars="200"/>
        <w:jc w:val="center"/>
        <w:rPr>
          <w:rFonts w:hint="eastAsia" w:ascii="仿宋_GB2312" w:hAnsi="宋体" w:eastAsia="仿宋_GB2312"/>
          <w:sz w:val="36"/>
        </w:rPr>
      </w:pPr>
    </w:p>
    <w:p>
      <w:pPr>
        <w:pStyle w:val="5"/>
        <w:ind w:firstLine="720" w:firstLineChars="200"/>
        <w:jc w:val="center"/>
        <w:rPr>
          <w:rFonts w:hint="eastAsia" w:ascii="仿宋_GB2312" w:hAnsi="宋体" w:eastAsia="仿宋_GB2312"/>
          <w:sz w:val="36"/>
        </w:rPr>
      </w:pPr>
    </w:p>
    <w:p>
      <w:pPr>
        <w:pStyle w:val="5"/>
        <w:ind w:firstLine="720" w:firstLineChars="200"/>
        <w:jc w:val="center"/>
        <w:rPr>
          <w:rFonts w:hint="eastAsia" w:ascii="仿宋_GB2312" w:hAnsi="宋体" w:eastAsia="仿宋_GB2312"/>
          <w:sz w:val="36"/>
        </w:rPr>
      </w:pPr>
    </w:p>
    <w:p>
      <w:pPr>
        <w:pStyle w:val="5"/>
        <w:ind w:firstLine="720" w:firstLineChars="200"/>
        <w:jc w:val="center"/>
        <w:rPr>
          <w:rFonts w:hint="eastAsia" w:ascii="仿宋_GB2312" w:hAnsi="宋体" w:eastAsia="仿宋_GB2312"/>
          <w:sz w:val="36"/>
        </w:rPr>
      </w:pPr>
    </w:p>
    <w:p>
      <w:pPr>
        <w:pStyle w:val="5"/>
        <w:ind w:firstLine="720" w:firstLineChars="200"/>
        <w:jc w:val="center"/>
        <w:rPr>
          <w:rFonts w:hint="eastAsia" w:ascii="仿宋_GB2312" w:hAnsi="宋体" w:eastAsia="仿宋_GB2312"/>
          <w:sz w:val="36"/>
        </w:rPr>
      </w:pPr>
    </w:p>
    <w:p>
      <w:pPr>
        <w:pStyle w:val="5"/>
        <w:ind w:firstLine="720" w:firstLineChars="200"/>
        <w:jc w:val="center"/>
        <w:rPr>
          <w:rFonts w:hint="eastAsia" w:ascii="仿宋_GB2312" w:hAnsi="宋体" w:eastAsia="仿宋_GB2312"/>
          <w:sz w:val="36"/>
        </w:rPr>
      </w:pPr>
    </w:p>
    <w:p>
      <w:pPr>
        <w:pStyle w:val="5"/>
        <w:ind w:firstLine="720" w:firstLineChars="200"/>
        <w:jc w:val="center"/>
        <w:rPr>
          <w:rFonts w:hint="eastAsia" w:ascii="仿宋_GB2312" w:hAnsi="宋体" w:eastAsia="仿宋_GB2312"/>
          <w:sz w:val="36"/>
        </w:rPr>
      </w:pPr>
    </w:p>
    <w:p>
      <w:pPr>
        <w:pStyle w:val="5"/>
        <w:ind w:firstLine="720" w:firstLineChars="200"/>
        <w:jc w:val="center"/>
        <w:rPr>
          <w:rFonts w:hint="eastAsia" w:ascii="仿宋_GB2312" w:hAnsi="宋体" w:eastAsia="仿宋_GB2312"/>
          <w:sz w:val="36"/>
        </w:rPr>
      </w:pPr>
    </w:p>
    <w:p>
      <w:pPr>
        <w:pStyle w:val="5"/>
        <w:ind w:firstLine="720" w:firstLineChars="200"/>
        <w:jc w:val="center"/>
        <w:rPr>
          <w:rFonts w:hint="eastAsia" w:ascii="仿宋_GB2312" w:hAnsi="宋体" w:eastAsia="仿宋_GB2312"/>
          <w:sz w:val="36"/>
        </w:rPr>
      </w:pPr>
    </w:p>
    <w:p>
      <w:pPr>
        <w:pStyle w:val="5"/>
        <w:ind w:firstLine="720" w:firstLineChars="200"/>
        <w:jc w:val="center"/>
        <w:rPr>
          <w:rFonts w:hint="eastAsia" w:ascii="仿宋_GB2312" w:hAnsi="宋体" w:eastAsia="仿宋_GB2312"/>
          <w:sz w:val="36"/>
        </w:rPr>
      </w:pPr>
    </w:p>
    <w:p>
      <w:pPr>
        <w:pStyle w:val="5"/>
        <w:rPr>
          <w:rFonts w:hint="eastAsia" w:ascii="仿宋_GB2312" w:hAnsi="宋体" w:eastAsia="仿宋_GB2312"/>
          <w:sz w:val="36"/>
        </w:rPr>
      </w:pPr>
    </w:p>
    <w:p>
      <w:pPr>
        <w:pStyle w:val="5"/>
        <w:ind w:firstLine="2700" w:firstLineChars="750"/>
        <w:rPr>
          <w:rFonts w:hint="eastAsia" w:ascii="仿宋_GB2312" w:hAnsi="宋体" w:eastAsia="仿宋_GB2312"/>
          <w:sz w:val="36"/>
        </w:rPr>
      </w:pPr>
      <w:r>
        <w:rPr>
          <w:rFonts w:hint="eastAsia" w:ascii="仿宋_GB2312" w:hAnsi="宋体" w:eastAsia="仿宋_GB2312"/>
          <w:sz w:val="36"/>
        </w:rPr>
        <w:t>一 、投标函</w:t>
      </w:r>
    </w:p>
    <w:p>
      <w:pPr>
        <w:pStyle w:val="5"/>
        <w:spacing w:line="360" w:lineRule="exact"/>
        <w:ind w:firstLine="480" w:firstLineChars="200"/>
        <w:rPr>
          <w:rFonts w:hint="eastAsia" w:ascii="仿宋_GB2312" w:hAnsi="宋体" w:eastAsia="仿宋_GB2312"/>
          <w:color w:val="000000"/>
          <w:sz w:val="24"/>
        </w:rPr>
      </w:pPr>
      <w:r>
        <w:rPr>
          <w:rFonts w:hint="eastAsia" w:ascii="仿宋_GB2312" w:hAnsi="宋体" w:eastAsia="仿宋_GB2312"/>
          <w:sz w:val="24"/>
        </w:rPr>
        <w:t>招标人：</w:t>
      </w:r>
      <w:r>
        <w:rPr>
          <w:rFonts w:hint="eastAsia" w:ascii="仿宋_GB2312" w:hAnsi="宋体" w:eastAsia="仿宋_GB2312"/>
          <w:snapToGrid w:val="0"/>
          <w:kern w:val="0"/>
          <w:sz w:val="24"/>
        </w:rPr>
        <w:t xml:space="preserve">                   </w:t>
      </w:r>
      <w:r>
        <w:rPr>
          <w:rFonts w:hint="eastAsia" w:ascii="仿宋_GB2312" w:hAnsi="宋体" w:eastAsia="仿宋_GB2312"/>
          <w:color w:val="000000"/>
          <w:sz w:val="24"/>
        </w:rPr>
        <w:t xml:space="preserve">                                   </w:t>
      </w:r>
    </w:p>
    <w:p>
      <w:pPr>
        <w:pStyle w:val="5"/>
        <w:spacing w:line="360" w:lineRule="exact"/>
        <w:ind w:firstLine="480" w:firstLineChars="200"/>
        <w:rPr>
          <w:rFonts w:hint="eastAsia" w:ascii="仿宋_GB2312" w:hAnsi="宋体" w:eastAsia="仿宋_GB2312"/>
          <w:sz w:val="24"/>
        </w:rPr>
      </w:pPr>
      <w:r>
        <w:rPr>
          <w:rFonts w:hint="eastAsia" w:ascii="仿宋_GB2312" w:hAnsi="宋体" w:eastAsia="仿宋_GB2312"/>
          <w:sz w:val="24"/>
        </w:rPr>
        <mc:AlternateContent>
          <mc:Choice Requires="wps">
            <w:drawing>
              <wp:anchor distT="0" distB="0" distL="114300" distR="114300" simplePos="0" relativeHeight="251659264" behindDoc="0" locked="0" layoutInCell="1" allowOverlap="1">
                <wp:simplePos x="0" y="0"/>
                <wp:positionH relativeFrom="column">
                  <wp:posOffset>584200</wp:posOffset>
                </wp:positionH>
                <wp:positionV relativeFrom="paragraph">
                  <wp:posOffset>13970</wp:posOffset>
                </wp:positionV>
                <wp:extent cx="2895600" cy="0"/>
                <wp:effectExtent l="0" t="0" r="0" b="0"/>
                <wp:wrapNone/>
                <wp:docPr id="1" name="直接连接符 1"/>
                <wp:cNvGraphicFramePr/>
                <a:graphic xmlns:a="http://schemas.openxmlformats.org/drawingml/2006/main">
                  <a:graphicData uri="http://schemas.microsoft.com/office/word/2010/wordprocessingShape">
                    <wps:wsp>
                      <wps:cNvCnPr/>
                      <wps:spPr>
                        <a:xfrm>
                          <a:off x="0" y="0"/>
                          <a:ext cx="28956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46pt;margin-top:1.1pt;height:0pt;width:228pt;z-index:251659264;mso-width-relative:page;mso-height-relative:page;" filled="f" stroked="t" coordsize="21600,21600" o:gfxdata="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zPada0wAAAAYBAAAPAAAAAAAAAAEAIAAAACIAAABkcnMvZG93bnJldi54bWxQSwEC&#10;FAAUAAAACACHTuJAdLlbqfkBAADyAwAADgAAAAAAAAABACAAAAAiAQAAZHJzL2Uyb0RvYy54bWxQ&#10;SwUGAAAAAAYABgBZAQAAjQUAAAAA&#10;">
                <v:fill on="f" focussize="0,0"/>
                <v:stroke color="#000000" joinstyle="round"/>
                <v:imagedata o:title=""/>
                <o:lock v:ext="edit" aspectratio="f"/>
              </v:line>
            </w:pict>
          </mc:Fallback>
        </mc:AlternateContent>
      </w:r>
      <w:r>
        <w:rPr>
          <w:rFonts w:hint="eastAsia" w:ascii="仿宋_GB2312" w:hAnsi="宋体" w:eastAsia="仿宋_GB2312"/>
          <w:sz w:val="24"/>
        </w:rPr>
        <w:t>1、根据已收到的</w:t>
      </w:r>
      <w:r>
        <w:rPr>
          <w:rFonts w:hint="eastAsia" w:ascii="仿宋_GB2312" w:hAnsi="宋体" w:eastAsia="仿宋_GB2312"/>
          <w:sz w:val="24"/>
          <w:u w:val="single"/>
        </w:rPr>
        <w:t xml:space="preserve">                 </w:t>
      </w:r>
      <w:r>
        <w:rPr>
          <w:rFonts w:hint="eastAsia" w:ascii="仿宋_GB2312" w:hAnsi="宋体" w:eastAsia="仿宋_GB2312"/>
          <w:sz w:val="24"/>
        </w:rPr>
        <w:t>工程的招标文件，遵照《房屋建筑和市政基础设施工程施工招标投标管理办法》的规定，我单位经考察现场和研究上述工程招标文件的投标须知、合同条件、技术规范、图纸和其他有关文件后，我方愿以人民币</w:t>
      </w:r>
      <w:r>
        <w:rPr>
          <w:rFonts w:hint="eastAsia" w:ascii="仿宋_GB2312" w:hAnsi="宋体" w:eastAsia="仿宋_GB2312"/>
          <w:sz w:val="24"/>
          <w:u w:val="single"/>
        </w:rPr>
        <w:t xml:space="preserve">        </w:t>
      </w:r>
      <w:r>
        <w:rPr>
          <w:rFonts w:hint="eastAsia" w:ascii="仿宋_GB2312" w:hAnsi="宋体" w:eastAsia="仿宋_GB2312"/>
          <w:sz w:val="24"/>
        </w:rPr>
        <w:t>元的价格(投标让利</w:t>
      </w:r>
      <w:r>
        <w:rPr>
          <w:rFonts w:hint="eastAsia" w:ascii="仿宋_GB2312" w:hAnsi="宋体" w:eastAsia="仿宋_GB2312"/>
          <w:sz w:val="24"/>
          <w:u w:val="single"/>
        </w:rPr>
        <w:t xml:space="preserve">   </w:t>
      </w:r>
      <w:r>
        <w:rPr>
          <w:rFonts w:ascii="仿宋_GB2312" w:hAnsi="宋体" w:eastAsia="仿宋_GB2312"/>
          <w:sz w:val="24"/>
          <w:u w:val="single"/>
        </w:rPr>
        <w:t xml:space="preserve">    </w:t>
      </w:r>
      <w:r>
        <w:rPr>
          <w:rFonts w:hint="eastAsia" w:ascii="仿宋_GB2312" w:hAnsi="宋体" w:eastAsia="仿宋_GB2312"/>
          <w:sz w:val="24"/>
        </w:rPr>
        <w:t>%)，按上述合同条件、技术规范、图纸、工程量清单及工程预算的条件承包上述工程的施工、竣工。</w:t>
      </w:r>
    </w:p>
    <w:p>
      <w:pPr>
        <w:pStyle w:val="5"/>
        <w:spacing w:line="360" w:lineRule="exact"/>
        <w:ind w:left="142" w:firstLine="480" w:firstLineChars="200"/>
        <w:rPr>
          <w:rFonts w:hint="eastAsia" w:ascii="仿宋_GB2312" w:hAnsi="宋体" w:eastAsia="仿宋_GB2312"/>
          <w:color w:val="000000"/>
          <w:sz w:val="24"/>
        </w:rPr>
      </w:pPr>
      <w:r>
        <w:rPr>
          <w:rFonts w:hint="eastAsia" w:ascii="仿宋_GB2312" w:hAnsi="宋体" w:eastAsia="仿宋_GB2312"/>
          <w:color w:val="000000"/>
          <w:sz w:val="24"/>
        </w:rPr>
        <w:t xml:space="preserve">2、一旦我方中标，我方按照甲方指定日期开工， </w:t>
      </w:r>
      <w:r>
        <w:rPr>
          <w:rFonts w:hint="eastAsia" w:ascii="仿宋_GB2312" w:hAnsi="宋体" w:eastAsia="仿宋_GB2312"/>
          <w:color w:val="000000"/>
          <w:sz w:val="24"/>
          <w:u w:val="single"/>
        </w:rPr>
        <w:t xml:space="preserve"> 90 天</w:t>
      </w:r>
      <w:r>
        <w:rPr>
          <w:rFonts w:hint="eastAsia" w:ascii="仿宋_GB2312" w:hAnsi="宋体" w:eastAsia="仿宋_GB2312"/>
          <w:color w:val="000000"/>
          <w:sz w:val="24"/>
        </w:rPr>
        <w:t xml:space="preserve">(日历日)内竣工（依甲方实际工期为准），并达到 </w:t>
      </w:r>
      <w:r>
        <w:rPr>
          <w:rFonts w:hint="eastAsia" w:ascii="仿宋_GB2312" w:hAnsi="宋体" w:eastAsia="仿宋_GB2312"/>
          <w:color w:val="000000"/>
          <w:sz w:val="24"/>
          <w:u w:val="single"/>
        </w:rPr>
        <w:t xml:space="preserve">  合格 </w:t>
      </w:r>
      <w:r>
        <w:rPr>
          <w:rFonts w:hint="eastAsia" w:ascii="仿宋_GB2312" w:hAnsi="宋体" w:eastAsia="仿宋_GB2312"/>
          <w:color w:val="000000"/>
          <w:sz w:val="24"/>
        </w:rPr>
        <w:t>（质量标准）。</w:t>
      </w:r>
    </w:p>
    <w:p>
      <w:pPr>
        <w:pStyle w:val="5"/>
        <w:spacing w:line="360" w:lineRule="exact"/>
        <w:ind w:firstLine="480" w:firstLineChars="200"/>
        <w:rPr>
          <w:rFonts w:hint="eastAsia" w:ascii="仿宋_GB2312" w:hAnsi="宋体" w:eastAsia="仿宋_GB2312"/>
          <w:sz w:val="24"/>
        </w:rPr>
      </w:pPr>
      <w:r>
        <w:rPr>
          <w:rFonts w:hint="eastAsia" w:ascii="仿宋_GB2312" w:hAnsi="宋体" w:eastAsia="仿宋_GB2312"/>
          <w:sz w:val="24"/>
        </w:rPr>
        <w:t>3、我方同意所递交的投标文件在“投标须知”前附表规定的投标有效期内有效，在此期间内我方的投标有可能中标，我方将受此约束。</w:t>
      </w:r>
    </w:p>
    <w:p>
      <w:pPr>
        <w:pStyle w:val="5"/>
        <w:spacing w:line="360" w:lineRule="exact"/>
        <w:ind w:firstLine="480" w:firstLineChars="200"/>
        <w:rPr>
          <w:rFonts w:hint="eastAsia" w:ascii="仿宋_GB2312" w:hAnsi="宋体" w:eastAsia="仿宋_GB2312"/>
          <w:sz w:val="24"/>
        </w:rPr>
      </w:pPr>
      <w:r>
        <w:rPr>
          <w:rFonts w:hint="eastAsia" w:ascii="仿宋_GB2312" w:hAnsi="宋体" w:eastAsia="仿宋_GB2312"/>
          <w:sz w:val="24"/>
        </w:rPr>
        <w:t>4、除非另外达成协议并生效，你方的中标通知书和本投标文件将构成约束我们双方的合同</w:t>
      </w:r>
    </w:p>
    <w:p>
      <w:pPr>
        <w:pStyle w:val="5"/>
        <w:spacing w:line="360" w:lineRule="exact"/>
        <w:ind w:firstLine="480" w:firstLineChars="200"/>
        <w:rPr>
          <w:rFonts w:hint="eastAsia" w:ascii="仿宋_GB2312" w:hAnsi="宋体" w:eastAsia="仿宋_GB2312"/>
          <w:sz w:val="24"/>
        </w:rPr>
      </w:pPr>
      <w:r>
        <w:rPr>
          <w:rFonts w:hint="eastAsia" w:ascii="仿宋_GB2312" w:hAnsi="宋体" w:eastAsia="仿宋_GB2312"/>
          <w:sz w:val="24"/>
        </w:rPr>
        <w:t>5、我方承诺经过初步评审的电子文件及按照要求对投标文件所作出的澄清、说明、补正内容，成为我方投标文件的组成部分。如果我方中标，施工合同将以包含上述文件的投标文件及招标文件内容为基准进行签订和执行。</w:t>
      </w:r>
    </w:p>
    <w:p>
      <w:pPr>
        <w:pStyle w:val="5"/>
        <w:spacing w:line="360" w:lineRule="exact"/>
        <w:ind w:firstLine="480" w:firstLineChars="200"/>
        <w:rPr>
          <w:rFonts w:hint="eastAsia" w:ascii="仿宋_GB2312" w:hAnsi="宋体" w:eastAsia="仿宋_GB2312"/>
          <w:sz w:val="24"/>
        </w:rPr>
      </w:pPr>
      <w:r>
        <w:rPr>
          <w:rFonts w:hint="eastAsia" w:ascii="仿宋_GB2312" w:hAnsi="宋体" w:eastAsia="仿宋_GB2312"/>
          <w:vanish/>
          <w:sz w:val="24"/>
        </w:rPr>
        <w:t xml:space="preserve">按诺，6/                                                   </w:t>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sz w:val="24"/>
        </w:rPr>
        <w:t>7、我方承诺为本工程投入的项目人员符合贵公司相关规定，如有虚假，我方愿接受业主的相关处罚，并记入企业的诚信管理档案。</w:t>
      </w:r>
    </w:p>
    <w:p>
      <w:pPr>
        <w:pStyle w:val="5"/>
        <w:spacing w:line="360" w:lineRule="auto"/>
        <w:ind w:firstLine="480" w:firstLineChars="200"/>
        <w:rPr>
          <w:rFonts w:hint="eastAsia" w:ascii="仿宋_GB2312" w:hAnsi="宋体" w:eastAsia="仿宋_GB2312"/>
          <w:sz w:val="24"/>
        </w:rPr>
      </w:pPr>
      <w:r>
        <w:rPr>
          <w:rFonts w:hint="eastAsia" w:ascii="仿宋_GB2312" w:hAnsi="宋体" w:eastAsia="仿宋_GB2312"/>
          <w:sz w:val="24"/>
        </w:rPr>
        <w:t>投标人：(盖章)</w:t>
      </w:r>
    </w:p>
    <w:p>
      <w:pPr>
        <w:pStyle w:val="5"/>
        <w:spacing w:line="360" w:lineRule="auto"/>
        <w:ind w:firstLine="480" w:firstLineChars="200"/>
        <w:rPr>
          <w:rFonts w:hint="eastAsia" w:ascii="仿宋_GB2312" w:hAnsi="宋体" w:eastAsia="仿宋_GB2312"/>
          <w:color w:val="000000"/>
          <w:sz w:val="24"/>
        </w:rPr>
      </w:pPr>
      <w:r>
        <w:rPr>
          <w:rFonts w:hint="eastAsia" w:ascii="仿宋_GB2312" w:hAnsi="宋体" w:eastAsia="仿宋_GB2312"/>
          <w:sz w:val="24"/>
        </w:rPr>
        <w:t xml:space="preserve">单位地址： </w:t>
      </w:r>
    </w:p>
    <w:p>
      <w:pPr>
        <w:pStyle w:val="5"/>
        <w:spacing w:line="360" w:lineRule="auto"/>
        <w:ind w:firstLine="480" w:firstLineChars="200"/>
        <w:rPr>
          <w:rFonts w:hint="eastAsia" w:ascii="仿宋_GB2312" w:hAnsi="宋体" w:eastAsia="仿宋_GB2312"/>
          <w:sz w:val="24"/>
        </w:rPr>
      </w:pPr>
      <w:r>
        <w:rPr>
          <w:rFonts w:hint="eastAsia" w:ascii="仿宋_GB2312" w:hAnsi="宋体" w:eastAsia="仿宋_GB2312"/>
          <w:sz w:val="24"/>
        </w:rPr>
        <w:t>法定代表人或委托代理人：(签字)</w:t>
      </w:r>
    </w:p>
    <w:p>
      <w:pPr>
        <w:pStyle w:val="5"/>
        <w:spacing w:line="360" w:lineRule="auto"/>
        <w:ind w:firstLine="480" w:firstLineChars="200"/>
        <w:rPr>
          <w:rFonts w:hint="eastAsia" w:ascii="仿宋_GB2312" w:hAnsi="宋体" w:eastAsia="仿宋_GB2312"/>
          <w:sz w:val="24"/>
        </w:rPr>
      </w:pPr>
      <w:r>
        <w:rPr>
          <w:rFonts w:hint="eastAsia" w:ascii="仿宋_GB2312" w:hAnsi="宋体" w:eastAsia="仿宋_GB2312"/>
          <w:sz w:val="24"/>
        </w:rPr>
        <w:t>邮政编码：</w:t>
      </w:r>
    </w:p>
    <w:p>
      <w:pPr>
        <w:pStyle w:val="5"/>
        <w:spacing w:line="360" w:lineRule="auto"/>
        <w:ind w:firstLine="480" w:firstLineChars="200"/>
        <w:rPr>
          <w:rFonts w:hint="eastAsia" w:ascii="仿宋_GB2312" w:hAnsi="宋体" w:eastAsia="仿宋_GB2312"/>
          <w:sz w:val="24"/>
        </w:rPr>
      </w:pPr>
      <w:r>
        <w:rPr>
          <w:rFonts w:hint="eastAsia" w:ascii="仿宋_GB2312" w:hAnsi="宋体" w:eastAsia="仿宋_GB2312"/>
          <w:sz w:val="24"/>
        </w:rPr>
        <w:t>电话：</w:t>
      </w:r>
    </w:p>
    <w:p>
      <w:pPr>
        <w:pStyle w:val="5"/>
        <w:spacing w:line="360" w:lineRule="auto"/>
        <w:ind w:firstLine="480" w:firstLineChars="200"/>
        <w:rPr>
          <w:rFonts w:hint="eastAsia" w:ascii="仿宋_GB2312" w:hAnsi="宋体" w:eastAsia="仿宋_GB2312"/>
          <w:sz w:val="24"/>
        </w:rPr>
      </w:pPr>
      <w:r>
        <w:rPr>
          <w:rFonts w:hint="eastAsia" w:ascii="仿宋_GB2312" w:hAnsi="宋体" w:eastAsia="仿宋_GB2312"/>
          <w:sz w:val="24"/>
        </w:rPr>
        <w:t>传真：</w:t>
      </w:r>
    </w:p>
    <w:p>
      <w:pPr>
        <w:pStyle w:val="5"/>
        <w:spacing w:line="360" w:lineRule="auto"/>
        <w:ind w:firstLine="480" w:firstLineChars="200"/>
        <w:rPr>
          <w:rFonts w:hint="eastAsia" w:ascii="仿宋_GB2312" w:hAnsi="宋体" w:eastAsia="仿宋_GB2312"/>
          <w:sz w:val="24"/>
        </w:rPr>
      </w:pPr>
      <w:r>
        <w:rPr>
          <w:rFonts w:hint="eastAsia" w:ascii="仿宋_GB2312" w:hAnsi="宋体" w:eastAsia="仿宋_GB2312"/>
          <w:sz w:val="24"/>
        </w:rPr>
        <w:t>开户银行名称：</w:t>
      </w:r>
    </w:p>
    <w:p>
      <w:pPr>
        <w:pStyle w:val="5"/>
        <w:spacing w:line="360" w:lineRule="auto"/>
        <w:ind w:firstLine="480" w:firstLineChars="200"/>
        <w:rPr>
          <w:rFonts w:hint="eastAsia" w:ascii="仿宋_GB2312" w:hAnsi="宋体" w:eastAsia="仿宋_GB2312"/>
          <w:sz w:val="24"/>
        </w:rPr>
      </w:pPr>
      <w:r>
        <w:rPr>
          <w:rFonts w:hint="eastAsia" w:ascii="仿宋_GB2312" w:hAnsi="宋体" w:eastAsia="仿宋_GB2312"/>
          <w:sz w:val="24"/>
        </w:rPr>
        <w:t>银行帐号：</w:t>
      </w:r>
    </w:p>
    <w:p>
      <w:pPr>
        <w:pStyle w:val="5"/>
        <w:spacing w:line="360" w:lineRule="auto"/>
        <w:ind w:firstLine="480" w:firstLineChars="200"/>
        <w:rPr>
          <w:rFonts w:ascii="仿宋_GB2312" w:hAnsi="宋体" w:eastAsia="仿宋_GB2312"/>
          <w:sz w:val="24"/>
        </w:rPr>
      </w:pPr>
      <w:r>
        <w:rPr>
          <w:rFonts w:hint="eastAsia" w:ascii="仿宋_GB2312" w:hAnsi="宋体" w:eastAsia="仿宋_GB2312"/>
          <w:sz w:val="24"/>
        </w:rPr>
        <w:t>开户行地址：</w:t>
      </w:r>
    </w:p>
    <w:p>
      <w:pPr>
        <w:pStyle w:val="5"/>
        <w:spacing w:line="360" w:lineRule="auto"/>
        <w:ind w:firstLine="3720" w:firstLineChars="1550"/>
        <w:rPr>
          <w:rFonts w:hint="eastAsia" w:ascii="仿宋_GB2312" w:hAnsi="宋体" w:eastAsia="仿宋_GB2312"/>
          <w:sz w:val="24"/>
        </w:rPr>
      </w:pPr>
      <w:r>
        <w:rPr>
          <w:rFonts w:hint="eastAsia" w:ascii="仿宋_GB2312" w:hAnsi="宋体" w:eastAsia="仿宋_GB2312"/>
          <w:sz w:val="24"/>
        </w:rPr>
        <w:t>日期：      年      月      日</w:t>
      </w:r>
    </w:p>
    <w:p>
      <w:pPr>
        <w:spacing w:line="540" w:lineRule="exact"/>
        <w:rPr>
          <w:rFonts w:hint="eastAsia" w:ascii="宋体" w:hAnsi="宋体"/>
          <w:color w:val="000000"/>
          <w:sz w:val="32"/>
          <w:szCs w:val="32"/>
        </w:rPr>
      </w:pPr>
    </w:p>
    <w:p>
      <w:pPr>
        <w:spacing w:line="540" w:lineRule="exact"/>
        <w:ind w:firstLine="480"/>
        <w:jc w:val="center"/>
        <w:rPr>
          <w:rFonts w:hint="eastAsia" w:ascii="宋体" w:hAnsi="宋体"/>
          <w:color w:val="000000"/>
          <w:sz w:val="32"/>
          <w:szCs w:val="32"/>
        </w:rPr>
      </w:pPr>
    </w:p>
    <w:p>
      <w:pPr>
        <w:spacing w:line="540" w:lineRule="exact"/>
        <w:ind w:firstLine="480"/>
        <w:jc w:val="center"/>
        <w:rPr>
          <w:rFonts w:hint="eastAsia" w:ascii="宋体" w:hAnsi="宋体"/>
          <w:color w:val="000000"/>
          <w:sz w:val="32"/>
          <w:szCs w:val="32"/>
        </w:rPr>
      </w:pPr>
    </w:p>
    <w:p>
      <w:pPr>
        <w:spacing w:line="540" w:lineRule="exact"/>
        <w:ind w:firstLine="480"/>
        <w:jc w:val="center"/>
        <w:rPr>
          <w:rFonts w:hint="eastAsia" w:ascii="宋体" w:hAnsi="宋体"/>
          <w:color w:val="000000"/>
          <w:sz w:val="32"/>
          <w:szCs w:val="32"/>
        </w:rPr>
      </w:pPr>
    </w:p>
    <w:p>
      <w:pPr>
        <w:spacing w:line="540" w:lineRule="exact"/>
        <w:ind w:firstLine="480"/>
        <w:jc w:val="center"/>
        <w:rPr>
          <w:rFonts w:ascii="宋体" w:hAnsi="宋体"/>
          <w:color w:val="000000"/>
          <w:sz w:val="32"/>
          <w:szCs w:val="32"/>
        </w:rPr>
      </w:pPr>
      <w:r>
        <w:rPr>
          <w:rFonts w:hint="eastAsia" w:ascii="宋体" w:hAnsi="宋体"/>
          <w:color w:val="000000"/>
          <w:sz w:val="32"/>
          <w:szCs w:val="32"/>
        </w:rPr>
        <w:t>承  诺  书</w:t>
      </w:r>
    </w:p>
    <w:p>
      <w:pPr>
        <w:spacing w:line="540" w:lineRule="exact"/>
        <w:rPr>
          <w:rFonts w:hint="eastAsia" w:hAnsi="Times New Roman"/>
          <w:szCs w:val="24"/>
        </w:rPr>
      </w:pPr>
    </w:p>
    <w:p>
      <w:pPr>
        <w:spacing w:line="540" w:lineRule="exact"/>
      </w:pPr>
    </w:p>
    <w:p>
      <w:pPr>
        <w:spacing w:line="540" w:lineRule="exact"/>
        <w:rPr>
          <w:sz w:val="28"/>
          <w:szCs w:val="28"/>
        </w:rPr>
      </w:pPr>
      <w:r>
        <w:rPr>
          <w:rFonts w:hint="eastAsia"/>
          <w:sz w:val="28"/>
          <w:szCs w:val="28"/>
        </w:rPr>
        <w:t>致：</w:t>
      </w:r>
      <w:r>
        <w:rPr>
          <w:sz w:val="28"/>
          <w:szCs w:val="28"/>
        </w:rPr>
        <w:t xml:space="preserve"> </w:t>
      </w:r>
      <w:r>
        <w:rPr>
          <w:rFonts w:hint="eastAsia"/>
          <w:sz w:val="28"/>
          <w:szCs w:val="28"/>
        </w:rPr>
        <w:t xml:space="preserve">  江苏长江水务股份有限公司   （招标人名称）</w:t>
      </w:r>
    </w:p>
    <w:p>
      <w:pPr>
        <w:spacing w:line="540" w:lineRule="exact"/>
        <w:ind w:firstLine="480"/>
        <w:rPr>
          <w:rFonts w:hint="eastAsia" w:ascii="宋体" w:hAnsi="宋体"/>
          <w:color w:val="000000"/>
          <w:sz w:val="28"/>
        </w:rPr>
      </w:pPr>
      <w:r>
        <w:rPr>
          <w:rFonts w:hint="eastAsia" w:ascii="宋体" w:hAnsi="宋体"/>
          <w:color w:val="000000"/>
          <w:sz w:val="28"/>
        </w:rPr>
        <w:t>我公司自愿参加贵单位（公司</w:t>
      </w:r>
      <w:r>
        <w:rPr>
          <w:rFonts w:hint="eastAsia" w:ascii="宋体" w:hAnsi="宋体"/>
          <w:color w:val="000000"/>
          <w:sz w:val="28"/>
          <w:szCs w:val="28"/>
        </w:rPr>
        <w:t>）</w:t>
      </w:r>
      <w:r>
        <w:rPr>
          <w:rFonts w:hint="eastAsia" w:ascii="宋体" w:hAnsi="宋体"/>
          <w:color w:val="000000"/>
          <w:sz w:val="28"/>
          <w:szCs w:val="28"/>
          <w:u w:val="single"/>
        </w:rPr>
        <w:t xml:space="preserve">                    </w:t>
      </w:r>
      <w:r>
        <w:rPr>
          <w:rFonts w:hint="eastAsia" w:ascii="宋体" w:hAnsi="宋体"/>
          <w:color w:val="000000"/>
          <w:sz w:val="28"/>
        </w:rPr>
        <w:t>工程的投标，并作以下承诺：</w:t>
      </w:r>
    </w:p>
    <w:p>
      <w:pPr>
        <w:spacing w:line="540" w:lineRule="exact"/>
        <w:ind w:firstLine="480"/>
        <w:rPr>
          <w:sz w:val="28"/>
          <w:szCs w:val="28"/>
        </w:rPr>
      </w:pPr>
      <w:r>
        <w:rPr>
          <w:rFonts w:hint="eastAsia" w:hAnsi="Arial" w:cs="宋体"/>
          <w:color w:val="FF0000"/>
          <w:spacing w:val="-3"/>
          <w:kern w:val="0"/>
          <w:sz w:val="28"/>
          <w:szCs w:val="28"/>
        </w:rPr>
        <w:t>本工程质保期为两年，质保期范围内发生质量问题由我公司免费维修。</w:t>
      </w:r>
    </w:p>
    <w:p>
      <w:pPr>
        <w:spacing w:line="540" w:lineRule="exact"/>
        <w:ind w:firstLine="480"/>
        <w:rPr>
          <w:sz w:val="28"/>
          <w:szCs w:val="28"/>
        </w:rPr>
      </w:pPr>
    </w:p>
    <w:p>
      <w:pPr>
        <w:spacing w:line="540" w:lineRule="exact"/>
        <w:ind w:firstLine="480"/>
        <w:rPr>
          <w:sz w:val="28"/>
          <w:szCs w:val="28"/>
        </w:rPr>
      </w:pPr>
    </w:p>
    <w:p>
      <w:pPr>
        <w:pStyle w:val="6"/>
        <w:widowControl/>
        <w:spacing w:line="540" w:lineRule="exact"/>
        <w:ind w:left="5040" w:leftChars="2400" w:firstLine="690"/>
        <w:rPr>
          <w:rFonts w:hint="eastAsia" w:hAnsi="宋体"/>
          <w:sz w:val="28"/>
        </w:rPr>
      </w:pPr>
      <w:r>
        <w:rPr>
          <w:rFonts w:hint="eastAsia" w:hAnsi="宋体"/>
          <w:sz w:val="28"/>
        </w:rPr>
        <w:t xml:space="preserve">                                  </w:t>
      </w:r>
    </w:p>
    <w:p>
      <w:pPr>
        <w:pStyle w:val="6"/>
        <w:widowControl/>
        <w:spacing w:line="540" w:lineRule="exact"/>
        <w:ind w:right="560" w:firstLine="4200" w:firstLineChars="1500"/>
        <w:rPr>
          <w:rFonts w:hAnsi="宋体"/>
          <w:sz w:val="28"/>
        </w:rPr>
      </w:pPr>
      <w:r>
        <w:rPr>
          <w:rFonts w:hint="eastAsia" w:hAnsi="宋体"/>
          <w:sz w:val="28"/>
        </w:rPr>
        <w:t>单位：（公章）</w:t>
      </w:r>
    </w:p>
    <w:p>
      <w:pPr>
        <w:pStyle w:val="6"/>
        <w:widowControl/>
        <w:spacing w:line="540" w:lineRule="exact"/>
        <w:ind w:left="5040" w:leftChars="2400" w:firstLine="690"/>
        <w:rPr>
          <w:rFonts w:hint="eastAsia" w:hAnsi="宋体"/>
          <w:sz w:val="28"/>
        </w:rPr>
      </w:pPr>
      <w:r>
        <w:rPr>
          <w:rFonts w:hAnsi="宋体"/>
          <w:sz w:val="28"/>
        </w:rPr>
        <w:t xml:space="preserve">                                                </w:t>
      </w:r>
    </w:p>
    <w:p>
      <w:pPr>
        <w:pStyle w:val="6"/>
        <w:widowControl/>
        <w:spacing w:line="540" w:lineRule="exact"/>
        <w:ind w:right="420"/>
        <w:jc w:val="center"/>
        <w:rPr>
          <w:rFonts w:hAnsi="宋体"/>
          <w:sz w:val="28"/>
        </w:rPr>
      </w:pPr>
      <w:r>
        <w:rPr>
          <w:rFonts w:hint="eastAsia" w:hAnsi="宋体"/>
          <w:sz w:val="28"/>
        </w:rPr>
        <w:t xml:space="preserve">                            法定代表人或委托代理人：</w:t>
      </w:r>
    </w:p>
    <w:p>
      <w:pPr>
        <w:pStyle w:val="6"/>
        <w:widowControl/>
        <w:spacing w:line="540" w:lineRule="exact"/>
        <w:ind w:left="5040" w:leftChars="2400" w:firstLine="690"/>
        <w:rPr>
          <w:rFonts w:hint="eastAsia" w:hAnsi="宋体"/>
          <w:sz w:val="28"/>
        </w:rPr>
      </w:pPr>
    </w:p>
    <w:p>
      <w:pPr>
        <w:rPr>
          <w:rFonts w:hint="eastAsia" w:ascii="宋体" w:hAnsi="宋体"/>
          <w:color w:val="000000"/>
          <w:kern w:val="0"/>
          <w:sz w:val="28"/>
          <w:szCs w:val="28"/>
        </w:rPr>
      </w:pPr>
      <w:r>
        <w:rPr>
          <w:rFonts w:hint="eastAsia" w:ascii="宋体" w:hAnsi="宋体"/>
          <w:color w:val="000000"/>
          <w:kern w:val="0"/>
          <w:sz w:val="28"/>
          <w:szCs w:val="28"/>
        </w:rPr>
        <w:t xml:space="preserve">                                  </w:t>
      </w:r>
    </w:p>
    <w:p>
      <w:pPr>
        <w:rPr>
          <w:rFonts w:hint="eastAsia" w:ascii="宋体" w:hAnsi="宋体"/>
          <w:color w:val="000000"/>
          <w:kern w:val="0"/>
          <w:sz w:val="28"/>
          <w:szCs w:val="28"/>
        </w:rPr>
      </w:pPr>
      <w:r>
        <w:rPr>
          <w:rFonts w:hint="eastAsia" w:ascii="宋体" w:hAnsi="宋体"/>
          <w:color w:val="000000"/>
          <w:kern w:val="0"/>
          <w:sz w:val="28"/>
          <w:szCs w:val="28"/>
        </w:rPr>
        <w:t xml:space="preserve">                               年   月   日</w:t>
      </w:r>
    </w:p>
    <w:p>
      <w:pPr>
        <w:rPr>
          <w:rFonts w:hint="eastAsia" w:ascii="Times New Roman" w:hAnsi="Times New Roman"/>
          <w:sz w:val="28"/>
          <w:szCs w:val="28"/>
        </w:rPr>
      </w:pPr>
    </w:p>
    <w:p>
      <w:pPr>
        <w:rPr>
          <w:rFonts w:hint="eastAsia" w:ascii="Times New Roman" w:hAnsi="Times New Roman"/>
          <w:sz w:val="28"/>
          <w:szCs w:val="28"/>
        </w:rPr>
      </w:pPr>
    </w:p>
    <w:p>
      <w:pPr>
        <w:rPr>
          <w:rFonts w:hint="eastAsia" w:ascii="Times New Roman" w:hAnsi="Times New Roman"/>
          <w:sz w:val="28"/>
          <w:szCs w:val="28"/>
        </w:rPr>
      </w:pPr>
    </w:p>
    <w:p>
      <w:pPr>
        <w:rPr>
          <w:rFonts w:hint="eastAsia" w:ascii="Times New Roman" w:hAnsi="Times New Roman"/>
          <w:sz w:val="28"/>
          <w:szCs w:val="28"/>
        </w:rPr>
      </w:pPr>
    </w:p>
    <w:p>
      <w:pPr>
        <w:rPr>
          <w:rFonts w:hint="eastAsia" w:ascii="Times New Roman" w:hAnsi="Times New Roman"/>
          <w:sz w:val="28"/>
          <w:szCs w:val="28"/>
        </w:rPr>
      </w:pPr>
    </w:p>
    <w:p>
      <w:pPr>
        <w:rPr>
          <w:rFonts w:hint="eastAsia" w:ascii="Times New Roman" w:hAnsi="Times New Roman"/>
          <w:sz w:val="28"/>
          <w:szCs w:val="28"/>
        </w:rPr>
      </w:pPr>
    </w:p>
    <w:p>
      <w:pPr>
        <w:rPr>
          <w:rFonts w:hint="eastAsia" w:ascii="Times New Roman" w:hAnsi="Times New Roman"/>
          <w:sz w:val="28"/>
          <w:szCs w:val="28"/>
        </w:rPr>
      </w:pPr>
    </w:p>
    <w:p>
      <w:pPr>
        <w:snapToGrid w:val="0"/>
        <w:spacing w:line="460" w:lineRule="exact"/>
        <w:jc w:val="center"/>
        <w:rPr>
          <w:rFonts w:hint="eastAsia" w:ascii="黑体" w:hAnsi="黑体" w:eastAsia="黑体"/>
          <w:sz w:val="36"/>
          <w:szCs w:val="36"/>
        </w:rPr>
      </w:pPr>
      <w:r>
        <w:rPr>
          <w:rFonts w:hint="eastAsia" w:ascii="黑体" w:hAnsi="黑体" w:eastAsia="黑体"/>
          <w:sz w:val="36"/>
          <w:szCs w:val="36"/>
        </w:rPr>
        <w:t>劳务分包合同</w:t>
      </w:r>
    </w:p>
    <w:p>
      <w:pPr>
        <w:snapToGrid w:val="0"/>
        <w:spacing w:line="460" w:lineRule="exact"/>
        <w:jc w:val="center"/>
        <w:rPr>
          <w:rFonts w:hint="eastAsia" w:ascii="黑体" w:hAnsi="黑体" w:eastAsia="黑体"/>
          <w:sz w:val="36"/>
          <w:szCs w:val="36"/>
        </w:rPr>
      </w:pPr>
    </w:p>
    <w:p>
      <w:pPr>
        <w:snapToGrid w:val="0"/>
        <w:spacing w:line="460" w:lineRule="exact"/>
        <w:ind w:left="1995" w:hanging="1995" w:hangingChars="950"/>
        <w:jc w:val="left"/>
        <w:textAlignment w:val="center"/>
        <w:rPr>
          <w:rFonts w:ascii="黑体" w:hAnsi="黑体" w:eastAsia="黑体"/>
          <w:szCs w:val="21"/>
          <w:u w:val="single"/>
        </w:rPr>
      </w:pPr>
      <w:r>
        <w:rPr>
          <w:rFonts w:hint="eastAsia" w:ascii="黑体" w:hAnsi="黑体" w:eastAsia="黑体"/>
          <w:szCs w:val="21"/>
        </w:rPr>
        <w:t xml:space="preserve">甲方; </w:t>
      </w:r>
    </w:p>
    <w:p>
      <w:pPr>
        <w:snapToGrid w:val="0"/>
        <w:spacing w:line="460" w:lineRule="exact"/>
        <w:rPr>
          <w:rFonts w:ascii="黑体" w:hAnsi="黑体" w:eastAsia="黑体"/>
          <w:szCs w:val="21"/>
          <w:u w:val="single"/>
        </w:rPr>
      </w:pPr>
      <w:r>
        <w:rPr>
          <w:rFonts w:hint="eastAsia" w:ascii="黑体" w:hAnsi="黑体" w:eastAsia="黑体"/>
          <w:szCs w:val="21"/>
        </w:rPr>
        <w:t>乙方：</w:t>
      </w:r>
    </w:p>
    <w:p>
      <w:pPr>
        <w:snapToGrid w:val="0"/>
        <w:spacing w:line="460" w:lineRule="exact"/>
        <w:ind w:firstLine="420" w:firstLineChars="200"/>
        <w:rPr>
          <w:rFonts w:hint="eastAsia" w:ascii="宋体" w:hAnsi="宋体"/>
          <w:szCs w:val="21"/>
        </w:rPr>
      </w:pPr>
      <w:r>
        <w:rPr>
          <w:rFonts w:hint="eastAsia" w:ascii="宋体" w:hAnsi="宋体"/>
          <w:szCs w:val="21"/>
        </w:rPr>
        <w:t>根据《中华人民共和国合同法》相关规定及有关法律、法规，结合本工程具体情况，为明确双方在劳务分包过程中的权利、义务和责任，经双方协商一致签订本合同，以资双方共同遵守。</w:t>
      </w:r>
    </w:p>
    <w:p>
      <w:pPr>
        <w:snapToGrid w:val="0"/>
        <w:spacing w:line="460" w:lineRule="exact"/>
        <w:ind w:firstLine="630"/>
        <w:jc w:val="center"/>
        <w:rPr>
          <w:rFonts w:hint="eastAsia" w:ascii="黑体" w:hAnsi="黑体" w:eastAsia="黑体"/>
          <w:bCs/>
          <w:szCs w:val="21"/>
        </w:rPr>
      </w:pPr>
      <w:r>
        <w:rPr>
          <w:rFonts w:hint="eastAsia" w:ascii="黑体" w:hAnsi="黑体" w:eastAsia="黑体"/>
          <w:bCs/>
          <w:szCs w:val="21"/>
        </w:rPr>
        <w:t>第一条  劳务分包内容及合同价款</w:t>
      </w:r>
    </w:p>
    <w:p>
      <w:pPr>
        <w:tabs>
          <w:tab w:val="center" w:pos="4422"/>
        </w:tabs>
        <w:snapToGrid w:val="0"/>
        <w:spacing w:line="460" w:lineRule="exact"/>
        <w:ind w:firstLine="420" w:firstLineChars="200"/>
        <w:rPr>
          <w:rFonts w:hint="eastAsia" w:ascii="宋体" w:hAnsi="宋体"/>
          <w:szCs w:val="21"/>
          <w:u w:val="single"/>
        </w:rPr>
      </w:pPr>
      <w:r>
        <w:rPr>
          <w:rFonts w:hint="eastAsia" w:ascii="宋体" w:hAnsi="宋体"/>
          <w:szCs w:val="21"/>
        </w:rPr>
        <w:t>一、劳务分包项目名称：</w:t>
      </w:r>
    </w:p>
    <w:p>
      <w:pPr>
        <w:snapToGrid w:val="0"/>
        <w:spacing w:line="460" w:lineRule="exact"/>
        <w:ind w:firstLine="420" w:firstLineChars="200"/>
        <w:rPr>
          <w:rFonts w:hint="eastAsia" w:ascii="宋体" w:hAnsi="宋体"/>
          <w:szCs w:val="21"/>
          <w:u w:val="single"/>
        </w:rPr>
      </w:pPr>
      <w:r>
        <w:rPr>
          <w:rFonts w:hint="eastAsia" w:ascii="宋体" w:hAnsi="宋体"/>
          <w:szCs w:val="21"/>
        </w:rPr>
        <w:t>二、劳务分包工作地点：</w:t>
      </w:r>
    </w:p>
    <w:p>
      <w:pPr>
        <w:tabs>
          <w:tab w:val="center" w:pos="4422"/>
        </w:tabs>
        <w:snapToGrid w:val="0"/>
        <w:spacing w:line="460" w:lineRule="exact"/>
        <w:ind w:firstLine="420" w:firstLineChars="200"/>
        <w:rPr>
          <w:rFonts w:hint="eastAsia" w:ascii="宋体" w:hAnsi="宋体"/>
          <w:szCs w:val="21"/>
          <w:u w:val="single"/>
        </w:rPr>
      </w:pPr>
      <w:r>
        <w:rPr>
          <w:rFonts w:hint="eastAsia" w:ascii="宋体" w:hAnsi="宋体"/>
          <w:szCs w:val="21"/>
        </w:rPr>
        <w:t>三、劳务分包范围及内容：</w:t>
      </w:r>
    </w:p>
    <w:p>
      <w:pPr>
        <w:snapToGrid w:val="0"/>
        <w:spacing w:line="460" w:lineRule="exact"/>
        <w:ind w:firstLine="420" w:firstLineChars="200"/>
        <w:rPr>
          <w:rFonts w:hint="eastAsia" w:ascii="宋体" w:hAnsi="宋体"/>
          <w:szCs w:val="21"/>
          <w:u w:val="single"/>
        </w:rPr>
      </w:pPr>
      <w:r>
        <w:rPr>
          <w:rFonts w:hint="eastAsia" w:ascii="宋体" w:hAnsi="宋体"/>
          <w:szCs w:val="21"/>
        </w:rPr>
        <w:t>四、合同价款</w:t>
      </w:r>
    </w:p>
    <w:p>
      <w:pPr>
        <w:ind w:firstLine="420"/>
        <w:rPr>
          <w:color w:val="000000"/>
        </w:rPr>
      </w:pPr>
      <w:r>
        <w:rPr>
          <w:rFonts w:hint="eastAsia" w:ascii="宋体" w:hAnsi="宋体"/>
          <w:szCs w:val="21"/>
        </w:rPr>
        <w:t>暂定含税合同价为人民币大写：       （人民币）(¥    元)，</w:t>
      </w:r>
      <w:r>
        <w:rPr>
          <w:rFonts w:hint="eastAsia"/>
          <w:color w:val="000000"/>
        </w:rPr>
        <w:t>按乙方实际完成的工程量（经甲方</w:t>
      </w:r>
      <w:r>
        <w:rPr>
          <w:color w:val="000000"/>
        </w:rPr>
        <w:t>审核或修正的</w:t>
      </w:r>
      <w:r>
        <w:rPr>
          <w:rFonts w:hint="eastAsia"/>
          <w:color w:val="000000"/>
        </w:rPr>
        <w:t>工作</w:t>
      </w:r>
      <w:r>
        <w:rPr>
          <w:color w:val="000000"/>
        </w:rPr>
        <w:t>量视为</w:t>
      </w:r>
      <w:r>
        <w:rPr>
          <w:rFonts w:hint="eastAsia"/>
          <w:color w:val="000000"/>
        </w:rPr>
        <w:t>乙方</w:t>
      </w:r>
      <w:r>
        <w:rPr>
          <w:color w:val="000000"/>
        </w:rPr>
        <w:t>实际完成的</w:t>
      </w:r>
      <w:r>
        <w:rPr>
          <w:rFonts w:hint="eastAsia"/>
          <w:color w:val="000000"/>
        </w:rPr>
        <w:t>工作量）核算金额的60%支付劳务进度款;若工程已完工，可支付70%劳务进度款。由此劳务分包产生的相关税费由甲方承担，申请</w:t>
      </w:r>
      <w:r>
        <w:rPr>
          <w:rFonts w:hint="eastAsia"/>
          <w:color w:val="FF0000"/>
        </w:rPr>
        <w:t>工程款</w:t>
      </w:r>
      <w:r>
        <w:rPr>
          <w:rFonts w:hint="eastAsia"/>
          <w:color w:val="000000"/>
        </w:rPr>
        <w:t>时，需提供符合甲方要求的申请支付资料履行审计流程，开具符合税务部门要求的增值税专用发票（税率</w:t>
      </w:r>
      <w:r>
        <w:rPr>
          <w:color w:val="000000"/>
        </w:rPr>
        <w:t>3</w:t>
      </w:r>
      <w:r>
        <w:rPr>
          <w:rFonts w:hint="eastAsia"/>
          <w:color w:val="000000"/>
        </w:rPr>
        <w:t>%）。</w:t>
      </w:r>
    </w:p>
    <w:p>
      <w:pPr>
        <w:spacing w:line="560" w:lineRule="exact"/>
        <w:ind w:left="420" w:leftChars="200"/>
        <w:rPr>
          <w:rFonts w:hint="eastAsia" w:ascii="宋体" w:hAnsi="宋体"/>
          <w:szCs w:val="21"/>
        </w:rPr>
      </w:pPr>
      <w:r>
        <w:rPr>
          <w:rFonts w:hint="eastAsia" w:ascii="宋体" w:hAnsi="宋体"/>
          <w:szCs w:val="21"/>
        </w:rPr>
        <w:t>工程竣工验收合格后</w:t>
      </w:r>
      <w:r>
        <w:rPr>
          <w:rFonts w:ascii="宋体" w:hAnsi="宋体"/>
          <w:szCs w:val="21"/>
        </w:rPr>
        <w:t>，提供符合甲方审计流程的结算资料</w:t>
      </w:r>
      <w:r>
        <w:rPr>
          <w:rFonts w:hint="eastAsia" w:ascii="宋体" w:hAnsi="宋体"/>
          <w:szCs w:val="21"/>
        </w:rPr>
        <w:t>（含签证、设计变更等工作量）</w:t>
      </w:r>
      <w:r>
        <w:rPr>
          <w:rFonts w:ascii="宋体" w:hAnsi="宋体"/>
          <w:szCs w:val="21"/>
        </w:rPr>
        <w:t>，</w:t>
      </w:r>
      <w:r>
        <w:rPr>
          <w:rFonts w:hint="eastAsia" w:ascii="宋体" w:hAnsi="宋体"/>
          <w:szCs w:val="21"/>
        </w:rPr>
        <w:t>按照甲方批准计量经审计后  据实结算。</w:t>
      </w:r>
    </w:p>
    <w:p>
      <w:pPr>
        <w:snapToGrid w:val="0"/>
        <w:spacing w:line="460" w:lineRule="exact"/>
        <w:ind w:firstLine="420" w:firstLineChars="200"/>
        <w:rPr>
          <w:rFonts w:hint="eastAsia" w:ascii="宋体" w:hAnsi="宋体"/>
          <w:szCs w:val="21"/>
        </w:rPr>
      </w:pPr>
      <w:r>
        <w:rPr>
          <w:rFonts w:hint="eastAsia" w:ascii="宋体" w:hAnsi="宋体"/>
          <w:szCs w:val="21"/>
        </w:rPr>
        <w:t>五</w:t>
      </w:r>
      <w:r>
        <w:rPr>
          <w:rFonts w:ascii="宋体" w:hAnsi="宋体"/>
          <w:szCs w:val="21"/>
        </w:rPr>
        <w:t>、</w:t>
      </w:r>
      <w:r>
        <w:rPr>
          <w:rFonts w:hint="eastAsia" w:ascii="宋体" w:hAnsi="宋体"/>
          <w:szCs w:val="21"/>
        </w:rPr>
        <w:t>劳务分包方式</w:t>
      </w:r>
    </w:p>
    <w:p>
      <w:pPr>
        <w:snapToGrid w:val="0"/>
        <w:spacing w:line="460" w:lineRule="exact"/>
        <w:ind w:firstLine="420" w:firstLineChars="200"/>
        <w:rPr>
          <w:rFonts w:hint="eastAsia" w:ascii="宋体" w:hAnsi="宋体"/>
          <w:szCs w:val="21"/>
        </w:rPr>
      </w:pPr>
      <w:r>
        <w:rPr>
          <w:rFonts w:hint="eastAsia" w:ascii="宋体" w:hAnsi="宋体"/>
          <w:szCs w:val="21"/>
        </w:rPr>
        <w:t>1、劳务分包项目实行工序劳务单价承包。</w:t>
      </w:r>
    </w:p>
    <w:p>
      <w:pPr>
        <w:spacing w:line="460" w:lineRule="exact"/>
        <w:ind w:firstLine="420" w:firstLineChars="200"/>
        <w:rPr>
          <w:rFonts w:hint="eastAsia" w:ascii="宋体" w:hAnsi="宋体"/>
          <w:szCs w:val="21"/>
        </w:rPr>
      </w:pPr>
      <w:r>
        <w:rPr>
          <w:rFonts w:hint="eastAsia" w:ascii="宋体" w:hAnsi="宋体"/>
          <w:szCs w:val="21"/>
        </w:rPr>
        <w:t>2、工序劳务单价系包含为实施该工序所有子项目并缺陷修补中所需的一切劳务（包括劳务管理、劳务社会保障），小型辅助材料，小型施工机具和设备，现场管理，施工调遣，施工措施，生活设施，施工结束后现场清理，其他应支付的必要费用，除增值税、城市维护建设税和教育费附加以外的其他税费，以及明示和隐藏的子项目等所有相关费用，成本节约形成的利润。工序劳务单价依据</w:t>
      </w:r>
      <w:r>
        <w:rPr>
          <w:rFonts w:ascii="宋体" w:hAnsi="宋体"/>
          <w:szCs w:val="21"/>
        </w:rPr>
        <w:t>甲方内部定额</w:t>
      </w:r>
      <w:r>
        <w:rPr>
          <w:rFonts w:hint="eastAsia" w:ascii="宋体" w:hAnsi="宋体"/>
          <w:szCs w:val="21"/>
        </w:rPr>
        <w:t>计价</w:t>
      </w:r>
      <w:r>
        <w:rPr>
          <w:rFonts w:ascii="宋体" w:hAnsi="宋体"/>
          <w:szCs w:val="21"/>
        </w:rPr>
        <w:t>，</w:t>
      </w:r>
      <w:r>
        <w:rPr>
          <w:rFonts w:hint="eastAsia" w:ascii="宋体" w:hAnsi="宋体"/>
          <w:szCs w:val="21"/>
        </w:rPr>
        <w:t>为不含增值税价格，并都已得到双方确认。如果甲方需要乙方提供劳务增值税专用发票，乙方应按含增值税价格提供专票,因提供税票乙方需要缴纳的其他税费已包含在乙方劳务单价中。</w:t>
      </w:r>
    </w:p>
    <w:p>
      <w:pPr>
        <w:spacing w:line="460" w:lineRule="exact"/>
        <w:ind w:firstLine="420" w:firstLineChars="200"/>
        <w:rPr>
          <w:rFonts w:hint="eastAsia" w:ascii="宋体" w:hAnsi="宋体"/>
          <w:szCs w:val="21"/>
        </w:rPr>
      </w:pPr>
      <w:r>
        <w:rPr>
          <w:rFonts w:hint="eastAsia" w:ascii="宋体" w:hAnsi="宋体"/>
          <w:szCs w:val="21"/>
        </w:rPr>
        <w:t>3、已确认的合同单价双方已经充分考虑到了市场物价变动、暂停施工、第三方原因造成的工期顺延、施工风险、乙方各种施工要素追加投入（本合同约定乙方要素投入为最低要素配置要求，不免除乙方为确保合同履约需要增加的各种要素投入）等各种不利因素的影响，在本合同执行期间内一次包死，不再调整。</w:t>
      </w:r>
    </w:p>
    <w:p>
      <w:pPr>
        <w:spacing w:line="460" w:lineRule="exact"/>
        <w:ind w:firstLine="420" w:firstLineChars="200"/>
        <w:rPr>
          <w:rFonts w:hint="eastAsia" w:ascii="宋体" w:hAnsi="宋体"/>
          <w:szCs w:val="21"/>
        </w:rPr>
      </w:pPr>
      <w:r>
        <w:rPr>
          <w:rFonts w:hint="eastAsia" w:ascii="宋体" w:hAnsi="宋体"/>
          <w:szCs w:val="21"/>
        </w:rPr>
        <w:t>4、乙方实际完成劳务分包数量在甲方技术交底范围内以甲乙双方验工计量为准。</w:t>
      </w:r>
    </w:p>
    <w:p>
      <w:pPr>
        <w:snapToGrid w:val="0"/>
        <w:spacing w:line="460" w:lineRule="exact"/>
        <w:ind w:firstLine="420" w:firstLineChars="200"/>
        <w:rPr>
          <w:rFonts w:hint="eastAsia" w:ascii="宋体" w:hAnsi="宋体"/>
          <w:b/>
          <w:szCs w:val="21"/>
        </w:rPr>
      </w:pPr>
      <w:r>
        <w:rPr>
          <w:rFonts w:hint="eastAsia" w:ascii="宋体" w:hAnsi="宋体"/>
          <w:szCs w:val="21"/>
        </w:rPr>
        <w:t>5、劳务分包合同总价为甲乙双方验工计量支付的各分项价款之和</w:t>
      </w:r>
      <w:r>
        <w:rPr>
          <w:rFonts w:hint="eastAsia" w:ascii="宋体" w:hAnsi="宋体"/>
          <w:b/>
          <w:spacing w:val="-8"/>
          <w:szCs w:val="21"/>
        </w:rPr>
        <w:t>。</w:t>
      </w:r>
    </w:p>
    <w:p>
      <w:pPr>
        <w:snapToGrid w:val="0"/>
        <w:spacing w:line="460" w:lineRule="exact"/>
        <w:jc w:val="center"/>
        <w:rPr>
          <w:rFonts w:hint="eastAsia" w:ascii="黑体" w:hAnsi="黑体" w:eastAsia="黑体"/>
          <w:bCs/>
          <w:szCs w:val="21"/>
        </w:rPr>
      </w:pPr>
      <w:r>
        <w:rPr>
          <w:rFonts w:hint="eastAsia" w:ascii="黑体" w:hAnsi="黑体" w:eastAsia="黑体"/>
          <w:bCs/>
          <w:szCs w:val="21"/>
        </w:rPr>
        <w:t>第二条  双方责任</w:t>
      </w:r>
    </w:p>
    <w:p>
      <w:pPr>
        <w:spacing w:line="460" w:lineRule="exact"/>
        <w:ind w:firstLine="420" w:firstLineChars="200"/>
        <w:rPr>
          <w:rFonts w:hint="eastAsia" w:ascii="宋体" w:hAnsi="宋体"/>
          <w:szCs w:val="21"/>
        </w:rPr>
      </w:pPr>
      <w:r>
        <w:rPr>
          <w:rFonts w:hint="eastAsia" w:ascii="宋体" w:hAnsi="宋体"/>
          <w:szCs w:val="21"/>
        </w:rPr>
        <w:t>一、甲方责任</w:t>
      </w:r>
    </w:p>
    <w:p>
      <w:pPr>
        <w:tabs>
          <w:tab w:val="center" w:pos="4422"/>
        </w:tabs>
        <w:snapToGrid w:val="0"/>
        <w:spacing w:line="460" w:lineRule="exact"/>
        <w:ind w:firstLine="420" w:firstLineChars="200"/>
        <w:rPr>
          <w:rFonts w:hint="eastAsia" w:ascii="宋体" w:hAnsi="宋体"/>
          <w:szCs w:val="21"/>
          <w:u w:val="single"/>
        </w:rPr>
      </w:pPr>
      <w:r>
        <w:rPr>
          <w:rFonts w:hint="eastAsia" w:ascii="宋体" w:hAnsi="宋体"/>
          <w:szCs w:val="21"/>
        </w:rPr>
        <w:t>1、为加强对乙方劳务人员的组织与管理，甲</w:t>
      </w:r>
      <w:r>
        <w:rPr>
          <w:rFonts w:hint="eastAsia" w:ascii="宋体" w:hAnsi="宋体"/>
          <w:spacing w:val="-6"/>
          <w:szCs w:val="21"/>
        </w:rPr>
        <w:t>方授权成立现场管理机构          项目经理部，对本工程施工全过程实施全面管理。</w:t>
      </w:r>
    </w:p>
    <w:p>
      <w:pPr>
        <w:spacing w:line="460" w:lineRule="exact"/>
        <w:ind w:firstLine="396" w:firstLineChars="200"/>
        <w:rPr>
          <w:rFonts w:hint="eastAsia" w:ascii="宋体" w:hAnsi="宋体"/>
          <w:spacing w:val="-6"/>
          <w:szCs w:val="21"/>
        </w:rPr>
      </w:pPr>
      <w:r>
        <w:rPr>
          <w:rFonts w:hint="eastAsia" w:ascii="宋体" w:hAnsi="宋体"/>
          <w:spacing w:val="-6"/>
          <w:szCs w:val="21"/>
        </w:rPr>
        <w:t>2、甲方负责对外统一协调管理。</w:t>
      </w:r>
    </w:p>
    <w:p>
      <w:pPr>
        <w:spacing w:line="460" w:lineRule="exact"/>
        <w:ind w:firstLine="420" w:firstLineChars="200"/>
        <w:rPr>
          <w:rFonts w:hint="eastAsia" w:ascii="宋体" w:hAnsi="宋体"/>
          <w:szCs w:val="21"/>
        </w:rPr>
      </w:pPr>
      <w:r>
        <w:rPr>
          <w:rFonts w:hint="eastAsia" w:ascii="宋体" w:hAnsi="宋体"/>
          <w:szCs w:val="21"/>
        </w:rPr>
        <w:t>3、协助乙方编制实施性施工组织设计。</w:t>
      </w:r>
    </w:p>
    <w:p>
      <w:pPr>
        <w:spacing w:line="460" w:lineRule="exact"/>
        <w:ind w:firstLine="420" w:firstLineChars="200"/>
        <w:rPr>
          <w:rFonts w:hint="eastAsia" w:ascii="宋体" w:hAnsi="宋体"/>
          <w:szCs w:val="21"/>
        </w:rPr>
      </w:pPr>
      <w:r>
        <w:rPr>
          <w:rFonts w:hint="eastAsia" w:ascii="宋体" w:hAnsi="宋体"/>
          <w:szCs w:val="21"/>
        </w:rPr>
        <w:t>4、负责按本合同约定及时提供甲供材料和机械设备。对进场原材料、设备、构配件、半成品、成品进行检验和试验，确保质量满足工程要求；对机械设备进行检查确保其处于良好的工作状态。</w:t>
      </w:r>
    </w:p>
    <w:p>
      <w:pPr>
        <w:spacing w:line="460" w:lineRule="exact"/>
        <w:ind w:firstLine="420" w:firstLineChars="200"/>
        <w:rPr>
          <w:rFonts w:hint="eastAsia" w:ascii="宋体" w:hAnsi="宋体"/>
          <w:szCs w:val="21"/>
        </w:rPr>
      </w:pPr>
      <w:r>
        <w:rPr>
          <w:rFonts w:hint="eastAsia" w:ascii="宋体" w:hAnsi="宋体"/>
          <w:szCs w:val="21"/>
        </w:rPr>
        <w:t>5、严格监督乙方劳务人员按照文明施工、安全生产要求进行生产作业、确保现场作业文明、规范和安全。</w:t>
      </w:r>
    </w:p>
    <w:p>
      <w:pPr>
        <w:spacing w:line="460" w:lineRule="exact"/>
        <w:ind w:firstLine="420" w:firstLineChars="200"/>
        <w:rPr>
          <w:rFonts w:hint="eastAsia" w:ascii="宋体" w:hAnsi="宋体"/>
          <w:spacing w:val="-8"/>
          <w:szCs w:val="21"/>
        </w:rPr>
      </w:pPr>
      <w:r>
        <w:rPr>
          <w:rFonts w:hint="eastAsia" w:ascii="宋体" w:hAnsi="宋体"/>
          <w:szCs w:val="21"/>
        </w:rPr>
        <w:t>6、负责对乙方完成的工序作业质量进行检查、评定、验收，负责对已完工程及时组织验收。</w:t>
      </w:r>
    </w:p>
    <w:p>
      <w:pPr>
        <w:spacing w:line="460" w:lineRule="exact"/>
        <w:ind w:firstLine="420" w:firstLineChars="200"/>
        <w:rPr>
          <w:rFonts w:hint="eastAsia" w:ascii="宋体" w:hAnsi="宋体"/>
          <w:szCs w:val="21"/>
        </w:rPr>
      </w:pPr>
      <w:r>
        <w:rPr>
          <w:rFonts w:ascii="宋体" w:hAnsi="宋体"/>
          <w:szCs w:val="21"/>
        </w:rPr>
        <w:t>7</w:t>
      </w:r>
      <w:r>
        <w:rPr>
          <w:rFonts w:hint="eastAsia" w:ascii="宋体" w:hAnsi="宋体"/>
          <w:szCs w:val="21"/>
        </w:rPr>
        <w:t>、督促办理乙方已完劳务工程结算和完工决算。</w:t>
      </w:r>
    </w:p>
    <w:p>
      <w:pPr>
        <w:spacing w:line="460" w:lineRule="exact"/>
        <w:ind w:firstLine="420" w:firstLineChars="200"/>
        <w:rPr>
          <w:rFonts w:hint="eastAsia" w:ascii="宋体" w:hAnsi="宋体"/>
          <w:szCs w:val="21"/>
        </w:rPr>
      </w:pPr>
      <w:r>
        <w:rPr>
          <w:rFonts w:hint="eastAsia" w:ascii="宋体" w:hAnsi="宋体"/>
          <w:szCs w:val="21"/>
        </w:rPr>
        <w:t>二、乙方责任</w:t>
      </w:r>
    </w:p>
    <w:p>
      <w:pPr>
        <w:spacing w:line="460" w:lineRule="exact"/>
        <w:ind w:firstLine="420" w:firstLineChars="200"/>
        <w:rPr>
          <w:rFonts w:hint="eastAsia" w:ascii="宋体" w:hAnsi="宋体"/>
          <w:color w:val="FF0000"/>
          <w:szCs w:val="21"/>
        </w:rPr>
      </w:pPr>
      <w:r>
        <w:rPr>
          <w:rFonts w:hint="eastAsia" w:ascii="宋体" w:hAnsi="宋体"/>
          <w:szCs w:val="21"/>
        </w:rPr>
        <w:t>1、乙方应组织具有相应资格证书的熟练工人和相应的符合国家及甲方要求的施工机具设备，在接到甲方进场通知后</w:t>
      </w:r>
      <w:r>
        <w:rPr>
          <w:rFonts w:hint="eastAsia" w:ascii="宋体" w:hAnsi="宋体"/>
          <w:szCs w:val="21"/>
          <w:u w:val="single"/>
        </w:rPr>
        <w:t xml:space="preserve"> 2 </w:t>
      </w:r>
      <w:r>
        <w:rPr>
          <w:rFonts w:hint="eastAsia" w:ascii="宋体" w:hAnsi="宋体"/>
          <w:szCs w:val="21"/>
        </w:rPr>
        <w:t>天内进场，并指派代理人（必须持有法人委托书原件）在现场进行管理。</w:t>
      </w:r>
    </w:p>
    <w:p>
      <w:pPr>
        <w:spacing w:line="460" w:lineRule="exact"/>
        <w:ind w:firstLine="420" w:firstLineChars="200"/>
        <w:rPr>
          <w:rFonts w:hint="eastAsia" w:ascii="宋体" w:hAnsi="宋体"/>
          <w:szCs w:val="21"/>
        </w:rPr>
      </w:pPr>
      <w:r>
        <w:rPr>
          <w:rFonts w:hint="eastAsia" w:ascii="宋体" w:hAnsi="宋体"/>
          <w:szCs w:val="21"/>
        </w:rPr>
        <w:t>2、乙方应经常对其劳务人员进行必要的安全、技能培训考核和参加甲方组织的培训、考核，对甲方培训、考核不合格人员乙方应及时予以更换或调整岗位。</w:t>
      </w:r>
    </w:p>
    <w:p>
      <w:pPr>
        <w:spacing w:line="460" w:lineRule="exact"/>
        <w:ind w:firstLine="420" w:firstLineChars="200"/>
        <w:rPr>
          <w:rFonts w:hint="eastAsia" w:ascii="宋体" w:hAnsi="宋体"/>
          <w:szCs w:val="21"/>
        </w:rPr>
      </w:pPr>
      <w:r>
        <w:rPr>
          <w:rFonts w:hint="eastAsia" w:ascii="宋体" w:hAnsi="宋体"/>
          <w:szCs w:val="21"/>
        </w:rPr>
        <w:t>3、乙方必须与进场工人签订劳动合同，并为其劳务人员办理各种社会保险，支付保险费用。</w:t>
      </w:r>
    </w:p>
    <w:p>
      <w:pPr>
        <w:spacing w:line="460" w:lineRule="exact"/>
        <w:ind w:firstLine="420" w:firstLineChars="200"/>
        <w:rPr>
          <w:rFonts w:hint="eastAsia" w:ascii="宋体" w:hAnsi="宋体"/>
          <w:szCs w:val="21"/>
        </w:rPr>
      </w:pPr>
      <w:r>
        <w:rPr>
          <w:rFonts w:hint="eastAsia" w:ascii="宋体" w:hAnsi="宋体"/>
          <w:szCs w:val="21"/>
        </w:rPr>
        <w:t>4、乙方必须接受甲方项目经理部的领导和监督检查。严格按照甲方技术交底和指令组织施工。</w:t>
      </w:r>
      <w:r>
        <w:rPr>
          <w:rFonts w:hint="eastAsia" w:ascii="宋体" w:hAnsi="宋体"/>
          <w:spacing w:val="-4"/>
          <w:szCs w:val="21"/>
        </w:rPr>
        <w:t>乙方对甲方提供的交底或指令有疑义或发现有误的，应及时以书面形式向甲方有关人员提出，在甲方有关人员未同意更改或撤消前，乙方应无条件执行。</w:t>
      </w:r>
    </w:p>
    <w:p>
      <w:pPr>
        <w:spacing w:line="460" w:lineRule="exact"/>
        <w:ind w:firstLine="420" w:firstLineChars="200"/>
        <w:rPr>
          <w:rFonts w:hint="eastAsia" w:ascii="宋体" w:hAnsi="宋体"/>
          <w:szCs w:val="21"/>
        </w:rPr>
      </w:pPr>
      <w:r>
        <w:rPr>
          <w:rFonts w:hint="eastAsia" w:ascii="宋体" w:hAnsi="宋体"/>
          <w:szCs w:val="21"/>
        </w:rPr>
        <w:t>5、乙方应严格按照甲方技术、质量、安全交底进行作业，</w:t>
      </w:r>
      <w:r>
        <w:rPr>
          <w:rFonts w:hint="eastAsia" w:ascii="宋体" w:hAnsi="宋体"/>
          <w:spacing w:val="-4"/>
          <w:szCs w:val="21"/>
        </w:rPr>
        <w:t>确保工程质量，不合格项目必须无偿返工，直到达到甲方验收标准为止，同时</w:t>
      </w:r>
      <w:r>
        <w:rPr>
          <w:rFonts w:hint="eastAsia"/>
        </w:rPr>
        <w:t>不减免其合同工期延误责任</w:t>
      </w:r>
      <w:r>
        <w:rPr>
          <w:rFonts w:hint="eastAsia" w:ascii="宋体" w:hAnsi="宋体"/>
          <w:spacing w:val="-4"/>
          <w:szCs w:val="21"/>
        </w:rPr>
        <w:t>。</w:t>
      </w:r>
      <w:r>
        <w:rPr>
          <w:rFonts w:hint="eastAsia" w:ascii="宋体" w:hAnsi="宋体"/>
          <w:szCs w:val="21"/>
        </w:rPr>
        <w:t>每道工序须由甲方人员检验认可合格并通知允许进行下道工序作业后，方可进入下一道工序施工。</w:t>
      </w:r>
    </w:p>
    <w:p>
      <w:pPr>
        <w:spacing w:line="460" w:lineRule="exact"/>
        <w:ind w:firstLine="420" w:firstLineChars="200"/>
        <w:rPr>
          <w:rFonts w:hint="eastAsia" w:ascii="宋体" w:hAnsi="宋体"/>
          <w:szCs w:val="21"/>
        </w:rPr>
      </w:pPr>
      <w:r>
        <w:rPr>
          <w:rFonts w:hint="eastAsia" w:ascii="宋体" w:hAnsi="宋体"/>
          <w:szCs w:val="21"/>
        </w:rPr>
        <w:t>6、乙方对甲方供应到现场的材料、机械设备、标识标牌、未移交工程、测量桩物等</w:t>
      </w:r>
      <w:r>
        <w:rPr>
          <w:rFonts w:hint="eastAsia"/>
        </w:rPr>
        <w:t>承担妥善保管义务，</w:t>
      </w:r>
      <w:r>
        <w:rPr>
          <w:rFonts w:hint="eastAsia" w:ascii="宋体" w:hAnsi="宋体"/>
          <w:szCs w:val="21"/>
        </w:rPr>
        <w:t>应妥善保管并看护好，不得倒卖、破坏和移位。否则造成一切损失由乙方承担。</w:t>
      </w:r>
    </w:p>
    <w:p>
      <w:pPr>
        <w:spacing w:line="460" w:lineRule="exact"/>
        <w:ind w:firstLine="420" w:firstLineChars="200"/>
        <w:rPr>
          <w:rFonts w:hint="eastAsia" w:ascii="宋体" w:hAnsi="宋体"/>
          <w:szCs w:val="21"/>
        </w:rPr>
      </w:pPr>
      <w:r>
        <w:rPr>
          <w:rFonts w:hint="eastAsia" w:ascii="宋体" w:hAnsi="宋体"/>
          <w:szCs w:val="21"/>
        </w:rPr>
        <w:t>7、</w:t>
      </w:r>
      <w:r>
        <w:rPr>
          <w:rFonts w:hint="eastAsia" w:ascii="宋体" w:hAnsi="宋体"/>
          <w:color w:val="FF0000"/>
          <w:szCs w:val="21"/>
        </w:rPr>
        <w:t>乙方承诺：</w:t>
      </w:r>
      <w:r>
        <w:rPr>
          <w:rFonts w:hint="eastAsia" w:ascii="宋体" w:hAnsi="宋体"/>
          <w:szCs w:val="21"/>
        </w:rPr>
        <w:t>乙方应配合甲方及时进行劳务结算，质量、安全、进度检查，现场管理及施工资料收集，按时报送施工计划、甲供材料供应计划。</w:t>
      </w:r>
    </w:p>
    <w:p>
      <w:pPr>
        <w:spacing w:line="460" w:lineRule="exact"/>
        <w:ind w:firstLine="420" w:firstLineChars="200"/>
        <w:rPr>
          <w:rFonts w:hint="eastAsia" w:ascii="宋体" w:hAnsi="宋体"/>
          <w:szCs w:val="21"/>
        </w:rPr>
      </w:pPr>
      <w:r>
        <w:rPr>
          <w:rFonts w:hint="eastAsia" w:ascii="宋体" w:hAnsi="宋体"/>
          <w:szCs w:val="21"/>
        </w:rPr>
        <w:t>8、严格按甲方文明施工和安全标准工地的要求进行现场施工管理，遵守环境保护法律法规，乙方因不遵守相关法律法规和甲方有关指定对周边环境现状造成污染或破坏的由乙方负责处理并承担全部费用。</w:t>
      </w:r>
    </w:p>
    <w:p>
      <w:pPr>
        <w:spacing w:line="460" w:lineRule="exact"/>
        <w:ind w:firstLine="420" w:firstLineChars="200"/>
        <w:rPr>
          <w:rFonts w:hint="eastAsia" w:ascii="宋体" w:hAnsi="宋体"/>
          <w:szCs w:val="21"/>
        </w:rPr>
      </w:pPr>
      <w:r>
        <w:rPr>
          <w:rFonts w:hint="eastAsia" w:ascii="宋体" w:hAnsi="宋体"/>
          <w:szCs w:val="21"/>
        </w:rPr>
        <w:t>9、乙方在施工过程中如遇未探明的地下管线、文物等，应及时停止施工，妥善看管，并立即报告甲方，由甲方负责处理。对出现上述情况，因乙方不及时报告甲方且擅自继续施工，或报告甲方后未经甲方同意复工且强行施工，造成损失的，由乙方承担全部经济损失和法律责任。</w:t>
      </w:r>
    </w:p>
    <w:p>
      <w:pPr>
        <w:spacing w:line="460" w:lineRule="exact"/>
        <w:ind w:firstLine="420" w:firstLineChars="200"/>
        <w:rPr>
          <w:rFonts w:hint="eastAsia" w:ascii="宋体" w:hAnsi="宋体"/>
          <w:szCs w:val="21"/>
        </w:rPr>
      </w:pPr>
      <w:r>
        <w:rPr>
          <w:rFonts w:hint="eastAsia" w:ascii="宋体" w:hAnsi="宋体"/>
          <w:szCs w:val="21"/>
        </w:rPr>
        <w:t>10、未经甲方授权，乙方不得与工程建设单位及有关部门建立联系。</w:t>
      </w:r>
    </w:p>
    <w:p>
      <w:pPr>
        <w:spacing w:line="460" w:lineRule="exact"/>
        <w:ind w:firstLine="420" w:firstLineChars="200"/>
        <w:rPr>
          <w:rFonts w:hint="eastAsia" w:ascii="宋体" w:hAnsi="宋体"/>
          <w:szCs w:val="21"/>
        </w:rPr>
      </w:pPr>
      <w:r>
        <w:rPr>
          <w:rFonts w:hint="eastAsia" w:ascii="宋体" w:hAnsi="宋体"/>
          <w:szCs w:val="21"/>
        </w:rPr>
        <w:t>11、乙方在施工中与第三方产生的债权债务及纠纷等问题由乙方自行负责处理，并承担责任和费用。</w:t>
      </w:r>
    </w:p>
    <w:p>
      <w:pPr>
        <w:spacing w:line="460" w:lineRule="exact"/>
        <w:ind w:firstLine="420" w:firstLineChars="200"/>
        <w:rPr>
          <w:rFonts w:ascii="宋体" w:hAnsi="宋体"/>
          <w:szCs w:val="21"/>
        </w:rPr>
      </w:pPr>
      <w:r>
        <w:rPr>
          <w:rFonts w:hint="eastAsia" w:ascii="宋体" w:hAnsi="宋体"/>
          <w:szCs w:val="21"/>
        </w:rPr>
        <w:t>12、乙</w:t>
      </w:r>
      <w:r>
        <w:rPr>
          <w:rFonts w:hint="eastAsia" w:ascii="宋体" w:hAnsi="宋体"/>
          <w:spacing w:val="-4"/>
          <w:szCs w:val="21"/>
        </w:rPr>
        <w:t>方对承担存在职业病危害的工程项目，应当按国家规定对职工履行告知宣传义务，配备必要的劳保用品，建立健全职业病防治责任制，对从事有职业危害的职工进行</w:t>
      </w:r>
      <w:r>
        <w:rPr>
          <w:rFonts w:hint="eastAsia" w:ascii="宋体" w:hAnsi="宋体"/>
          <w:szCs w:val="21"/>
        </w:rPr>
        <w:t>岗前、岗中和离岗健康体检和承担因职工犯职业病所需的医疗费用，妥善保管有关资料。</w:t>
      </w:r>
    </w:p>
    <w:p>
      <w:pPr>
        <w:spacing w:line="460" w:lineRule="exact"/>
        <w:ind w:firstLine="420" w:firstLineChars="200"/>
        <w:rPr>
          <w:rFonts w:hint="eastAsia" w:ascii="宋体" w:hAnsi="宋体"/>
          <w:szCs w:val="21"/>
        </w:rPr>
      </w:pPr>
      <w:r>
        <w:rPr>
          <w:rFonts w:hint="eastAsia" w:ascii="宋体" w:hAnsi="宋体"/>
          <w:szCs w:val="21"/>
        </w:rPr>
        <w:t xml:space="preserve"> 13、</w:t>
      </w:r>
      <w:r>
        <w:rPr>
          <w:rFonts w:hint="eastAsia" w:ascii="宋体" w:hAnsi="宋体"/>
          <w:color w:val="FF0000"/>
          <w:szCs w:val="21"/>
        </w:rPr>
        <w:t>乙方承诺：保障农民工工资支付条例、</w:t>
      </w:r>
      <w:r>
        <w:rPr>
          <w:rFonts w:hint="eastAsia" w:ascii="宋体" w:hAnsi="宋体"/>
          <w:szCs w:val="21"/>
        </w:rPr>
        <w:t>及时、自行发放工人工资，不以发工人工资为由要求甲方支付超出正常验工计价外的费用。</w:t>
      </w:r>
    </w:p>
    <w:p>
      <w:pPr>
        <w:spacing w:line="460" w:lineRule="exact"/>
        <w:ind w:firstLine="420" w:firstLineChars="200"/>
        <w:rPr>
          <w:rFonts w:hint="eastAsia" w:ascii="宋体" w:hAnsi="宋体"/>
          <w:szCs w:val="21"/>
        </w:rPr>
      </w:pPr>
      <w:r>
        <w:rPr>
          <w:rFonts w:hint="eastAsia" w:ascii="宋体" w:hAnsi="宋体"/>
          <w:szCs w:val="21"/>
        </w:rPr>
        <w:t>14、乙方应为其雇佣的全部现场作业人员办理团体（或个人）意外伤害保险和工伤保险。乙方承诺：出现上述保险理赔事件时由乙方自行承担和负责处理，相关费用及超出保险理赔范围外的赔偿费用由乙方自行承担，无需甲方承担任何连带责任。</w:t>
      </w:r>
    </w:p>
    <w:p>
      <w:pPr>
        <w:spacing w:line="460" w:lineRule="exact"/>
        <w:ind w:firstLine="420" w:firstLineChars="200"/>
        <w:rPr>
          <w:rFonts w:hint="eastAsia" w:ascii="宋体" w:hAnsi="宋体"/>
          <w:szCs w:val="21"/>
        </w:rPr>
      </w:pPr>
      <w:r>
        <w:rPr>
          <w:rFonts w:hint="eastAsia" w:ascii="宋体" w:hAnsi="宋体"/>
          <w:szCs w:val="21"/>
        </w:rPr>
        <w:t>15、乙方承诺因乙方原因造成合同解除的，甲方无需承担任何乙方物资、设备回购义务，相关损失由乙方自行承担。</w:t>
      </w:r>
    </w:p>
    <w:p>
      <w:pPr>
        <w:spacing w:line="460" w:lineRule="exact"/>
        <w:ind w:firstLine="420" w:firstLineChars="200"/>
        <w:rPr>
          <w:rFonts w:hint="eastAsia" w:ascii="宋体" w:hAnsi="宋体"/>
          <w:szCs w:val="21"/>
        </w:rPr>
      </w:pPr>
      <w:r>
        <w:rPr>
          <w:rFonts w:hint="eastAsia" w:ascii="宋体" w:hAnsi="宋体"/>
          <w:szCs w:val="21"/>
        </w:rPr>
        <w:t>16、乙方承诺：依据国家相关法律、法规规定，为所承担的施工任务配置符合该工程项目规</w:t>
      </w:r>
      <w:r>
        <w:rPr>
          <w:rFonts w:hint="eastAsia" w:ascii="宋体" w:hAnsi="宋体"/>
          <w:color w:val="FF0000"/>
          <w:szCs w:val="21"/>
        </w:rPr>
        <w:t>模要求必须一名专职安全员</w:t>
      </w:r>
      <w:r>
        <w:rPr>
          <w:rFonts w:hint="eastAsia" w:ascii="宋体" w:hAnsi="宋体"/>
          <w:szCs w:val="21"/>
        </w:rPr>
        <w:t>；本项目实施期间乙方须遵守国家关于安全生产的法律法规、施工所在地安全法规、规章及其他相关安全的规范性文件，同时乙方须遵守甲方单位各项安全管理制度、安全操作规程。</w:t>
      </w:r>
    </w:p>
    <w:p>
      <w:pPr>
        <w:snapToGrid w:val="0"/>
        <w:spacing w:line="460" w:lineRule="exact"/>
        <w:jc w:val="center"/>
        <w:rPr>
          <w:rFonts w:hint="eastAsia" w:ascii="黑体" w:hAnsi="黑体" w:eastAsia="黑体"/>
          <w:bCs/>
          <w:szCs w:val="21"/>
        </w:rPr>
      </w:pPr>
      <w:r>
        <w:rPr>
          <w:rFonts w:hint="eastAsia" w:ascii="黑体" w:hAnsi="黑体" w:eastAsia="黑体"/>
          <w:bCs/>
          <w:szCs w:val="21"/>
        </w:rPr>
        <w:t>第三条  工  期</w:t>
      </w:r>
    </w:p>
    <w:p>
      <w:pPr>
        <w:snapToGrid w:val="0"/>
        <w:spacing w:line="460" w:lineRule="exact"/>
        <w:ind w:firstLine="420" w:firstLineChars="200"/>
        <w:rPr>
          <w:rFonts w:hint="eastAsia" w:ascii="宋体" w:hAnsi="宋体"/>
          <w:szCs w:val="21"/>
        </w:rPr>
      </w:pPr>
      <w:r>
        <w:rPr>
          <w:rFonts w:hint="eastAsia" w:ascii="宋体" w:hAnsi="宋体"/>
          <w:szCs w:val="21"/>
        </w:rPr>
        <w:t>一、本合同劳务分包项目自</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日开工，至</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日完工，总日历工作天数为</w:t>
      </w:r>
      <w:r>
        <w:rPr>
          <w:rFonts w:hint="eastAsia" w:ascii="宋体" w:hAnsi="宋体"/>
          <w:szCs w:val="21"/>
          <w:u w:val="single"/>
        </w:rPr>
        <w:t xml:space="preserve">     </w:t>
      </w:r>
      <w:r>
        <w:rPr>
          <w:rFonts w:hint="eastAsia" w:ascii="宋体" w:hAnsi="宋体"/>
          <w:szCs w:val="21"/>
        </w:rPr>
        <w:t xml:space="preserve">天。 </w:t>
      </w:r>
    </w:p>
    <w:p>
      <w:pPr>
        <w:spacing w:line="460" w:lineRule="exact"/>
        <w:ind w:firstLine="420" w:firstLineChars="200"/>
        <w:rPr>
          <w:rFonts w:hint="eastAsia" w:ascii="宋体" w:hAnsi="宋体"/>
          <w:spacing w:val="-6"/>
          <w:szCs w:val="21"/>
        </w:rPr>
      </w:pPr>
      <w:r>
        <w:rPr>
          <w:rFonts w:hint="eastAsia" w:ascii="宋体" w:hAnsi="宋体"/>
          <w:szCs w:val="21"/>
        </w:rPr>
        <w:t>二、乙</w:t>
      </w:r>
      <w:r>
        <w:rPr>
          <w:rFonts w:hint="eastAsia" w:ascii="宋体" w:hAnsi="宋体"/>
          <w:spacing w:val="-6"/>
          <w:szCs w:val="21"/>
        </w:rPr>
        <w:t>方不得擅自停工。乙方擅自停工3天以上（含3天），甲方有权单方面决定是否解除合同，因停工造成的相关损失由乙方承担。</w:t>
      </w:r>
    </w:p>
    <w:p>
      <w:pPr>
        <w:spacing w:line="460" w:lineRule="exact"/>
        <w:ind w:firstLine="420" w:firstLineChars="200"/>
        <w:rPr>
          <w:rFonts w:hint="eastAsia" w:ascii="宋体" w:hAnsi="宋体"/>
          <w:color w:val="FF0000"/>
          <w:spacing w:val="-10"/>
          <w:szCs w:val="21"/>
        </w:rPr>
      </w:pPr>
      <w:r>
        <w:rPr>
          <w:rFonts w:hint="eastAsia" w:ascii="宋体" w:hAnsi="宋体"/>
          <w:szCs w:val="21"/>
        </w:rPr>
        <w:t>三、暂停施工。甲</w:t>
      </w:r>
      <w:r>
        <w:rPr>
          <w:rFonts w:hint="eastAsia" w:ascii="宋体" w:hAnsi="宋体"/>
          <w:spacing w:val="-10"/>
          <w:szCs w:val="21"/>
        </w:rPr>
        <w:t>方在认为确有必要时，可指令乙方暂停施工，乙方必须按甲方指令停止施工，妥善保护已完项目，实施甲方处理意见后向甲方书面提出复工申请，甲方批准后方可继续施工。</w:t>
      </w:r>
      <w:r>
        <w:rPr>
          <w:rFonts w:hint="eastAsia" w:ascii="宋体" w:hAnsi="宋体"/>
          <w:color w:val="FF0000"/>
          <w:spacing w:val="-10"/>
          <w:szCs w:val="21"/>
        </w:rPr>
        <w:t xml:space="preserve"> </w:t>
      </w:r>
    </w:p>
    <w:p>
      <w:pPr>
        <w:snapToGrid w:val="0"/>
        <w:spacing w:line="460" w:lineRule="exact"/>
        <w:jc w:val="center"/>
        <w:rPr>
          <w:rFonts w:hint="eastAsia" w:ascii="黑体" w:hAnsi="黑体" w:eastAsia="黑体"/>
          <w:bCs/>
          <w:szCs w:val="21"/>
        </w:rPr>
      </w:pPr>
      <w:r>
        <w:rPr>
          <w:rFonts w:hint="eastAsia" w:ascii="黑体" w:hAnsi="黑体" w:eastAsia="黑体"/>
          <w:bCs/>
          <w:szCs w:val="21"/>
        </w:rPr>
        <w:t>第四条  质量要求</w:t>
      </w:r>
    </w:p>
    <w:p>
      <w:pPr>
        <w:snapToGrid w:val="0"/>
        <w:spacing w:line="460" w:lineRule="exact"/>
        <w:ind w:firstLine="380" w:firstLineChars="200"/>
        <w:rPr>
          <w:rFonts w:hint="eastAsia" w:ascii="宋体" w:hAnsi="宋体"/>
          <w:spacing w:val="-10"/>
          <w:szCs w:val="21"/>
        </w:rPr>
      </w:pPr>
      <w:r>
        <w:rPr>
          <w:rFonts w:hint="eastAsia" w:ascii="宋体" w:hAnsi="宋体"/>
          <w:spacing w:val="-10"/>
          <w:szCs w:val="21"/>
        </w:rPr>
        <w:t>一、乙方劳务分包项目的质量应达到甲方要求的标准，并且乙方应配合甲方达到整体创优目标及企业质量目标。</w:t>
      </w:r>
    </w:p>
    <w:p>
      <w:pPr>
        <w:snapToGrid w:val="0"/>
        <w:spacing w:line="460" w:lineRule="exact"/>
        <w:ind w:firstLine="380" w:firstLineChars="200"/>
        <w:rPr>
          <w:rFonts w:hint="eastAsia" w:ascii="宋体" w:hAnsi="宋体"/>
          <w:spacing w:val="-10"/>
          <w:szCs w:val="21"/>
        </w:rPr>
      </w:pPr>
      <w:r>
        <w:rPr>
          <w:rFonts w:hint="eastAsia" w:ascii="宋体" w:hAnsi="宋体"/>
          <w:spacing w:val="-10"/>
          <w:szCs w:val="21"/>
        </w:rPr>
        <w:t>二、乙方应严格按照甲方技术、质量交底、施工验收规范、有关技术要求精心组织施工，确保工程质量达到约定标准。</w:t>
      </w:r>
    </w:p>
    <w:p>
      <w:pPr>
        <w:spacing w:line="460" w:lineRule="exact"/>
        <w:ind w:firstLine="380" w:firstLineChars="200"/>
        <w:rPr>
          <w:rFonts w:hint="eastAsia" w:ascii="宋体" w:hAnsi="宋体"/>
          <w:szCs w:val="21"/>
        </w:rPr>
      </w:pPr>
      <w:r>
        <w:rPr>
          <w:rFonts w:hint="eastAsia" w:ascii="宋体" w:hAnsi="宋体"/>
          <w:spacing w:val="-10"/>
          <w:szCs w:val="21"/>
        </w:rPr>
        <w:t>三、</w:t>
      </w:r>
      <w:r>
        <w:rPr>
          <w:rFonts w:hint="eastAsia" w:ascii="宋体" w:hAnsi="宋体"/>
          <w:szCs w:val="21"/>
        </w:rPr>
        <w:t>甲方委托乙方自购的辅助性零星小型材料需经甲方检验合格后方可用于本工程，未经甲方许可乙方不得擅自代换任何材料。</w:t>
      </w:r>
    </w:p>
    <w:p>
      <w:pPr>
        <w:tabs>
          <w:tab w:val="left" w:pos="780"/>
        </w:tabs>
        <w:spacing w:line="460" w:lineRule="exact"/>
        <w:ind w:firstLine="380" w:firstLineChars="200"/>
        <w:rPr>
          <w:rFonts w:hint="eastAsia" w:ascii="宋体" w:hAnsi="宋体"/>
          <w:szCs w:val="21"/>
        </w:rPr>
      </w:pPr>
      <w:r>
        <w:rPr>
          <w:rFonts w:hint="eastAsia" w:ascii="宋体" w:hAnsi="宋体"/>
          <w:spacing w:val="-10"/>
          <w:szCs w:val="21"/>
        </w:rPr>
        <w:t>四、隐蔽工程须严格按照工程质量验收规程予以验收，未经签证合格，乙方不得进行下道工序施工。</w:t>
      </w:r>
      <w:r>
        <w:rPr>
          <w:rFonts w:hint="eastAsia" w:ascii="宋体" w:hAnsi="宋体"/>
          <w:szCs w:val="21"/>
        </w:rPr>
        <w:t>如乙方擅自隐蔽，视为违约，甲方有权要求乙方打开检查，无论检查是否合格由此造成的费用增加和工期延误责任，由乙方承担。</w:t>
      </w:r>
    </w:p>
    <w:p>
      <w:pPr>
        <w:snapToGrid w:val="0"/>
        <w:spacing w:line="460" w:lineRule="exact"/>
        <w:jc w:val="center"/>
        <w:rPr>
          <w:rFonts w:hint="eastAsia" w:ascii="黑体" w:hAnsi="黑体" w:eastAsia="黑体"/>
          <w:bCs/>
          <w:szCs w:val="21"/>
        </w:rPr>
      </w:pPr>
      <w:r>
        <w:rPr>
          <w:rFonts w:hint="eastAsia" w:ascii="黑体" w:hAnsi="黑体" w:eastAsia="黑体"/>
          <w:bCs/>
          <w:szCs w:val="21"/>
        </w:rPr>
        <w:t>第五条  安全责任</w:t>
      </w:r>
    </w:p>
    <w:p>
      <w:pPr>
        <w:spacing w:line="460" w:lineRule="exact"/>
        <w:ind w:firstLine="420" w:firstLineChars="200"/>
        <w:rPr>
          <w:rFonts w:hint="eastAsia" w:ascii="宋体" w:hAnsi="宋体"/>
          <w:szCs w:val="21"/>
        </w:rPr>
      </w:pPr>
      <w:r>
        <w:rPr>
          <w:rFonts w:hint="eastAsia" w:ascii="宋体" w:hAnsi="宋体"/>
          <w:szCs w:val="21"/>
        </w:rPr>
        <w:t>一、甲方负责向乙方进行安全技术措施交底。督促乙方制定安全保障制度和安全保障体系，随时检查乙方各项安全措施的落实和执行情况。</w:t>
      </w:r>
    </w:p>
    <w:p>
      <w:pPr>
        <w:spacing w:line="460" w:lineRule="exact"/>
        <w:ind w:firstLine="420" w:firstLineChars="200"/>
        <w:rPr>
          <w:rFonts w:hint="eastAsia" w:ascii="宋体" w:hAnsi="宋体"/>
          <w:szCs w:val="21"/>
        </w:rPr>
      </w:pPr>
      <w:r>
        <w:rPr>
          <w:rFonts w:hint="eastAsia" w:ascii="宋体" w:hAnsi="宋体"/>
          <w:szCs w:val="21"/>
        </w:rPr>
        <w:t>二、乙方配备专职安全管理人员</w:t>
      </w:r>
      <w:r>
        <w:rPr>
          <w:rFonts w:hint="eastAsia" w:ascii="宋体" w:hAnsi="宋体"/>
          <w:color w:val="000000"/>
          <w:szCs w:val="21"/>
        </w:rPr>
        <w:t>和</w:t>
      </w:r>
      <w:r>
        <w:rPr>
          <w:rFonts w:hint="eastAsia" w:ascii="宋体" w:hAnsi="宋体"/>
          <w:szCs w:val="21"/>
        </w:rPr>
        <w:t>必需的安全设施及物资，并在施工中采取严格的安全技术、防护措施，承担由于自身安全措施不力或过失造成事故的行政、经济责任和因此发生的全部费用。</w:t>
      </w:r>
    </w:p>
    <w:p>
      <w:pPr>
        <w:spacing w:line="460" w:lineRule="exact"/>
        <w:ind w:firstLine="420" w:firstLineChars="200"/>
        <w:rPr>
          <w:rFonts w:hint="eastAsia" w:ascii="宋体" w:hAnsi="宋体"/>
          <w:szCs w:val="21"/>
        </w:rPr>
      </w:pPr>
      <w:r>
        <w:rPr>
          <w:rFonts w:hint="eastAsia" w:ascii="宋体" w:hAnsi="宋体"/>
          <w:szCs w:val="21"/>
        </w:rPr>
        <w:t>三、乙方应对其全部雇佣人员进行安全教育和安全技术交底，加强安全管理，所有现场施工人员必须自觉遵守甲乙双方各项现场管理规定。乙方违章作业，发生安全、质量事故造成人身伤害和财产损失，全部责任由乙方承担，同时甲方根据事故的严重程度将对</w:t>
      </w:r>
      <w:r>
        <w:rPr>
          <w:rFonts w:hint="eastAsia" w:ascii="宋体" w:hAnsi="宋体"/>
          <w:color w:val="FF0000"/>
          <w:szCs w:val="21"/>
        </w:rPr>
        <w:t>乙方按照：施工协作管理法经济处以处罚</w:t>
      </w:r>
      <w:r>
        <w:rPr>
          <w:rFonts w:hint="eastAsia" w:ascii="宋体" w:hAnsi="宋体"/>
          <w:szCs w:val="21"/>
        </w:rPr>
        <w:t>。</w:t>
      </w:r>
    </w:p>
    <w:p>
      <w:pPr>
        <w:spacing w:line="460" w:lineRule="exact"/>
        <w:ind w:firstLine="420" w:firstLineChars="200"/>
        <w:rPr>
          <w:rFonts w:hint="eastAsia" w:ascii="宋体" w:hAnsi="宋体"/>
          <w:szCs w:val="21"/>
        </w:rPr>
      </w:pPr>
      <w:r>
        <w:rPr>
          <w:rFonts w:hint="eastAsia" w:ascii="宋体" w:hAnsi="宋体"/>
          <w:szCs w:val="21"/>
        </w:rPr>
        <w:t>四、凡在既有公路、铁路、居民区附近施工以及爆破施工的工点，乙方必须设置施工安全员和警戒线，并确保既有公路、铁路的正常通行、居民区内人员财产不受损失，否则责任自负。</w:t>
      </w:r>
    </w:p>
    <w:p>
      <w:pPr>
        <w:spacing w:line="460" w:lineRule="exact"/>
        <w:ind w:firstLine="420" w:firstLineChars="200"/>
        <w:rPr>
          <w:rFonts w:hint="eastAsia" w:ascii="宋体" w:hAnsi="宋体"/>
          <w:szCs w:val="21"/>
        </w:rPr>
      </w:pPr>
      <w:r>
        <w:rPr>
          <w:rFonts w:hint="eastAsia" w:ascii="宋体" w:hAnsi="宋体"/>
          <w:szCs w:val="21"/>
        </w:rPr>
        <w:t>五、乙方应自费为其现场施工人员办理人身意外伤害保险，保险金额不得低于10</w:t>
      </w:r>
      <w:r>
        <w:rPr>
          <w:rFonts w:ascii="宋体" w:hAnsi="宋体"/>
          <w:szCs w:val="21"/>
        </w:rPr>
        <w:t>0</w:t>
      </w:r>
      <w:r>
        <w:rPr>
          <w:rFonts w:hint="eastAsia" w:ascii="宋体" w:hAnsi="宋体"/>
          <w:szCs w:val="21"/>
        </w:rPr>
        <w:t>万元/人（</w:t>
      </w:r>
      <w:r>
        <w:rPr>
          <w:rFonts w:hint="eastAsia" w:ascii="宋体" w:hAnsi="宋体"/>
          <w:color w:val="000000"/>
          <w:szCs w:val="21"/>
        </w:rPr>
        <w:t>其中医疗保险不得低于3万元/人</w:t>
      </w:r>
      <w:r>
        <w:rPr>
          <w:rFonts w:hint="eastAsia" w:ascii="宋体" w:hAnsi="宋体"/>
          <w:szCs w:val="21"/>
        </w:rPr>
        <w:t>）。</w:t>
      </w:r>
    </w:p>
    <w:p>
      <w:pPr>
        <w:snapToGrid w:val="0"/>
        <w:spacing w:line="460" w:lineRule="exact"/>
        <w:ind w:firstLine="420" w:firstLineChars="200"/>
        <w:rPr>
          <w:rFonts w:hint="eastAsia" w:ascii="宋体" w:hAnsi="宋体"/>
          <w:szCs w:val="21"/>
        </w:rPr>
      </w:pPr>
      <w:r>
        <w:rPr>
          <w:rFonts w:hint="eastAsia" w:ascii="宋体" w:hAnsi="宋体"/>
          <w:szCs w:val="21"/>
        </w:rPr>
        <w:t>六、除上述安全约定外，乙方尚需与甲方签订《</w:t>
      </w:r>
      <w:r>
        <w:rPr>
          <w:rFonts w:hint="eastAsia" w:ascii="宋体" w:hAnsi="宋体"/>
          <w:color w:val="FF0000"/>
          <w:szCs w:val="21"/>
        </w:rPr>
        <w:t>安全协议</w:t>
      </w:r>
      <w:r>
        <w:rPr>
          <w:rFonts w:hint="eastAsia" w:ascii="宋体" w:hAnsi="宋体"/>
          <w:szCs w:val="21"/>
        </w:rPr>
        <w:t>》，相关条款同《安全协议》有冲突的，以《安全协议》条款为准。</w:t>
      </w:r>
    </w:p>
    <w:p>
      <w:pPr>
        <w:snapToGrid w:val="0"/>
        <w:spacing w:line="460" w:lineRule="exact"/>
        <w:jc w:val="center"/>
        <w:rPr>
          <w:rFonts w:hint="eastAsia" w:ascii="黑体" w:hAnsi="黑体" w:eastAsia="黑体"/>
          <w:bCs/>
          <w:szCs w:val="21"/>
        </w:rPr>
      </w:pPr>
      <w:r>
        <w:rPr>
          <w:rFonts w:hint="eastAsia" w:ascii="黑体" w:hAnsi="黑体" w:eastAsia="黑体"/>
          <w:bCs/>
          <w:szCs w:val="21"/>
        </w:rPr>
        <w:t>第六条  材料、设备供应</w:t>
      </w:r>
    </w:p>
    <w:p>
      <w:pPr>
        <w:spacing w:line="460" w:lineRule="exact"/>
        <w:ind w:firstLine="420" w:firstLineChars="200"/>
        <w:rPr>
          <w:rFonts w:hint="eastAsia" w:ascii="宋体" w:hAnsi="宋体"/>
          <w:szCs w:val="21"/>
        </w:rPr>
      </w:pPr>
      <w:r>
        <w:rPr>
          <w:rFonts w:hint="eastAsia" w:ascii="宋体" w:hAnsi="宋体"/>
          <w:szCs w:val="21"/>
        </w:rPr>
        <w:t>一、材料供应</w:t>
      </w:r>
    </w:p>
    <w:p>
      <w:pPr>
        <w:spacing w:line="460" w:lineRule="exact"/>
        <w:ind w:firstLine="420" w:firstLineChars="200"/>
        <w:rPr>
          <w:rFonts w:hint="eastAsia" w:ascii="宋体" w:hAnsi="宋体"/>
          <w:szCs w:val="21"/>
        </w:rPr>
      </w:pPr>
      <w:r>
        <w:rPr>
          <w:rFonts w:hint="eastAsia" w:ascii="宋体" w:hAnsi="宋体"/>
          <w:szCs w:val="21"/>
        </w:rPr>
        <w:t>1、材料经双方点验 签证后由乙方负责保管并合理使用。</w:t>
      </w:r>
    </w:p>
    <w:p>
      <w:pPr>
        <w:spacing w:line="460" w:lineRule="exact"/>
        <w:ind w:firstLine="396" w:firstLineChars="200"/>
        <w:rPr>
          <w:rFonts w:hint="eastAsia" w:ascii="宋体" w:hAnsi="宋体"/>
          <w:spacing w:val="-6"/>
          <w:szCs w:val="21"/>
        </w:rPr>
      </w:pPr>
      <w:r>
        <w:rPr>
          <w:rFonts w:ascii="宋体" w:hAnsi="宋体"/>
          <w:spacing w:val="-6"/>
          <w:szCs w:val="21"/>
        </w:rPr>
        <w:t>2</w:t>
      </w:r>
      <w:r>
        <w:rPr>
          <w:rFonts w:hint="eastAsia" w:ascii="宋体" w:hAnsi="宋体"/>
          <w:spacing w:val="-6"/>
          <w:szCs w:val="21"/>
        </w:rPr>
        <w:t>、乙方倒卖甲供材料的，按供应价格的200%向甲方支付违约金，</w:t>
      </w:r>
      <w:r>
        <w:rPr>
          <w:rFonts w:ascii="宋体" w:hAnsi="宋体"/>
          <w:spacing w:val="-6"/>
          <w:szCs w:val="21"/>
        </w:rPr>
        <w:t>并依据甲方相关规定进行处罚。</w:t>
      </w:r>
    </w:p>
    <w:p>
      <w:pPr>
        <w:spacing w:line="460" w:lineRule="exact"/>
        <w:ind w:firstLine="420" w:firstLineChars="200"/>
        <w:rPr>
          <w:rFonts w:hint="eastAsia" w:ascii="宋体" w:hAnsi="宋体"/>
          <w:szCs w:val="21"/>
        </w:rPr>
      </w:pPr>
      <w:r>
        <w:rPr>
          <w:rFonts w:ascii="宋体" w:hAnsi="宋体"/>
          <w:szCs w:val="21"/>
        </w:rPr>
        <w:t>3</w:t>
      </w:r>
      <w:r>
        <w:rPr>
          <w:rFonts w:hint="eastAsia" w:ascii="宋体" w:hAnsi="宋体"/>
          <w:szCs w:val="21"/>
        </w:rPr>
        <w:t>、甲供材料以外的其他辅助性零星小型材料，甲方委托乙方自行采购。</w:t>
      </w:r>
    </w:p>
    <w:p>
      <w:pPr>
        <w:spacing w:line="460" w:lineRule="exact"/>
        <w:ind w:firstLine="420" w:firstLineChars="200"/>
        <w:rPr>
          <w:rFonts w:hint="eastAsia" w:ascii="宋体" w:hAnsi="宋体"/>
          <w:szCs w:val="21"/>
        </w:rPr>
      </w:pPr>
      <w:r>
        <w:rPr>
          <w:rFonts w:hint="eastAsia" w:ascii="宋体" w:hAnsi="宋体"/>
          <w:szCs w:val="21"/>
        </w:rPr>
        <w:t>二、设备供应</w:t>
      </w:r>
    </w:p>
    <w:p>
      <w:pPr>
        <w:spacing w:line="460" w:lineRule="exact"/>
        <w:ind w:firstLine="420" w:firstLineChars="200"/>
        <w:rPr>
          <w:rFonts w:hint="eastAsia" w:ascii="宋体" w:hAnsi="宋体"/>
          <w:szCs w:val="21"/>
        </w:rPr>
      </w:pPr>
      <w:r>
        <w:rPr>
          <w:rFonts w:hint="eastAsia" w:ascii="宋体" w:hAnsi="宋体"/>
          <w:szCs w:val="21"/>
        </w:rPr>
        <w:t>除甲方提供的机械设备（含租赁提供的）外的其他零星小型机具由乙方负责自带，费用已包含在劳务单价中。</w:t>
      </w:r>
    </w:p>
    <w:p>
      <w:pPr>
        <w:snapToGrid w:val="0"/>
        <w:spacing w:line="460" w:lineRule="exact"/>
        <w:jc w:val="center"/>
        <w:rPr>
          <w:rFonts w:hint="eastAsia" w:ascii="黑体" w:hAnsi="黑体" w:eastAsia="黑体"/>
          <w:bCs/>
          <w:szCs w:val="21"/>
        </w:rPr>
      </w:pPr>
      <w:r>
        <w:rPr>
          <w:rFonts w:hint="eastAsia" w:ascii="黑体" w:hAnsi="黑体" w:eastAsia="黑体"/>
          <w:bCs/>
          <w:szCs w:val="21"/>
        </w:rPr>
        <w:t>第七条  劳务价款的结算与支付</w:t>
      </w:r>
    </w:p>
    <w:p>
      <w:pPr>
        <w:spacing w:line="460" w:lineRule="exact"/>
        <w:ind w:firstLine="420" w:firstLineChars="200"/>
        <w:rPr>
          <w:rFonts w:hint="eastAsia" w:ascii="宋体" w:hAnsi="宋体"/>
          <w:szCs w:val="21"/>
        </w:rPr>
      </w:pPr>
      <w:r>
        <w:rPr>
          <w:rFonts w:hint="eastAsia" w:ascii="宋体" w:hAnsi="宋体"/>
          <w:szCs w:val="21"/>
        </w:rPr>
        <w:t>一、乙方在本合同签订时向甲方一次性缴纳人民币（大写）</w:t>
      </w:r>
      <w:r>
        <w:rPr>
          <w:rFonts w:hint="eastAsia" w:ascii="宋体" w:hAnsi="宋体"/>
          <w:szCs w:val="21"/>
          <w:u w:val="single"/>
        </w:rPr>
        <w:t xml:space="preserve">  /  </w:t>
      </w:r>
      <w:r>
        <w:rPr>
          <w:rFonts w:hint="eastAsia" w:ascii="宋体" w:hAnsi="宋体"/>
          <w:szCs w:val="21"/>
        </w:rPr>
        <w:t>万元的履约保证金。甲方末次结算时一次性予以返还，履约保证金不计利息。</w:t>
      </w:r>
    </w:p>
    <w:p>
      <w:pPr>
        <w:spacing w:line="460" w:lineRule="exact"/>
        <w:ind w:firstLine="420" w:firstLineChars="200"/>
        <w:rPr>
          <w:rFonts w:hint="eastAsia" w:ascii="宋体" w:hAnsi="宋体"/>
          <w:szCs w:val="21"/>
        </w:rPr>
      </w:pPr>
      <w:r>
        <w:rPr>
          <w:rFonts w:hint="eastAsia" w:ascii="宋体" w:hAnsi="宋体"/>
          <w:szCs w:val="21"/>
        </w:rPr>
        <w:t>二、本合同劳务费用实行按月验工计价，如果完工未决算的可按照该工程完成的工程量预付工程进度款。</w:t>
      </w:r>
    </w:p>
    <w:p>
      <w:pPr>
        <w:spacing w:line="460" w:lineRule="exact"/>
        <w:ind w:firstLine="420" w:firstLineChars="200"/>
        <w:rPr>
          <w:rFonts w:hint="eastAsia" w:ascii="宋体" w:hAnsi="宋体"/>
          <w:szCs w:val="21"/>
        </w:rPr>
      </w:pPr>
      <w:r>
        <w:rPr>
          <w:rFonts w:hint="eastAsia" w:ascii="宋体" w:hAnsi="宋体"/>
          <w:szCs w:val="21"/>
        </w:rPr>
        <w:t>三、验工计价按下列程序进行：每月25日以前双方对乙方当月完成符合质量要求并在甲方技术交底范围内实际完成的工程量进行计量，执行</w:t>
      </w:r>
      <w:r>
        <w:rPr>
          <w:rFonts w:ascii="宋体" w:hAnsi="宋体"/>
          <w:szCs w:val="21"/>
        </w:rPr>
        <w:t>甲方结算流程</w:t>
      </w:r>
      <w:r>
        <w:rPr>
          <w:rFonts w:hint="eastAsia" w:ascii="宋体" w:hAnsi="宋体"/>
          <w:szCs w:val="21"/>
        </w:rPr>
        <w:t>。</w:t>
      </w:r>
      <w:r>
        <w:rPr>
          <w:rFonts w:hint="eastAsia" w:ascii="宋体" w:hAnsi="宋体"/>
          <w:spacing w:val="-4"/>
          <w:szCs w:val="21"/>
        </w:rPr>
        <w:t>甲方项目经理和乙方代理人签认的验工计价单是甲方支付乙方劳务款的最终依据，甲方及乙方其余人员的签认均为过程签认，不具备法律效力。</w:t>
      </w:r>
    </w:p>
    <w:p>
      <w:pPr>
        <w:spacing w:line="460" w:lineRule="exact"/>
        <w:ind w:firstLine="420" w:firstLineChars="200"/>
        <w:rPr>
          <w:rFonts w:hint="eastAsia" w:ascii="宋体" w:hAnsi="宋体" w:cs="宋体"/>
          <w:color w:val="000000"/>
          <w:kern w:val="0"/>
          <w:szCs w:val="21"/>
        </w:rPr>
      </w:pPr>
      <w:r>
        <w:rPr>
          <w:rFonts w:hint="eastAsia" w:ascii="宋体" w:hAnsi="宋体"/>
          <w:color w:val="000000"/>
          <w:szCs w:val="21"/>
        </w:rPr>
        <w:t>四、原则上按上述条款进行验工计价、清算、决算,如建设单位对甲方</w:t>
      </w:r>
      <w:r>
        <w:rPr>
          <w:rFonts w:ascii="宋体" w:hAnsi="宋体"/>
          <w:color w:val="000000"/>
          <w:szCs w:val="21"/>
        </w:rPr>
        <w:t>工程</w:t>
      </w:r>
      <w:r>
        <w:rPr>
          <w:rFonts w:hint="eastAsia" w:ascii="宋体" w:hAnsi="宋体"/>
          <w:color w:val="000000"/>
          <w:szCs w:val="21"/>
        </w:rPr>
        <w:t>款延期支付,清算、决算延期进行，</w:t>
      </w:r>
      <w:r>
        <w:rPr>
          <w:rFonts w:hint="eastAsia" w:ascii="宋体" w:hAnsi="宋体" w:cs="宋体"/>
          <w:color w:val="000000"/>
          <w:kern w:val="0"/>
          <w:szCs w:val="21"/>
        </w:rPr>
        <w:t>甲方账户被查封、政策突变等不可抗拒情况，劳务价款支付相应顺延，顺延时间最长不超过工程</w:t>
      </w:r>
      <w:r>
        <w:rPr>
          <w:rFonts w:hint="eastAsia" w:ascii="宋体" w:hAnsi="宋体"/>
          <w:szCs w:val="21"/>
        </w:rPr>
        <w:t>缺陷责任期满</w:t>
      </w:r>
      <w:r>
        <w:rPr>
          <w:rFonts w:hint="eastAsia" w:ascii="宋体" w:hAnsi="宋体" w:cs="宋体"/>
          <w:color w:val="000000"/>
          <w:kern w:val="0"/>
          <w:szCs w:val="21"/>
        </w:rPr>
        <w:t>后</w:t>
      </w:r>
      <w:r>
        <w:rPr>
          <w:rFonts w:hint="eastAsia" w:ascii="宋体" w:hAnsi="宋体" w:cs="宋体"/>
          <w:color w:val="000000"/>
          <w:kern w:val="0"/>
          <w:szCs w:val="21"/>
          <w:u w:val="single"/>
        </w:rPr>
        <w:t xml:space="preserve"> 壹 </w:t>
      </w:r>
      <w:r>
        <w:rPr>
          <w:rFonts w:hint="eastAsia" w:ascii="宋体" w:hAnsi="宋体" w:cs="宋体"/>
          <w:color w:val="000000"/>
          <w:kern w:val="0"/>
          <w:szCs w:val="21"/>
        </w:rPr>
        <w:t>年，顺延期间不计息不违约。（特别约定条款1）</w:t>
      </w:r>
    </w:p>
    <w:p>
      <w:pPr>
        <w:spacing w:line="460" w:lineRule="exact"/>
        <w:ind w:firstLine="420" w:firstLineChars="200"/>
        <w:rPr>
          <w:rFonts w:hint="eastAsia" w:ascii="宋体" w:hAnsi="宋体" w:cs="宋体"/>
          <w:kern w:val="0"/>
          <w:szCs w:val="21"/>
        </w:rPr>
      </w:pPr>
      <w:r>
        <w:rPr>
          <w:rFonts w:hint="eastAsia" w:ascii="宋体" w:hAnsi="宋体" w:cs="宋体"/>
          <w:color w:val="000000"/>
          <w:kern w:val="0"/>
          <w:szCs w:val="21"/>
        </w:rPr>
        <w:t>其他约定事项：</w:t>
      </w:r>
      <w:r>
        <w:rPr>
          <w:rFonts w:hint="eastAsia" w:ascii="宋体" w:hAnsi="宋体" w:cs="宋体"/>
          <w:kern w:val="0"/>
          <w:szCs w:val="21"/>
        </w:rPr>
        <w:t>甲方每次付款前，必须有乙方提供的相应增值税专用发票，否则甲方有权拒付款项；若发生特别约定条款1时乙方则于甲方书面或电话通知3日内将符合规定的增值税专用发票交于甲方，甲方则于乙方开票前7日或开票后7日内将税款先行支付乙方。(特别约定条款2)</w:t>
      </w:r>
    </w:p>
    <w:p>
      <w:pPr>
        <w:spacing w:line="460" w:lineRule="exact"/>
        <w:ind w:firstLine="420" w:firstLineChars="200"/>
        <w:rPr>
          <w:rFonts w:hint="eastAsia" w:ascii="宋体" w:hAnsi="宋体" w:cs="宋体"/>
          <w:kern w:val="0"/>
          <w:szCs w:val="21"/>
        </w:rPr>
      </w:pPr>
      <w:r>
        <w:rPr>
          <w:rFonts w:hint="eastAsia" w:ascii="宋体" w:hAnsi="宋体" w:cs="宋体"/>
          <w:kern w:val="0"/>
          <w:szCs w:val="21"/>
        </w:rPr>
        <w:t>五、增值税专用条款</w:t>
      </w:r>
    </w:p>
    <w:p>
      <w:pPr>
        <w:spacing w:line="460" w:lineRule="exact"/>
        <w:ind w:firstLine="420" w:firstLineChars="200"/>
        <w:rPr>
          <w:rFonts w:hint="eastAsia" w:ascii="宋体" w:hAnsi="宋体" w:cs="宋体"/>
          <w:kern w:val="0"/>
          <w:szCs w:val="21"/>
        </w:rPr>
      </w:pPr>
      <w:r>
        <w:rPr>
          <w:rFonts w:hint="eastAsia" w:ascii="宋体" w:hAnsi="宋体" w:cs="宋体"/>
          <w:kern w:val="0"/>
          <w:szCs w:val="21"/>
        </w:rPr>
        <w:t>1、乙方按本合同约定向甲方提供符合甲方财务部门要求的增值税专用发票，不合格发票包括但不限于以下情形：开具虚假、作废等无效发票或者违反国家法律法规开具、提供发票的，开具发票种类错误，开具发票税率与合同约定不符，发票信息错误，因乙方迟延送达、开具错误等原因造成发票认证失败等。</w:t>
      </w:r>
    </w:p>
    <w:p>
      <w:pPr>
        <w:spacing w:line="460" w:lineRule="exact"/>
        <w:ind w:firstLine="420" w:firstLineChars="200"/>
        <w:rPr>
          <w:rFonts w:hint="eastAsia" w:ascii="宋体" w:hAnsi="宋体" w:cs="宋体"/>
          <w:kern w:val="0"/>
          <w:szCs w:val="21"/>
        </w:rPr>
      </w:pPr>
      <w:r>
        <w:rPr>
          <w:rFonts w:hint="eastAsia" w:ascii="宋体" w:hAnsi="宋体" w:cs="宋体"/>
          <w:kern w:val="0"/>
          <w:szCs w:val="21"/>
        </w:rPr>
        <w:t>2、乙方还应遵守如下条款：</w:t>
      </w:r>
    </w:p>
    <w:p>
      <w:pPr>
        <w:spacing w:line="460" w:lineRule="exact"/>
        <w:ind w:firstLine="420" w:firstLineChars="200"/>
        <w:rPr>
          <w:rFonts w:hint="eastAsia" w:ascii="宋体" w:hAnsi="宋体" w:cs="宋体"/>
          <w:kern w:val="0"/>
          <w:szCs w:val="21"/>
        </w:rPr>
      </w:pPr>
      <w:r>
        <w:rPr>
          <w:rFonts w:hint="eastAsia" w:ascii="宋体" w:hAnsi="宋体" w:cs="宋体"/>
          <w:kern w:val="0"/>
          <w:szCs w:val="21"/>
        </w:rPr>
        <w:t>乙方提供增值税专用发票并</w:t>
      </w:r>
      <w:r>
        <w:rPr>
          <w:rFonts w:ascii="宋体" w:hAnsi="宋体" w:cs="宋体"/>
          <w:kern w:val="0"/>
          <w:szCs w:val="21"/>
        </w:rPr>
        <w:t>履行甲方</w:t>
      </w:r>
      <w:r>
        <w:rPr>
          <w:rFonts w:hint="eastAsia" w:ascii="宋体" w:hAnsi="宋体" w:cs="宋体"/>
          <w:kern w:val="0"/>
          <w:szCs w:val="21"/>
        </w:rPr>
        <w:t>内部</w:t>
      </w:r>
      <w:r>
        <w:rPr>
          <w:rFonts w:ascii="宋体" w:hAnsi="宋体" w:cs="宋体"/>
          <w:kern w:val="0"/>
          <w:szCs w:val="21"/>
        </w:rPr>
        <w:t>审批</w:t>
      </w:r>
      <w:r>
        <w:rPr>
          <w:rFonts w:hint="eastAsia" w:ascii="宋体" w:hAnsi="宋体" w:cs="宋体"/>
          <w:kern w:val="0"/>
          <w:szCs w:val="21"/>
        </w:rPr>
        <w:t>手续。因乙方迟延送达、开具错误等原因导致其提供的增值税专用发票没有通过税务部门认证，造成甲方不能抵扣的，甲方有权拒绝接收。</w:t>
      </w:r>
    </w:p>
    <w:p>
      <w:pPr>
        <w:spacing w:line="460" w:lineRule="exact"/>
        <w:ind w:firstLine="420" w:firstLineChars="200"/>
        <w:rPr>
          <w:rFonts w:hint="eastAsia" w:ascii="宋体" w:hAnsi="宋体" w:cs="宋体"/>
          <w:kern w:val="0"/>
          <w:szCs w:val="21"/>
        </w:rPr>
      </w:pPr>
      <w:r>
        <w:rPr>
          <w:rFonts w:hint="eastAsia" w:ascii="宋体" w:hAnsi="宋体" w:cs="宋体"/>
          <w:kern w:val="0"/>
          <w:szCs w:val="21"/>
        </w:rPr>
        <w:t>因乙方自身纳税人身份、纳税方式变化带来的适用增值税税率的变化，导致对甲方的损失应由乙方承担。</w:t>
      </w:r>
    </w:p>
    <w:p>
      <w:pPr>
        <w:spacing w:line="460" w:lineRule="exact"/>
        <w:ind w:firstLine="420" w:firstLineChars="200"/>
        <w:rPr>
          <w:rFonts w:hint="eastAsia" w:ascii="宋体" w:hAnsi="宋体" w:cs="宋体"/>
          <w:kern w:val="0"/>
          <w:szCs w:val="21"/>
        </w:rPr>
      </w:pPr>
      <w:r>
        <w:rPr>
          <w:rFonts w:hint="eastAsia" w:ascii="宋体" w:hAnsi="宋体" w:cs="宋体"/>
          <w:kern w:val="0"/>
          <w:szCs w:val="21"/>
        </w:rPr>
        <w:t>如果甲方丢失增值税专用发票联和抵扣联，乙方应向甲方提供专用发票记账联复印件及主管税务机关出具的《丢失增值税专用发票已报税证明单》。</w:t>
      </w:r>
    </w:p>
    <w:p>
      <w:pPr>
        <w:spacing w:line="460" w:lineRule="exact"/>
        <w:ind w:firstLine="420" w:firstLineChars="200"/>
        <w:rPr>
          <w:rFonts w:hint="eastAsia" w:ascii="宋体" w:hAnsi="宋体" w:cs="宋体"/>
          <w:kern w:val="0"/>
          <w:szCs w:val="21"/>
        </w:rPr>
      </w:pPr>
      <w:r>
        <w:rPr>
          <w:rFonts w:hint="eastAsia" w:ascii="宋体" w:hAnsi="宋体" w:cs="宋体"/>
          <w:kern w:val="0"/>
          <w:szCs w:val="21"/>
        </w:rPr>
        <w:t>如果获得开具的汇总专用发票，则乙方应提供其防伪税控系统开具的《销售货物或者提供应税劳务清单》，并加盖发票专用章。</w:t>
      </w:r>
    </w:p>
    <w:p>
      <w:pPr>
        <w:pStyle w:val="3"/>
        <w:spacing w:line="460" w:lineRule="exact"/>
        <w:ind w:firstLine="420" w:firstLineChars="200"/>
        <w:rPr>
          <w:rFonts w:hint="eastAsia"/>
        </w:rPr>
      </w:pPr>
      <w:r>
        <w:rPr>
          <w:rFonts w:hint="eastAsia" w:ascii="宋体" w:hAnsi="宋体"/>
          <w:szCs w:val="21"/>
        </w:rPr>
        <w:t>七、</w:t>
      </w:r>
      <w:r>
        <w:rPr>
          <w:rFonts w:hint="eastAsia"/>
        </w:rPr>
        <w:t>乙方原则上需在合同履行地开立银行账号，计价款除代发民工工资外应转账支付。特殊情况下甲乙可另行协商，但相应的手续必须完备。</w:t>
      </w:r>
    </w:p>
    <w:p>
      <w:pPr>
        <w:spacing w:line="460" w:lineRule="exact"/>
        <w:ind w:firstLine="420" w:firstLineChars="200"/>
        <w:rPr>
          <w:rFonts w:hint="eastAsia" w:ascii="宋体" w:hAnsi="宋体"/>
          <w:szCs w:val="21"/>
        </w:rPr>
      </w:pPr>
      <w:r>
        <w:rPr>
          <w:rFonts w:hint="eastAsia" w:ascii="宋体" w:hAnsi="宋体"/>
          <w:szCs w:val="21"/>
        </w:rPr>
        <w:t>八、合同项目完工验收后，甲方负责对乙方进行末次验工计价，办理决算,</w:t>
      </w:r>
      <w:r>
        <w:rPr>
          <w:rFonts w:hint="eastAsia"/>
        </w:rPr>
        <w:t xml:space="preserve"> 乙方劳务义务终止</w:t>
      </w:r>
      <w:r>
        <w:rPr>
          <w:rFonts w:hint="eastAsia" w:ascii="宋体" w:hAnsi="宋体"/>
          <w:szCs w:val="21"/>
        </w:rPr>
        <w:t>，转入债权债务关系。</w:t>
      </w:r>
    </w:p>
    <w:p>
      <w:pPr>
        <w:snapToGrid w:val="0"/>
        <w:spacing w:line="460" w:lineRule="exact"/>
        <w:jc w:val="center"/>
        <w:rPr>
          <w:rFonts w:hint="eastAsia" w:ascii="黑体" w:hAnsi="黑体" w:eastAsia="黑体"/>
          <w:bCs/>
          <w:szCs w:val="21"/>
        </w:rPr>
      </w:pPr>
      <w:r>
        <w:rPr>
          <w:rFonts w:hint="eastAsia" w:ascii="黑体" w:hAnsi="黑体" w:eastAsia="黑体"/>
          <w:bCs/>
          <w:szCs w:val="21"/>
        </w:rPr>
        <w:t>第八条  违约责任和解除合同</w:t>
      </w:r>
    </w:p>
    <w:p>
      <w:pPr>
        <w:snapToGrid w:val="0"/>
        <w:spacing w:line="460" w:lineRule="exact"/>
        <w:ind w:firstLine="420" w:firstLineChars="200"/>
        <w:rPr>
          <w:rFonts w:hint="eastAsia" w:ascii="黑体" w:hAnsi="黑体" w:eastAsia="黑体"/>
          <w:bCs/>
          <w:szCs w:val="21"/>
        </w:rPr>
      </w:pPr>
      <w:r>
        <w:rPr>
          <w:rFonts w:hint="eastAsia" w:ascii="黑体" w:hAnsi="黑体" w:eastAsia="黑体"/>
          <w:bCs/>
          <w:szCs w:val="21"/>
        </w:rPr>
        <w:t>一、</w:t>
      </w:r>
      <w:r>
        <w:rPr>
          <w:rFonts w:hint="eastAsia" w:ascii="宋体" w:hAnsi="宋体"/>
          <w:bCs/>
          <w:szCs w:val="21"/>
        </w:rPr>
        <w:t>甲方违约责任</w:t>
      </w:r>
    </w:p>
    <w:p>
      <w:pPr>
        <w:tabs>
          <w:tab w:val="left" w:pos="585"/>
        </w:tabs>
        <w:snapToGrid w:val="0"/>
        <w:spacing w:line="460" w:lineRule="exact"/>
        <w:ind w:firstLine="420" w:firstLineChars="200"/>
        <w:rPr>
          <w:rFonts w:hint="eastAsia" w:ascii="宋体" w:hAnsi="宋体"/>
          <w:bCs/>
          <w:szCs w:val="21"/>
        </w:rPr>
      </w:pPr>
      <w:r>
        <w:rPr>
          <w:rFonts w:hint="eastAsia" w:ascii="宋体" w:hAnsi="宋体"/>
          <w:bCs/>
          <w:szCs w:val="21"/>
        </w:rPr>
        <w:t>1、因甲方、工程建设单位、设计变更、</w:t>
      </w:r>
      <w:r>
        <w:rPr>
          <w:rFonts w:ascii="宋体" w:hAnsi="宋体"/>
          <w:bCs/>
          <w:szCs w:val="21"/>
        </w:rPr>
        <w:t>不可抗力</w:t>
      </w:r>
      <w:r>
        <w:rPr>
          <w:rFonts w:hint="eastAsia" w:ascii="宋体" w:hAnsi="宋体"/>
          <w:bCs/>
          <w:szCs w:val="21"/>
        </w:rPr>
        <w:t>等原因造成乙方不能按合同工期完工，工期顺延但甲方不赔偿乙方损失，此风险乙方已包含在报价中。</w:t>
      </w:r>
    </w:p>
    <w:p>
      <w:pPr>
        <w:tabs>
          <w:tab w:val="left" w:pos="585"/>
        </w:tabs>
        <w:snapToGrid w:val="0"/>
        <w:spacing w:line="460" w:lineRule="exact"/>
        <w:ind w:firstLine="420" w:firstLineChars="200"/>
        <w:rPr>
          <w:rFonts w:hint="eastAsia" w:ascii="宋体" w:hAnsi="宋体"/>
          <w:bCs/>
          <w:szCs w:val="21"/>
        </w:rPr>
      </w:pPr>
      <w:r>
        <w:rPr>
          <w:rFonts w:hint="eastAsia" w:ascii="宋体" w:hAnsi="宋体"/>
          <w:bCs/>
          <w:szCs w:val="21"/>
        </w:rPr>
        <w:t>2、因甲方原因造成工程质量不合格而返工重做的，按本合同约定的办法进行计价。</w:t>
      </w:r>
    </w:p>
    <w:p>
      <w:pPr>
        <w:spacing w:line="460" w:lineRule="exact"/>
        <w:ind w:firstLine="420" w:firstLineChars="200"/>
        <w:rPr>
          <w:rFonts w:hint="eastAsia" w:ascii="宋体" w:hAnsi="宋体"/>
          <w:szCs w:val="21"/>
        </w:rPr>
      </w:pPr>
      <w:r>
        <w:rPr>
          <w:rFonts w:hint="eastAsia" w:ascii="宋体" w:hAnsi="宋体" w:cs="宋体"/>
          <w:kern w:val="0"/>
          <w:szCs w:val="21"/>
        </w:rPr>
        <w:t>二、</w:t>
      </w:r>
      <w:r>
        <w:rPr>
          <w:rFonts w:hint="eastAsia" w:ascii="宋体" w:hAnsi="宋体"/>
          <w:bCs/>
          <w:szCs w:val="21"/>
        </w:rPr>
        <w:t>乙方违约责任</w:t>
      </w:r>
    </w:p>
    <w:p>
      <w:pPr>
        <w:tabs>
          <w:tab w:val="left" w:pos="0"/>
        </w:tabs>
        <w:snapToGrid w:val="0"/>
        <w:spacing w:line="460" w:lineRule="exact"/>
        <w:ind w:firstLine="424" w:firstLineChars="202"/>
        <w:rPr>
          <w:rFonts w:hint="eastAsia" w:ascii="宋体" w:hAnsi="宋体"/>
          <w:bCs/>
          <w:szCs w:val="21"/>
        </w:rPr>
      </w:pPr>
      <w:r>
        <w:rPr>
          <w:rFonts w:hint="eastAsia" w:ascii="宋体" w:hAnsi="宋体"/>
          <w:bCs/>
          <w:szCs w:val="21"/>
        </w:rPr>
        <w:t>1、乙方因自身原因延期交工的，每延误一日，向甲方支付1000</w:t>
      </w:r>
      <w:r>
        <w:rPr>
          <w:rFonts w:ascii="宋体" w:hAnsi="宋体"/>
          <w:bCs/>
          <w:szCs w:val="21"/>
        </w:rPr>
        <w:t>-3000</w:t>
      </w:r>
      <w:r>
        <w:rPr>
          <w:rFonts w:hint="eastAsia" w:ascii="宋体" w:hAnsi="宋体"/>
          <w:bCs/>
          <w:szCs w:val="21"/>
        </w:rPr>
        <w:t>元的违约金。</w:t>
      </w:r>
    </w:p>
    <w:p>
      <w:pPr>
        <w:tabs>
          <w:tab w:val="left" w:pos="0"/>
        </w:tabs>
        <w:snapToGrid w:val="0"/>
        <w:spacing w:line="460" w:lineRule="exact"/>
        <w:ind w:firstLine="424" w:firstLineChars="202"/>
        <w:rPr>
          <w:rFonts w:hint="eastAsia" w:ascii="宋体" w:hAnsi="宋体"/>
          <w:szCs w:val="21"/>
        </w:rPr>
      </w:pPr>
      <w:r>
        <w:rPr>
          <w:rFonts w:ascii="宋体" w:hAnsi="宋体"/>
          <w:szCs w:val="21"/>
        </w:rPr>
        <w:t>2</w:t>
      </w:r>
      <w:r>
        <w:rPr>
          <w:rFonts w:hint="eastAsia" w:ascii="宋体" w:hAnsi="宋体"/>
          <w:szCs w:val="21"/>
        </w:rPr>
        <w:t>、乙方违背甲方指令、通知等文件或不执行甲方指令和通知等文件的，每出现1次向甲方支付违约金3000元，</w:t>
      </w:r>
      <w:r>
        <w:rPr>
          <w:rFonts w:hint="eastAsia"/>
        </w:rPr>
        <w:t>违约金不足以弥补造成的损失的由乙方补足金额</w:t>
      </w:r>
      <w:r>
        <w:rPr>
          <w:rFonts w:hint="eastAsia" w:ascii="宋体" w:hAnsi="宋体"/>
          <w:szCs w:val="21"/>
        </w:rPr>
        <w:t>。</w:t>
      </w:r>
    </w:p>
    <w:p>
      <w:pPr>
        <w:spacing w:line="460" w:lineRule="exact"/>
        <w:ind w:firstLine="414" w:firstLineChars="218"/>
        <w:rPr>
          <w:rFonts w:ascii="宋体" w:hAnsi="宋体"/>
          <w:szCs w:val="21"/>
        </w:rPr>
      </w:pPr>
      <w:r>
        <w:rPr>
          <w:rFonts w:ascii="宋体" w:hAnsi="宋体"/>
          <w:spacing w:val="-10"/>
          <w:szCs w:val="21"/>
        </w:rPr>
        <w:t>3</w:t>
      </w:r>
      <w:r>
        <w:rPr>
          <w:rFonts w:hint="eastAsia" w:ascii="宋体" w:hAnsi="宋体"/>
          <w:spacing w:val="-10"/>
          <w:szCs w:val="21"/>
        </w:rPr>
        <w:t>、乙方不执行甲方的停工指令或擅自复工，</w:t>
      </w:r>
      <w:r>
        <w:rPr>
          <w:rFonts w:hint="eastAsia" w:ascii="宋体" w:hAnsi="宋体"/>
          <w:szCs w:val="21"/>
        </w:rPr>
        <w:t>每出现1次向甲方支付违约金1000</w:t>
      </w:r>
      <w:r>
        <w:rPr>
          <w:rFonts w:ascii="宋体" w:hAnsi="宋体"/>
          <w:szCs w:val="21"/>
        </w:rPr>
        <w:t>-3000</w:t>
      </w:r>
      <w:r>
        <w:rPr>
          <w:rFonts w:hint="eastAsia" w:ascii="宋体" w:hAnsi="宋体"/>
          <w:szCs w:val="21"/>
        </w:rPr>
        <w:t>元，</w:t>
      </w:r>
      <w:r>
        <w:rPr>
          <w:rFonts w:hint="eastAsia"/>
        </w:rPr>
        <w:t>违约金不足以弥补造成的损失的由乙方补足金额</w:t>
      </w:r>
      <w:r>
        <w:rPr>
          <w:rFonts w:hint="eastAsia" w:ascii="宋体" w:hAnsi="宋体"/>
          <w:szCs w:val="21"/>
        </w:rPr>
        <w:t>。</w:t>
      </w:r>
    </w:p>
    <w:p>
      <w:pPr>
        <w:spacing w:line="460" w:lineRule="exact"/>
        <w:ind w:firstLine="457" w:firstLineChars="218"/>
        <w:rPr>
          <w:rFonts w:hint="eastAsia" w:ascii="宋体" w:hAnsi="宋体"/>
          <w:szCs w:val="21"/>
        </w:rPr>
      </w:pPr>
      <w:r>
        <w:rPr>
          <w:rFonts w:ascii="宋体" w:hAnsi="宋体"/>
          <w:szCs w:val="21"/>
        </w:rPr>
        <w:t>4</w:t>
      </w:r>
      <w:r>
        <w:rPr>
          <w:rFonts w:hint="eastAsia" w:ascii="宋体" w:hAnsi="宋体"/>
          <w:szCs w:val="21"/>
        </w:rPr>
        <w:t>、乙方未按合同约定开具增值税专用发票或实际开具的增值税专用发票税率低于合同中约定税率的，乙方除应向甲方支付无法抵扣部分的税款金额外，乙方还应向甲方支付合同总价</w:t>
      </w:r>
      <w:r>
        <w:rPr>
          <w:rFonts w:hint="eastAsia" w:ascii="宋体" w:hAnsi="宋体"/>
          <w:szCs w:val="21"/>
          <w:u w:val="single"/>
        </w:rPr>
        <w:t>0.5 %</w:t>
      </w:r>
      <w:r>
        <w:rPr>
          <w:rFonts w:hint="eastAsia" w:ascii="宋体" w:hAnsi="宋体"/>
          <w:szCs w:val="21"/>
        </w:rPr>
        <w:t>的违约金，违约金不足以弥补甲方损失的由乙方补足金额，甲方有权解除合同。</w:t>
      </w:r>
    </w:p>
    <w:p>
      <w:pPr>
        <w:spacing w:line="460" w:lineRule="exact"/>
        <w:ind w:firstLine="457" w:firstLineChars="218"/>
        <w:rPr>
          <w:rFonts w:hint="eastAsia" w:ascii="宋体" w:hAnsi="宋体"/>
          <w:szCs w:val="21"/>
        </w:rPr>
      </w:pPr>
      <w:r>
        <w:rPr>
          <w:rFonts w:ascii="宋体" w:hAnsi="宋体"/>
          <w:szCs w:val="21"/>
        </w:rPr>
        <w:t>5</w:t>
      </w:r>
      <w:r>
        <w:rPr>
          <w:rFonts w:hint="eastAsia" w:ascii="宋体" w:hAnsi="宋体"/>
          <w:szCs w:val="21"/>
        </w:rPr>
        <w:t>、乙方开具虚假、作废等无效发票或者违反国家法律法规开具、提供发票的，乙方应自行承担相应法律责任，并应向甲方支付合同总价</w:t>
      </w:r>
      <w:r>
        <w:rPr>
          <w:rFonts w:hint="eastAsia" w:ascii="宋体" w:hAnsi="宋体"/>
          <w:szCs w:val="21"/>
          <w:u w:val="single"/>
        </w:rPr>
        <w:t>3 %</w:t>
      </w:r>
      <w:r>
        <w:rPr>
          <w:rFonts w:hint="eastAsia" w:ascii="宋体" w:hAnsi="宋体"/>
          <w:szCs w:val="21"/>
        </w:rPr>
        <w:t>的违约金；以上违约金不足以弥补甲方损失的，乙方应予赔偿；乙方重新开具的发票仍与合同约定不符的，乙方除按本项前述约定承担责任外，甲方拒绝接收；乙方无法开具发票的，乙方除按本项前述约定承担责任外，乙方应退还甲方已付款项，赔偿由此给甲方造成的全部损失，甲方有权终止合同。</w:t>
      </w:r>
    </w:p>
    <w:p>
      <w:pPr>
        <w:spacing w:line="460" w:lineRule="exact"/>
        <w:ind w:firstLine="420" w:firstLineChars="200"/>
        <w:rPr>
          <w:rFonts w:hint="eastAsia" w:ascii="宋体" w:hAnsi="宋体"/>
          <w:spacing w:val="-4"/>
          <w:szCs w:val="21"/>
        </w:rPr>
      </w:pPr>
      <w:r>
        <w:rPr>
          <w:rFonts w:hint="eastAsia" w:ascii="宋体" w:hAnsi="宋体"/>
          <w:szCs w:val="21"/>
        </w:rPr>
        <w:t>三、乙</w:t>
      </w:r>
      <w:r>
        <w:rPr>
          <w:rFonts w:hint="eastAsia" w:ascii="宋体" w:hAnsi="宋体"/>
          <w:spacing w:val="-4"/>
          <w:szCs w:val="21"/>
        </w:rPr>
        <w:t>方有下列情形之一者，乙方向甲方支付已完成劳务价款总价</w:t>
      </w:r>
      <w:r>
        <w:rPr>
          <w:rFonts w:hint="eastAsia" w:ascii="宋体" w:hAnsi="宋体"/>
          <w:spacing w:val="-4"/>
          <w:szCs w:val="21"/>
          <w:u w:val="single"/>
        </w:rPr>
        <w:t xml:space="preserve">3% </w:t>
      </w:r>
      <w:r>
        <w:rPr>
          <w:rFonts w:hint="eastAsia" w:ascii="宋体" w:hAnsi="宋体"/>
          <w:spacing w:val="-4"/>
          <w:szCs w:val="21"/>
        </w:rPr>
        <w:t>的违约金，甲方有权单方面解除合同，乙方向甲方支付的履约保证金不予退还，构成犯罪的，交由司法机关处理。</w:t>
      </w:r>
    </w:p>
    <w:p>
      <w:pPr>
        <w:spacing w:line="460" w:lineRule="exact"/>
        <w:ind w:firstLine="420" w:firstLineChars="200"/>
        <w:rPr>
          <w:rFonts w:hint="eastAsia" w:ascii="宋体" w:hAnsi="宋体"/>
          <w:szCs w:val="21"/>
        </w:rPr>
      </w:pPr>
      <w:r>
        <w:rPr>
          <w:rFonts w:hint="eastAsia" w:ascii="宋体" w:hAnsi="宋体"/>
          <w:szCs w:val="21"/>
        </w:rPr>
        <w:t>1、乙方上场的人员、小型机具设备不能满足合同要求，严重影响合同履行的。</w:t>
      </w:r>
    </w:p>
    <w:p>
      <w:pPr>
        <w:spacing w:line="460" w:lineRule="exact"/>
        <w:ind w:firstLine="420" w:firstLineChars="200"/>
        <w:rPr>
          <w:rFonts w:hint="eastAsia" w:ascii="宋体" w:hAnsi="宋体"/>
          <w:szCs w:val="21"/>
        </w:rPr>
      </w:pPr>
      <w:r>
        <w:rPr>
          <w:rFonts w:hint="eastAsia" w:ascii="宋体" w:hAnsi="宋体"/>
          <w:szCs w:val="21"/>
        </w:rPr>
        <w:t>2、乙方施工质量达不到要求，甲方要求乙方无偿返工或修复，返工返修后仍达不到质量要求的。</w:t>
      </w:r>
    </w:p>
    <w:p>
      <w:pPr>
        <w:spacing w:line="460" w:lineRule="exact"/>
        <w:ind w:firstLine="420" w:firstLineChars="200"/>
        <w:rPr>
          <w:rFonts w:hint="eastAsia" w:ascii="宋体" w:hAnsi="宋体"/>
          <w:szCs w:val="21"/>
        </w:rPr>
      </w:pPr>
      <w:r>
        <w:rPr>
          <w:rFonts w:hint="eastAsia" w:ascii="宋体" w:hAnsi="宋体"/>
          <w:szCs w:val="21"/>
        </w:rPr>
        <w:t>3、乙方不按甲方安全交底要求进行施工；乙方安全措施、设施、物资不能保证施工安全；乙方现场施工工序失衡，已施工工程存在重大安全隐患或已造成重大安全事故的。</w:t>
      </w:r>
    </w:p>
    <w:p>
      <w:pPr>
        <w:spacing w:line="460" w:lineRule="exact"/>
        <w:ind w:firstLine="420" w:firstLineChars="200"/>
        <w:rPr>
          <w:rFonts w:hint="eastAsia" w:ascii="宋体" w:hAnsi="宋体"/>
          <w:szCs w:val="21"/>
          <w:u w:val="single"/>
        </w:rPr>
      </w:pPr>
      <w:r>
        <w:rPr>
          <w:rFonts w:hint="eastAsia" w:ascii="宋体" w:hAnsi="宋体"/>
          <w:szCs w:val="21"/>
        </w:rPr>
        <w:t>4、乙方</w:t>
      </w:r>
      <w:r>
        <w:rPr>
          <w:rFonts w:ascii="宋体" w:hAnsi="宋体"/>
          <w:szCs w:val="21"/>
        </w:rPr>
        <w:t>施工进度达不到双方约定要求</w:t>
      </w:r>
      <w:r>
        <w:rPr>
          <w:rFonts w:hint="eastAsia" w:ascii="宋体" w:hAnsi="宋体"/>
          <w:szCs w:val="21"/>
        </w:rPr>
        <w:t>的。</w:t>
      </w:r>
    </w:p>
    <w:p>
      <w:pPr>
        <w:spacing w:line="460" w:lineRule="exact"/>
        <w:ind w:firstLine="420" w:firstLineChars="200"/>
        <w:rPr>
          <w:rFonts w:hint="eastAsia" w:ascii="宋体" w:hAnsi="宋体"/>
          <w:szCs w:val="21"/>
        </w:rPr>
      </w:pPr>
      <w:r>
        <w:rPr>
          <w:rFonts w:ascii="宋体" w:hAnsi="宋体"/>
          <w:szCs w:val="21"/>
        </w:rPr>
        <w:t>5</w:t>
      </w:r>
      <w:r>
        <w:rPr>
          <w:rFonts w:hint="eastAsia" w:ascii="宋体" w:hAnsi="宋体"/>
          <w:szCs w:val="21"/>
        </w:rPr>
        <w:t>、乙方以任何形式将本合同项目进行分包、转包的。</w:t>
      </w:r>
    </w:p>
    <w:p>
      <w:pPr>
        <w:spacing w:line="460" w:lineRule="exact"/>
        <w:ind w:firstLine="420" w:firstLineChars="200"/>
        <w:rPr>
          <w:rFonts w:hint="eastAsia" w:ascii="宋体" w:hAnsi="宋体"/>
          <w:szCs w:val="21"/>
        </w:rPr>
      </w:pPr>
      <w:r>
        <w:rPr>
          <w:rFonts w:ascii="宋体" w:hAnsi="宋体"/>
          <w:szCs w:val="21"/>
        </w:rPr>
        <w:t>6</w:t>
      </w:r>
      <w:r>
        <w:rPr>
          <w:rFonts w:hint="eastAsia" w:ascii="宋体" w:hAnsi="宋体"/>
          <w:szCs w:val="21"/>
        </w:rPr>
        <w:t>、乙方以甲方及甲方项目部名义对任何第三方进行生产经营和施工管理活动的。</w:t>
      </w:r>
    </w:p>
    <w:p>
      <w:pPr>
        <w:spacing w:line="460" w:lineRule="exact"/>
        <w:ind w:firstLine="396" w:firstLineChars="200"/>
        <w:rPr>
          <w:rFonts w:hint="eastAsia" w:ascii="宋体" w:hAnsi="宋体"/>
          <w:spacing w:val="-6"/>
          <w:szCs w:val="21"/>
        </w:rPr>
      </w:pPr>
      <w:r>
        <w:rPr>
          <w:rFonts w:hint="eastAsia" w:ascii="宋体" w:hAnsi="宋体"/>
          <w:spacing w:val="-6"/>
          <w:szCs w:val="21"/>
        </w:rPr>
        <w:t>8、乙方擅自停工3天以上（含3天）的。</w:t>
      </w:r>
    </w:p>
    <w:p>
      <w:pPr>
        <w:spacing w:line="460" w:lineRule="exact"/>
        <w:ind w:firstLine="420" w:firstLineChars="200"/>
        <w:rPr>
          <w:rFonts w:hint="eastAsia" w:ascii="宋体" w:hAnsi="宋体"/>
          <w:szCs w:val="21"/>
        </w:rPr>
      </w:pPr>
      <w:r>
        <w:rPr>
          <w:rFonts w:ascii="宋体" w:hAnsi="宋体"/>
          <w:szCs w:val="21"/>
        </w:rPr>
        <w:t>8</w:t>
      </w:r>
      <w:r>
        <w:rPr>
          <w:rFonts w:hint="eastAsia" w:ascii="宋体" w:hAnsi="宋体"/>
          <w:szCs w:val="21"/>
        </w:rPr>
        <w:t>、乙方以发工人工资为由要求甲方支付超出正常验工计价外费用的，或因工资纠纷擅自停工、聚众滋事的。</w:t>
      </w:r>
    </w:p>
    <w:p>
      <w:pPr>
        <w:spacing w:line="460" w:lineRule="exact"/>
        <w:ind w:firstLine="420" w:firstLineChars="200"/>
        <w:rPr>
          <w:rFonts w:hint="eastAsia" w:ascii="宋体" w:hAnsi="宋体"/>
          <w:szCs w:val="21"/>
        </w:rPr>
      </w:pPr>
      <w:r>
        <w:rPr>
          <w:rFonts w:hint="eastAsia" w:ascii="宋体" w:hAnsi="宋体"/>
          <w:szCs w:val="21"/>
        </w:rPr>
        <w:t>9、非法挂靠，无法按甲方要求开具税票。</w:t>
      </w:r>
    </w:p>
    <w:p>
      <w:pPr>
        <w:spacing w:line="460" w:lineRule="exact"/>
        <w:ind w:firstLine="420" w:firstLineChars="200"/>
        <w:rPr>
          <w:rFonts w:hint="eastAsia" w:ascii="宋体" w:hAnsi="宋体"/>
          <w:szCs w:val="21"/>
        </w:rPr>
      </w:pPr>
      <w:r>
        <w:rPr>
          <w:rFonts w:hint="eastAsia" w:ascii="宋体" w:hAnsi="宋体"/>
          <w:szCs w:val="21"/>
        </w:rPr>
        <w:t>四、对因本合同第八条第三款原因造成合同解除的，乙方承诺自甲方终止合同通知书送达之日起5天日内将人员、设备、机具等全部撤出施工现场并承担撤场费用，同时向甲方移交施工场地，每逾期1天向甲方支付违约金30000元，同时在15天内办理完结算手续，否则造成的一切损失由乙方承担。乙方已完工程部分按第八条第三款和本合同有关规定计价。</w:t>
      </w:r>
    </w:p>
    <w:p>
      <w:pPr>
        <w:snapToGrid w:val="0"/>
        <w:spacing w:line="460" w:lineRule="exact"/>
        <w:jc w:val="center"/>
        <w:rPr>
          <w:rFonts w:hint="eastAsia" w:ascii="黑体" w:hAnsi="黑体" w:eastAsia="黑体"/>
          <w:bCs/>
          <w:szCs w:val="21"/>
        </w:rPr>
      </w:pPr>
      <w:r>
        <w:rPr>
          <w:rFonts w:hint="eastAsia" w:ascii="黑体" w:hAnsi="黑体" w:eastAsia="黑体"/>
          <w:bCs/>
          <w:szCs w:val="21"/>
        </w:rPr>
        <w:t>第九条  纠纷解决办法</w:t>
      </w:r>
    </w:p>
    <w:p>
      <w:pPr>
        <w:spacing w:line="460" w:lineRule="exact"/>
        <w:ind w:firstLine="420" w:firstLineChars="200"/>
        <w:rPr>
          <w:rFonts w:hint="eastAsia" w:ascii="宋体" w:hAnsi="宋体"/>
          <w:szCs w:val="21"/>
        </w:rPr>
      </w:pPr>
      <w:r>
        <w:rPr>
          <w:rFonts w:hint="eastAsia" w:ascii="宋体" w:hAnsi="宋体"/>
          <w:szCs w:val="21"/>
        </w:rPr>
        <w:t>一、甲方和乙方在履行合同时发生争议，可以自行和解或要求有关主管部门调解，任何一方不愿和解、调解或和解、调解不成的，双方约定采用下列第</w:t>
      </w:r>
      <w:r>
        <w:rPr>
          <w:rFonts w:hint="eastAsia" w:ascii="宋体" w:hAnsi="宋体"/>
          <w:szCs w:val="21"/>
          <w:u w:val="single"/>
        </w:rPr>
        <w:t xml:space="preserve"> 1 </w:t>
      </w:r>
      <w:r>
        <w:rPr>
          <w:rFonts w:hint="eastAsia" w:ascii="宋体" w:hAnsi="宋体"/>
          <w:szCs w:val="21"/>
        </w:rPr>
        <w:t>种方式解决争议：</w:t>
      </w:r>
    </w:p>
    <w:p>
      <w:pPr>
        <w:spacing w:line="460" w:lineRule="exact"/>
        <w:ind w:firstLine="420" w:firstLineChars="200"/>
        <w:rPr>
          <w:rFonts w:hint="eastAsia" w:ascii="宋体" w:hAnsi="宋体"/>
          <w:szCs w:val="21"/>
        </w:rPr>
      </w:pPr>
      <w:r>
        <w:rPr>
          <w:rFonts w:hint="eastAsia" w:ascii="宋体" w:hAnsi="宋体"/>
          <w:szCs w:val="21"/>
        </w:rPr>
        <w:t xml:space="preserve">    (1)双方达成仲裁协议，向甲方注册地的仲裁委员会申请仲裁；</w:t>
      </w:r>
    </w:p>
    <w:p>
      <w:pPr>
        <w:spacing w:line="460" w:lineRule="exact"/>
        <w:ind w:firstLine="420" w:firstLineChars="200"/>
        <w:rPr>
          <w:rFonts w:hint="eastAsia" w:ascii="宋体" w:hAnsi="宋体"/>
          <w:szCs w:val="21"/>
        </w:rPr>
      </w:pPr>
      <w:r>
        <w:rPr>
          <w:rFonts w:hint="eastAsia" w:ascii="宋体" w:hAnsi="宋体"/>
          <w:szCs w:val="21"/>
        </w:rPr>
        <w:t xml:space="preserve">    (2)向甲方法人机关注册地的法院起诉。</w:t>
      </w:r>
    </w:p>
    <w:p>
      <w:pPr>
        <w:snapToGrid w:val="0"/>
        <w:spacing w:line="460" w:lineRule="exact"/>
        <w:jc w:val="center"/>
        <w:rPr>
          <w:rFonts w:hint="eastAsia" w:ascii="黑体" w:hAnsi="黑体" w:eastAsia="黑体"/>
          <w:bCs/>
          <w:szCs w:val="21"/>
        </w:rPr>
      </w:pPr>
      <w:r>
        <w:rPr>
          <w:rFonts w:hint="eastAsia" w:ascii="黑体" w:hAnsi="黑体" w:eastAsia="黑体"/>
          <w:bCs/>
          <w:szCs w:val="21"/>
        </w:rPr>
        <w:t>第十条  附   则</w:t>
      </w:r>
    </w:p>
    <w:p>
      <w:pPr>
        <w:spacing w:line="460" w:lineRule="exact"/>
        <w:ind w:firstLine="420" w:firstLineChars="200"/>
        <w:rPr>
          <w:rFonts w:hint="eastAsia" w:ascii="宋体" w:hAnsi="宋体"/>
          <w:szCs w:val="21"/>
        </w:rPr>
      </w:pPr>
      <w:r>
        <w:rPr>
          <w:rFonts w:hint="eastAsia" w:ascii="宋体" w:hAnsi="宋体"/>
          <w:szCs w:val="21"/>
        </w:rPr>
        <w:t>一、本合同自甲乙双方签字和盖章之日起生效，双方办理决算后，合同关系即告终止。</w:t>
      </w:r>
    </w:p>
    <w:p>
      <w:pPr>
        <w:pStyle w:val="9"/>
        <w:spacing w:after="0" w:line="460" w:lineRule="exact"/>
        <w:ind w:firstLine="420" w:firstLineChars="200"/>
        <w:rPr>
          <w:rFonts w:hint="eastAsia" w:ascii="宋体" w:hAnsi="宋体"/>
          <w:sz w:val="21"/>
          <w:szCs w:val="21"/>
        </w:rPr>
      </w:pPr>
      <w:r>
        <w:rPr>
          <w:rFonts w:hint="eastAsia" w:ascii="宋体" w:hAnsi="宋体"/>
          <w:sz w:val="21"/>
          <w:szCs w:val="21"/>
        </w:rPr>
        <w:t>二、本合同签订后，甲乙双方如需提出补充或修改时，经双方协商一致后，可以签订补充协议，作为补充合同。</w:t>
      </w:r>
    </w:p>
    <w:p>
      <w:pPr>
        <w:spacing w:line="460" w:lineRule="exact"/>
        <w:ind w:firstLine="420" w:firstLineChars="200"/>
        <w:rPr>
          <w:rFonts w:hint="eastAsia" w:ascii="宋体" w:hAnsi="宋体"/>
          <w:szCs w:val="21"/>
        </w:rPr>
      </w:pPr>
      <w:r>
        <w:rPr>
          <w:rFonts w:hint="eastAsia" w:ascii="宋体" w:hAnsi="宋体"/>
          <w:szCs w:val="21"/>
        </w:rPr>
        <w:t>三、本合同正本一式三份，甲方二份，乙方一份。</w:t>
      </w:r>
    </w:p>
    <w:p>
      <w:pPr>
        <w:spacing w:line="460" w:lineRule="exact"/>
        <w:ind w:firstLine="420" w:firstLineChars="200"/>
        <w:rPr>
          <w:rFonts w:hint="eastAsia" w:ascii="宋体" w:hAnsi="宋体"/>
          <w:szCs w:val="21"/>
        </w:rPr>
      </w:pPr>
      <w:r>
        <w:rPr>
          <w:rFonts w:hint="eastAsia" w:ascii="宋体" w:hAnsi="宋体"/>
          <w:bCs/>
          <w:szCs w:val="21"/>
        </w:rPr>
        <w:t>四、</w:t>
      </w:r>
      <w:r>
        <w:rPr>
          <w:rFonts w:hint="eastAsia" w:ascii="宋体" w:hAnsi="宋体"/>
          <w:szCs w:val="21"/>
        </w:rPr>
        <w:t>本合同相关附表为本合同有效组成部分。</w:t>
      </w:r>
    </w:p>
    <w:p>
      <w:pPr>
        <w:tabs>
          <w:tab w:val="center" w:pos="4153"/>
        </w:tabs>
        <w:spacing w:line="460" w:lineRule="exact"/>
        <w:ind w:firstLine="420" w:firstLineChars="200"/>
        <w:rPr>
          <w:rFonts w:hint="eastAsia" w:ascii="宋体" w:hAnsi="宋体"/>
          <w:szCs w:val="21"/>
        </w:rPr>
      </w:pPr>
      <w:r>
        <w:rPr>
          <w:rFonts w:hint="eastAsia" w:ascii="宋体" w:hAnsi="宋体"/>
          <w:szCs w:val="21"/>
        </w:rPr>
        <w:t>甲方：</w:t>
      </w:r>
      <w:r>
        <w:rPr>
          <w:rFonts w:hint="eastAsia" w:ascii="宋体" w:hAnsi="宋体"/>
          <w:szCs w:val="21"/>
          <w:u w:val="single"/>
        </w:rPr>
        <w:t xml:space="preserve">                     </w:t>
      </w:r>
      <w:r>
        <w:rPr>
          <w:rFonts w:hint="eastAsia" w:ascii="宋体" w:hAnsi="宋体"/>
          <w:szCs w:val="21"/>
        </w:rPr>
        <w:t xml:space="preserve"> （签章）    乙方：</w:t>
      </w:r>
      <w:r>
        <w:rPr>
          <w:rFonts w:hint="eastAsia" w:ascii="宋体" w:hAnsi="宋体"/>
          <w:szCs w:val="21"/>
          <w:u w:val="single"/>
        </w:rPr>
        <w:t xml:space="preserve">                     </w:t>
      </w:r>
      <w:r>
        <w:rPr>
          <w:rFonts w:hint="eastAsia" w:ascii="宋体" w:hAnsi="宋体"/>
          <w:szCs w:val="21"/>
        </w:rPr>
        <w:t xml:space="preserve"> （签章）</w:t>
      </w:r>
    </w:p>
    <w:p>
      <w:pPr>
        <w:tabs>
          <w:tab w:val="center" w:pos="4153"/>
        </w:tabs>
        <w:spacing w:line="460" w:lineRule="exact"/>
        <w:ind w:firstLine="420" w:firstLineChars="200"/>
        <w:rPr>
          <w:rFonts w:hint="eastAsia" w:ascii="宋体" w:hAnsi="宋体"/>
          <w:szCs w:val="21"/>
        </w:rPr>
      </w:pPr>
      <w:r>
        <w:rPr>
          <w:rFonts w:hint="eastAsia" w:ascii="宋体" w:hAnsi="宋体"/>
          <w:szCs w:val="21"/>
        </w:rPr>
        <w:t>法定代表人：</w:t>
      </w:r>
      <w:r>
        <w:rPr>
          <w:rFonts w:hint="eastAsia" w:ascii="宋体" w:hAnsi="宋体"/>
          <w:szCs w:val="21"/>
          <w:u w:val="single"/>
        </w:rPr>
        <w:t xml:space="preserve">               </w:t>
      </w:r>
      <w:r>
        <w:rPr>
          <w:rFonts w:hint="eastAsia" w:ascii="宋体" w:hAnsi="宋体"/>
          <w:szCs w:val="21"/>
        </w:rPr>
        <w:t xml:space="preserve"> （签章）    法定代表人：</w:t>
      </w:r>
      <w:r>
        <w:rPr>
          <w:rFonts w:hint="eastAsia" w:ascii="宋体" w:hAnsi="宋体"/>
          <w:szCs w:val="21"/>
          <w:u w:val="single"/>
        </w:rPr>
        <w:t xml:space="preserve">               </w:t>
      </w:r>
      <w:r>
        <w:rPr>
          <w:rFonts w:hint="eastAsia" w:ascii="宋体" w:hAnsi="宋体"/>
          <w:szCs w:val="21"/>
        </w:rPr>
        <w:t xml:space="preserve"> （签章）</w:t>
      </w:r>
    </w:p>
    <w:p>
      <w:pPr>
        <w:tabs>
          <w:tab w:val="center" w:pos="4153"/>
        </w:tabs>
        <w:spacing w:line="460" w:lineRule="exact"/>
        <w:ind w:firstLine="420" w:firstLineChars="200"/>
        <w:rPr>
          <w:rFonts w:hint="eastAsia" w:ascii="宋体" w:hAnsi="宋体"/>
          <w:szCs w:val="21"/>
        </w:rPr>
      </w:pPr>
      <w:r>
        <w:rPr>
          <w:rFonts w:hint="eastAsia" w:ascii="宋体" w:hAnsi="宋体"/>
          <w:szCs w:val="21"/>
        </w:rPr>
        <w:t>或委托代理人：</w:t>
      </w:r>
      <w:r>
        <w:rPr>
          <w:rFonts w:hint="eastAsia" w:ascii="宋体" w:hAnsi="宋体"/>
          <w:szCs w:val="21"/>
          <w:u w:val="single"/>
        </w:rPr>
        <w:t xml:space="preserve">              </w:t>
      </w:r>
      <w:r>
        <w:rPr>
          <w:rFonts w:hint="eastAsia" w:ascii="宋体" w:hAnsi="宋体"/>
          <w:szCs w:val="21"/>
        </w:rPr>
        <w:t>（签章）    或委托代理人：</w:t>
      </w:r>
      <w:r>
        <w:rPr>
          <w:rFonts w:hint="eastAsia" w:ascii="宋体" w:hAnsi="宋体"/>
          <w:szCs w:val="21"/>
          <w:u w:val="single"/>
        </w:rPr>
        <w:t xml:space="preserve">              </w:t>
      </w:r>
      <w:r>
        <w:rPr>
          <w:rFonts w:hint="eastAsia" w:ascii="宋体" w:hAnsi="宋体"/>
          <w:szCs w:val="21"/>
        </w:rPr>
        <w:t xml:space="preserve">（签章）                </w:t>
      </w:r>
    </w:p>
    <w:p>
      <w:pPr>
        <w:tabs>
          <w:tab w:val="center" w:pos="4153"/>
        </w:tabs>
        <w:spacing w:line="460" w:lineRule="exact"/>
        <w:ind w:firstLine="420" w:firstLineChars="200"/>
        <w:rPr>
          <w:rFonts w:hint="eastAsia" w:ascii="宋体" w:hAnsi="宋体"/>
          <w:szCs w:val="21"/>
        </w:rPr>
      </w:pPr>
      <w:r>
        <w:rPr>
          <w:rFonts w:hint="eastAsia" w:ascii="宋体" w:hAnsi="宋体"/>
          <w:szCs w:val="21"/>
        </w:rPr>
        <w:t>纳税人识别号：</w:t>
      </w:r>
      <w:r>
        <w:rPr>
          <w:rFonts w:hint="eastAsia" w:ascii="宋体" w:hAnsi="宋体" w:cs="宋体"/>
          <w:color w:val="000000"/>
          <w:kern w:val="0"/>
          <w:szCs w:val="21"/>
          <w:lang w:bidi="ar"/>
        </w:rPr>
        <w:t>91321000323999314H</w:t>
      </w:r>
      <w:r>
        <w:rPr>
          <w:rFonts w:ascii="宋体" w:hAnsi="宋体" w:cs="宋体"/>
          <w:color w:val="000000"/>
          <w:kern w:val="0"/>
          <w:szCs w:val="21"/>
          <w:lang w:bidi="ar"/>
        </w:rPr>
        <w:t xml:space="preserve">       </w:t>
      </w:r>
      <w:r>
        <w:rPr>
          <w:rFonts w:hint="eastAsia" w:ascii="宋体" w:hAnsi="宋体" w:cs="宋体"/>
          <w:color w:val="000000"/>
          <w:kern w:val="0"/>
          <w:szCs w:val="21"/>
          <w:lang w:bidi="ar"/>
        </w:rPr>
        <w:t xml:space="preserve"> </w:t>
      </w:r>
      <w:r>
        <w:rPr>
          <w:rFonts w:hint="eastAsia" w:ascii="宋体" w:hAnsi="宋体"/>
          <w:szCs w:val="21"/>
        </w:rPr>
        <w:t xml:space="preserve">纳税人识别号:    </w:t>
      </w:r>
    </w:p>
    <w:p>
      <w:pPr>
        <w:tabs>
          <w:tab w:val="center" w:pos="4153"/>
        </w:tabs>
        <w:spacing w:line="460" w:lineRule="exact"/>
        <w:ind w:left="5880" w:leftChars="200" w:hanging="5460" w:hangingChars="2600"/>
        <w:rPr>
          <w:rFonts w:hint="eastAsia" w:ascii="宋体" w:hAnsi="宋体"/>
          <w:szCs w:val="21"/>
        </w:rPr>
      </w:pPr>
      <w:r>
        <w:rPr>
          <w:rFonts w:hint="eastAsia" w:ascii="宋体" w:hAnsi="宋体"/>
          <w:szCs w:val="21"/>
        </w:rPr>
        <w:t>开户行名：招商银行扬州分行营业部</w:t>
      </w:r>
      <w:r>
        <w:rPr>
          <w:rFonts w:hint="eastAsia" w:ascii="宋体" w:hAnsi="宋体" w:cs="宋体"/>
          <w:color w:val="000000"/>
          <w:kern w:val="0"/>
          <w:szCs w:val="21"/>
          <w:lang w:bidi="ar"/>
        </w:rPr>
        <w:t xml:space="preserve">        </w:t>
      </w:r>
      <w:r>
        <w:rPr>
          <w:rFonts w:hint="eastAsia" w:ascii="宋体" w:hAnsi="宋体"/>
          <w:szCs w:val="21"/>
        </w:rPr>
        <w:t xml:space="preserve">开户行名：                                 </w:t>
      </w:r>
    </w:p>
    <w:p>
      <w:pPr>
        <w:tabs>
          <w:tab w:val="center" w:pos="4153"/>
        </w:tabs>
        <w:spacing w:line="460" w:lineRule="exact"/>
        <w:ind w:firstLine="420" w:firstLineChars="200"/>
        <w:rPr>
          <w:rFonts w:hint="eastAsia" w:ascii="宋体" w:hAnsi="宋体"/>
          <w:szCs w:val="21"/>
        </w:rPr>
      </w:pPr>
      <w:r>
        <w:rPr>
          <w:rFonts w:hint="eastAsia" w:ascii="宋体" w:hAnsi="宋体"/>
          <w:szCs w:val="21"/>
        </w:rPr>
        <w:t xml:space="preserve">开户账号：514902456110208            </w:t>
      </w:r>
      <w:r>
        <w:rPr>
          <w:rFonts w:ascii="宋体" w:hAnsi="宋体"/>
          <w:szCs w:val="21"/>
        </w:rPr>
        <w:t xml:space="preserve"> </w:t>
      </w:r>
      <w:r>
        <w:rPr>
          <w:rFonts w:hint="eastAsia" w:ascii="宋体" w:hAnsi="宋体"/>
          <w:szCs w:val="21"/>
        </w:rPr>
        <w:t xml:space="preserve">  开户账号：           </w:t>
      </w:r>
    </w:p>
    <w:p>
      <w:pPr>
        <w:tabs>
          <w:tab w:val="center" w:pos="4153"/>
        </w:tabs>
        <w:spacing w:line="460" w:lineRule="exact"/>
        <w:ind w:left="5670" w:leftChars="200" w:hanging="5250" w:hangingChars="2500"/>
        <w:rPr>
          <w:rFonts w:hint="eastAsia" w:ascii="宋体" w:hAnsi="宋体"/>
          <w:szCs w:val="21"/>
        </w:rPr>
      </w:pPr>
      <w:r>
        <w:rPr>
          <w:rFonts w:hint="eastAsia" w:ascii="宋体" w:hAnsi="宋体"/>
          <w:szCs w:val="21"/>
        </w:rPr>
        <w:t>地    址：扬州市文汇东路249号</w:t>
      </w:r>
      <w:r>
        <w:rPr>
          <w:rFonts w:hint="eastAsia" w:ascii="宋体" w:hAnsi="宋体" w:cs="宋体"/>
          <w:color w:val="000000"/>
          <w:kern w:val="0"/>
          <w:szCs w:val="21"/>
          <w:lang w:bidi="ar"/>
        </w:rPr>
        <w:t xml:space="preserve">          </w:t>
      </w:r>
      <w:r>
        <w:rPr>
          <w:rFonts w:hint="eastAsia" w:ascii="宋体" w:hAnsi="宋体"/>
          <w:szCs w:val="21"/>
        </w:rPr>
        <w:t xml:space="preserve">地    址：                      </w:t>
      </w:r>
    </w:p>
    <w:p>
      <w:pPr>
        <w:tabs>
          <w:tab w:val="center" w:pos="4153"/>
        </w:tabs>
        <w:spacing w:line="460" w:lineRule="exact"/>
        <w:ind w:firstLine="420" w:firstLineChars="200"/>
        <w:rPr>
          <w:rFonts w:ascii="宋体" w:hAnsi="宋体"/>
          <w:szCs w:val="21"/>
        </w:rPr>
      </w:pPr>
      <w:r>
        <w:rPr>
          <w:rFonts w:hint="eastAsia" w:ascii="宋体" w:hAnsi="宋体"/>
          <w:szCs w:val="21"/>
        </w:rPr>
        <w:t>电    话：0514-82980045</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 xml:space="preserve">  电    话：</w:t>
      </w:r>
    </w:p>
    <w:p>
      <w:pPr>
        <w:spacing w:line="460" w:lineRule="exact"/>
        <w:ind w:firstLine="420" w:firstLineChars="200"/>
        <w:rPr>
          <w:rFonts w:hint="eastAsia" w:ascii="宋体" w:hAnsi="宋体"/>
          <w:szCs w:val="21"/>
        </w:rPr>
      </w:pPr>
      <w:r>
        <w:rPr>
          <w:rFonts w:hint="eastAsia" w:ascii="宋体" w:hAnsi="宋体"/>
          <w:szCs w:val="21"/>
        </w:rPr>
        <w:t>签订时间：</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spacing w:line="460" w:lineRule="exact"/>
        <w:ind w:firstLine="420" w:firstLineChars="200"/>
        <w:rPr>
          <w:rFonts w:hint="eastAsia" w:ascii="宋体" w:hAnsi="宋体"/>
          <w:szCs w:val="21"/>
          <w:u w:val="single"/>
        </w:rPr>
      </w:pPr>
      <w:r>
        <w:rPr>
          <w:rFonts w:hint="eastAsia" w:ascii="宋体" w:hAnsi="宋体"/>
          <w:szCs w:val="21"/>
        </w:rPr>
        <w:t>签订地点：</w:t>
      </w:r>
      <w:r>
        <w:rPr>
          <w:rFonts w:hint="eastAsia" w:ascii="宋体" w:hAnsi="宋体"/>
          <w:szCs w:val="21"/>
          <w:u w:val="single"/>
        </w:rPr>
        <w:t xml:space="preserve">                    </w:t>
      </w:r>
    </w:p>
    <w:p>
      <w:pPr>
        <w:rPr>
          <w:rFonts w:hint="eastAsia" w:ascii="Times New Roman" w:hAnsi="Times New Roman"/>
          <w:sz w:val="28"/>
          <w:szCs w:val="28"/>
        </w:rPr>
      </w:pPr>
    </w:p>
    <w:p>
      <w:pPr>
        <w:rPr>
          <w:rFonts w:ascii="Times New Roman" w:hAnsi="Times New Roman"/>
          <w:sz w:val="28"/>
          <w:szCs w:val="28"/>
        </w:rPr>
      </w:pPr>
    </w:p>
    <w:p>
      <w:pPr>
        <w:snapToGrid w:val="0"/>
        <w:spacing w:line="460" w:lineRule="exact"/>
        <w:rPr>
          <w:rFonts w:hint="eastAsia" w:ascii="黑体" w:hAnsi="黑体" w:eastAsia="黑体"/>
          <w:sz w:val="36"/>
          <w:szCs w:val="36"/>
        </w:rPr>
      </w:pPr>
    </w:p>
    <w:p>
      <w:pPr>
        <w:snapToGrid w:val="0"/>
        <w:spacing w:line="460" w:lineRule="exact"/>
        <w:jc w:val="center"/>
        <w:rPr>
          <w:rFonts w:hint="eastAsia" w:ascii="黑体" w:hAnsi="黑体" w:eastAsia="黑体"/>
          <w:sz w:val="36"/>
          <w:szCs w:val="36"/>
        </w:rPr>
      </w:pPr>
    </w:p>
    <w:p>
      <w:pPr>
        <w:snapToGrid w:val="0"/>
        <w:spacing w:line="460" w:lineRule="exact"/>
        <w:jc w:val="center"/>
        <w:rPr>
          <w:rFonts w:hint="eastAsia" w:ascii="黑体" w:hAnsi="黑体" w:eastAsia="黑体"/>
          <w:sz w:val="36"/>
          <w:szCs w:val="36"/>
        </w:rPr>
      </w:pPr>
    </w:p>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imesNewRomanPSMT">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5</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21</w:t>
    </w:r>
    <w:r>
      <w:rPr>
        <w:b/>
        <w:bCs/>
        <w:sz w:val="24"/>
        <w:szCs w:val="24"/>
      </w:rPr>
      <w:fldChar w:fldCharType="end"/>
    </w:r>
  </w:p>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A884BD1"/>
    <w:multiLevelType w:val="multilevel"/>
    <w:tmpl w:val="2A884BD1"/>
    <w:lvl w:ilvl="0" w:tentative="0">
      <w:start w:val="1"/>
      <w:numFmt w:val="japaneseCounting"/>
      <w:lvlText w:val="第%1章"/>
      <w:lvlJc w:val="left"/>
      <w:pPr>
        <w:tabs>
          <w:tab w:val="left" w:pos="1715"/>
        </w:tabs>
        <w:ind w:left="1715" w:hanging="1290"/>
      </w:pPr>
      <w:rPr>
        <w:rFonts w:hint="default"/>
      </w:rPr>
    </w:lvl>
    <w:lvl w:ilvl="1" w:tentative="0">
      <w:start w:val="1"/>
      <w:numFmt w:val="decimal"/>
      <w:lvlText w:val="%2、"/>
      <w:lvlJc w:val="left"/>
      <w:pPr>
        <w:tabs>
          <w:tab w:val="left" w:pos="1565"/>
        </w:tabs>
        <w:ind w:left="1565" w:hanging="720"/>
      </w:pPr>
      <w:rPr>
        <w:rFonts w:hint="default"/>
      </w:rPr>
    </w:lvl>
    <w:lvl w:ilvl="2" w:tentative="0">
      <w:start w:val="1"/>
      <w:numFmt w:val="lowerRoman"/>
      <w:lvlText w:val="%3."/>
      <w:lvlJc w:val="right"/>
      <w:pPr>
        <w:tabs>
          <w:tab w:val="left" w:pos="1685"/>
        </w:tabs>
        <w:ind w:left="1685" w:hanging="420"/>
      </w:pPr>
    </w:lvl>
    <w:lvl w:ilvl="3" w:tentative="0">
      <w:start w:val="1"/>
      <w:numFmt w:val="decimal"/>
      <w:lvlText w:val="%4."/>
      <w:lvlJc w:val="left"/>
      <w:pPr>
        <w:tabs>
          <w:tab w:val="left" w:pos="2105"/>
        </w:tabs>
        <w:ind w:left="2105" w:hanging="420"/>
      </w:pPr>
    </w:lvl>
    <w:lvl w:ilvl="4" w:tentative="0">
      <w:start w:val="1"/>
      <w:numFmt w:val="lowerLetter"/>
      <w:lvlText w:val="%5)"/>
      <w:lvlJc w:val="left"/>
      <w:pPr>
        <w:tabs>
          <w:tab w:val="left" w:pos="2525"/>
        </w:tabs>
        <w:ind w:left="2525" w:hanging="420"/>
      </w:pPr>
    </w:lvl>
    <w:lvl w:ilvl="5" w:tentative="0">
      <w:start w:val="1"/>
      <w:numFmt w:val="lowerRoman"/>
      <w:lvlText w:val="%6."/>
      <w:lvlJc w:val="right"/>
      <w:pPr>
        <w:tabs>
          <w:tab w:val="left" w:pos="2945"/>
        </w:tabs>
        <w:ind w:left="2945" w:hanging="420"/>
      </w:pPr>
    </w:lvl>
    <w:lvl w:ilvl="6" w:tentative="0">
      <w:start w:val="1"/>
      <w:numFmt w:val="decimal"/>
      <w:lvlText w:val="%7."/>
      <w:lvlJc w:val="left"/>
      <w:pPr>
        <w:tabs>
          <w:tab w:val="left" w:pos="3365"/>
        </w:tabs>
        <w:ind w:left="3365" w:hanging="420"/>
      </w:pPr>
    </w:lvl>
    <w:lvl w:ilvl="7" w:tentative="0">
      <w:start w:val="1"/>
      <w:numFmt w:val="lowerLetter"/>
      <w:lvlText w:val="%8)"/>
      <w:lvlJc w:val="left"/>
      <w:pPr>
        <w:tabs>
          <w:tab w:val="left" w:pos="3785"/>
        </w:tabs>
        <w:ind w:left="3785" w:hanging="420"/>
      </w:pPr>
    </w:lvl>
    <w:lvl w:ilvl="8" w:tentative="0">
      <w:start w:val="1"/>
      <w:numFmt w:val="lowerRoman"/>
      <w:lvlText w:val="%9."/>
      <w:lvlJc w:val="right"/>
      <w:pPr>
        <w:tabs>
          <w:tab w:val="left" w:pos="4205"/>
        </w:tabs>
        <w:ind w:left="4205" w:hanging="420"/>
      </w:pPr>
    </w:lvl>
  </w:abstractNum>
  <w:abstractNum w:abstractNumId="1">
    <w:nsid w:val="41801EA3"/>
    <w:multiLevelType w:val="multilevel"/>
    <w:tmpl w:val="41801EA3"/>
    <w:lvl w:ilvl="0" w:tentative="0">
      <w:start w:val="1"/>
      <w:numFmt w:val="japaneseCounting"/>
      <w:lvlText w:val="%1、"/>
      <w:lvlJc w:val="left"/>
      <w:pPr>
        <w:tabs>
          <w:tab w:val="left" w:pos="720"/>
        </w:tabs>
        <w:ind w:left="720" w:hanging="720"/>
      </w:pPr>
      <w:rPr>
        <w:rFonts w:hint="eastAsia"/>
      </w:rPr>
    </w:lvl>
    <w:lvl w:ilvl="1" w:tentative="0">
      <w:start w:val="1"/>
      <w:numFmt w:val="decimal"/>
      <w:lvlText w:val="%2."/>
      <w:lvlJc w:val="left"/>
      <w:pPr>
        <w:tabs>
          <w:tab w:val="left" w:pos="840"/>
        </w:tabs>
        <w:ind w:left="840" w:hanging="420"/>
      </w:pPr>
      <w:rPr>
        <w:rFonts w:hint="eastAsia"/>
      </w:rPr>
    </w:lvl>
    <w:lvl w:ilvl="2" w:tentative="0">
      <w:start w:val="1"/>
      <w:numFmt w:val="lowerLetter"/>
      <w:lvlText w:val="%3．"/>
      <w:lvlJc w:val="left"/>
      <w:pPr>
        <w:tabs>
          <w:tab w:val="left" w:pos="1560"/>
        </w:tabs>
        <w:ind w:left="1560" w:hanging="720"/>
      </w:pPr>
      <w:rPr>
        <w:rFonts w:hint="eastAsia"/>
      </w:rPr>
    </w:lvl>
    <w:lvl w:ilvl="3" w:tentative="0">
      <w:start w:val="4"/>
      <w:numFmt w:val="japaneseCounting"/>
      <w:lvlText w:val="第%4章"/>
      <w:lvlJc w:val="left"/>
      <w:pPr>
        <w:tabs>
          <w:tab w:val="left" w:pos="4056"/>
        </w:tabs>
        <w:ind w:left="4056" w:hanging="1080"/>
      </w:pPr>
      <w:rPr>
        <w:rFonts w:hint="eastAsia"/>
      </w:rPr>
    </w:lvl>
    <w:lvl w:ilvl="4" w:tentative="0">
      <w:start w:val="1"/>
      <w:numFmt w:val="decimalFullWidth"/>
      <w:lvlText w:val="%5、"/>
      <w:lvlJc w:val="left"/>
      <w:pPr>
        <w:tabs>
          <w:tab w:val="left" w:pos="1020"/>
        </w:tabs>
        <w:ind w:left="1020" w:hanging="1020"/>
      </w:pPr>
      <w:rPr>
        <w:rFonts w:hint="eastAsia"/>
      </w:rPr>
    </w:lvl>
    <w:lvl w:ilvl="5" w:tentative="0">
      <w:start w:val="1"/>
      <w:numFmt w:val="decimal"/>
      <w:lvlText w:val="%6）"/>
      <w:lvlJc w:val="left"/>
      <w:pPr>
        <w:tabs>
          <w:tab w:val="left" w:pos="6249"/>
        </w:tabs>
        <w:ind w:left="6249" w:hanging="720"/>
      </w:pPr>
      <w:rPr>
        <w:rFonts w:hint="default"/>
      </w:rPr>
    </w:lvl>
    <w:lvl w:ilvl="6" w:tentative="0">
      <w:start w:val="4"/>
      <w:numFmt w:val="decimal"/>
      <w:lvlText w:val="%7．"/>
      <w:lvlJc w:val="left"/>
      <w:pPr>
        <w:tabs>
          <w:tab w:val="left" w:pos="3240"/>
        </w:tabs>
        <w:ind w:left="3240" w:hanging="720"/>
      </w:pPr>
      <w:rPr>
        <w:rFonts w:hint="default" w:ascii="仿宋_GB2312"/>
      </w:r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46A90836"/>
    <w:multiLevelType w:val="multilevel"/>
    <w:tmpl w:val="46A90836"/>
    <w:lvl w:ilvl="0" w:tentative="0">
      <w:start w:val="1"/>
      <w:numFmt w:val="decimal"/>
      <w:lvlText w:val="%1."/>
      <w:lvlJc w:val="left"/>
      <w:pPr>
        <w:ind w:left="1129" w:hanging="420"/>
      </w:pPr>
    </w:lvl>
    <w:lvl w:ilvl="1" w:tentative="0">
      <w:start w:val="1"/>
      <w:numFmt w:val="lowerLetter"/>
      <w:lvlText w:val="%2)"/>
      <w:lvlJc w:val="left"/>
      <w:pPr>
        <w:ind w:left="1548" w:hanging="420"/>
      </w:pPr>
    </w:lvl>
    <w:lvl w:ilvl="2" w:tentative="0">
      <w:start w:val="1"/>
      <w:numFmt w:val="lowerRoman"/>
      <w:lvlText w:val="%3."/>
      <w:lvlJc w:val="right"/>
      <w:pPr>
        <w:ind w:left="1968" w:hanging="420"/>
      </w:pPr>
    </w:lvl>
    <w:lvl w:ilvl="3" w:tentative="0">
      <w:start w:val="1"/>
      <w:numFmt w:val="decimal"/>
      <w:lvlText w:val="%4."/>
      <w:lvlJc w:val="left"/>
      <w:pPr>
        <w:ind w:left="2388" w:hanging="420"/>
      </w:pPr>
    </w:lvl>
    <w:lvl w:ilvl="4" w:tentative="0">
      <w:start w:val="1"/>
      <w:numFmt w:val="lowerLetter"/>
      <w:lvlText w:val="%5)"/>
      <w:lvlJc w:val="left"/>
      <w:pPr>
        <w:ind w:left="2808" w:hanging="420"/>
      </w:pPr>
    </w:lvl>
    <w:lvl w:ilvl="5" w:tentative="0">
      <w:start w:val="1"/>
      <w:numFmt w:val="lowerRoman"/>
      <w:lvlText w:val="%6."/>
      <w:lvlJc w:val="right"/>
      <w:pPr>
        <w:ind w:left="3228" w:hanging="420"/>
      </w:pPr>
    </w:lvl>
    <w:lvl w:ilvl="6" w:tentative="0">
      <w:start w:val="1"/>
      <w:numFmt w:val="decimal"/>
      <w:lvlText w:val="%7."/>
      <w:lvlJc w:val="left"/>
      <w:pPr>
        <w:ind w:left="3648" w:hanging="420"/>
      </w:pPr>
    </w:lvl>
    <w:lvl w:ilvl="7" w:tentative="0">
      <w:start w:val="1"/>
      <w:numFmt w:val="lowerLetter"/>
      <w:lvlText w:val="%8)"/>
      <w:lvlJc w:val="left"/>
      <w:pPr>
        <w:ind w:left="4068" w:hanging="420"/>
      </w:pPr>
    </w:lvl>
    <w:lvl w:ilvl="8" w:tentative="0">
      <w:start w:val="1"/>
      <w:numFmt w:val="lowerRoman"/>
      <w:lvlText w:val="%9."/>
      <w:lvlJc w:val="right"/>
      <w:pPr>
        <w:ind w:left="4488" w:hanging="420"/>
      </w:pPr>
    </w:lvl>
  </w:abstractNum>
  <w:abstractNum w:abstractNumId="3">
    <w:nsid w:val="594D2225"/>
    <w:multiLevelType w:val="multilevel"/>
    <w:tmpl w:val="594D2225"/>
    <w:lvl w:ilvl="0" w:tentative="0">
      <w:start w:val="6"/>
      <w:numFmt w:val="japaneseCounting"/>
      <w:lvlText w:val="第%1章"/>
      <w:lvlJc w:val="left"/>
      <w:pPr>
        <w:tabs>
          <w:tab w:val="left" w:pos="2169"/>
        </w:tabs>
        <w:ind w:left="2169" w:hanging="1110"/>
      </w:pPr>
      <w:rPr>
        <w:rFonts w:hint="default"/>
      </w:rPr>
    </w:lvl>
    <w:lvl w:ilvl="1" w:tentative="0">
      <w:start w:val="1"/>
      <w:numFmt w:val="decimal"/>
      <w:lvlText w:val="（%2）"/>
      <w:lvlJc w:val="left"/>
      <w:pPr>
        <w:tabs>
          <w:tab w:val="left" w:pos="2199"/>
        </w:tabs>
        <w:ind w:left="2199" w:hanging="720"/>
      </w:pPr>
      <w:rPr>
        <w:rFonts w:hint="eastAsia"/>
      </w:rPr>
    </w:lvl>
    <w:lvl w:ilvl="2" w:tentative="0">
      <w:start w:val="1"/>
      <w:numFmt w:val="decimal"/>
      <w:lvlText w:val="%3."/>
      <w:lvlJc w:val="left"/>
      <w:pPr>
        <w:tabs>
          <w:tab w:val="left" w:pos="2259"/>
        </w:tabs>
        <w:ind w:left="2259" w:hanging="360"/>
      </w:pPr>
      <w:rPr>
        <w:rFonts w:hint="eastAsia"/>
      </w:rPr>
    </w:lvl>
    <w:lvl w:ilvl="3" w:tentative="0">
      <w:start w:val="1"/>
      <w:numFmt w:val="decimal"/>
      <w:lvlText w:val="%4."/>
      <w:lvlJc w:val="left"/>
      <w:pPr>
        <w:tabs>
          <w:tab w:val="left" w:pos="2739"/>
        </w:tabs>
        <w:ind w:left="2739" w:hanging="420"/>
      </w:pPr>
    </w:lvl>
    <w:lvl w:ilvl="4" w:tentative="0">
      <w:start w:val="1"/>
      <w:numFmt w:val="lowerLetter"/>
      <w:lvlText w:val="%5)"/>
      <w:lvlJc w:val="left"/>
      <w:pPr>
        <w:tabs>
          <w:tab w:val="left" w:pos="3159"/>
        </w:tabs>
        <w:ind w:left="3159" w:hanging="420"/>
      </w:pPr>
    </w:lvl>
    <w:lvl w:ilvl="5" w:tentative="0">
      <w:start w:val="1"/>
      <w:numFmt w:val="lowerRoman"/>
      <w:lvlText w:val="%6."/>
      <w:lvlJc w:val="right"/>
      <w:pPr>
        <w:tabs>
          <w:tab w:val="left" w:pos="3579"/>
        </w:tabs>
        <w:ind w:left="3579" w:hanging="420"/>
      </w:pPr>
    </w:lvl>
    <w:lvl w:ilvl="6" w:tentative="0">
      <w:start w:val="1"/>
      <w:numFmt w:val="decimal"/>
      <w:lvlText w:val="%7."/>
      <w:lvlJc w:val="left"/>
      <w:pPr>
        <w:tabs>
          <w:tab w:val="left" w:pos="3999"/>
        </w:tabs>
        <w:ind w:left="3999" w:hanging="420"/>
      </w:pPr>
    </w:lvl>
    <w:lvl w:ilvl="7" w:tentative="0">
      <w:start w:val="1"/>
      <w:numFmt w:val="lowerLetter"/>
      <w:lvlText w:val="%8)"/>
      <w:lvlJc w:val="left"/>
      <w:pPr>
        <w:tabs>
          <w:tab w:val="left" w:pos="4419"/>
        </w:tabs>
        <w:ind w:left="4419" w:hanging="420"/>
      </w:pPr>
    </w:lvl>
    <w:lvl w:ilvl="8" w:tentative="0">
      <w:start w:val="1"/>
      <w:numFmt w:val="lowerRoman"/>
      <w:lvlText w:val="%9."/>
      <w:lvlJc w:val="right"/>
      <w:pPr>
        <w:tabs>
          <w:tab w:val="left" w:pos="4839"/>
        </w:tabs>
        <w:ind w:left="4839" w:hanging="42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600511"/>
    <w:rsid w:val="081303C8"/>
    <w:rsid w:val="0A7333A0"/>
    <w:rsid w:val="10B35A6B"/>
    <w:rsid w:val="20803B65"/>
    <w:rsid w:val="2DA74F8B"/>
    <w:rsid w:val="380A6843"/>
    <w:rsid w:val="407E7DCE"/>
    <w:rsid w:val="4B9C1A50"/>
    <w:rsid w:val="4CD62D3F"/>
    <w:rsid w:val="59600511"/>
    <w:rsid w:val="5B3E042E"/>
    <w:rsid w:val="5B934846"/>
    <w:rsid w:val="608E1772"/>
    <w:rsid w:val="70F6733B"/>
    <w:rsid w:val="747D23A4"/>
    <w:rsid w:val="74D13C69"/>
    <w:rsid w:val="750F6B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qFormat/>
    <w:uiPriority w:val="0"/>
    <w:pPr>
      <w:keepNext/>
      <w:keepLines/>
      <w:spacing w:before="260" w:after="260" w:line="413" w:lineRule="auto"/>
      <w:outlineLvl w:val="2"/>
    </w:pPr>
    <w:rPr>
      <w:b/>
      <w:kern w:val="0"/>
      <w:sz w:val="32"/>
      <w:szCs w:val="20"/>
    </w:rPr>
  </w:style>
  <w:style w:type="character" w:default="1" w:styleId="12">
    <w:name w:val="Default Paragraph Font"/>
    <w:semiHidden/>
    <w:qFormat/>
    <w:uiPriority w:val="0"/>
  </w:style>
  <w:style w:type="table" w:default="1" w:styleId="11">
    <w:name w:val="Normal Table"/>
    <w:semiHidden/>
    <w:uiPriority w:val="0"/>
    <w:tblPr>
      <w:tblCellMar>
        <w:top w:w="0" w:type="dxa"/>
        <w:left w:w="108" w:type="dxa"/>
        <w:bottom w:w="0" w:type="dxa"/>
        <w:right w:w="108" w:type="dxa"/>
      </w:tblCellMar>
    </w:tblPr>
  </w:style>
  <w:style w:type="paragraph" w:styleId="3">
    <w:name w:val="annotation text"/>
    <w:basedOn w:val="1"/>
    <w:semiHidden/>
    <w:uiPriority w:val="0"/>
    <w:pPr>
      <w:jc w:val="left"/>
    </w:pPr>
  </w:style>
  <w:style w:type="paragraph" w:styleId="4">
    <w:name w:val="Body Text Indent"/>
    <w:basedOn w:val="1"/>
    <w:qFormat/>
    <w:uiPriority w:val="0"/>
    <w:pPr>
      <w:tabs>
        <w:tab w:val="left" w:pos="0"/>
        <w:tab w:val="left" w:pos="993"/>
        <w:tab w:val="left" w:pos="1134"/>
      </w:tabs>
      <w:spacing w:line="500" w:lineRule="exact"/>
      <w:ind w:firstLine="567"/>
    </w:pPr>
    <w:rPr>
      <w:rFonts w:ascii="宋体"/>
      <w:sz w:val="28"/>
    </w:rPr>
  </w:style>
  <w:style w:type="paragraph" w:styleId="5">
    <w:name w:val="Plain Text"/>
    <w:basedOn w:val="1"/>
    <w:qFormat/>
    <w:uiPriority w:val="0"/>
    <w:rPr>
      <w:rFonts w:ascii="宋体" w:hAnsi="Courier New" w:cs="Courier New"/>
      <w:szCs w:val="21"/>
    </w:rPr>
  </w:style>
  <w:style w:type="paragraph" w:styleId="6">
    <w:name w:val="Date"/>
    <w:basedOn w:val="1"/>
    <w:next w:val="1"/>
    <w:qFormat/>
    <w:uiPriority w:val="0"/>
    <w:rPr>
      <w:rFonts w:eastAsia="仿宋_GB2312"/>
      <w:sz w:val="30"/>
    </w:rPr>
  </w:style>
  <w:style w:type="paragraph" w:styleId="7">
    <w:name w:val="footer"/>
    <w:basedOn w:val="1"/>
    <w:qFormat/>
    <w:uiPriority w:val="99"/>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Body Text Indent 3"/>
    <w:basedOn w:val="1"/>
    <w:qFormat/>
    <w:uiPriority w:val="0"/>
    <w:pPr>
      <w:spacing w:after="120"/>
      <w:ind w:left="420" w:leftChars="200"/>
    </w:pPr>
    <w:rPr>
      <w:sz w:val="16"/>
      <w:szCs w:val="16"/>
    </w:rPr>
  </w:style>
  <w:style w:type="paragraph" w:styleId="10">
    <w:name w:val="Title"/>
    <w:basedOn w:val="1"/>
    <w:qFormat/>
    <w:uiPriority w:val="0"/>
    <w:pPr>
      <w:adjustRightInd w:val="0"/>
      <w:spacing w:before="240" w:after="60" w:line="420" w:lineRule="atLeast"/>
      <w:jc w:val="center"/>
      <w:textAlignment w:val="baseline"/>
      <w:outlineLvl w:val="0"/>
    </w:pPr>
    <w:rPr>
      <w:rFonts w:ascii="Arial" w:hAnsi="Arial"/>
      <w:b/>
      <w:kern w:val="0"/>
      <w:sz w:val="32"/>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68</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2022-01-18T06:01:00Z</dcterms:created>
  <dc:creator>9777。</dc:creator>
  <cp:lastModifiedBy>Lenovo</cp:lastModifiedBy>
  <cp:lastPrinted>2022-01-20T04:18:00Z</cp:lastPrinted>
  <dcterms:modified xsi:type="dcterms:W3CDTF">2022-01-27T01:00:08Z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13D76ABEC1DE4FF788452DE6D659471E</vt:lpwstr>
  </property>
</Properties>
</file>